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3BEA9" w14:textId="77777777" w:rsidR="00FF1B70" w:rsidRDefault="00000000">
      <w:pPr>
        <w:pStyle w:val="Heading1"/>
        <w:rPr>
          <w:b/>
          <w:sz w:val="22"/>
        </w:rPr>
      </w:pPr>
      <w:r>
        <w:rPr>
          <w:b/>
          <w:sz w:val="22"/>
        </w:rPr>
        <w:t>Appendices</w:t>
      </w:r>
    </w:p>
    <w:p w14:paraId="07863988" w14:textId="77777777" w:rsidR="00FF1B70" w:rsidRDefault="00000000">
      <w:pPr>
        <w:pStyle w:val="Heading2"/>
        <w:spacing w:before="0" w:line="240" w:lineRule="auto"/>
      </w:pPr>
      <w:r>
        <w:rPr>
          <w:b/>
          <w:color w:val="auto"/>
          <w:sz w:val="20"/>
          <w:szCs w:val="20"/>
        </w:rPr>
        <w:t>Appendix 1: List of the study's ten (10) countries within the Economic Community of Central African States (ECCAS)</w:t>
      </w:r>
      <w:r>
        <w:rPr>
          <w:b/>
          <w:sz w:val="20"/>
          <w:szCs w:val="20"/>
        </w:rPr>
        <w:t>:</w:t>
      </w:r>
    </w:p>
    <w:tbl>
      <w:tblPr>
        <w:tblW w:w="8931" w:type="dxa"/>
        <w:tblCellMar>
          <w:left w:w="10" w:type="dxa"/>
          <w:right w:w="10" w:type="dxa"/>
        </w:tblCellMar>
        <w:tblLook w:val="04A0" w:firstRow="1" w:lastRow="0" w:firstColumn="1" w:lastColumn="0" w:noHBand="0" w:noVBand="1"/>
      </w:tblPr>
      <w:tblGrid>
        <w:gridCol w:w="8931"/>
      </w:tblGrid>
      <w:tr w:rsidR="00FF1B70" w14:paraId="66E4D1CC" w14:textId="77777777">
        <w:tblPrEx>
          <w:tblCellMar>
            <w:top w:w="0" w:type="dxa"/>
            <w:bottom w:w="0" w:type="dxa"/>
          </w:tblCellMar>
        </w:tblPrEx>
        <w:tc>
          <w:tcPr>
            <w:tcW w:w="8931" w:type="dxa"/>
            <w:tcBorders>
              <w:top w:val="single" w:sz="4" w:space="0" w:color="000000"/>
              <w:bottom w:val="single" w:sz="4" w:space="0" w:color="000000"/>
            </w:tcBorders>
            <w:shd w:val="clear" w:color="auto" w:fill="auto"/>
            <w:tcMar>
              <w:top w:w="0" w:type="dxa"/>
              <w:left w:w="108" w:type="dxa"/>
              <w:bottom w:w="0" w:type="dxa"/>
              <w:right w:w="108" w:type="dxa"/>
            </w:tcMar>
          </w:tcPr>
          <w:p w14:paraId="4359CB9B" w14:textId="77777777" w:rsidR="00FF1B70" w:rsidRDefault="00000000">
            <w:pPr>
              <w:spacing w:after="0"/>
            </w:pPr>
            <w:r>
              <w:rPr>
                <w:rFonts w:ascii="Aptos Display" w:hAnsi="Aptos Display"/>
                <w:sz w:val="20"/>
                <w:lang w:val="en-US"/>
              </w:rPr>
              <w:t>Angola, Burundi, Cameroon, the Central African Republic, Congo, Gabon, Equatorial Guinea, the Democratic Republic of Congo, Rwanda and Chad.</w:t>
            </w:r>
          </w:p>
        </w:tc>
      </w:tr>
      <w:tr w:rsidR="00FF1B70" w14:paraId="15C7F1AE" w14:textId="77777777">
        <w:tblPrEx>
          <w:tblCellMar>
            <w:top w:w="0" w:type="dxa"/>
            <w:bottom w:w="0" w:type="dxa"/>
          </w:tblCellMar>
        </w:tblPrEx>
        <w:tc>
          <w:tcPr>
            <w:tcW w:w="8931" w:type="dxa"/>
            <w:tcBorders>
              <w:top w:val="single" w:sz="4" w:space="0" w:color="000000"/>
              <w:bottom w:val="single" w:sz="4" w:space="0" w:color="000000"/>
            </w:tcBorders>
            <w:shd w:val="clear" w:color="auto" w:fill="auto"/>
            <w:tcMar>
              <w:top w:w="0" w:type="dxa"/>
              <w:left w:w="108" w:type="dxa"/>
              <w:bottom w:w="0" w:type="dxa"/>
              <w:right w:w="108" w:type="dxa"/>
            </w:tcMar>
          </w:tcPr>
          <w:p w14:paraId="73516CCD" w14:textId="77777777" w:rsidR="00FF1B70" w:rsidRDefault="00000000">
            <w:pPr>
              <w:spacing w:after="0"/>
            </w:pPr>
            <w:r>
              <w:rPr>
                <w:rFonts w:ascii="Aptos Display" w:hAnsi="Aptos Display"/>
                <w:b/>
                <w:sz w:val="20"/>
                <w:lang w:val="en-US"/>
              </w:rPr>
              <w:t>List of the six (6) countries of the Central African Economic and Monetary Community (CAEMC):</w:t>
            </w:r>
          </w:p>
        </w:tc>
      </w:tr>
      <w:tr w:rsidR="00FF1B70" w14:paraId="428CB5F3" w14:textId="77777777">
        <w:tblPrEx>
          <w:tblCellMar>
            <w:top w:w="0" w:type="dxa"/>
            <w:bottom w:w="0" w:type="dxa"/>
          </w:tblCellMar>
        </w:tblPrEx>
        <w:tc>
          <w:tcPr>
            <w:tcW w:w="8931" w:type="dxa"/>
            <w:tcBorders>
              <w:top w:val="single" w:sz="4" w:space="0" w:color="000000"/>
              <w:bottom w:val="single" w:sz="4" w:space="0" w:color="000000"/>
            </w:tcBorders>
            <w:shd w:val="clear" w:color="auto" w:fill="auto"/>
            <w:tcMar>
              <w:top w:w="0" w:type="dxa"/>
              <w:left w:w="108" w:type="dxa"/>
              <w:bottom w:w="0" w:type="dxa"/>
              <w:right w:w="108" w:type="dxa"/>
            </w:tcMar>
          </w:tcPr>
          <w:p w14:paraId="328F67C5" w14:textId="77777777" w:rsidR="00FF1B70" w:rsidRDefault="00000000">
            <w:pPr>
              <w:spacing w:after="0"/>
              <w:ind w:left="-111"/>
              <w:jc w:val="center"/>
            </w:pPr>
            <w:r>
              <w:rPr>
                <w:rFonts w:ascii="Aptos Display" w:hAnsi="Aptos Display"/>
                <w:sz w:val="20"/>
                <w:lang w:val="en-US"/>
              </w:rPr>
              <w:t>Cameroon, Central African Republic, Republic of Congo, Gabon, Equatorial Guinea and Chad</w:t>
            </w:r>
          </w:p>
        </w:tc>
      </w:tr>
    </w:tbl>
    <w:p w14:paraId="2B2D0CC3" w14:textId="77777777" w:rsidR="00FF1B70" w:rsidRDefault="00FF1B70">
      <w:pPr>
        <w:spacing w:after="0"/>
      </w:pPr>
    </w:p>
    <w:p w14:paraId="7A4F5460" w14:textId="77777777" w:rsidR="00FF1B70" w:rsidRDefault="00000000">
      <w:pPr>
        <w:pStyle w:val="Heading2"/>
        <w:rPr>
          <w:b/>
          <w:color w:val="auto"/>
          <w:sz w:val="20"/>
        </w:rPr>
      </w:pPr>
      <w:r>
        <w:rPr>
          <w:b/>
          <w:color w:val="auto"/>
          <w:sz w:val="20"/>
        </w:rPr>
        <w:t>*/Appendix 2: Variables and data sources</w:t>
      </w:r>
    </w:p>
    <w:tbl>
      <w:tblPr>
        <w:tblW w:w="9072" w:type="dxa"/>
        <w:tblLayout w:type="fixed"/>
        <w:tblCellMar>
          <w:left w:w="10" w:type="dxa"/>
          <w:right w:w="10" w:type="dxa"/>
        </w:tblCellMar>
        <w:tblLook w:val="04A0" w:firstRow="1" w:lastRow="0" w:firstColumn="1" w:lastColumn="0" w:noHBand="0" w:noVBand="1"/>
      </w:tblPr>
      <w:tblGrid>
        <w:gridCol w:w="709"/>
        <w:gridCol w:w="7513"/>
        <w:gridCol w:w="850"/>
      </w:tblGrid>
      <w:tr w:rsidR="00FF1B70" w14:paraId="4534CC20" w14:textId="77777777">
        <w:tblPrEx>
          <w:tblCellMar>
            <w:top w:w="0" w:type="dxa"/>
            <w:bottom w:w="0" w:type="dxa"/>
          </w:tblCellMar>
        </w:tblPrEx>
        <w:tc>
          <w:tcPr>
            <w:tcW w:w="709" w:type="dxa"/>
            <w:tcBorders>
              <w:top w:val="single" w:sz="4" w:space="0" w:color="000000"/>
              <w:bottom w:val="single" w:sz="4" w:space="0" w:color="000000"/>
            </w:tcBorders>
            <w:shd w:val="clear" w:color="auto" w:fill="auto"/>
            <w:tcMar>
              <w:top w:w="0" w:type="dxa"/>
              <w:left w:w="108" w:type="dxa"/>
              <w:bottom w:w="0" w:type="dxa"/>
              <w:right w:w="108" w:type="dxa"/>
            </w:tcMar>
          </w:tcPr>
          <w:p w14:paraId="5064E847" w14:textId="77777777" w:rsidR="00FF1B70" w:rsidRDefault="00000000">
            <w:pPr>
              <w:spacing w:after="0"/>
              <w:ind w:left="-104" w:right="-114"/>
              <w:jc w:val="both"/>
            </w:pPr>
            <w:r>
              <w:rPr>
                <w:rFonts w:ascii="Aptos Display" w:eastAsia="Calibri" w:hAnsi="Aptos Display"/>
                <w:b/>
                <w:sz w:val="20"/>
                <w:szCs w:val="20"/>
              </w:rPr>
              <w:t>Variable</w:t>
            </w:r>
          </w:p>
        </w:tc>
        <w:tc>
          <w:tcPr>
            <w:tcW w:w="7513" w:type="dxa"/>
            <w:tcBorders>
              <w:top w:val="single" w:sz="4" w:space="0" w:color="000000"/>
              <w:bottom w:val="single" w:sz="4" w:space="0" w:color="000000"/>
            </w:tcBorders>
            <w:shd w:val="clear" w:color="auto" w:fill="auto"/>
            <w:tcMar>
              <w:top w:w="0" w:type="dxa"/>
              <w:left w:w="108" w:type="dxa"/>
              <w:bottom w:w="0" w:type="dxa"/>
              <w:right w:w="108" w:type="dxa"/>
            </w:tcMar>
          </w:tcPr>
          <w:p w14:paraId="4A2FB9F1" w14:textId="77777777" w:rsidR="00FF1B70" w:rsidRDefault="00000000">
            <w:pPr>
              <w:spacing w:after="0"/>
              <w:jc w:val="center"/>
            </w:pPr>
            <w:r>
              <w:rPr>
                <w:rFonts w:ascii="Aptos Display" w:eastAsia="Calibri" w:hAnsi="Aptos Display"/>
                <w:b/>
                <w:sz w:val="20"/>
                <w:szCs w:val="20"/>
              </w:rPr>
              <w:t>Description</w:t>
            </w:r>
          </w:p>
        </w:tc>
        <w:tc>
          <w:tcPr>
            <w:tcW w:w="850" w:type="dxa"/>
            <w:tcBorders>
              <w:top w:val="single" w:sz="4" w:space="0" w:color="000000"/>
              <w:bottom w:val="single" w:sz="4" w:space="0" w:color="000000"/>
            </w:tcBorders>
            <w:shd w:val="clear" w:color="auto" w:fill="auto"/>
            <w:tcMar>
              <w:top w:w="0" w:type="dxa"/>
              <w:left w:w="108" w:type="dxa"/>
              <w:bottom w:w="0" w:type="dxa"/>
              <w:right w:w="108" w:type="dxa"/>
            </w:tcMar>
          </w:tcPr>
          <w:p w14:paraId="23FD3DB3" w14:textId="77777777" w:rsidR="00FF1B70" w:rsidRDefault="00000000">
            <w:pPr>
              <w:spacing w:after="0"/>
              <w:jc w:val="both"/>
            </w:pPr>
            <w:r>
              <w:rPr>
                <w:rFonts w:ascii="Aptos Display" w:eastAsia="Calibri" w:hAnsi="Aptos Display"/>
                <w:b/>
                <w:sz w:val="20"/>
                <w:szCs w:val="20"/>
              </w:rPr>
              <w:t>Source</w:t>
            </w:r>
          </w:p>
        </w:tc>
      </w:tr>
      <w:tr w:rsidR="00FF1B70" w14:paraId="7F95DCF8" w14:textId="77777777">
        <w:tblPrEx>
          <w:tblCellMar>
            <w:top w:w="0" w:type="dxa"/>
            <w:bottom w:w="0" w:type="dxa"/>
          </w:tblCellMar>
        </w:tblPrEx>
        <w:tc>
          <w:tcPr>
            <w:tcW w:w="709" w:type="dxa"/>
            <w:tcBorders>
              <w:top w:val="single" w:sz="4" w:space="0" w:color="000000"/>
            </w:tcBorders>
            <w:shd w:val="clear" w:color="auto" w:fill="auto"/>
            <w:tcMar>
              <w:top w:w="0" w:type="dxa"/>
              <w:left w:w="108" w:type="dxa"/>
              <w:bottom w:w="0" w:type="dxa"/>
              <w:right w:w="108" w:type="dxa"/>
            </w:tcMar>
          </w:tcPr>
          <w:p w14:paraId="1587C823" w14:textId="77777777" w:rsidR="00FF1B70" w:rsidRDefault="00FF1B70">
            <w:pPr>
              <w:spacing w:after="0"/>
              <w:jc w:val="both"/>
              <w:rPr>
                <w:rFonts w:ascii="Aptos Display" w:eastAsia="Calibri" w:hAnsi="Aptos Display"/>
                <w:b/>
                <w:sz w:val="20"/>
                <w:szCs w:val="20"/>
              </w:rPr>
            </w:pPr>
          </w:p>
        </w:tc>
        <w:tc>
          <w:tcPr>
            <w:tcW w:w="7513" w:type="dxa"/>
            <w:tcBorders>
              <w:top w:val="single" w:sz="4" w:space="0" w:color="000000"/>
              <w:bottom w:val="single" w:sz="4" w:space="0" w:color="000000"/>
            </w:tcBorders>
            <w:shd w:val="clear" w:color="auto" w:fill="auto"/>
            <w:tcMar>
              <w:top w:w="0" w:type="dxa"/>
              <w:left w:w="108" w:type="dxa"/>
              <w:bottom w:w="0" w:type="dxa"/>
              <w:right w:w="108" w:type="dxa"/>
            </w:tcMar>
          </w:tcPr>
          <w:p w14:paraId="15159865" w14:textId="77777777" w:rsidR="00FF1B70" w:rsidRDefault="00000000">
            <w:pPr>
              <w:spacing w:after="0"/>
              <w:jc w:val="center"/>
              <w:rPr>
                <w:rFonts w:ascii="Aptos Display" w:eastAsia="Calibri" w:hAnsi="Aptos Display"/>
                <w:i/>
                <w:sz w:val="20"/>
                <w:szCs w:val="20"/>
              </w:rPr>
            </w:pPr>
            <w:r>
              <w:rPr>
                <w:rFonts w:ascii="Aptos Display" w:eastAsia="Calibri" w:hAnsi="Aptos Display"/>
                <w:i/>
                <w:sz w:val="20"/>
                <w:szCs w:val="20"/>
              </w:rPr>
              <w:t>Variables of interest</w:t>
            </w:r>
          </w:p>
        </w:tc>
        <w:tc>
          <w:tcPr>
            <w:tcW w:w="850" w:type="dxa"/>
            <w:tcBorders>
              <w:top w:val="single" w:sz="4" w:space="0" w:color="000000"/>
            </w:tcBorders>
            <w:shd w:val="clear" w:color="auto" w:fill="auto"/>
            <w:tcMar>
              <w:top w:w="0" w:type="dxa"/>
              <w:left w:w="108" w:type="dxa"/>
              <w:bottom w:w="0" w:type="dxa"/>
              <w:right w:w="108" w:type="dxa"/>
            </w:tcMar>
          </w:tcPr>
          <w:p w14:paraId="78841E93" w14:textId="77777777" w:rsidR="00FF1B70" w:rsidRDefault="00FF1B70">
            <w:pPr>
              <w:spacing w:after="0"/>
              <w:jc w:val="both"/>
              <w:rPr>
                <w:rFonts w:ascii="Aptos Display" w:eastAsia="Calibri" w:hAnsi="Aptos Display"/>
                <w:b/>
                <w:sz w:val="20"/>
                <w:szCs w:val="20"/>
              </w:rPr>
            </w:pPr>
          </w:p>
        </w:tc>
      </w:tr>
      <w:tr w:rsidR="00FF1B70" w14:paraId="61F28E40" w14:textId="77777777">
        <w:tblPrEx>
          <w:tblCellMar>
            <w:top w:w="0" w:type="dxa"/>
            <w:bottom w:w="0" w:type="dxa"/>
          </w:tblCellMar>
        </w:tblPrEx>
        <w:trPr>
          <w:trHeight w:val="412"/>
        </w:trPr>
        <w:tc>
          <w:tcPr>
            <w:tcW w:w="709" w:type="dxa"/>
            <w:shd w:val="clear" w:color="auto" w:fill="auto"/>
            <w:tcMar>
              <w:top w:w="0" w:type="dxa"/>
              <w:left w:w="108" w:type="dxa"/>
              <w:bottom w:w="0" w:type="dxa"/>
              <w:right w:w="108" w:type="dxa"/>
            </w:tcMar>
          </w:tcPr>
          <w:p w14:paraId="334B01C4" w14:textId="77777777" w:rsidR="00FF1B70" w:rsidRDefault="00000000">
            <w:pPr>
              <w:spacing w:after="0"/>
              <w:jc w:val="both"/>
            </w:pPr>
            <w:r>
              <w:rPr>
                <w:rFonts w:ascii="Aptos Display" w:eastAsia="Calibri" w:hAnsi="Aptos Display"/>
                <w:b/>
                <w:i/>
                <w:sz w:val="20"/>
                <w:szCs w:val="20"/>
              </w:rPr>
              <w:t>Mva</w:t>
            </w:r>
          </w:p>
        </w:tc>
        <w:tc>
          <w:tcPr>
            <w:tcW w:w="7513" w:type="dxa"/>
            <w:tcBorders>
              <w:top w:val="single" w:sz="4" w:space="0" w:color="000000"/>
            </w:tcBorders>
            <w:shd w:val="clear" w:color="auto" w:fill="auto"/>
            <w:tcMar>
              <w:top w:w="0" w:type="dxa"/>
              <w:left w:w="108" w:type="dxa"/>
              <w:bottom w:w="0" w:type="dxa"/>
              <w:right w:w="108" w:type="dxa"/>
            </w:tcMar>
          </w:tcPr>
          <w:p w14:paraId="5F8F96CA" w14:textId="77777777" w:rsidR="00FF1B70" w:rsidRDefault="00000000">
            <w:pPr>
              <w:spacing w:after="0"/>
              <w:jc w:val="both"/>
            </w:pPr>
            <w:r>
              <w:rPr>
                <w:rFonts w:ascii="Aptos Display" w:hAnsi="Aptos Display"/>
                <w:b/>
                <w:color w:val="000000"/>
                <w:sz w:val="20"/>
                <w:szCs w:val="20"/>
              </w:rPr>
              <w:t xml:space="preserve">Manufacturing, value added </w:t>
            </w:r>
            <w:r>
              <w:rPr>
                <w:rFonts w:ascii="Aptos Display" w:hAnsi="Aptos Display"/>
                <w:color w:val="000000"/>
                <w:sz w:val="20"/>
                <w:szCs w:val="20"/>
              </w:rPr>
              <w:t>(% of Gdp): The manufacturing sector includes industries belonging to divisions 15 to 37 of the ISIC classification. Value added corresponds to the net product of an industry after adding outputs and subtracting intermediate inputs. It is calculated without making deductions for the depreciation of manufactured assets or the loss of value and degradation of natural resources. The origin of value added is determined by the International Standard Industrial Classification (ISIC), version 3. Note: For countries whose gross domestic product is calculated in terms of value added, value added at factor cost is used as the denominator. This variable was used in the work of</w:t>
            </w:r>
            <w:r>
              <w:rPr>
                <w:rFonts w:ascii="Aptos Display" w:eastAsia="Times New Roman" w:hAnsi="Aptos Display"/>
                <w:color w:val="000000"/>
                <w:szCs w:val="24"/>
                <w:lang w:eastAsia="fr-FR"/>
              </w:rPr>
              <w:t>Mama and Ongono (2019)</w:t>
            </w:r>
            <w:r>
              <w:rPr>
                <w:rFonts w:ascii="Aptos Display" w:hAnsi="Aptos Display"/>
                <w:color w:val="000000"/>
                <w:sz w:val="20"/>
                <w:szCs w:val="20"/>
              </w:rPr>
              <w:t>. This is the dependent or endogenous variable.</w:t>
            </w:r>
          </w:p>
        </w:tc>
        <w:tc>
          <w:tcPr>
            <w:tcW w:w="850" w:type="dxa"/>
            <w:shd w:val="clear" w:color="auto" w:fill="auto"/>
            <w:tcMar>
              <w:top w:w="0" w:type="dxa"/>
              <w:left w:w="108" w:type="dxa"/>
              <w:bottom w:w="0" w:type="dxa"/>
              <w:right w:w="108" w:type="dxa"/>
            </w:tcMar>
          </w:tcPr>
          <w:p w14:paraId="2298B460" w14:textId="77777777" w:rsidR="00FF1B70" w:rsidRDefault="00FF1B70">
            <w:pPr>
              <w:spacing w:after="0"/>
              <w:jc w:val="center"/>
              <w:rPr>
                <w:rFonts w:ascii="Aptos Display" w:eastAsia="Calibri" w:hAnsi="Aptos Display"/>
                <w:sz w:val="20"/>
                <w:szCs w:val="20"/>
              </w:rPr>
            </w:pPr>
          </w:p>
          <w:p w14:paraId="574C9D6B" w14:textId="77777777" w:rsidR="00FF1B70" w:rsidRDefault="00FF1B70">
            <w:pPr>
              <w:spacing w:after="0"/>
              <w:jc w:val="center"/>
              <w:rPr>
                <w:rFonts w:ascii="Aptos Display" w:eastAsia="Calibri" w:hAnsi="Aptos Display"/>
                <w:sz w:val="20"/>
                <w:szCs w:val="20"/>
              </w:rPr>
            </w:pPr>
          </w:p>
          <w:p w14:paraId="313FE3D8"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WDI</w:t>
            </w:r>
          </w:p>
          <w:p w14:paraId="7B14A45D"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68767E7E" w14:textId="77777777">
        <w:tblPrEx>
          <w:tblCellMar>
            <w:top w:w="0" w:type="dxa"/>
            <w:bottom w:w="0" w:type="dxa"/>
          </w:tblCellMar>
        </w:tblPrEx>
        <w:trPr>
          <w:trHeight w:val="690"/>
        </w:trPr>
        <w:tc>
          <w:tcPr>
            <w:tcW w:w="709" w:type="dxa"/>
            <w:shd w:val="clear" w:color="auto" w:fill="auto"/>
            <w:tcMar>
              <w:top w:w="0" w:type="dxa"/>
              <w:left w:w="108" w:type="dxa"/>
              <w:bottom w:w="0" w:type="dxa"/>
              <w:right w:w="108" w:type="dxa"/>
            </w:tcMar>
          </w:tcPr>
          <w:p w14:paraId="314820DE" w14:textId="77777777" w:rsidR="00FF1B70" w:rsidRDefault="00000000">
            <w:pPr>
              <w:spacing w:after="0"/>
              <w:jc w:val="both"/>
              <w:rPr>
                <w:rFonts w:ascii="Aptos Display" w:eastAsia="Calibri" w:hAnsi="Aptos Display"/>
                <w:b/>
                <w:i/>
                <w:sz w:val="20"/>
                <w:szCs w:val="20"/>
              </w:rPr>
            </w:pPr>
            <w:r>
              <w:rPr>
                <w:rFonts w:ascii="Aptos Display" w:eastAsia="Calibri" w:hAnsi="Aptos Display"/>
                <w:b/>
                <w:i/>
                <w:sz w:val="20"/>
                <w:szCs w:val="20"/>
              </w:rPr>
              <w:t>LRN</w:t>
            </w:r>
          </w:p>
        </w:tc>
        <w:tc>
          <w:tcPr>
            <w:tcW w:w="7513" w:type="dxa"/>
            <w:shd w:val="clear" w:color="auto" w:fill="auto"/>
            <w:tcMar>
              <w:top w:w="0" w:type="dxa"/>
              <w:left w:w="108" w:type="dxa"/>
              <w:bottom w:w="0" w:type="dxa"/>
              <w:right w:w="108" w:type="dxa"/>
            </w:tcMar>
          </w:tcPr>
          <w:p w14:paraId="3721A28A" w14:textId="77777777" w:rsidR="00FF1B70" w:rsidRDefault="00000000">
            <w:pPr>
              <w:spacing w:after="0"/>
              <w:ind w:right="-69"/>
              <w:jc w:val="both"/>
            </w:pPr>
            <w:r>
              <w:rPr>
                <w:rFonts w:ascii="Aptos Display" w:hAnsi="Aptos Display"/>
                <w:color w:val="000000"/>
                <w:sz w:val="20"/>
                <w:szCs w:val="20"/>
              </w:rPr>
              <w:t xml:space="preserve">The logarithm of the </w:t>
            </w:r>
            <w:r>
              <w:rPr>
                <w:rFonts w:ascii="Aptos Display" w:hAnsi="Aptos Display"/>
                <w:b/>
                <w:color w:val="000000"/>
                <w:sz w:val="20"/>
                <w:szCs w:val="20"/>
              </w:rPr>
              <w:t>Total Natural resources</w:t>
            </w:r>
            <w:r>
              <w:rPr>
                <w:rFonts w:ascii="Aptos Display" w:hAnsi="Aptos Display"/>
                <w:color w:val="000000"/>
                <w:sz w:val="20"/>
                <w:szCs w:val="20"/>
              </w:rPr>
              <w:t xml:space="preserve"> is the sum of oil rents, natural gas rents, coal rents (hard and soft), mineral rents, and forest rents, expressed as a percentage of GDP.</w:t>
            </w:r>
            <w:r>
              <w:rPr>
                <w:rFonts w:ascii="Aptos Display" w:hAnsi="Aptos Display"/>
                <w:sz w:val="20"/>
                <w:szCs w:val="20"/>
              </w:rPr>
              <w:t>Natural resource rents are profits derived from natural resources. These</w:t>
            </w:r>
            <w:r>
              <w:rPr>
                <w:rFonts w:ascii="Aptos Display" w:eastAsia="Times New Roman" w:hAnsi="Aptos Display"/>
                <w:color w:val="000000"/>
                <w:sz w:val="20"/>
                <w:szCs w:val="20"/>
                <w:lang w:eastAsia="fr-FR"/>
              </w:rPr>
              <w:t>correspond to the sum of profits from oil, natural gas, coal (anthracite and hard coal), minerals and forests</w:t>
            </w:r>
            <w:r>
              <w:rPr>
                <w:rFonts w:ascii="Aptos Display" w:hAnsi="Aptos Display"/>
                <w:sz w:val="20"/>
                <w:szCs w:val="20"/>
              </w:rPr>
              <w:t>.</w:t>
            </w:r>
            <w:r>
              <w:rPr>
                <w:rFonts w:ascii="Aptos Display" w:eastAsia="Times New Roman" w:hAnsi="Aptos Display"/>
                <w:color w:val="000000"/>
                <w:sz w:val="20"/>
                <w:szCs w:val="20"/>
                <w:lang w:eastAsia="fr-FR"/>
              </w:rPr>
              <w:t xml:space="preserve"> This variable was used in the work of </w:t>
            </w:r>
            <w:r>
              <w:rPr>
                <w:rFonts w:ascii="Aptos Display" w:hAnsi="Aptos Display"/>
                <w:sz w:val="20"/>
              </w:rPr>
              <w:t xml:space="preserve">Gylfason and Zoega (2006). </w:t>
            </w:r>
            <w:r>
              <w:rPr>
                <w:rFonts w:ascii="Aptos Display" w:hAnsi="Aptos Display"/>
                <w:sz w:val="20"/>
                <w:szCs w:val="20"/>
              </w:rPr>
              <w:t>This is the main exogenous variable.</w:t>
            </w:r>
            <w:r>
              <w:rPr>
                <w:rFonts w:ascii="Aptos Display" w:eastAsia="Calibri" w:hAnsi="Aptos Display"/>
                <w:sz w:val="20"/>
                <w:szCs w:val="20"/>
              </w:rPr>
              <w:t xml:space="preserve"> </w:t>
            </w:r>
          </w:p>
        </w:tc>
        <w:tc>
          <w:tcPr>
            <w:tcW w:w="850" w:type="dxa"/>
            <w:shd w:val="clear" w:color="auto" w:fill="auto"/>
            <w:tcMar>
              <w:top w:w="0" w:type="dxa"/>
              <w:left w:w="108" w:type="dxa"/>
              <w:bottom w:w="0" w:type="dxa"/>
              <w:right w:w="108" w:type="dxa"/>
            </w:tcMar>
          </w:tcPr>
          <w:p w14:paraId="20656353" w14:textId="77777777" w:rsidR="00FF1B70" w:rsidRDefault="00FF1B70">
            <w:pPr>
              <w:spacing w:after="0"/>
              <w:jc w:val="center"/>
              <w:rPr>
                <w:rFonts w:ascii="Aptos Display" w:eastAsia="Calibri" w:hAnsi="Aptos Display"/>
                <w:sz w:val="20"/>
                <w:szCs w:val="20"/>
              </w:rPr>
            </w:pPr>
          </w:p>
          <w:p w14:paraId="6CA01CCC" w14:textId="77777777" w:rsidR="00FF1B70" w:rsidRDefault="00FF1B70">
            <w:pPr>
              <w:spacing w:after="0"/>
              <w:jc w:val="center"/>
              <w:rPr>
                <w:rFonts w:ascii="Aptos Display" w:eastAsia="Calibri" w:hAnsi="Aptos Display"/>
                <w:sz w:val="20"/>
                <w:szCs w:val="20"/>
              </w:rPr>
            </w:pPr>
          </w:p>
          <w:p w14:paraId="557DC069"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WDI</w:t>
            </w:r>
          </w:p>
          <w:p w14:paraId="544B5130" w14:textId="77777777" w:rsidR="00FF1B70" w:rsidRDefault="00000000">
            <w:pPr>
              <w:spacing w:after="0"/>
              <w:jc w:val="center"/>
            </w:pPr>
            <w:r>
              <w:rPr>
                <w:rFonts w:ascii="Aptos Display" w:eastAsia="Calibri" w:hAnsi="Aptos Display"/>
                <w:sz w:val="20"/>
                <w:szCs w:val="20"/>
              </w:rPr>
              <w:t>(2024)</w:t>
            </w:r>
          </w:p>
        </w:tc>
      </w:tr>
      <w:tr w:rsidR="00FF1B70" w14:paraId="6433318A" w14:textId="77777777">
        <w:tblPrEx>
          <w:tblCellMar>
            <w:top w:w="0" w:type="dxa"/>
            <w:bottom w:w="0" w:type="dxa"/>
          </w:tblCellMar>
        </w:tblPrEx>
        <w:trPr>
          <w:trHeight w:val="690"/>
        </w:trPr>
        <w:tc>
          <w:tcPr>
            <w:tcW w:w="709" w:type="dxa"/>
            <w:shd w:val="clear" w:color="auto" w:fill="auto"/>
            <w:tcMar>
              <w:top w:w="0" w:type="dxa"/>
              <w:left w:w="108" w:type="dxa"/>
              <w:bottom w:w="0" w:type="dxa"/>
              <w:right w:w="108" w:type="dxa"/>
            </w:tcMar>
          </w:tcPr>
          <w:p w14:paraId="24DFA2BC" w14:textId="77777777" w:rsidR="00FF1B70" w:rsidRDefault="00000000">
            <w:pPr>
              <w:spacing w:after="0"/>
              <w:rPr>
                <w:rFonts w:ascii="Aptos Display" w:eastAsia="Calibri" w:hAnsi="Aptos Display"/>
                <w:b/>
                <w:i/>
                <w:sz w:val="20"/>
                <w:szCs w:val="20"/>
              </w:rPr>
            </w:pPr>
            <w:r>
              <w:rPr>
                <w:rFonts w:ascii="Aptos Display" w:eastAsia="Calibri" w:hAnsi="Aptos Display"/>
                <w:b/>
                <w:i/>
                <w:sz w:val="20"/>
                <w:szCs w:val="20"/>
              </w:rPr>
              <w:t>Gnce</w:t>
            </w:r>
          </w:p>
          <w:p w14:paraId="3272BC8C" w14:textId="77777777" w:rsidR="00FF1B70" w:rsidRDefault="00FF1B70">
            <w:pPr>
              <w:spacing w:after="0"/>
              <w:jc w:val="center"/>
              <w:rPr>
                <w:rFonts w:ascii="Aptos Display" w:eastAsia="Calibri" w:hAnsi="Aptos Display"/>
                <w:b/>
                <w:i/>
                <w:sz w:val="20"/>
                <w:szCs w:val="20"/>
              </w:rPr>
            </w:pPr>
          </w:p>
          <w:p w14:paraId="76B80DD0" w14:textId="77777777" w:rsidR="00FF1B70" w:rsidRDefault="00FF1B70">
            <w:pPr>
              <w:spacing w:after="0"/>
              <w:jc w:val="center"/>
              <w:rPr>
                <w:rFonts w:ascii="Aptos Display" w:eastAsia="Calibri" w:hAnsi="Aptos Display"/>
                <w:b/>
                <w:i/>
                <w:sz w:val="20"/>
                <w:szCs w:val="20"/>
              </w:rPr>
            </w:pPr>
          </w:p>
          <w:p w14:paraId="0DF6E54B" w14:textId="77777777" w:rsidR="00FF1B70" w:rsidRDefault="00FF1B70">
            <w:pPr>
              <w:spacing w:after="0"/>
              <w:jc w:val="center"/>
              <w:rPr>
                <w:rFonts w:ascii="Aptos Display" w:eastAsia="Calibri" w:hAnsi="Aptos Display"/>
                <w:b/>
                <w:i/>
                <w:sz w:val="20"/>
                <w:szCs w:val="20"/>
              </w:rPr>
            </w:pPr>
          </w:p>
        </w:tc>
        <w:tc>
          <w:tcPr>
            <w:tcW w:w="7513" w:type="dxa"/>
            <w:shd w:val="clear" w:color="auto" w:fill="auto"/>
            <w:tcMar>
              <w:top w:w="0" w:type="dxa"/>
              <w:left w:w="108" w:type="dxa"/>
              <w:bottom w:w="0" w:type="dxa"/>
              <w:right w:w="108" w:type="dxa"/>
            </w:tcMar>
          </w:tcPr>
          <w:p w14:paraId="53C7241E" w14:textId="77777777" w:rsidR="00FF1B70" w:rsidRDefault="00000000">
            <w:pPr>
              <w:pStyle w:val="BodyText"/>
              <w:spacing w:after="0"/>
              <w:jc w:val="both"/>
            </w:pPr>
            <w:r>
              <w:rPr>
                <w:rFonts w:ascii="Aptos Display" w:hAnsi="Aptos Display"/>
                <w:b/>
                <w:sz w:val="20"/>
                <w:szCs w:val="20"/>
              </w:rPr>
              <w:t>Governance Quality</w:t>
            </w:r>
            <w:r>
              <w:rPr>
                <w:rFonts w:ascii="Aptos Display" w:hAnsi="Aptos Display"/>
                <w:sz w:val="20"/>
                <w:szCs w:val="20"/>
              </w:rPr>
              <w:t xml:space="preserve"> is the aggregate variable of governance obtained by Principal Component Analysis (PCA), a multivariate technique that allows inter-correlated variables to be combined into a single variable. It was carried out using six (6) other indicators taken from the WGI database, 2024 (Voice and accountability, political stability, government effectiveness, rule of law, regulatory quality and control of corruption) using Stata 17 software. This composite indicator of the quality of governance was used in the work of Arif and Rawat (2018), and Ndouniama et al (2021). According to Kaufman (2005) the measurement of this indicator is between -2.5 and +2.5 depending on whether it indicates good governance (0 to 2.5) or bad governance (-2.5 to 0)</w:t>
            </w:r>
          </w:p>
        </w:tc>
        <w:tc>
          <w:tcPr>
            <w:tcW w:w="850" w:type="dxa"/>
            <w:shd w:val="clear" w:color="auto" w:fill="auto"/>
            <w:tcMar>
              <w:top w:w="0" w:type="dxa"/>
              <w:left w:w="108" w:type="dxa"/>
              <w:bottom w:w="0" w:type="dxa"/>
              <w:right w:w="108" w:type="dxa"/>
            </w:tcMar>
          </w:tcPr>
          <w:p w14:paraId="19C183BE" w14:textId="77777777" w:rsidR="00FF1B70" w:rsidRDefault="00FF1B70">
            <w:pPr>
              <w:spacing w:after="0"/>
              <w:rPr>
                <w:rFonts w:ascii="Aptos Display" w:eastAsia="Calibri" w:hAnsi="Aptos Display"/>
                <w:sz w:val="20"/>
                <w:szCs w:val="20"/>
              </w:rPr>
            </w:pPr>
          </w:p>
          <w:p w14:paraId="2FE7D8A1"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PCA</w:t>
            </w:r>
          </w:p>
          <w:p w14:paraId="6C6E72B3" w14:textId="77777777" w:rsidR="00FF1B70" w:rsidRDefault="00FF1B70">
            <w:pPr>
              <w:spacing w:after="0"/>
              <w:jc w:val="center"/>
              <w:rPr>
                <w:rFonts w:ascii="Aptos Display" w:eastAsia="Calibri" w:hAnsi="Aptos Display"/>
                <w:sz w:val="20"/>
                <w:szCs w:val="20"/>
              </w:rPr>
            </w:pPr>
          </w:p>
        </w:tc>
      </w:tr>
      <w:tr w:rsidR="00FF1B70" w14:paraId="7963881F" w14:textId="77777777">
        <w:tblPrEx>
          <w:tblCellMar>
            <w:top w:w="0" w:type="dxa"/>
            <w:bottom w:w="0" w:type="dxa"/>
          </w:tblCellMar>
        </w:tblPrEx>
        <w:tc>
          <w:tcPr>
            <w:tcW w:w="9072" w:type="dxa"/>
            <w:gridSpan w:val="3"/>
            <w:tcBorders>
              <w:top w:val="single" w:sz="4" w:space="0" w:color="000000"/>
            </w:tcBorders>
            <w:shd w:val="clear" w:color="auto" w:fill="auto"/>
            <w:tcMar>
              <w:top w:w="0" w:type="dxa"/>
              <w:left w:w="108" w:type="dxa"/>
              <w:bottom w:w="0" w:type="dxa"/>
              <w:right w:w="108" w:type="dxa"/>
            </w:tcMar>
          </w:tcPr>
          <w:p w14:paraId="1B00665C" w14:textId="77777777" w:rsidR="00FF1B70" w:rsidRDefault="00000000">
            <w:pPr>
              <w:spacing w:after="0"/>
              <w:jc w:val="center"/>
            </w:pPr>
            <w:r>
              <w:rPr>
                <w:rFonts w:ascii="Aptos Display" w:hAnsi="Aptos Display"/>
                <w:i/>
                <w:sz w:val="20"/>
                <w:szCs w:val="20"/>
              </w:rPr>
              <w:t>Control variables</w:t>
            </w:r>
          </w:p>
        </w:tc>
      </w:tr>
      <w:tr w:rsidR="00FF1B70" w14:paraId="21A3827E" w14:textId="77777777">
        <w:tblPrEx>
          <w:tblCellMar>
            <w:top w:w="0" w:type="dxa"/>
            <w:bottom w:w="0" w:type="dxa"/>
          </w:tblCellMar>
        </w:tblPrEx>
        <w:tc>
          <w:tcPr>
            <w:tcW w:w="709" w:type="dxa"/>
            <w:shd w:val="clear" w:color="auto" w:fill="auto"/>
            <w:tcMar>
              <w:top w:w="0" w:type="dxa"/>
              <w:left w:w="108" w:type="dxa"/>
              <w:bottom w:w="0" w:type="dxa"/>
              <w:right w:w="108" w:type="dxa"/>
            </w:tcMar>
          </w:tcPr>
          <w:p w14:paraId="7A6A1002" w14:textId="77777777" w:rsidR="00FF1B70" w:rsidRDefault="00000000">
            <w:pPr>
              <w:spacing w:after="0"/>
              <w:ind w:left="-104" w:right="-110"/>
              <w:jc w:val="center"/>
              <w:rPr>
                <w:rFonts w:ascii="Aptos Display" w:eastAsia="Calibri" w:hAnsi="Aptos Display"/>
                <w:b/>
                <w:i/>
                <w:sz w:val="20"/>
                <w:szCs w:val="20"/>
              </w:rPr>
            </w:pPr>
            <w:r>
              <w:rPr>
                <w:rFonts w:ascii="Aptos Display" w:eastAsia="Calibri" w:hAnsi="Aptos Display"/>
                <w:b/>
                <w:i/>
                <w:sz w:val="20"/>
                <w:szCs w:val="20"/>
              </w:rPr>
              <w:t>Gdppc</w:t>
            </w:r>
          </w:p>
        </w:tc>
        <w:tc>
          <w:tcPr>
            <w:tcW w:w="7513" w:type="dxa"/>
            <w:shd w:val="clear" w:color="auto" w:fill="auto"/>
            <w:tcMar>
              <w:top w:w="0" w:type="dxa"/>
              <w:left w:w="108" w:type="dxa"/>
              <w:bottom w:w="0" w:type="dxa"/>
              <w:right w:w="108" w:type="dxa"/>
            </w:tcMar>
          </w:tcPr>
          <w:p w14:paraId="51F51B94" w14:textId="77777777" w:rsidR="00FF1B70" w:rsidRDefault="00000000">
            <w:pPr>
              <w:spacing w:after="0"/>
              <w:ind w:left="-43" w:right="26"/>
              <w:jc w:val="both"/>
            </w:pPr>
            <w:r>
              <w:rPr>
                <w:rFonts w:ascii="Aptos Display" w:hAnsi="Aptos Display"/>
                <w:b/>
                <w:sz w:val="20"/>
                <w:szCs w:val="20"/>
              </w:rPr>
              <w:t xml:space="preserve">Gross domestic product per capita. </w:t>
            </w:r>
            <w:r>
              <w:rPr>
                <w:rFonts w:ascii="Aptos Display" w:hAnsi="Aptos Display"/>
                <w:sz w:val="20"/>
                <w:szCs w:val="20"/>
              </w:rPr>
              <w:t>It measures the income earned on that production. The GDP per capita (constant US$ of 2015) of a country is calculated by dividing the country's GDP by its total population. This variable is used in the studies of Hernandez and Madeira (2022). The expected sign is positive.</w:t>
            </w:r>
          </w:p>
        </w:tc>
        <w:tc>
          <w:tcPr>
            <w:tcW w:w="850" w:type="dxa"/>
            <w:shd w:val="clear" w:color="auto" w:fill="auto"/>
            <w:tcMar>
              <w:top w:w="0" w:type="dxa"/>
              <w:left w:w="108" w:type="dxa"/>
              <w:bottom w:w="0" w:type="dxa"/>
              <w:right w:w="108" w:type="dxa"/>
            </w:tcMar>
          </w:tcPr>
          <w:p w14:paraId="432FEA89"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WDI</w:t>
            </w:r>
          </w:p>
          <w:p w14:paraId="20456795"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3D9D4A47" w14:textId="77777777">
        <w:tblPrEx>
          <w:tblCellMar>
            <w:top w:w="0" w:type="dxa"/>
            <w:bottom w:w="0" w:type="dxa"/>
          </w:tblCellMar>
        </w:tblPrEx>
        <w:tc>
          <w:tcPr>
            <w:tcW w:w="709" w:type="dxa"/>
            <w:shd w:val="clear" w:color="auto" w:fill="auto"/>
            <w:tcMar>
              <w:top w:w="0" w:type="dxa"/>
              <w:left w:w="108" w:type="dxa"/>
              <w:bottom w:w="0" w:type="dxa"/>
              <w:right w:w="108" w:type="dxa"/>
            </w:tcMar>
          </w:tcPr>
          <w:p w14:paraId="18D1DA91" w14:textId="77777777" w:rsidR="00FF1B70" w:rsidRDefault="00000000">
            <w:pPr>
              <w:spacing w:after="0"/>
              <w:rPr>
                <w:rFonts w:ascii="Aptos Display" w:eastAsia="Calibri" w:hAnsi="Aptos Display"/>
                <w:b/>
                <w:i/>
                <w:sz w:val="20"/>
                <w:szCs w:val="20"/>
              </w:rPr>
            </w:pPr>
            <w:r>
              <w:rPr>
                <w:rFonts w:ascii="Aptos Display" w:eastAsia="Calibri" w:hAnsi="Aptos Display"/>
                <w:b/>
                <w:i/>
                <w:sz w:val="20"/>
                <w:szCs w:val="20"/>
              </w:rPr>
              <w:t>Pop</w:t>
            </w:r>
          </w:p>
        </w:tc>
        <w:tc>
          <w:tcPr>
            <w:tcW w:w="7513" w:type="dxa"/>
            <w:shd w:val="clear" w:color="auto" w:fill="auto"/>
            <w:tcMar>
              <w:top w:w="0" w:type="dxa"/>
              <w:left w:w="108" w:type="dxa"/>
              <w:bottom w:w="0" w:type="dxa"/>
              <w:right w:w="108" w:type="dxa"/>
            </w:tcMar>
          </w:tcPr>
          <w:p w14:paraId="45BAA865" w14:textId="77777777" w:rsidR="00FF1B70" w:rsidRDefault="00000000">
            <w:pPr>
              <w:spacing w:after="0"/>
              <w:ind w:right="26"/>
              <w:jc w:val="both"/>
            </w:pPr>
            <w:r>
              <w:rPr>
                <w:rFonts w:ascii="Aptos Display" w:hAnsi="Aptos Display"/>
                <w:b/>
                <w:sz w:val="20"/>
                <w:szCs w:val="20"/>
              </w:rPr>
              <w:t>The annual population growth rate</w:t>
            </w:r>
            <w:r>
              <w:rPr>
                <w:rFonts w:ascii="Aptos Display" w:hAnsi="Aptos Display"/>
                <w:sz w:val="20"/>
                <w:szCs w:val="20"/>
              </w:rPr>
              <w:t xml:space="preserve">is the exponential growth rate of the population in the middle of year t-1 to t, expressed as a percentage. The population is based on the facto definition of population, which includes all residents regardless of their legal status or citizenship. </w:t>
            </w:r>
            <w:r>
              <w:rPr>
                <w:rFonts w:ascii="Aptos Display" w:hAnsi="Aptos Display"/>
                <w:color w:val="000000"/>
                <w:sz w:val="20"/>
                <w:szCs w:val="20"/>
              </w:rPr>
              <w:t>The expected sign is positive.</w:t>
            </w:r>
          </w:p>
        </w:tc>
        <w:tc>
          <w:tcPr>
            <w:tcW w:w="850" w:type="dxa"/>
            <w:shd w:val="clear" w:color="auto" w:fill="auto"/>
            <w:tcMar>
              <w:top w:w="0" w:type="dxa"/>
              <w:left w:w="108" w:type="dxa"/>
              <w:bottom w:w="0" w:type="dxa"/>
              <w:right w:w="108" w:type="dxa"/>
            </w:tcMar>
          </w:tcPr>
          <w:p w14:paraId="24DAFB9E" w14:textId="77777777" w:rsidR="00FF1B70" w:rsidRDefault="00FF1B70">
            <w:pPr>
              <w:spacing w:after="0"/>
              <w:jc w:val="center"/>
              <w:rPr>
                <w:rFonts w:ascii="Aptos Display" w:eastAsia="Calibri" w:hAnsi="Aptos Display"/>
                <w:sz w:val="20"/>
                <w:szCs w:val="20"/>
              </w:rPr>
            </w:pPr>
          </w:p>
          <w:p w14:paraId="7FF39677"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WDI</w:t>
            </w:r>
          </w:p>
          <w:p w14:paraId="3EE04AAB"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308111D4" w14:textId="77777777">
        <w:tblPrEx>
          <w:tblCellMar>
            <w:top w:w="0" w:type="dxa"/>
            <w:bottom w:w="0" w:type="dxa"/>
          </w:tblCellMar>
        </w:tblPrEx>
        <w:tc>
          <w:tcPr>
            <w:tcW w:w="709" w:type="dxa"/>
            <w:tcBorders>
              <w:bottom w:val="single" w:sz="4" w:space="0" w:color="000000"/>
            </w:tcBorders>
            <w:shd w:val="clear" w:color="auto" w:fill="auto"/>
            <w:tcMar>
              <w:top w:w="0" w:type="dxa"/>
              <w:left w:w="108" w:type="dxa"/>
              <w:bottom w:w="0" w:type="dxa"/>
              <w:right w:w="108" w:type="dxa"/>
            </w:tcMar>
          </w:tcPr>
          <w:p w14:paraId="56375C8F" w14:textId="77777777" w:rsidR="00FF1B70" w:rsidRDefault="00000000">
            <w:pPr>
              <w:spacing w:after="0"/>
              <w:rPr>
                <w:rFonts w:ascii="Aptos Display" w:eastAsia="Calibri" w:hAnsi="Aptos Display"/>
                <w:b/>
                <w:i/>
                <w:sz w:val="20"/>
                <w:szCs w:val="20"/>
              </w:rPr>
            </w:pPr>
            <w:r>
              <w:rPr>
                <w:rFonts w:ascii="Aptos Display" w:eastAsia="Calibri" w:hAnsi="Aptos Display"/>
                <w:b/>
                <w:i/>
                <w:sz w:val="20"/>
                <w:szCs w:val="20"/>
              </w:rPr>
              <w:t>Gfcf</w:t>
            </w:r>
          </w:p>
        </w:tc>
        <w:tc>
          <w:tcPr>
            <w:tcW w:w="7513" w:type="dxa"/>
            <w:tcBorders>
              <w:bottom w:val="single" w:sz="4" w:space="0" w:color="000000"/>
            </w:tcBorders>
            <w:shd w:val="clear" w:color="auto" w:fill="auto"/>
            <w:tcMar>
              <w:top w:w="0" w:type="dxa"/>
              <w:left w:w="108" w:type="dxa"/>
              <w:bottom w:w="0" w:type="dxa"/>
              <w:right w:w="108" w:type="dxa"/>
            </w:tcMar>
          </w:tcPr>
          <w:p w14:paraId="24E6C0D4" w14:textId="77777777" w:rsidR="00FF1B70" w:rsidRDefault="00000000">
            <w:pPr>
              <w:spacing w:after="0"/>
              <w:jc w:val="both"/>
            </w:pPr>
            <w:r>
              <w:rPr>
                <w:rFonts w:ascii="Aptos Display" w:hAnsi="Aptos Display"/>
                <w:b/>
                <w:color w:val="000000"/>
                <w:sz w:val="20"/>
                <w:szCs w:val="20"/>
              </w:rPr>
              <w:t xml:space="preserve">Gross fixed capital formation </w:t>
            </w:r>
            <w:r>
              <w:rPr>
                <w:rFonts w:ascii="Aptos Display" w:hAnsi="Aptos Display"/>
                <w:color w:val="000000"/>
                <w:sz w:val="20"/>
                <w:szCs w:val="20"/>
              </w:rPr>
              <w:t>(% GDP) represents investment in physical capital, particularly in transport infrastructure and electrical energy. Transport infrastructure and energy availability promote the development of high-productivity activities. It is measured by gross fixed capital formation (GFCF) and was used in the work of Barios et al. (2005). The expected sign is positive.</w:t>
            </w:r>
          </w:p>
        </w:tc>
        <w:tc>
          <w:tcPr>
            <w:tcW w:w="850" w:type="dxa"/>
            <w:tcBorders>
              <w:bottom w:val="single" w:sz="4" w:space="0" w:color="000000"/>
            </w:tcBorders>
            <w:shd w:val="clear" w:color="auto" w:fill="auto"/>
            <w:tcMar>
              <w:top w:w="0" w:type="dxa"/>
              <w:left w:w="108" w:type="dxa"/>
              <w:bottom w:w="0" w:type="dxa"/>
              <w:right w:w="108" w:type="dxa"/>
            </w:tcMar>
          </w:tcPr>
          <w:p w14:paraId="4380478D"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WDI</w:t>
            </w:r>
          </w:p>
          <w:p w14:paraId="2B45D174"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25C638BC" w14:textId="77777777">
        <w:tblPrEx>
          <w:tblCellMar>
            <w:top w:w="0" w:type="dxa"/>
            <w:bottom w:w="0" w:type="dxa"/>
          </w:tblCellMar>
        </w:tblPrEx>
        <w:tc>
          <w:tcPr>
            <w:tcW w:w="9072" w:type="dxa"/>
            <w:gridSpan w:val="3"/>
            <w:shd w:val="clear" w:color="auto" w:fill="auto"/>
            <w:tcMar>
              <w:top w:w="0" w:type="dxa"/>
              <w:left w:w="108" w:type="dxa"/>
              <w:bottom w:w="0" w:type="dxa"/>
              <w:right w:w="108" w:type="dxa"/>
            </w:tcMar>
          </w:tcPr>
          <w:p w14:paraId="6295BED1" w14:textId="77777777" w:rsidR="00FF1B70" w:rsidRDefault="00000000">
            <w:pPr>
              <w:spacing w:after="0"/>
            </w:pPr>
            <w:r>
              <w:rPr>
                <w:rFonts w:ascii="Aptos Display" w:eastAsia="Calibri" w:hAnsi="Aptos Display"/>
                <w:i/>
                <w:sz w:val="16"/>
                <w:szCs w:val="20"/>
              </w:rPr>
              <w:t>Continued</w:t>
            </w:r>
          </w:p>
        </w:tc>
      </w:tr>
      <w:tr w:rsidR="00FF1B70" w14:paraId="18170908" w14:textId="77777777">
        <w:tblPrEx>
          <w:tblCellMar>
            <w:top w:w="0" w:type="dxa"/>
            <w:bottom w:w="0" w:type="dxa"/>
          </w:tblCellMar>
        </w:tblPrEx>
        <w:tc>
          <w:tcPr>
            <w:tcW w:w="709" w:type="dxa"/>
            <w:shd w:val="clear" w:color="auto" w:fill="auto"/>
            <w:tcMar>
              <w:top w:w="0" w:type="dxa"/>
              <w:left w:w="108" w:type="dxa"/>
              <w:bottom w:w="0" w:type="dxa"/>
              <w:right w:w="108" w:type="dxa"/>
            </w:tcMar>
          </w:tcPr>
          <w:p w14:paraId="407B51D9" w14:textId="77777777" w:rsidR="00FF1B70" w:rsidRDefault="00000000">
            <w:pPr>
              <w:spacing w:after="0"/>
              <w:rPr>
                <w:rFonts w:ascii="Aptos Display" w:eastAsia="Calibri" w:hAnsi="Aptos Display"/>
                <w:b/>
                <w:i/>
                <w:sz w:val="20"/>
                <w:szCs w:val="20"/>
              </w:rPr>
            </w:pPr>
            <w:r>
              <w:rPr>
                <w:rFonts w:ascii="Aptos Display" w:eastAsia="Calibri" w:hAnsi="Aptos Display"/>
                <w:b/>
                <w:i/>
                <w:sz w:val="20"/>
                <w:szCs w:val="20"/>
              </w:rPr>
              <w:t>Urbz</w:t>
            </w:r>
          </w:p>
        </w:tc>
        <w:tc>
          <w:tcPr>
            <w:tcW w:w="7513" w:type="dxa"/>
            <w:shd w:val="clear" w:color="auto" w:fill="auto"/>
            <w:tcMar>
              <w:top w:w="0" w:type="dxa"/>
              <w:left w:w="108" w:type="dxa"/>
              <w:bottom w:w="0" w:type="dxa"/>
              <w:right w:w="108" w:type="dxa"/>
            </w:tcMar>
          </w:tcPr>
          <w:p w14:paraId="55FFCB98" w14:textId="77777777" w:rsidR="00FF1B70" w:rsidRDefault="00000000">
            <w:pPr>
              <w:spacing w:after="0"/>
              <w:ind w:right="26"/>
              <w:jc w:val="both"/>
              <w:rPr>
                <w:rFonts w:ascii="Aptos Display" w:hAnsi="Aptos Display"/>
                <w:color w:val="000000"/>
                <w:sz w:val="20"/>
                <w:szCs w:val="20"/>
              </w:rPr>
            </w:pPr>
            <w:r>
              <w:rPr>
                <w:rFonts w:ascii="Aptos Display" w:hAnsi="Aptos Display"/>
                <w:color w:val="000000"/>
                <w:sz w:val="20"/>
                <w:szCs w:val="20"/>
              </w:rPr>
              <w:t xml:space="preserve">This variable represents the phenomenon of urban development which, by offering new opportunities for activities, leads to the destruction of agricultural and livestock activities, </w:t>
            </w:r>
            <w:r>
              <w:rPr>
                <w:rFonts w:ascii="Aptos Display" w:hAnsi="Aptos Display"/>
                <w:color w:val="000000"/>
                <w:sz w:val="20"/>
                <w:szCs w:val="20"/>
              </w:rPr>
              <w:lastRenderedPageBreak/>
              <w:t>and favors the birth of large processing and service industries. Urbz is the urbanization rate measured by the share of the population living in urban areas (urban population/population). This variable is used in reference to the work of Gollin et al. (2015). The expected sign is positive.</w:t>
            </w:r>
          </w:p>
        </w:tc>
        <w:tc>
          <w:tcPr>
            <w:tcW w:w="850" w:type="dxa"/>
            <w:shd w:val="clear" w:color="auto" w:fill="auto"/>
            <w:tcMar>
              <w:top w:w="0" w:type="dxa"/>
              <w:left w:w="108" w:type="dxa"/>
              <w:bottom w:w="0" w:type="dxa"/>
              <w:right w:w="108" w:type="dxa"/>
            </w:tcMar>
          </w:tcPr>
          <w:p w14:paraId="51327749"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lastRenderedPageBreak/>
              <w:t>WDI (2024)</w:t>
            </w:r>
          </w:p>
        </w:tc>
      </w:tr>
      <w:tr w:rsidR="00FF1B70" w14:paraId="273F9056" w14:textId="77777777">
        <w:tblPrEx>
          <w:tblCellMar>
            <w:top w:w="0" w:type="dxa"/>
            <w:bottom w:w="0" w:type="dxa"/>
          </w:tblCellMar>
        </w:tblPrEx>
        <w:tc>
          <w:tcPr>
            <w:tcW w:w="8222" w:type="dxa"/>
            <w:gridSpan w:val="2"/>
            <w:tcBorders>
              <w:top w:val="single" w:sz="4" w:space="0" w:color="000000"/>
            </w:tcBorders>
            <w:shd w:val="clear" w:color="auto" w:fill="auto"/>
            <w:tcMar>
              <w:top w:w="0" w:type="dxa"/>
              <w:left w:w="108" w:type="dxa"/>
              <w:bottom w:w="0" w:type="dxa"/>
              <w:right w:w="108" w:type="dxa"/>
            </w:tcMar>
          </w:tcPr>
          <w:p w14:paraId="46C245C2" w14:textId="77777777" w:rsidR="00FF1B70" w:rsidRDefault="00000000">
            <w:pPr>
              <w:spacing w:after="0"/>
              <w:ind w:right="26"/>
              <w:jc w:val="center"/>
              <w:rPr>
                <w:rFonts w:ascii="Aptos Display" w:hAnsi="Aptos Display"/>
                <w:i/>
                <w:color w:val="000000"/>
                <w:sz w:val="20"/>
                <w:szCs w:val="20"/>
              </w:rPr>
            </w:pPr>
            <w:r>
              <w:rPr>
                <w:rFonts w:ascii="Aptos Display" w:hAnsi="Aptos Display"/>
                <w:i/>
                <w:color w:val="000000"/>
                <w:sz w:val="20"/>
                <w:szCs w:val="20"/>
              </w:rPr>
              <w:t>Governance Components</w:t>
            </w:r>
          </w:p>
        </w:tc>
        <w:tc>
          <w:tcPr>
            <w:tcW w:w="850" w:type="dxa"/>
            <w:shd w:val="clear" w:color="auto" w:fill="auto"/>
            <w:tcMar>
              <w:top w:w="0" w:type="dxa"/>
              <w:left w:w="108" w:type="dxa"/>
              <w:bottom w:w="0" w:type="dxa"/>
              <w:right w:w="108" w:type="dxa"/>
            </w:tcMar>
          </w:tcPr>
          <w:p w14:paraId="25FAF2C1" w14:textId="77777777" w:rsidR="00FF1B70" w:rsidRDefault="00FF1B70">
            <w:pPr>
              <w:spacing w:after="0"/>
              <w:jc w:val="center"/>
              <w:rPr>
                <w:rFonts w:ascii="Aptos Display" w:eastAsia="Calibri" w:hAnsi="Aptos Display"/>
                <w:sz w:val="20"/>
                <w:szCs w:val="20"/>
              </w:rPr>
            </w:pPr>
          </w:p>
        </w:tc>
      </w:tr>
      <w:tr w:rsidR="00FF1B70" w14:paraId="2BD47F1F" w14:textId="77777777">
        <w:tblPrEx>
          <w:tblCellMar>
            <w:top w:w="0" w:type="dxa"/>
            <w:bottom w:w="0" w:type="dxa"/>
          </w:tblCellMar>
        </w:tblPrEx>
        <w:trPr>
          <w:trHeight w:val="1361"/>
        </w:trPr>
        <w:tc>
          <w:tcPr>
            <w:tcW w:w="709" w:type="dxa"/>
            <w:shd w:val="clear" w:color="auto" w:fill="auto"/>
            <w:tcMar>
              <w:top w:w="0" w:type="dxa"/>
              <w:left w:w="108" w:type="dxa"/>
              <w:bottom w:w="0" w:type="dxa"/>
              <w:right w:w="108" w:type="dxa"/>
            </w:tcMar>
          </w:tcPr>
          <w:p w14:paraId="4C90EBE3" w14:textId="77777777" w:rsidR="00FF1B70" w:rsidRDefault="00000000">
            <w:pPr>
              <w:spacing w:after="0"/>
              <w:jc w:val="center"/>
              <w:rPr>
                <w:rFonts w:ascii="Aptos Display" w:eastAsia="Calibri" w:hAnsi="Aptos Display"/>
                <w:b/>
                <w:i/>
                <w:sz w:val="20"/>
                <w:szCs w:val="20"/>
              </w:rPr>
            </w:pPr>
            <w:r>
              <w:rPr>
                <w:rFonts w:ascii="Aptos Display" w:eastAsia="Calibri" w:hAnsi="Aptos Display"/>
                <w:b/>
                <w:i/>
                <w:sz w:val="20"/>
                <w:szCs w:val="20"/>
              </w:rPr>
              <w:t>CCor</w:t>
            </w:r>
          </w:p>
        </w:tc>
        <w:tc>
          <w:tcPr>
            <w:tcW w:w="7513" w:type="dxa"/>
            <w:shd w:val="clear" w:color="auto" w:fill="auto"/>
            <w:tcMar>
              <w:top w:w="0" w:type="dxa"/>
              <w:left w:w="108" w:type="dxa"/>
              <w:bottom w:w="0" w:type="dxa"/>
              <w:right w:w="108" w:type="dxa"/>
            </w:tcMar>
          </w:tcPr>
          <w:p w14:paraId="6EB64997" w14:textId="77777777" w:rsidR="00FF1B70" w:rsidRDefault="00000000">
            <w:pPr>
              <w:spacing w:after="0"/>
              <w:ind w:left="-43" w:right="26"/>
              <w:jc w:val="both"/>
            </w:pPr>
            <w:r>
              <w:rPr>
                <w:rFonts w:ascii="Aptos Display" w:hAnsi="Aptos Display"/>
                <w:b/>
                <w:sz w:val="20"/>
                <w:szCs w:val="20"/>
              </w:rPr>
              <w:t>Control of Corruption</w:t>
            </w:r>
            <w:r>
              <w:rPr>
                <w:rFonts w:ascii="Aptos Display" w:hAnsi="Aptos Display"/>
                <w:sz w:val="20"/>
                <w:szCs w:val="20"/>
              </w:rPr>
              <w:t>: captures perceptions of the extent to which public power is exercised for private gain, including both petty and grand forms of corruption, as well as "capture" of the state by elites and private interests. Estimate gives the country's score on the aggregate indicator, in units of a standard normal distribution, ie ranging from approximately -2.5 to 2.5. It was used in the work of Wendji et al. (2024).</w:t>
            </w:r>
          </w:p>
        </w:tc>
        <w:tc>
          <w:tcPr>
            <w:tcW w:w="850" w:type="dxa"/>
            <w:shd w:val="clear" w:color="auto" w:fill="auto"/>
            <w:tcMar>
              <w:top w:w="0" w:type="dxa"/>
              <w:left w:w="108" w:type="dxa"/>
              <w:bottom w:w="0" w:type="dxa"/>
              <w:right w:w="108" w:type="dxa"/>
            </w:tcMar>
          </w:tcPr>
          <w:p w14:paraId="623215CC"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WGI</w:t>
            </w:r>
          </w:p>
          <w:p w14:paraId="367B1B56" w14:textId="77777777" w:rsidR="00FF1B70" w:rsidRDefault="00000000">
            <w:pPr>
              <w:spacing w:after="0"/>
              <w:jc w:val="center"/>
            </w:pPr>
            <w:r>
              <w:rPr>
                <w:rFonts w:ascii="Aptos Display" w:eastAsia="Calibri" w:hAnsi="Aptos Display"/>
                <w:sz w:val="20"/>
                <w:szCs w:val="20"/>
              </w:rPr>
              <w:t>(2024)</w:t>
            </w:r>
          </w:p>
        </w:tc>
      </w:tr>
      <w:tr w:rsidR="00FF1B70" w14:paraId="262BD9C9" w14:textId="77777777">
        <w:tblPrEx>
          <w:tblCellMar>
            <w:top w:w="0" w:type="dxa"/>
            <w:bottom w:w="0" w:type="dxa"/>
          </w:tblCellMar>
        </w:tblPrEx>
        <w:tc>
          <w:tcPr>
            <w:tcW w:w="709" w:type="dxa"/>
            <w:shd w:val="clear" w:color="auto" w:fill="auto"/>
            <w:tcMar>
              <w:top w:w="0" w:type="dxa"/>
              <w:left w:w="108" w:type="dxa"/>
              <w:bottom w:w="0" w:type="dxa"/>
              <w:right w:w="108" w:type="dxa"/>
            </w:tcMar>
          </w:tcPr>
          <w:p w14:paraId="121D89AD" w14:textId="77777777" w:rsidR="00FF1B70" w:rsidRDefault="00000000">
            <w:pPr>
              <w:spacing w:after="0"/>
              <w:jc w:val="center"/>
              <w:rPr>
                <w:rFonts w:ascii="Aptos Display" w:eastAsia="Calibri" w:hAnsi="Aptos Display"/>
                <w:b/>
                <w:sz w:val="20"/>
                <w:szCs w:val="20"/>
              </w:rPr>
            </w:pPr>
            <w:r>
              <w:rPr>
                <w:rFonts w:ascii="Aptos Display" w:eastAsia="Calibri" w:hAnsi="Aptos Display"/>
                <w:b/>
                <w:sz w:val="20"/>
                <w:szCs w:val="20"/>
              </w:rPr>
              <w:t>Geff</w:t>
            </w:r>
          </w:p>
        </w:tc>
        <w:tc>
          <w:tcPr>
            <w:tcW w:w="7513" w:type="dxa"/>
            <w:shd w:val="clear" w:color="auto" w:fill="auto"/>
            <w:tcMar>
              <w:top w:w="0" w:type="dxa"/>
              <w:left w:w="108" w:type="dxa"/>
              <w:bottom w:w="0" w:type="dxa"/>
              <w:right w:w="108" w:type="dxa"/>
            </w:tcMar>
          </w:tcPr>
          <w:p w14:paraId="12377B48" w14:textId="77777777" w:rsidR="00FF1B70" w:rsidRDefault="00000000">
            <w:pPr>
              <w:spacing w:after="0"/>
              <w:ind w:left="-43" w:right="26"/>
              <w:jc w:val="both"/>
            </w:pPr>
            <w:r>
              <w:rPr>
                <w:rFonts w:ascii="Aptos Display" w:hAnsi="Aptos Display"/>
                <w:b/>
                <w:sz w:val="20"/>
                <w:szCs w:val="20"/>
              </w:rPr>
              <w:t>Government Effectiveness</w:t>
            </w:r>
            <w:r>
              <w:rPr>
                <w:rFonts w:ascii="Aptos Display" w:hAnsi="Aptos Display"/>
                <w:sz w:val="20"/>
                <w:szCs w:val="20"/>
              </w:rPr>
              <w:t>: captures perceptions of the quality of public services, the quality of the civil service and the degree of its independence from political pressures, the quality of policy formulation and implementation, and the credibility of the government's commitment to such policies. Estimate gives the country's score on the aggregate indicator, in units of a standard normal distribution, ie ranging from approximately -2.5 to 2.5.</w:t>
            </w:r>
          </w:p>
        </w:tc>
        <w:tc>
          <w:tcPr>
            <w:tcW w:w="850" w:type="dxa"/>
            <w:shd w:val="clear" w:color="auto" w:fill="auto"/>
            <w:tcMar>
              <w:top w:w="0" w:type="dxa"/>
              <w:left w:w="108" w:type="dxa"/>
              <w:bottom w:w="0" w:type="dxa"/>
              <w:right w:w="108" w:type="dxa"/>
            </w:tcMar>
          </w:tcPr>
          <w:p w14:paraId="75812CEE"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WGI</w:t>
            </w:r>
          </w:p>
          <w:p w14:paraId="77A59401"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3D87B95A" w14:textId="77777777">
        <w:tblPrEx>
          <w:tblCellMar>
            <w:top w:w="0" w:type="dxa"/>
            <w:bottom w:w="0" w:type="dxa"/>
          </w:tblCellMar>
        </w:tblPrEx>
        <w:tc>
          <w:tcPr>
            <w:tcW w:w="709" w:type="dxa"/>
            <w:shd w:val="clear" w:color="auto" w:fill="auto"/>
            <w:tcMar>
              <w:top w:w="0" w:type="dxa"/>
              <w:left w:w="108" w:type="dxa"/>
              <w:bottom w:w="0" w:type="dxa"/>
              <w:right w:w="108" w:type="dxa"/>
            </w:tcMar>
          </w:tcPr>
          <w:p w14:paraId="7B4EAB63" w14:textId="77777777" w:rsidR="00FF1B70" w:rsidRDefault="00000000">
            <w:pPr>
              <w:spacing w:after="0"/>
              <w:ind w:left="-115" w:right="-106"/>
              <w:jc w:val="center"/>
              <w:rPr>
                <w:rFonts w:ascii="Aptos Display" w:eastAsia="Calibri" w:hAnsi="Aptos Display"/>
                <w:b/>
                <w:sz w:val="20"/>
                <w:szCs w:val="20"/>
              </w:rPr>
            </w:pPr>
            <w:r>
              <w:rPr>
                <w:rFonts w:ascii="Aptos Display" w:eastAsia="Calibri" w:hAnsi="Aptos Display"/>
                <w:b/>
                <w:sz w:val="20"/>
                <w:szCs w:val="20"/>
              </w:rPr>
              <w:t>PSAVT</w:t>
            </w:r>
          </w:p>
        </w:tc>
        <w:tc>
          <w:tcPr>
            <w:tcW w:w="7513" w:type="dxa"/>
            <w:shd w:val="clear" w:color="auto" w:fill="auto"/>
            <w:tcMar>
              <w:top w:w="0" w:type="dxa"/>
              <w:left w:w="108" w:type="dxa"/>
              <w:bottom w:w="0" w:type="dxa"/>
              <w:right w:w="108" w:type="dxa"/>
            </w:tcMar>
          </w:tcPr>
          <w:p w14:paraId="1411FE16" w14:textId="77777777" w:rsidR="00FF1B70" w:rsidRDefault="00000000">
            <w:pPr>
              <w:spacing w:after="0"/>
              <w:ind w:left="-43" w:right="26"/>
              <w:jc w:val="both"/>
            </w:pPr>
            <w:r>
              <w:rPr>
                <w:rFonts w:ascii="Aptos Display" w:hAnsi="Aptos Display"/>
                <w:b/>
                <w:sz w:val="20"/>
                <w:szCs w:val="20"/>
              </w:rPr>
              <w:t>Political Stability and Absence of Violence/Terrorism</w:t>
            </w:r>
            <w:r>
              <w:rPr>
                <w:rFonts w:ascii="Aptos Display" w:hAnsi="Aptos Display"/>
                <w:sz w:val="20"/>
                <w:szCs w:val="20"/>
              </w:rPr>
              <w:t>: measures perceptions of the likelihood of political instability and/or politically-motivated violence, including terrorism. Estimate gives the country's score on the aggregate indicator, in units of a standard normal distribution, ie ranging from approximately -2.5 to 2.5.</w:t>
            </w:r>
          </w:p>
        </w:tc>
        <w:tc>
          <w:tcPr>
            <w:tcW w:w="850" w:type="dxa"/>
            <w:shd w:val="clear" w:color="auto" w:fill="auto"/>
            <w:tcMar>
              <w:top w:w="0" w:type="dxa"/>
              <w:left w:w="108" w:type="dxa"/>
              <w:bottom w:w="0" w:type="dxa"/>
              <w:right w:w="108" w:type="dxa"/>
            </w:tcMar>
          </w:tcPr>
          <w:p w14:paraId="114D550E"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WGI</w:t>
            </w:r>
          </w:p>
          <w:p w14:paraId="5EC4C35D"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7C736AD7" w14:textId="77777777">
        <w:tblPrEx>
          <w:tblCellMar>
            <w:top w:w="0" w:type="dxa"/>
            <w:bottom w:w="0" w:type="dxa"/>
          </w:tblCellMar>
        </w:tblPrEx>
        <w:tc>
          <w:tcPr>
            <w:tcW w:w="709" w:type="dxa"/>
            <w:shd w:val="clear" w:color="auto" w:fill="auto"/>
            <w:tcMar>
              <w:top w:w="0" w:type="dxa"/>
              <w:left w:w="108" w:type="dxa"/>
              <w:bottom w:w="0" w:type="dxa"/>
              <w:right w:w="108" w:type="dxa"/>
            </w:tcMar>
          </w:tcPr>
          <w:p w14:paraId="1ADE811F" w14:textId="77777777" w:rsidR="00FF1B70" w:rsidRDefault="00000000">
            <w:pPr>
              <w:spacing w:after="0"/>
              <w:jc w:val="center"/>
              <w:rPr>
                <w:rFonts w:ascii="Aptos Display" w:eastAsia="Calibri" w:hAnsi="Aptos Display"/>
                <w:b/>
                <w:sz w:val="20"/>
                <w:szCs w:val="20"/>
              </w:rPr>
            </w:pPr>
            <w:r>
              <w:rPr>
                <w:rFonts w:ascii="Aptos Display" w:eastAsia="Calibri" w:hAnsi="Aptos Display"/>
                <w:b/>
                <w:sz w:val="20"/>
                <w:szCs w:val="20"/>
              </w:rPr>
              <w:t>Rlaw</w:t>
            </w:r>
          </w:p>
        </w:tc>
        <w:tc>
          <w:tcPr>
            <w:tcW w:w="7513" w:type="dxa"/>
            <w:shd w:val="clear" w:color="auto" w:fill="auto"/>
            <w:tcMar>
              <w:top w:w="0" w:type="dxa"/>
              <w:left w:w="108" w:type="dxa"/>
              <w:bottom w:w="0" w:type="dxa"/>
              <w:right w:w="108" w:type="dxa"/>
            </w:tcMar>
          </w:tcPr>
          <w:p w14:paraId="650C4A6A" w14:textId="77777777" w:rsidR="00FF1B70" w:rsidRDefault="00000000">
            <w:pPr>
              <w:spacing w:after="0"/>
              <w:ind w:right="26"/>
              <w:jc w:val="both"/>
            </w:pPr>
            <w:r>
              <w:rPr>
                <w:rFonts w:ascii="Aptos Display" w:hAnsi="Aptos Display"/>
                <w:b/>
                <w:color w:val="212529"/>
                <w:sz w:val="20"/>
                <w:szCs w:val="20"/>
                <w:shd w:val="clear" w:color="auto" w:fill="FFFFFF"/>
              </w:rPr>
              <w:t>Rule of Law</w:t>
            </w:r>
            <w:r>
              <w:rPr>
                <w:rFonts w:ascii="Aptos Display" w:hAnsi="Aptos Display"/>
                <w:color w:val="212529"/>
                <w:sz w:val="20"/>
                <w:szCs w:val="20"/>
                <w:shd w:val="clear" w:color="auto" w:fill="FFFFFF"/>
              </w:rPr>
              <w:t>: captures perceptions of the extent to which agents have confidence in and abide by the rules of society, and in particular the quality of contract enforcement, property rights, the police, and the courts, as well as the likelihood of crime and violence. Estimate gives the country's score on the aggregate indicator, in units of a standard normal distribution, ie ranging from approximately -2.5 to 2.5.</w:t>
            </w:r>
          </w:p>
          <w:p w14:paraId="238FC1A4" w14:textId="77777777" w:rsidR="00FF1B70" w:rsidRDefault="00FF1B70">
            <w:pPr>
              <w:spacing w:after="0"/>
              <w:ind w:right="26"/>
              <w:jc w:val="both"/>
              <w:rPr>
                <w:rFonts w:ascii="Aptos Display" w:hAnsi="Aptos Display"/>
                <w:color w:val="212529"/>
                <w:sz w:val="20"/>
                <w:szCs w:val="20"/>
                <w:shd w:val="clear" w:color="auto" w:fill="FFFFFF"/>
              </w:rPr>
            </w:pPr>
          </w:p>
        </w:tc>
        <w:tc>
          <w:tcPr>
            <w:tcW w:w="850" w:type="dxa"/>
            <w:shd w:val="clear" w:color="auto" w:fill="auto"/>
            <w:tcMar>
              <w:top w:w="0" w:type="dxa"/>
              <w:left w:w="108" w:type="dxa"/>
              <w:bottom w:w="0" w:type="dxa"/>
              <w:right w:w="108" w:type="dxa"/>
            </w:tcMar>
          </w:tcPr>
          <w:p w14:paraId="5D047117"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WGI</w:t>
            </w:r>
          </w:p>
          <w:p w14:paraId="0E736842"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14B347A0" w14:textId="77777777">
        <w:tblPrEx>
          <w:tblCellMar>
            <w:top w:w="0" w:type="dxa"/>
            <w:bottom w:w="0" w:type="dxa"/>
          </w:tblCellMar>
        </w:tblPrEx>
        <w:tc>
          <w:tcPr>
            <w:tcW w:w="709" w:type="dxa"/>
            <w:shd w:val="clear" w:color="auto" w:fill="auto"/>
            <w:tcMar>
              <w:top w:w="0" w:type="dxa"/>
              <w:left w:w="108" w:type="dxa"/>
              <w:bottom w:w="0" w:type="dxa"/>
              <w:right w:w="108" w:type="dxa"/>
            </w:tcMar>
          </w:tcPr>
          <w:p w14:paraId="72D6A327" w14:textId="77777777" w:rsidR="00FF1B70" w:rsidRDefault="00000000">
            <w:pPr>
              <w:spacing w:after="0"/>
              <w:jc w:val="center"/>
              <w:rPr>
                <w:rFonts w:ascii="Aptos Display" w:eastAsia="Calibri" w:hAnsi="Aptos Display"/>
                <w:b/>
                <w:sz w:val="20"/>
                <w:szCs w:val="20"/>
              </w:rPr>
            </w:pPr>
            <w:r>
              <w:rPr>
                <w:rFonts w:ascii="Aptos Display" w:eastAsia="Calibri" w:hAnsi="Aptos Display"/>
                <w:b/>
                <w:sz w:val="20"/>
                <w:szCs w:val="20"/>
              </w:rPr>
              <w:t>RegQ</w:t>
            </w:r>
          </w:p>
        </w:tc>
        <w:tc>
          <w:tcPr>
            <w:tcW w:w="7513" w:type="dxa"/>
            <w:shd w:val="clear" w:color="auto" w:fill="auto"/>
            <w:tcMar>
              <w:top w:w="0" w:type="dxa"/>
              <w:left w:w="108" w:type="dxa"/>
              <w:bottom w:w="0" w:type="dxa"/>
              <w:right w:w="108" w:type="dxa"/>
            </w:tcMar>
          </w:tcPr>
          <w:p w14:paraId="2F3E027C" w14:textId="77777777" w:rsidR="00FF1B70" w:rsidRDefault="00000000">
            <w:pPr>
              <w:spacing w:after="0"/>
              <w:ind w:right="26"/>
              <w:jc w:val="both"/>
            </w:pPr>
            <w:r>
              <w:rPr>
                <w:rFonts w:ascii="Aptos Display" w:hAnsi="Aptos Display"/>
                <w:b/>
                <w:color w:val="212529"/>
                <w:sz w:val="20"/>
                <w:szCs w:val="20"/>
                <w:shd w:val="clear" w:color="auto" w:fill="FFFFFF"/>
              </w:rPr>
              <w:t>Regulatory Quality</w:t>
            </w:r>
            <w:r>
              <w:rPr>
                <w:rFonts w:ascii="Aptos Display" w:hAnsi="Aptos Display"/>
                <w:color w:val="212529"/>
                <w:sz w:val="20"/>
                <w:szCs w:val="20"/>
                <w:shd w:val="clear" w:color="auto" w:fill="FFFFFF"/>
              </w:rPr>
              <w:t>: captures perceptions of the ability of the government to formulate and implement sound policies and regulations that permit and promote private sector development. Estimate gives the country's score on the aggregate indicator, in units of a standard normal distribution, ie ranging from approximately -2.5 to 2.5.</w:t>
            </w:r>
          </w:p>
        </w:tc>
        <w:tc>
          <w:tcPr>
            <w:tcW w:w="850" w:type="dxa"/>
            <w:shd w:val="clear" w:color="auto" w:fill="auto"/>
            <w:tcMar>
              <w:top w:w="0" w:type="dxa"/>
              <w:left w:w="108" w:type="dxa"/>
              <w:bottom w:w="0" w:type="dxa"/>
              <w:right w:w="108" w:type="dxa"/>
            </w:tcMar>
          </w:tcPr>
          <w:p w14:paraId="78F21780"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WGI</w:t>
            </w:r>
          </w:p>
          <w:p w14:paraId="7A7C7C23"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5E271BFE" w14:textId="77777777">
        <w:tblPrEx>
          <w:tblCellMar>
            <w:top w:w="0" w:type="dxa"/>
            <w:bottom w:w="0" w:type="dxa"/>
          </w:tblCellMar>
        </w:tblPrEx>
        <w:tc>
          <w:tcPr>
            <w:tcW w:w="709" w:type="dxa"/>
            <w:shd w:val="clear" w:color="auto" w:fill="auto"/>
            <w:tcMar>
              <w:top w:w="0" w:type="dxa"/>
              <w:left w:w="108" w:type="dxa"/>
              <w:bottom w:w="0" w:type="dxa"/>
              <w:right w:w="108" w:type="dxa"/>
            </w:tcMar>
          </w:tcPr>
          <w:p w14:paraId="3CCF70CF" w14:textId="77777777" w:rsidR="00FF1B70" w:rsidRDefault="00000000">
            <w:pPr>
              <w:spacing w:after="0"/>
              <w:jc w:val="center"/>
              <w:rPr>
                <w:rFonts w:ascii="Aptos Display" w:eastAsia="Calibri" w:hAnsi="Aptos Display"/>
                <w:b/>
                <w:sz w:val="20"/>
                <w:szCs w:val="20"/>
              </w:rPr>
            </w:pPr>
            <w:r>
              <w:rPr>
                <w:rFonts w:ascii="Aptos Display" w:eastAsia="Calibri" w:hAnsi="Aptos Display"/>
                <w:b/>
                <w:sz w:val="20"/>
                <w:szCs w:val="20"/>
              </w:rPr>
              <w:t>Vacc</w:t>
            </w:r>
          </w:p>
        </w:tc>
        <w:tc>
          <w:tcPr>
            <w:tcW w:w="7513" w:type="dxa"/>
            <w:shd w:val="clear" w:color="auto" w:fill="auto"/>
            <w:tcMar>
              <w:top w:w="0" w:type="dxa"/>
              <w:left w:w="108" w:type="dxa"/>
              <w:bottom w:w="0" w:type="dxa"/>
              <w:right w:w="108" w:type="dxa"/>
            </w:tcMar>
          </w:tcPr>
          <w:p w14:paraId="7D278B10" w14:textId="77777777" w:rsidR="00FF1B70" w:rsidRDefault="00000000">
            <w:pPr>
              <w:spacing w:after="0"/>
              <w:ind w:right="26"/>
              <w:jc w:val="both"/>
            </w:pPr>
            <w:r>
              <w:rPr>
                <w:rFonts w:ascii="Aptos Display" w:hAnsi="Aptos Display"/>
                <w:b/>
                <w:sz w:val="20"/>
                <w:szCs w:val="20"/>
              </w:rPr>
              <w:t>Voice and Accountability</w:t>
            </w:r>
            <w:r>
              <w:rPr>
                <w:rFonts w:ascii="Aptos Display" w:hAnsi="Aptos Display"/>
                <w:sz w:val="20"/>
                <w:szCs w:val="20"/>
              </w:rPr>
              <w:t>: captures perceptions of the extent to which a country's citizens are able to participate in selecting their, as well as freedom of expression, freedom of association, and a free media. Estimate gives the country's score on the aggregate indicator, in units of a standard normal distribution, ie ranging from approximately -2.5 to 2.5.</w:t>
            </w:r>
          </w:p>
        </w:tc>
        <w:tc>
          <w:tcPr>
            <w:tcW w:w="850" w:type="dxa"/>
            <w:shd w:val="clear" w:color="auto" w:fill="auto"/>
            <w:tcMar>
              <w:top w:w="0" w:type="dxa"/>
              <w:left w:w="108" w:type="dxa"/>
              <w:bottom w:w="0" w:type="dxa"/>
              <w:right w:w="108" w:type="dxa"/>
            </w:tcMar>
          </w:tcPr>
          <w:p w14:paraId="710EEB28"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WGI</w:t>
            </w:r>
          </w:p>
          <w:p w14:paraId="64605198" w14:textId="77777777" w:rsidR="00FF1B70" w:rsidRDefault="00000000">
            <w:pPr>
              <w:spacing w:after="0"/>
              <w:jc w:val="center"/>
              <w:rPr>
                <w:rFonts w:ascii="Aptos Display" w:eastAsia="Calibri" w:hAnsi="Aptos Display"/>
                <w:sz w:val="20"/>
                <w:szCs w:val="20"/>
              </w:rPr>
            </w:pPr>
            <w:r>
              <w:rPr>
                <w:rFonts w:ascii="Aptos Display" w:eastAsia="Calibri" w:hAnsi="Aptos Display"/>
                <w:sz w:val="20"/>
                <w:szCs w:val="20"/>
              </w:rPr>
              <w:t>(2024)</w:t>
            </w:r>
          </w:p>
        </w:tc>
      </w:tr>
      <w:tr w:rsidR="00FF1B70" w14:paraId="7F399950" w14:textId="77777777">
        <w:tblPrEx>
          <w:tblCellMar>
            <w:top w:w="0" w:type="dxa"/>
            <w:bottom w:w="0" w:type="dxa"/>
          </w:tblCellMar>
        </w:tblPrEx>
        <w:tc>
          <w:tcPr>
            <w:tcW w:w="9072" w:type="dxa"/>
            <w:gridSpan w:val="3"/>
            <w:tcBorders>
              <w:top w:val="single" w:sz="4" w:space="0" w:color="000000"/>
            </w:tcBorders>
            <w:shd w:val="clear" w:color="auto" w:fill="auto"/>
            <w:tcMar>
              <w:top w:w="0" w:type="dxa"/>
              <w:left w:w="108" w:type="dxa"/>
              <w:bottom w:w="0" w:type="dxa"/>
              <w:right w:w="108" w:type="dxa"/>
            </w:tcMar>
          </w:tcPr>
          <w:p w14:paraId="1D69CF12" w14:textId="77777777" w:rsidR="00FF1B70" w:rsidRDefault="00000000">
            <w:pPr>
              <w:spacing w:after="0"/>
              <w:ind w:right="26"/>
              <w:jc w:val="center"/>
            </w:pPr>
            <w:r>
              <w:rPr>
                <w:rFonts w:ascii="Aptos Display" w:hAnsi="Aptos Display"/>
                <w:i/>
                <w:sz w:val="20"/>
                <w:szCs w:val="20"/>
              </w:rPr>
              <w:t>Interaction variables</w:t>
            </w:r>
          </w:p>
        </w:tc>
      </w:tr>
      <w:tr w:rsidR="00FF1B70" w14:paraId="247B0839" w14:textId="77777777">
        <w:tblPrEx>
          <w:tblCellMar>
            <w:top w:w="0" w:type="dxa"/>
            <w:bottom w:w="0" w:type="dxa"/>
          </w:tblCellMar>
        </w:tblPrEx>
        <w:trPr>
          <w:trHeight w:val="525"/>
        </w:trPr>
        <w:tc>
          <w:tcPr>
            <w:tcW w:w="709" w:type="dxa"/>
            <w:shd w:val="clear" w:color="auto" w:fill="auto"/>
            <w:tcMar>
              <w:top w:w="0" w:type="dxa"/>
              <w:left w:w="108" w:type="dxa"/>
              <w:bottom w:w="0" w:type="dxa"/>
              <w:right w:w="108" w:type="dxa"/>
            </w:tcMar>
          </w:tcPr>
          <w:p w14:paraId="5FBB7F9B" w14:textId="77777777" w:rsidR="00FF1B70" w:rsidRDefault="00000000">
            <w:pPr>
              <w:spacing w:after="0"/>
              <w:jc w:val="center"/>
              <w:rPr>
                <w:rFonts w:ascii="Aptos Display" w:eastAsia="Calibri" w:hAnsi="Aptos Display"/>
                <w:b/>
                <w:i/>
                <w:sz w:val="20"/>
                <w:szCs w:val="20"/>
              </w:rPr>
            </w:pPr>
            <w:r>
              <w:rPr>
                <w:rFonts w:ascii="Aptos Display" w:eastAsia="Calibri" w:hAnsi="Aptos Display"/>
                <w:b/>
                <w:i/>
                <w:sz w:val="20"/>
                <w:szCs w:val="20"/>
              </w:rPr>
              <w:t>LR_G</w:t>
            </w:r>
          </w:p>
        </w:tc>
        <w:tc>
          <w:tcPr>
            <w:tcW w:w="7513" w:type="dxa"/>
            <w:shd w:val="clear" w:color="auto" w:fill="FFFFFF"/>
            <w:tcMar>
              <w:top w:w="0" w:type="dxa"/>
              <w:left w:w="108" w:type="dxa"/>
              <w:bottom w:w="0" w:type="dxa"/>
              <w:right w:w="108" w:type="dxa"/>
            </w:tcMar>
          </w:tcPr>
          <w:p w14:paraId="371B4CBA" w14:textId="77777777" w:rsidR="00FF1B70" w:rsidRDefault="00000000">
            <w:pPr>
              <w:spacing w:after="0"/>
              <w:ind w:right="26"/>
              <w:jc w:val="both"/>
            </w:pPr>
            <w:r>
              <w:rPr>
                <w:rFonts w:ascii="Aptos Display" w:hAnsi="Aptos Display"/>
                <w:b/>
                <w:sz w:val="20"/>
                <w:szCs w:val="20"/>
              </w:rPr>
              <w:t>Interaction variable</w:t>
            </w:r>
            <w:r>
              <w:rPr>
                <w:rFonts w:ascii="Aptos Display" w:hAnsi="Aptos Display"/>
                <w:sz w:val="20"/>
                <w:szCs w:val="20"/>
              </w:rPr>
              <w:t>between natural resource rent and the Quality of governance. , is the variable that allows us to estimate the combined effect of governance and natural resources on structural transformation.</w:t>
            </w:r>
            <m:oMath>
              <m:r>
                <w:rPr>
                  <w:rFonts w:ascii="Cambria Math" w:hAnsi="Cambria Math"/>
                </w:rPr>
                <m:t>LR_G=LRN*Gnce</m:t>
              </m:r>
            </m:oMath>
          </w:p>
        </w:tc>
        <w:tc>
          <w:tcPr>
            <w:tcW w:w="850" w:type="dxa"/>
            <w:shd w:val="clear" w:color="auto" w:fill="auto"/>
            <w:tcMar>
              <w:top w:w="0" w:type="dxa"/>
              <w:left w:w="108" w:type="dxa"/>
              <w:bottom w:w="0" w:type="dxa"/>
              <w:right w:w="108" w:type="dxa"/>
            </w:tcMar>
          </w:tcPr>
          <w:p w14:paraId="2D5B593B" w14:textId="77777777" w:rsidR="00FF1B70" w:rsidRDefault="00FF1B70">
            <w:pPr>
              <w:spacing w:after="0"/>
              <w:jc w:val="center"/>
              <w:rPr>
                <w:rFonts w:ascii="Aptos Display" w:eastAsia="Calibri" w:hAnsi="Aptos Display"/>
                <w:sz w:val="20"/>
                <w:szCs w:val="20"/>
              </w:rPr>
            </w:pPr>
          </w:p>
        </w:tc>
      </w:tr>
      <w:tr w:rsidR="00FF1B70" w14:paraId="10607772" w14:textId="77777777">
        <w:tblPrEx>
          <w:tblCellMar>
            <w:top w:w="0" w:type="dxa"/>
            <w:bottom w:w="0" w:type="dxa"/>
          </w:tblCellMar>
        </w:tblPrEx>
        <w:trPr>
          <w:trHeight w:val="525"/>
        </w:trPr>
        <w:tc>
          <w:tcPr>
            <w:tcW w:w="709" w:type="dxa"/>
            <w:tcBorders>
              <w:bottom w:val="single" w:sz="4" w:space="0" w:color="000000"/>
            </w:tcBorders>
            <w:shd w:val="clear" w:color="auto" w:fill="auto"/>
            <w:tcMar>
              <w:top w:w="0" w:type="dxa"/>
              <w:left w:w="108" w:type="dxa"/>
              <w:bottom w:w="0" w:type="dxa"/>
              <w:right w:w="108" w:type="dxa"/>
            </w:tcMar>
          </w:tcPr>
          <w:p w14:paraId="1EF739BE" w14:textId="77777777" w:rsidR="00FF1B70" w:rsidRDefault="00000000">
            <w:pPr>
              <w:spacing w:after="0"/>
              <w:jc w:val="center"/>
              <w:rPr>
                <w:rFonts w:ascii="Aptos Display" w:eastAsia="Calibri" w:hAnsi="Aptos Display"/>
                <w:b/>
                <w:i/>
                <w:sz w:val="20"/>
                <w:szCs w:val="20"/>
              </w:rPr>
            </w:pPr>
            <w:r>
              <w:rPr>
                <w:rFonts w:ascii="Aptos Display" w:eastAsia="Calibri" w:hAnsi="Aptos Display"/>
                <w:b/>
                <w:i/>
                <w:sz w:val="20"/>
                <w:szCs w:val="20"/>
              </w:rPr>
              <w:t>Oil _G</w:t>
            </w:r>
          </w:p>
        </w:tc>
        <w:tc>
          <w:tcPr>
            <w:tcW w:w="7513" w:type="dxa"/>
            <w:tcBorders>
              <w:bottom w:val="single" w:sz="4" w:space="0" w:color="000000"/>
            </w:tcBorders>
            <w:shd w:val="clear" w:color="auto" w:fill="FFFFFF"/>
            <w:tcMar>
              <w:top w:w="0" w:type="dxa"/>
              <w:left w:w="108" w:type="dxa"/>
              <w:bottom w:w="0" w:type="dxa"/>
              <w:right w:w="108" w:type="dxa"/>
            </w:tcMar>
          </w:tcPr>
          <w:p w14:paraId="0D6EE8FF" w14:textId="77777777" w:rsidR="00FF1B70" w:rsidRDefault="00000000">
            <w:pPr>
              <w:spacing w:after="0"/>
              <w:jc w:val="both"/>
            </w:pPr>
            <w:r>
              <w:rPr>
                <w:rFonts w:ascii="Aptos Display" w:hAnsi="Aptos Display"/>
                <w:b/>
                <w:sz w:val="20"/>
                <w:szCs w:val="20"/>
              </w:rPr>
              <w:t>Interaction variable</w:t>
            </w:r>
            <w:r>
              <w:rPr>
                <w:rFonts w:ascii="Aptos Display" w:hAnsi="Aptos Display"/>
                <w:sz w:val="20"/>
                <w:szCs w:val="20"/>
              </w:rPr>
              <w:t>between oil rent and the quality of governance. , allows us to estimate the combined effect of governance and oil rent on structural transformation.</w:t>
            </w:r>
            <m:oMath>
              <m:r>
                <w:rPr>
                  <w:rFonts w:ascii="Cambria Math" w:hAnsi="Cambria Math"/>
                </w:rPr>
                <m:t>Oil_G=Oil_R*Gnce</m:t>
              </m:r>
            </m:oMath>
          </w:p>
        </w:tc>
        <w:tc>
          <w:tcPr>
            <w:tcW w:w="850" w:type="dxa"/>
            <w:tcBorders>
              <w:bottom w:val="single" w:sz="4" w:space="0" w:color="000000"/>
            </w:tcBorders>
            <w:shd w:val="clear" w:color="auto" w:fill="auto"/>
            <w:tcMar>
              <w:top w:w="0" w:type="dxa"/>
              <w:left w:w="108" w:type="dxa"/>
              <w:bottom w:w="0" w:type="dxa"/>
              <w:right w:w="108" w:type="dxa"/>
            </w:tcMar>
          </w:tcPr>
          <w:p w14:paraId="72ED303D" w14:textId="77777777" w:rsidR="00FF1B70" w:rsidRDefault="00FF1B70">
            <w:pPr>
              <w:spacing w:after="0"/>
              <w:jc w:val="center"/>
              <w:rPr>
                <w:rFonts w:ascii="Aptos Display" w:eastAsia="Calibri" w:hAnsi="Aptos Display"/>
                <w:sz w:val="20"/>
                <w:szCs w:val="20"/>
              </w:rPr>
            </w:pPr>
          </w:p>
        </w:tc>
      </w:tr>
    </w:tbl>
    <w:p w14:paraId="5FD2F773" w14:textId="77777777" w:rsidR="00FF1B70" w:rsidRDefault="00000000">
      <w:pPr>
        <w:spacing w:after="0"/>
        <w:jc w:val="both"/>
      </w:pPr>
      <w:r>
        <w:rPr>
          <w:rFonts w:ascii="Aptos Display" w:hAnsi="Aptos Display"/>
          <w:b/>
          <w:i/>
          <w:sz w:val="18"/>
          <w:szCs w:val="24"/>
          <w:lang w:val="en-US"/>
        </w:rPr>
        <w:t>Source</w:t>
      </w:r>
      <w:r>
        <w:rPr>
          <w:rFonts w:ascii="Aptos Display" w:hAnsi="Aptos Display"/>
          <w:i/>
          <w:sz w:val="18"/>
          <w:szCs w:val="24"/>
          <w:lang w:val="en-US"/>
        </w:rPr>
        <w:t>: author. The data come from the WDI (2024), WGI (2024) and ACP databases.</w:t>
      </w:r>
    </w:p>
    <w:p w14:paraId="3B6BE8F8" w14:textId="77777777" w:rsidR="00FF1B70" w:rsidRDefault="00FF1B70">
      <w:pPr>
        <w:spacing w:after="0"/>
        <w:jc w:val="both"/>
        <w:rPr>
          <w:rFonts w:ascii="Aptos Display" w:hAnsi="Aptos Display"/>
          <w:i/>
          <w:sz w:val="18"/>
          <w:szCs w:val="24"/>
        </w:rPr>
      </w:pPr>
    </w:p>
    <w:p w14:paraId="35D5450A" w14:textId="77777777" w:rsidR="00FF1B70" w:rsidRDefault="00000000">
      <w:pPr>
        <w:pStyle w:val="Heading2"/>
        <w:rPr>
          <w:b/>
          <w:color w:val="auto"/>
          <w:sz w:val="20"/>
        </w:rPr>
      </w:pPr>
      <w:r>
        <w:rPr>
          <w:b/>
          <w:color w:val="auto"/>
          <w:sz w:val="20"/>
        </w:rPr>
        <w:t>Appendix 3: Descriptive Statistics</w:t>
      </w:r>
    </w:p>
    <w:p w14:paraId="51C66D65" w14:textId="77777777" w:rsidR="00FF1B70" w:rsidRDefault="00000000">
      <w:r>
        <w:rPr>
          <w:noProof/>
          <w:lang w:eastAsia="fr-FR"/>
        </w:rPr>
        <w:drawing>
          <wp:inline distT="0" distB="0" distL="0" distR="0" wp14:anchorId="40A7504D" wp14:editId="6DC060B4">
            <wp:extent cx="4940978" cy="1730383"/>
            <wp:effectExtent l="0" t="0" r="0" b="3167"/>
            <wp:docPr id="816545684" name="Imag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t="9537" r="38397" b="8451"/>
                    <a:stretch>
                      <a:fillRect/>
                    </a:stretch>
                  </pic:blipFill>
                  <pic:spPr>
                    <a:xfrm>
                      <a:off x="0" y="0"/>
                      <a:ext cx="4940978" cy="1730383"/>
                    </a:xfrm>
                    <a:prstGeom prst="rect">
                      <a:avLst/>
                    </a:prstGeom>
                    <a:noFill/>
                    <a:ln>
                      <a:noFill/>
                      <a:prstDash/>
                    </a:ln>
                  </pic:spPr>
                </pic:pic>
              </a:graphicData>
            </a:graphic>
          </wp:inline>
        </w:drawing>
      </w:r>
    </w:p>
    <w:p w14:paraId="445F9096" w14:textId="77777777" w:rsidR="00FF1B70" w:rsidRDefault="00FF1B70">
      <w:pPr>
        <w:rPr>
          <w:lang w:val="en-US"/>
        </w:rPr>
      </w:pPr>
    </w:p>
    <w:p w14:paraId="213A9C9E" w14:textId="77777777" w:rsidR="00FF1B70" w:rsidRDefault="00000000">
      <w:pPr>
        <w:pStyle w:val="Heading2"/>
        <w:rPr>
          <w:b/>
          <w:color w:val="auto"/>
          <w:sz w:val="20"/>
        </w:rPr>
      </w:pPr>
      <w:r>
        <w:rPr>
          <w:b/>
          <w:color w:val="auto"/>
          <w:sz w:val="20"/>
        </w:rPr>
        <w:t>Appendix 4: Correlation Matrix</w:t>
      </w:r>
    </w:p>
    <w:p w14:paraId="60970FDF" w14:textId="77777777" w:rsidR="00FF1B70" w:rsidRDefault="00000000">
      <w:r>
        <w:rPr>
          <w:noProof/>
          <w:lang w:eastAsia="fr-FR"/>
        </w:rPr>
        <w:drawing>
          <wp:inline distT="0" distB="0" distL="0" distR="0" wp14:anchorId="084AC537" wp14:editId="377C9125">
            <wp:extent cx="3855549" cy="1998905"/>
            <wp:effectExtent l="0" t="0" r="0" b="1345"/>
            <wp:docPr id="459902781" name="Imag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t="8483" r="32307"/>
                    <a:stretch>
                      <a:fillRect/>
                    </a:stretch>
                  </pic:blipFill>
                  <pic:spPr>
                    <a:xfrm>
                      <a:off x="0" y="0"/>
                      <a:ext cx="3855549" cy="1998905"/>
                    </a:xfrm>
                    <a:prstGeom prst="rect">
                      <a:avLst/>
                    </a:prstGeom>
                    <a:noFill/>
                    <a:ln>
                      <a:noFill/>
                      <a:prstDash/>
                    </a:ln>
                  </pic:spPr>
                </pic:pic>
              </a:graphicData>
            </a:graphic>
          </wp:inline>
        </w:drawing>
      </w:r>
      <w:r>
        <w:rPr>
          <w:noProof/>
          <w:lang w:eastAsia="fr-FR"/>
        </w:rPr>
        <w:drawing>
          <wp:inline distT="0" distB="0" distL="0" distR="0" wp14:anchorId="40D8FAD4" wp14:editId="5F1B6E4E">
            <wp:extent cx="1337374" cy="1988070"/>
            <wp:effectExtent l="0" t="0" r="0" b="0"/>
            <wp:docPr id="1700413430" name="Image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t="19627" r="65356"/>
                    <a:stretch>
                      <a:fillRect/>
                    </a:stretch>
                  </pic:blipFill>
                  <pic:spPr>
                    <a:xfrm>
                      <a:off x="0" y="0"/>
                      <a:ext cx="1337374" cy="1988070"/>
                    </a:xfrm>
                    <a:prstGeom prst="rect">
                      <a:avLst/>
                    </a:prstGeom>
                    <a:noFill/>
                    <a:ln>
                      <a:noFill/>
                      <a:prstDash/>
                    </a:ln>
                  </pic:spPr>
                </pic:pic>
              </a:graphicData>
            </a:graphic>
          </wp:inline>
        </w:drawing>
      </w:r>
    </w:p>
    <w:p w14:paraId="1E48B9E0" w14:textId="77777777" w:rsidR="00FF1B70" w:rsidRDefault="00FF1B70">
      <w:pPr>
        <w:rPr>
          <w:lang w:val="en-US"/>
        </w:rPr>
      </w:pPr>
    </w:p>
    <w:p w14:paraId="670F9460" w14:textId="77777777" w:rsidR="00FF1B70" w:rsidRDefault="00000000">
      <w:pPr>
        <w:pStyle w:val="Heading2"/>
        <w:rPr>
          <w:b/>
          <w:color w:val="auto"/>
          <w:sz w:val="22"/>
        </w:rPr>
      </w:pPr>
      <w:r>
        <w:rPr>
          <w:b/>
          <w:color w:val="auto"/>
          <w:sz w:val="22"/>
        </w:rPr>
        <w:t>Appendix 5: Result of Kaiser-Meyer-Olkin test and Scree plot of Eigen values ​​after PCA</w:t>
      </w:r>
    </w:p>
    <w:p w14:paraId="5BBC0416" w14:textId="77777777" w:rsidR="00FF1B70" w:rsidRDefault="00000000">
      <w:pPr>
        <w:jc w:val="center"/>
      </w:pPr>
      <w:r>
        <w:rPr>
          <w:noProof/>
          <w:lang w:eastAsia="fr-FR"/>
        </w:rPr>
        <w:drawing>
          <wp:inline distT="0" distB="0" distL="0" distR="0" wp14:anchorId="3A6397A1" wp14:editId="19BCC78B">
            <wp:extent cx="2790492" cy="1706892"/>
            <wp:effectExtent l="0" t="0" r="0" b="7608"/>
            <wp:docPr id="394573158" name="Imag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2790492" cy="1706892"/>
                    </a:xfrm>
                    <a:prstGeom prst="rect">
                      <a:avLst/>
                    </a:prstGeom>
                    <a:noFill/>
                    <a:ln>
                      <a:noFill/>
                      <a:prstDash/>
                    </a:ln>
                  </pic:spPr>
                </pic:pic>
              </a:graphicData>
            </a:graphic>
          </wp:inline>
        </w:drawing>
      </w:r>
      <w:r>
        <w:rPr>
          <w:noProof/>
          <w:lang w:eastAsia="fr-FR"/>
        </w:rPr>
        <w:drawing>
          <wp:inline distT="0" distB="0" distL="0" distR="0" wp14:anchorId="7A3FE0FB" wp14:editId="7FA6F3F1">
            <wp:extent cx="2068976" cy="1864845"/>
            <wp:effectExtent l="0" t="0" r="7474" b="0"/>
            <wp:docPr id="989055544" name="Imag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rcRect t="8727" r="60377" b="7190"/>
                    <a:stretch>
                      <a:fillRect/>
                    </a:stretch>
                  </pic:blipFill>
                  <pic:spPr>
                    <a:xfrm>
                      <a:off x="0" y="0"/>
                      <a:ext cx="2068976" cy="1864845"/>
                    </a:xfrm>
                    <a:prstGeom prst="rect">
                      <a:avLst/>
                    </a:prstGeom>
                    <a:noFill/>
                    <a:ln>
                      <a:noFill/>
                      <a:prstDash/>
                    </a:ln>
                  </pic:spPr>
                </pic:pic>
              </a:graphicData>
            </a:graphic>
          </wp:inline>
        </w:drawing>
      </w:r>
    </w:p>
    <w:p w14:paraId="56F59855" w14:textId="77777777" w:rsidR="00FF1B70" w:rsidRDefault="00FF1B70">
      <w:pPr>
        <w:jc w:val="center"/>
        <w:rPr>
          <w:b/>
          <w:lang w:val="en-US"/>
        </w:rPr>
      </w:pPr>
    </w:p>
    <w:p w14:paraId="26E1D4A4" w14:textId="77777777" w:rsidR="00FF1B70" w:rsidRDefault="00000000">
      <w:pPr>
        <w:jc w:val="center"/>
      </w:pPr>
      <w:r>
        <w:rPr>
          <w:noProof/>
          <w:lang w:eastAsia="fr-FR"/>
        </w:rPr>
        <w:drawing>
          <wp:inline distT="0" distB="0" distL="0" distR="0" wp14:anchorId="42E96102" wp14:editId="0E3B5854">
            <wp:extent cx="3930767" cy="1816656"/>
            <wp:effectExtent l="0" t="0" r="0" b="0"/>
            <wp:docPr id="699398214" name="Image 2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t="8334" r="32310"/>
                    <a:stretch>
                      <a:fillRect/>
                    </a:stretch>
                  </pic:blipFill>
                  <pic:spPr>
                    <a:xfrm>
                      <a:off x="0" y="0"/>
                      <a:ext cx="3930767" cy="1816656"/>
                    </a:xfrm>
                    <a:prstGeom prst="rect">
                      <a:avLst/>
                    </a:prstGeom>
                    <a:noFill/>
                    <a:ln>
                      <a:noFill/>
                      <a:prstDash/>
                    </a:ln>
                  </pic:spPr>
                </pic:pic>
              </a:graphicData>
            </a:graphic>
          </wp:inline>
        </w:drawing>
      </w:r>
      <w:r>
        <w:rPr>
          <w:noProof/>
          <w:lang w:eastAsia="fr-FR"/>
        </w:rPr>
        <w:drawing>
          <wp:inline distT="0" distB="0" distL="0" distR="0" wp14:anchorId="15B856C0" wp14:editId="5BE4BB1F">
            <wp:extent cx="1158956" cy="1831451"/>
            <wp:effectExtent l="0" t="0" r="3094" b="0"/>
            <wp:docPr id="1946991408" name="Image 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rcRect t="18419" r="67460"/>
                    <a:stretch>
                      <a:fillRect/>
                    </a:stretch>
                  </pic:blipFill>
                  <pic:spPr>
                    <a:xfrm>
                      <a:off x="0" y="0"/>
                      <a:ext cx="1158956" cy="1831451"/>
                    </a:xfrm>
                    <a:prstGeom prst="rect">
                      <a:avLst/>
                    </a:prstGeom>
                    <a:noFill/>
                    <a:ln>
                      <a:noFill/>
                      <a:prstDash/>
                    </a:ln>
                  </pic:spPr>
                </pic:pic>
              </a:graphicData>
            </a:graphic>
          </wp:inline>
        </w:drawing>
      </w:r>
    </w:p>
    <w:sectPr w:rsidR="00FF1B70">
      <w:footerReference w:type="default" r:id="rId13"/>
      <w:pgSz w:w="11906" w:h="16838"/>
      <w:pgMar w:top="993" w:right="1417" w:bottom="1276" w:left="1417" w:header="708"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DA657" w14:textId="77777777" w:rsidR="00BB71A5" w:rsidRDefault="00BB71A5">
      <w:pPr>
        <w:spacing w:after="0" w:line="240" w:lineRule="auto"/>
      </w:pPr>
      <w:r>
        <w:separator/>
      </w:r>
    </w:p>
  </w:endnote>
  <w:endnote w:type="continuationSeparator" w:id="0">
    <w:p w14:paraId="08B4ABD0" w14:textId="77777777" w:rsidR="00BB71A5" w:rsidRDefault="00BB71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D183D" w14:textId="77777777" w:rsidR="00000000" w:rsidRDefault="00000000">
    <w:pPr>
      <w:pStyle w:val="Footer"/>
      <w:jc w:val="right"/>
    </w:pPr>
    <w:r>
      <w:fldChar w:fldCharType="begin"/>
    </w:r>
    <w:r>
      <w:instrText xml:space="preserve"> PAGE </w:instrText>
    </w:r>
    <w:r>
      <w:fldChar w:fldCharType="separate"/>
    </w:r>
    <w:r>
      <w:t>19</w:t>
    </w:r>
    <w:r>
      <w:fldChar w:fldCharType="end"/>
    </w:r>
  </w:p>
  <w:p w14:paraId="35C7A9F0" w14:textId="77777777" w:rsidR="00000000"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EC761" w14:textId="77777777" w:rsidR="00BB71A5" w:rsidRDefault="00BB71A5">
      <w:pPr>
        <w:spacing w:after="0" w:line="240" w:lineRule="auto"/>
      </w:pPr>
      <w:r>
        <w:rPr>
          <w:color w:val="000000"/>
        </w:rPr>
        <w:separator/>
      </w:r>
    </w:p>
  </w:footnote>
  <w:footnote w:type="continuationSeparator" w:id="0">
    <w:p w14:paraId="2936C165" w14:textId="77777777" w:rsidR="00BB71A5" w:rsidRDefault="00BB71A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FF1B70"/>
    <w:rsid w:val="00B967F5"/>
    <w:rsid w:val="00BA7428"/>
    <w:rsid w:val="00BB71A5"/>
    <w:rsid w:val="00FF1B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2725D"/>
  <w15:docId w15:val="{6D04957B-25C5-4C9B-B694-9C64FECEF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256" w:lineRule="auto"/>
    </w:pPr>
    <w:rPr>
      <w:kern w:val="0"/>
      <w:sz w:val="22"/>
      <w:szCs w:val="22"/>
      <w:lang w:val="fr-FR"/>
    </w:rPr>
  </w:style>
  <w:style w:type="paragraph" w:styleId="Heading1">
    <w:name w:val="heading 1"/>
    <w:basedOn w:val="Normal"/>
    <w:next w:val="Normal"/>
    <w:uiPriority w:val="9"/>
    <w:qFormat/>
    <w:pPr>
      <w:keepNext/>
      <w:keepLines/>
      <w:spacing w:before="360" w:after="80" w:line="276" w:lineRule="auto"/>
      <w:outlineLvl w:val="0"/>
    </w:pPr>
    <w:rPr>
      <w:rFonts w:ascii="Aptos Display" w:eastAsia="Times New Roman" w:hAnsi="Aptos Display"/>
      <w:color w:val="0F4761"/>
      <w:kern w:val="3"/>
      <w:sz w:val="40"/>
      <w:szCs w:val="40"/>
      <w:lang w:val="en-US"/>
    </w:rPr>
  </w:style>
  <w:style w:type="paragraph" w:styleId="Heading2">
    <w:name w:val="heading 2"/>
    <w:basedOn w:val="Normal"/>
    <w:next w:val="Normal"/>
    <w:uiPriority w:val="9"/>
    <w:unhideWhenUsed/>
    <w:qFormat/>
    <w:pPr>
      <w:keepNext/>
      <w:keepLines/>
      <w:spacing w:before="160" w:after="80" w:line="276" w:lineRule="auto"/>
      <w:outlineLvl w:val="1"/>
    </w:pPr>
    <w:rPr>
      <w:rFonts w:ascii="Aptos Display" w:eastAsia="Times New Roman" w:hAnsi="Aptos Display"/>
      <w:color w:val="0F4761"/>
      <w:kern w:val="3"/>
      <w:sz w:val="32"/>
      <w:szCs w:val="32"/>
      <w:lang w:val="en-US"/>
    </w:rPr>
  </w:style>
  <w:style w:type="paragraph" w:styleId="Heading3">
    <w:name w:val="heading 3"/>
    <w:basedOn w:val="Normal"/>
    <w:next w:val="Normal"/>
    <w:uiPriority w:val="9"/>
    <w:semiHidden/>
    <w:unhideWhenUsed/>
    <w:qFormat/>
    <w:pPr>
      <w:keepNext/>
      <w:keepLines/>
      <w:spacing w:before="160" w:after="80" w:line="276" w:lineRule="auto"/>
      <w:outlineLvl w:val="2"/>
    </w:pPr>
    <w:rPr>
      <w:rFonts w:eastAsia="Times New Roman"/>
      <w:color w:val="0F4761"/>
      <w:kern w:val="3"/>
      <w:sz w:val="28"/>
      <w:szCs w:val="28"/>
      <w:lang w:val="en-US"/>
    </w:rPr>
  </w:style>
  <w:style w:type="paragraph" w:styleId="Heading4">
    <w:name w:val="heading 4"/>
    <w:basedOn w:val="Normal"/>
    <w:next w:val="Normal"/>
    <w:uiPriority w:val="9"/>
    <w:semiHidden/>
    <w:unhideWhenUsed/>
    <w:qFormat/>
    <w:pPr>
      <w:keepNext/>
      <w:keepLines/>
      <w:spacing w:before="80" w:after="40" w:line="276" w:lineRule="auto"/>
      <w:outlineLvl w:val="3"/>
    </w:pPr>
    <w:rPr>
      <w:rFonts w:eastAsia="Times New Roman"/>
      <w:i/>
      <w:iCs/>
      <w:color w:val="0F4761"/>
      <w:kern w:val="3"/>
      <w:sz w:val="24"/>
      <w:szCs w:val="24"/>
      <w:lang w:val="en-US"/>
    </w:rPr>
  </w:style>
  <w:style w:type="paragraph" w:styleId="Heading5">
    <w:name w:val="heading 5"/>
    <w:basedOn w:val="Normal"/>
    <w:next w:val="Normal"/>
    <w:uiPriority w:val="9"/>
    <w:semiHidden/>
    <w:unhideWhenUsed/>
    <w:qFormat/>
    <w:pPr>
      <w:keepNext/>
      <w:keepLines/>
      <w:spacing w:before="80" w:after="40" w:line="276" w:lineRule="auto"/>
      <w:outlineLvl w:val="4"/>
    </w:pPr>
    <w:rPr>
      <w:rFonts w:eastAsia="Times New Roman"/>
      <w:color w:val="0F4761"/>
      <w:kern w:val="3"/>
      <w:sz w:val="24"/>
      <w:szCs w:val="24"/>
      <w:lang w:val="en-US"/>
    </w:rPr>
  </w:style>
  <w:style w:type="paragraph" w:styleId="Heading6">
    <w:name w:val="heading 6"/>
    <w:basedOn w:val="Normal"/>
    <w:next w:val="Normal"/>
    <w:uiPriority w:val="9"/>
    <w:semiHidden/>
    <w:unhideWhenUsed/>
    <w:qFormat/>
    <w:pPr>
      <w:keepNext/>
      <w:keepLines/>
      <w:spacing w:before="40" w:after="0" w:line="276" w:lineRule="auto"/>
      <w:outlineLvl w:val="5"/>
    </w:pPr>
    <w:rPr>
      <w:rFonts w:eastAsia="Times New Roman"/>
      <w:i/>
      <w:iCs/>
      <w:color w:val="595959"/>
      <w:kern w:val="3"/>
      <w:sz w:val="24"/>
      <w:szCs w:val="24"/>
      <w:lang w:val="en-US"/>
    </w:rPr>
  </w:style>
  <w:style w:type="paragraph" w:styleId="Heading7">
    <w:name w:val="heading 7"/>
    <w:basedOn w:val="Normal"/>
    <w:next w:val="Normal"/>
    <w:pPr>
      <w:keepNext/>
      <w:keepLines/>
      <w:spacing w:before="40" w:after="0" w:line="276" w:lineRule="auto"/>
      <w:outlineLvl w:val="6"/>
    </w:pPr>
    <w:rPr>
      <w:rFonts w:eastAsia="Times New Roman"/>
      <w:color w:val="595959"/>
      <w:kern w:val="3"/>
      <w:sz w:val="24"/>
      <w:szCs w:val="24"/>
      <w:lang w:val="en-US"/>
    </w:rPr>
  </w:style>
  <w:style w:type="paragraph" w:styleId="Heading8">
    <w:name w:val="heading 8"/>
    <w:basedOn w:val="Normal"/>
    <w:next w:val="Normal"/>
    <w:pPr>
      <w:keepNext/>
      <w:keepLines/>
      <w:spacing w:after="0" w:line="276" w:lineRule="auto"/>
      <w:outlineLvl w:val="7"/>
    </w:pPr>
    <w:rPr>
      <w:rFonts w:eastAsia="Times New Roman"/>
      <w:i/>
      <w:iCs/>
      <w:color w:val="272727"/>
      <w:kern w:val="3"/>
      <w:sz w:val="24"/>
      <w:szCs w:val="24"/>
      <w:lang w:val="en-US"/>
    </w:rPr>
  </w:style>
  <w:style w:type="paragraph" w:styleId="Heading9">
    <w:name w:val="heading 9"/>
    <w:basedOn w:val="Normal"/>
    <w:next w:val="Normal"/>
    <w:pPr>
      <w:keepNext/>
      <w:keepLines/>
      <w:spacing w:after="0" w:line="276" w:lineRule="auto"/>
      <w:outlineLvl w:val="8"/>
    </w:pPr>
    <w:rPr>
      <w:rFonts w:eastAsia="Times New Roman"/>
      <w:color w:val="272727"/>
      <w:kern w:val="3"/>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eastAsia="Times New Roman" w:hAnsi="Aptos Display"/>
      <w:spacing w:val="-10"/>
      <w:kern w:val="3"/>
      <w:sz w:val="56"/>
      <w:szCs w:val="56"/>
      <w:lang w:val="en-US"/>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pPr>
      <w:spacing w:line="276" w:lineRule="auto"/>
    </w:pPr>
    <w:rPr>
      <w:rFonts w:eastAsia="Times New Roman"/>
      <w:color w:val="595959"/>
      <w:spacing w:val="15"/>
      <w:kern w:val="3"/>
      <w:sz w:val="28"/>
      <w:szCs w:val="28"/>
      <w:lang w:val="en-US"/>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line="276" w:lineRule="auto"/>
      <w:jc w:val="center"/>
    </w:pPr>
    <w:rPr>
      <w:i/>
      <w:iCs/>
      <w:color w:val="404040"/>
      <w:kern w:val="3"/>
      <w:sz w:val="24"/>
      <w:szCs w:val="24"/>
      <w:lang w:val="en-US"/>
    </w:rPr>
  </w:style>
  <w:style w:type="character" w:customStyle="1" w:styleId="QuoteChar">
    <w:name w:val="Quote Char"/>
    <w:basedOn w:val="DefaultParagraphFont"/>
    <w:rPr>
      <w:i/>
      <w:iCs/>
      <w:color w:val="404040"/>
    </w:rPr>
  </w:style>
  <w:style w:type="paragraph" w:styleId="ListParagraph">
    <w:name w:val="List Paragraph"/>
    <w:basedOn w:val="Normal"/>
    <w:pPr>
      <w:spacing w:line="276" w:lineRule="auto"/>
      <w:ind w:left="720"/>
      <w:contextualSpacing/>
    </w:pPr>
    <w:rPr>
      <w:kern w:val="3"/>
      <w:sz w:val="24"/>
      <w:szCs w:val="24"/>
      <w:lang w:val="en-US"/>
    </w:r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line="276" w:lineRule="auto"/>
      <w:ind w:left="864" w:right="864"/>
      <w:jc w:val="center"/>
    </w:pPr>
    <w:rPr>
      <w:i/>
      <w:iCs/>
      <w:color w:val="0F4761"/>
      <w:kern w:val="3"/>
      <w:sz w:val="24"/>
      <w:szCs w:val="24"/>
      <w:lang w:val="en-US"/>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paragraph" w:styleId="BodyText">
    <w:name w:val="Body Text"/>
    <w:basedOn w:val="Normal"/>
    <w:pPr>
      <w:spacing w:after="120"/>
    </w:pPr>
  </w:style>
  <w:style w:type="character" w:customStyle="1" w:styleId="BodyTextChar">
    <w:name w:val="Body Text Char"/>
    <w:basedOn w:val="DefaultParagraphFont"/>
    <w:rPr>
      <w:kern w:val="0"/>
      <w:sz w:val="22"/>
      <w:szCs w:val="22"/>
      <w:lang w:val="fr-FR"/>
    </w:rPr>
  </w:style>
  <w:style w:type="paragraph" w:styleId="Footer">
    <w:name w:val="footer"/>
    <w:basedOn w:val="Normal"/>
    <w:pPr>
      <w:tabs>
        <w:tab w:val="center" w:pos="4536"/>
        <w:tab w:val="right" w:pos="9072"/>
      </w:tabs>
      <w:spacing w:after="0" w:line="240" w:lineRule="auto"/>
    </w:pPr>
  </w:style>
  <w:style w:type="character" w:customStyle="1" w:styleId="FooterChar">
    <w:name w:val="Footer Char"/>
    <w:basedOn w:val="DefaultParagraphFont"/>
    <w:rPr>
      <w:kern w:val="0"/>
      <w:sz w:val="22"/>
      <w:szCs w:val="22"/>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image" Target="media/image7.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1097</Words>
  <Characters>6253</Characters>
  <Application>Microsoft Office Word</Application>
  <DocSecurity>0</DocSecurity>
  <Lines>52</Lines>
  <Paragraphs>14</Paragraphs>
  <ScaleCrop>false</ScaleCrop>
  <Company>Springer Nature</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dc:description/>
  <cp:lastModifiedBy>Rizwan Khan</cp:lastModifiedBy>
  <cp:revision>2</cp:revision>
  <dcterms:created xsi:type="dcterms:W3CDTF">2025-07-15T09:22:00Z</dcterms:created>
  <dcterms:modified xsi:type="dcterms:W3CDTF">2025-07-15T09:22:00Z</dcterms:modified>
</cp:coreProperties>
</file>