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5D747" w14:textId="77777777" w:rsidR="00FE570A" w:rsidRPr="00FE570A" w:rsidRDefault="00FE570A" w:rsidP="00FE570A">
      <w:r w:rsidRPr="00FE570A">
        <w:t>Supplementary Tables</w:t>
      </w:r>
    </w:p>
    <w:p w14:paraId="4B70A811" w14:textId="77777777" w:rsidR="00FE570A" w:rsidRPr="00FE570A" w:rsidRDefault="00FE570A" w:rsidP="00FE570A">
      <w:pPr>
        <w:rPr>
          <w:b/>
          <w:bCs/>
          <w:lang w:val="en-AU"/>
        </w:rPr>
      </w:pPr>
      <w:bookmarkStart w:id="0" w:name="_Ref184383588"/>
      <w:bookmarkStart w:id="1" w:name="_Ref184708168"/>
      <w:bookmarkStart w:id="2" w:name="_Ref178841558"/>
      <w:bookmarkStart w:id="3" w:name="_Toc157439941"/>
      <w:bookmarkStart w:id="4" w:name="_Ref161778539"/>
      <w:bookmarkStart w:id="5" w:name="_Toc163204304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</w:t>
      </w:r>
      <w:r w:rsidRPr="00FE570A">
        <w:fldChar w:fldCharType="end"/>
      </w:r>
      <w:bookmarkEnd w:id="0"/>
      <w:r w:rsidRPr="00FE570A">
        <w:rPr>
          <w:lang w:val="en-AU"/>
        </w:rPr>
        <w:t>. List of 176 targets included in mNGS assay and their associated category (see Excel file).</w:t>
      </w:r>
      <w:bookmarkEnd w:id="1"/>
    </w:p>
    <w:p w14:paraId="3BEC75F5" w14:textId="77777777" w:rsidR="00FE570A" w:rsidRPr="00FE570A" w:rsidRDefault="00FE570A" w:rsidP="00FE570A">
      <w:pPr>
        <w:rPr>
          <w:lang w:val="en-AU"/>
        </w:rPr>
      </w:pPr>
      <w:bookmarkStart w:id="6" w:name="_Ref184383706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2</w:t>
      </w:r>
      <w:r w:rsidRPr="00FE570A">
        <w:fldChar w:fldCharType="end"/>
      </w:r>
      <w:bookmarkEnd w:id="2"/>
      <w:bookmarkEnd w:id="6"/>
      <w:r w:rsidRPr="00FE570A">
        <w:rPr>
          <w:lang w:val="en-AU"/>
        </w:rPr>
        <w:t>. Reference and discrepancy testing of clinical samples by DHM and Microba</w:t>
      </w:r>
      <w:bookmarkEnd w:id="3"/>
      <w:bookmarkEnd w:id="4"/>
      <w:bookmarkEnd w:id="5"/>
      <w:r w:rsidRPr="00FE570A">
        <w:rPr>
          <w:lang w:val="en-AU"/>
        </w:rPr>
        <w:t>.</w:t>
      </w:r>
    </w:p>
    <w:tbl>
      <w:tblPr>
        <w:tblStyle w:val="PlainTable5"/>
        <w:tblW w:w="0" w:type="auto"/>
        <w:jc w:val="center"/>
        <w:tblLook w:val="04A0" w:firstRow="1" w:lastRow="0" w:firstColumn="1" w:lastColumn="0" w:noHBand="0" w:noVBand="1"/>
      </w:tblPr>
      <w:tblGrid>
        <w:gridCol w:w="1033"/>
        <w:gridCol w:w="1044"/>
        <w:gridCol w:w="1044"/>
        <w:gridCol w:w="766"/>
        <w:gridCol w:w="1138"/>
        <w:gridCol w:w="1015"/>
        <w:gridCol w:w="722"/>
        <w:gridCol w:w="687"/>
        <w:gridCol w:w="944"/>
        <w:gridCol w:w="967"/>
      </w:tblGrid>
      <w:tr w:rsidR="00FE570A" w:rsidRPr="00FE570A" w14:paraId="2B5EDCD5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nil"/>
              <w:left w:val="nil"/>
            </w:tcBorders>
          </w:tcPr>
          <w:p w14:paraId="7976136A" w14:textId="77777777" w:rsidR="00FE570A" w:rsidRPr="00FE570A" w:rsidRDefault="00FE570A" w:rsidP="00FE570A">
            <w:pPr>
              <w:spacing w:after="160" w:line="278" w:lineRule="auto"/>
              <w:jc w:val="left"/>
              <w:rPr>
                <w:lang w:val="en-AU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right w:val="single" w:sz="4" w:space="0" w:color="auto"/>
            </w:tcBorders>
            <w:hideMark/>
          </w:tcPr>
          <w:p w14:paraId="41D3BA6D" w14:textId="77777777" w:rsidR="00FE570A" w:rsidRPr="00FE570A" w:rsidRDefault="00FE570A" w:rsidP="00FE5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Seegene PCR Assay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right w:val="nil"/>
            </w:tcBorders>
          </w:tcPr>
          <w:p w14:paraId="72A3B73E" w14:textId="77777777" w:rsidR="00FE570A" w:rsidRPr="00FE570A" w:rsidRDefault="00FE570A" w:rsidP="00FE5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DB9C8F3" w14:textId="77777777" w:rsidR="00FE570A" w:rsidRPr="00FE570A" w:rsidRDefault="00FE570A" w:rsidP="00FE5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</w:p>
        </w:tc>
      </w:tr>
      <w:tr w:rsidR="00FE570A" w:rsidRPr="00FE570A" w14:paraId="19A066C4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</w:tcBorders>
          </w:tcPr>
          <w:p w14:paraId="714AA6F3" w14:textId="77777777" w:rsidR="00FE570A" w:rsidRPr="00FE570A" w:rsidRDefault="00FE570A" w:rsidP="00FE570A">
            <w:pPr>
              <w:spacing w:after="160" w:line="278" w:lineRule="auto"/>
              <w:jc w:val="left"/>
              <w:rPr>
                <w:lang w:val="en-AU"/>
              </w:rPr>
            </w:pPr>
          </w:p>
        </w:tc>
        <w:tc>
          <w:tcPr>
            <w:tcW w:w="0" w:type="auto"/>
            <w:hideMark/>
          </w:tcPr>
          <w:p w14:paraId="57F3B4BB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0" w:type="auto"/>
            <w:hideMark/>
          </w:tcPr>
          <w:p w14:paraId="3B695EE6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AU"/>
              </w:rPr>
            </w:pPr>
            <w:r w:rsidRPr="00FE570A">
              <w:rPr>
                <w:lang w:val="en-AU"/>
              </w:rPr>
              <w:t>GI-Bacteria (II)</w:t>
            </w:r>
          </w:p>
        </w:tc>
        <w:tc>
          <w:tcPr>
            <w:tcW w:w="0" w:type="auto"/>
            <w:hideMark/>
          </w:tcPr>
          <w:p w14:paraId="546A65C9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H. pylori</w:t>
            </w:r>
          </w:p>
        </w:tc>
        <w:tc>
          <w:tcPr>
            <w:tcW w:w="0" w:type="auto"/>
            <w:hideMark/>
          </w:tcPr>
          <w:p w14:paraId="10CFADC2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GI-Helminth</w:t>
            </w:r>
          </w:p>
        </w:tc>
        <w:tc>
          <w:tcPr>
            <w:tcW w:w="0" w:type="auto"/>
            <w:hideMark/>
          </w:tcPr>
          <w:p w14:paraId="0A49A7DF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GI-Parasite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6B9D8EC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GI-Virus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2C3B770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MCS</w:t>
            </w:r>
          </w:p>
        </w:tc>
        <w:tc>
          <w:tcPr>
            <w:tcW w:w="0" w:type="auto"/>
            <w:hideMark/>
          </w:tcPr>
          <w:p w14:paraId="09613E80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MALDI-TOF</w:t>
            </w:r>
          </w:p>
        </w:tc>
        <w:tc>
          <w:tcPr>
            <w:tcW w:w="0" w:type="auto"/>
            <w:hideMark/>
          </w:tcPr>
          <w:p w14:paraId="72A75CCF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Antigen</w:t>
            </w:r>
          </w:p>
        </w:tc>
      </w:tr>
      <w:tr w:rsidR="00FE570A" w:rsidRPr="00FE570A" w14:paraId="0CDD2DA3" w14:textId="77777777" w:rsidTr="00FE570A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</w:tcBorders>
            <w:hideMark/>
          </w:tcPr>
          <w:p w14:paraId="39932088" w14:textId="77777777" w:rsidR="00FE570A" w:rsidRPr="00FE570A" w:rsidRDefault="00FE570A" w:rsidP="00FE570A">
            <w:pPr>
              <w:spacing w:after="160" w:line="278" w:lineRule="auto"/>
              <w:jc w:val="left"/>
              <w:rPr>
                <w:lang w:val="en-AU"/>
              </w:rPr>
            </w:pPr>
            <w:r w:rsidRPr="00FE570A">
              <w:rPr>
                <w:lang w:val="en-AU"/>
              </w:rPr>
              <w:t>DHM</w:t>
            </w:r>
          </w:p>
        </w:tc>
        <w:tc>
          <w:tcPr>
            <w:tcW w:w="0" w:type="auto"/>
            <w:hideMark/>
          </w:tcPr>
          <w:p w14:paraId="5C53C524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480</w:t>
            </w:r>
          </w:p>
        </w:tc>
        <w:tc>
          <w:tcPr>
            <w:tcW w:w="0" w:type="auto"/>
            <w:hideMark/>
          </w:tcPr>
          <w:p w14:paraId="14BED7B6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78662E97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03165005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0A08785B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1FDF8CE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162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73EB4B9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  <w:tc>
          <w:tcPr>
            <w:tcW w:w="0" w:type="auto"/>
            <w:hideMark/>
          </w:tcPr>
          <w:p w14:paraId="0BA7C2C8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  <w:tc>
          <w:tcPr>
            <w:tcW w:w="0" w:type="auto"/>
            <w:hideMark/>
          </w:tcPr>
          <w:p w14:paraId="3DE81E3F" w14:textId="77777777" w:rsidR="00FE570A" w:rsidRPr="00FE570A" w:rsidRDefault="00FE570A" w:rsidP="00FE5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136</w:t>
            </w:r>
          </w:p>
        </w:tc>
      </w:tr>
      <w:tr w:rsidR="00FE570A" w:rsidRPr="00FE570A" w14:paraId="11B8A231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</w:tcBorders>
            <w:hideMark/>
          </w:tcPr>
          <w:p w14:paraId="1C2C8E99" w14:textId="77777777" w:rsidR="00FE570A" w:rsidRPr="00FE570A" w:rsidRDefault="00FE570A" w:rsidP="00FE570A">
            <w:pPr>
              <w:spacing w:after="160" w:line="278" w:lineRule="auto"/>
              <w:jc w:val="left"/>
              <w:rPr>
                <w:lang w:val="en-AU"/>
              </w:rPr>
            </w:pPr>
            <w:r w:rsidRPr="00FE570A">
              <w:rPr>
                <w:lang w:val="en-AU"/>
              </w:rPr>
              <w:t>Microba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6748E3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642D58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2C4CA1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849726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A784C4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9D259F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2B93D78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781668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00909C" w14:textId="77777777" w:rsidR="00FE570A" w:rsidRPr="00FE570A" w:rsidRDefault="00FE570A" w:rsidP="00FE5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</w:tr>
    </w:tbl>
    <w:p w14:paraId="7332EC64" w14:textId="77777777" w:rsidR="00FE570A" w:rsidRPr="00FE570A" w:rsidRDefault="00FE570A" w:rsidP="00FE570A"/>
    <w:p w14:paraId="03A3BA2F" w14:textId="77777777" w:rsidR="00FE570A" w:rsidRPr="00FE570A" w:rsidRDefault="00FE570A" w:rsidP="00FE570A">
      <w:pPr>
        <w:rPr>
          <w:lang w:val="en-AU"/>
        </w:rPr>
      </w:pPr>
      <w:bookmarkStart w:id="7" w:name="_Ref178855241"/>
      <w:bookmarkStart w:id="8" w:name="_Ref179624130"/>
      <w:bookmarkStart w:id="9" w:name="_Ref178851965"/>
      <w:bookmarkStart w:id="10" w:name="_Toc163204306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3</w:t>
      </w:r>
      <w:r w:rsidRPr="00FE570A">
        <w:fldChar w:fldCharType="end"/>
      </w:r>
      <w:bookmarkEnd w:id="7"/>
      <w:r w:rsidRPr="00FE570A">
        <w:rPr>
          <w:lang w:val="en-AU"/>
        </w:rPr>
        <w:t>. mNGS species or target names comprising comparison reference target</w:t>
      </w:r>
      <w:bookmarkEnd w:id="8"/>
      <w:r w:rsidRPr="00FE570A">
        <w:rPr>
          <w:lang w:val="en-AU"/>
        </w:rPr>
        <w:t>s along with Seegene PCR assays and C</w:t>
      </w:r>
      <w:r w:rsidRPr="00FE570A">
        <w:rPr>
          <w:vertAlign w:val="subscript"/>
          <w:lang w:val="en-AU"/>
        </w:rPr>
        <w:t>t</w:t>
      </w:r>
      <w:r w:rsidRPr="00FE570A">
        <w:rPr>
          <w:lang w:val="en-AU"/>
        </w:rPr>
        <w:t xml:space="preserve"> thresholds.</w:t>
      </w:r>
    </w:p>
    <w:tbl>
      <w:tblPr>
        <w:tblStyle w:val="PlainTable5"/>
        <w:tblW w:w="9360" w:type="dxa"/>
        <w:jc w:val="center"/>
        <w:tblLayout w:type="fixed"/>
        <w:tblLook w:val="0420" w:firstRow="1" w:lastRow="0" w:firstColumn="0" w:lastColumn="0" w:noHBand="0" w:noVBand="1"/>
      </w:tblPr>
      <w:tblGrid>
        <w:gridCol w:w="2790"/>
        <w:gridCol w:w="1350"/>
        <w:gridCol w:w="1080"/>
        <w:gridCol w:w="4140"/>
      </w:tblGrid>
      <w:tr w:rsidR="00FE570A" w:rsidRPr="00FE570A" w14:paraId="2B4C425F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3B2A484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Reference Target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hideMark/>
          </w:tcPr>
          <w:p w14:paraId="6024D11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Seegene PCR Assay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7F77649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C</w:t>
            </w:r>
            <w:r w:rsidRPr="00FE570A">
              <w:rPr>
                <w:vertAlign w:val="subscript"/>
                <w:lang w:val="en-AU"/>
              </w:rPr>
              <w:t>t</w:t>
            </w:r>
            <w:r w:rsidRPr="00FE570A">
              <w:rPr>
                <w:lang w:val="en-AU"/>
              </w:rPr>
              <w:t xml:space="preserve"> threshold</w:t>
            </w:r>
          </w:p>
        </w:tc>
        <w:tc>
          <w:tcPr>
            <w:tcW w:w="4140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225B800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 xml:space="preserve">mNGS Assay Equivalent Targets </w:t>
            </w:r>
          </w:p>
        </w:tc>
      </w:tr>
      <w:tr w:rsidR="00FE570A" w:rsidRPr="00FE570A" w14:paraId="1EC5220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hideMark/>
          </w:tcPr>
          <w:p w14:paraId="279B139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Aeromonas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1350" w:type="dxa"/>
            <w:hideMark/>
          </w:tcPr>
          <w:p w14:paraId="034AB8C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64A09ED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00FA561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A. caviae, A. dhakensis, A. hydrophila, A. veronii</w:t>
            </w:r>
          </w:p>
        </w:tc>
      </w:tr>
      <w:tr w:rsidR="00FE570A" w:rsidRPr="00FE570A" w14:paraId="2AB86C78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0BB7E59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Campylobacter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1350" w:type="dxa"/>
            <w:hideMark/>
          </w:tcPr>
          <w:p w14:paraId="28F00F9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1C93C0E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6B5B5AD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coli, C. jejuni</w:t>
            </w:r>
          </w:p>
        </w:tc>
      </w:tr>
      <w:tr w:rsidR="00FE570A" w:rsidRPr="00FE570A" w14:paraId="11E545A2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0025F39E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Edwardsiella tarda</w:t>
            </w:r>
          </w:p>
        </w:tc>
        <w:tc>
          <w:tcPr>
            <w:tcW w:w="1350" w:type="dxa"/>
            <w:hideMark/>
          </w:tcPr>
          <w:p w14:paraId="4AFF9478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-</w:t>
            </w:r>
          </w:p>
        </w:tc>
        <w:tc>
          <w:tcPr>
            <w:tcW w:w="1080" w:type="dxa"/>
            <w:hideMark/>
          </w:tcPr>
          <w:p w14:paraId="49EF8F8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-</w:t>
            </w:r>
          </w:p>
        </w:tc>
        <w:tc>
          <w:tcPr>
            <w:tcW w:w="4140" w:type="dxa"/>
            <w:hideMark/>
          </w:tcPr>
          <w:p w14:paraId="0662A87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E. tarda</w:t>
            </w:r>
          </w:p>
        </w:tc>
      </w:tr>
      <w:tr w:rsidR="00FE570A" w:rsidRPr="00FE570A" w14:paraId="74EBF851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23AD030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Helicobacter pylori</w:t>
            </w:r>
          </w:p>
        </w:tc>
        <w:tc>
          <w:tcPr>
            <w:tcW w:w="1350" w:type="dxa"/>
            <w:hideMark/>
          </w:tcPr>
          <w:p w14:paraId="3F59558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H. pylori &amp; ClariR</w:t>
            </w:r>
          </w:p>
        </w:tc>
        <w:tc>
          <w:tcPr>
            <w:tcW w:w="1080" w:type="dxa"/>
            <w:hideMark/>
          </w:tcPr>
          <w:p w14:paraId="61338BF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≤50</w:t>
            </w:r>
          </w:p>
        </w:tc>
        <w:tc>
          <w:tcPr>
            <w:tcW w:w="4140" w:type="dxa"/>
            <w:hideMark/>
          </w:tcPr>
          <w:p w14:paraId="118D4DB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H. pylori</w:t>
            </w:r>
          </w:p>
        </w:tc>
      </w:tr>
      <w:tr w:rsidR="00FE570A" w:rsidRPr="00FE570A" w14:paraId="7EF1641F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1BA21F28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Plesiomonas shigelloides</w:t>
            </w:r>
          </w:p>
        </w:tc>
        <w:tc>
          <w:tcPr>
            <w:tcW w:w="1350" w:type="dxa"/>
            <w:hideMark/>
          </w:tcPr>
          <w:p w14:paraId="3592126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-</w:t>
            </w:r>
          </w:p>
        </w:tc>
        <w:tc>
          <w:tcPr>
            <w:tcW w:w="1080" w:type="dxa"/>
            <w:hideMark/>
          </w:tcPr>
          <w:p w14:paraId="3FD7ECB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-</w:t>
            </w:r>
          </w:p>
        </w:tc>
        <w:tc>
          <w:tcPr>
            <w:tcW w:w="4140" w:type="dxa"/>
            <w:hideMark/>
          </w:tcPr>
          <w:p w14:paraId="59A08A9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P. shigelloides</w:t>
            </w:r>
          </w:p>
        </w:tc>
      </w:tr>
      <w:tr w:rsidR="00FE570A" w:rsidRPr="00FE570A" w14:paraId="02CDBBA3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0D9AEBF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Salmonella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1350" w:type="dxa"/>
            <w:hideMark/>
          </w:tcPr>
          <w:p w14:paraId="0B5BB342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57F8B1D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7ACC185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S. bongori, S. enterica</w:t>
            </w:r>
          </w:p>
        </w:tc>
      </w:tr>
      <w:tr w:rsidR="00FE570A" w:rsidRPr="00FE570A" w14:paraId="4787E870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29A41862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lastRenderedPageBreak/>
              <w:t xml:space="preserve">Vibrio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1350" w:type="dxa"/>
            <w:hideMark/>
          </w:tcPr>
          <w:p w14:paraId="17483BF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49319E2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0F8DA1E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V. cholerae, V. parahaemolyticus, V. vulnificus</w:t>
            </w:r>
          </w:p>
        </w:tc>
      </w:tr>
      <w:tr w:rsidR="00FE570A" w:rsidRPr="00FE570A" w14:paraId="0A4DFC97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43ECF74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Yersinia enterocolitica</w:t>
            </w:r>
          </w:p>
        </w:tc>
        <w:tc>
          <w:tcPr>
            <w:tcW w:w="1350" w:type="dxa"/>
            <w:hideMark/>
          </w:tcPr>
          <w:p w14:paraId="74D6B8B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6C79AD4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12F98AC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Y. enterocolitica</w:t>
            </w:r>
          </w:p>
        </w:tc>
      </w:tr>
      <w:tr w:rsidR="00FE570A" w:rsidRPr="00FE570A" w14:paraId="0DD1365E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6CDFEFD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Cryptosporidium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1350" w:type="dxa"/>
            <w:hideMark/>
          </w:tcPr>
          <w:p w14:paraId="6600F3C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GI-Parasite</w:t>
            </w:r>
          </w:p>
        </w:tc>
        <w:tc>
          <w:tcPr>
            <w:tcW w:w="1080" w:type="dxa"/>
            <w:hideMark/>
          </w:tcPr>
          <w:p w14:paraId="4D95100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6A95BF1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felis, C. meleagridis, C. muris, C. ubiquitum, C. viatorum, C. hominis/parvum/cuniculus/tyzzeri complex</w:t>
            </w:r>
          </w:p>
        </w:tc>
      </w:tr>
      <w:tr w:rsidR="00FE570A" w:rsidRPr="00FE570A" w14:paraId="5ED25983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2E1F798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Cyclospora cayetanensis</w:t>
            </w:r>
          </w:p>
        </w:tc>
        <w:tc>
          <w:tcPr>
            <w:tcW w:w="1350" w:type="dxa"/>
            <w:hideMark/>
          </w:tcPr>
          <w:p w14:paraId="088637E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GI-Parasite</w:t>
            </w:r>
          </w:p>
        </w:tc>
        <w:tc>
          <w:tcPr>
            <w:tcW w:w="1080" w:type="dxa"/>
            <w:hideMark/>
          </w:tcPr>
          <w:p w14:paraId="201AE55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42DE223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cayetanensis</w:t>
            </w:r>
          </w:p>
        </w:tc>
      </w:tr>
      <w:tr w:rsidR="00FE570A" w:rsidRPr="00FE570A" w14:paraId="1F11B34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46C0DAC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Entamoeba histolytica</w:t>
            </w:r>
          </w:p>
        </w:tc>
        <w:tc>
          <w:tcPr>
            <w:tcW w:w="1350" w:type="dxa"/>
            <w:hideMark/>
          </w:tcPr>
          <w:p w14:paraId="6F958BC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GI-Parasite</w:t>
            </w:r>
          </w:p>
        </w:tc>
        <w:tc>
          <w:tcPr>
            <w:tcW w:w="1080" w:type="dxa"/>
            <w:hideMark/>
          </w:tcPr>
          <w:p w14:paraId="57207E2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149479C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E. histolytica</w:t>
            </w:r>
          </w:p>
        </w:tc>
      </w:tr>
      <w:tr w:rsidR="00FE570A" w:rsidRPr="00FE570A" w14:paraId="4AD0644C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05182DD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Enterobius vermicularis</w:t>
            </w:r>
          </w:p>
        </w:tc>
        <w:tc>
          <w:tcPr>
            <w:tcW w:w="1350" w:type="dxa"/>
            <w:hideMark/>
          </w:tcPr>
          <w:p w14:paraId="0BA2A88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GI-Helminth (I)</w:t>
            </w:r>
          </w:p>
        </w:tc>
        <w:tc>
          <w:tcPr>
            <w:tcW w:w="1080" w:type="dxa"/>
            <w:hideMark/>
          </w:tcPr>
          <w:p w14:paraId="7A27472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4FE2CC9C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E. vermicularis</w:t>
            </w:r>
          </w:p>
        </w:tc>
      </w:tr>
      <w:tr w:rsidR="00FE570A" w:rsidRPr="00FE570A" w14:paraId="394E5711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37A4997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Giardia lamblia</w:t>
            </w:r>
          </w:p>
        </w:tc>
        <w:tc>
          <w:tcPr>
            <w:tcW w:w="1350" w:type="dxa"/>
            <w:hideMark/>
          </w:tcPr>
          <w:p w14:paraId="40A04C9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GI-Parasite</w:t>
            </w:r>
          </w:p>
        </w:tc>
        <w:tc>
          <w:tcPr>
            <w:tcW w:w="1080" w:type="dxa"/>
            <w:hideMark/>
          </w:tcPr>
          <w:p w14:paraId="60A7E97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24B4708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G. intestinalis</w:t>
            </w:r>
          </w:p>
        </w:tc>
      </w:tr>
      <w:tr w:rsidR="00FE570A" w:rsidRPr="00FE570A" w14:paraId="7DE7F890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0D6F0776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Strongyloides stercoralis</w:t>
            </w:r>
          </w:p>
        </w:tc>
        <w:tc>
          <w:tcPr>
            <w:tcW w:w="1350" w:type="dxa"/>
            <w:hideMark/>
          </w:tcPr>
          <w:p w14:paraId="777DFD0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GI-Helminth (I)</w:t>
            </w:r>
          </w:p>
        </w:tc>
        <w:tc>
          <w:tcPr>
            <w:tcW w:w="1080" w:type="dxa"/>
            <w:hideMark/>
          </w:tcPr>
          <w:p w14:paraId="375FDF9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7412523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S. stercoralis</w:t>
            </w:r>
          </w:p>
        </w:tc>
      </w:tr>
      <w:tr w:rsidR="00FE570A" w:rsidRPr="00FE570A" w14:paraId="6F91A3AF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4737B9B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Taenia spp.</w:t>
            </w:r>
          </w:p>
        </w:tc>
        <w:tc>
          <w:tcPr>
            <w:tcW w:w="1350" w:type="dxa"/>
            <w:hideMark/>
          </w:tcPr>
          <w:p w14:paraId="3FDBFEF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GI-Helminth (I)</w:t>
            </w:r>
          </w:p>
        </w:tc>
        <w:tc>
          <w:tcPr>
            <w:tcW w:w="1080" w:type="dxa"/>
            <w:hideMark/>
          </w:tcPr>
          <w:p w14:paraId="75D0212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4C9447C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T. saginata, T. solium</w:t>
            </w:r>
          </w:p>
        </w:tc>
      </w:tr>
      <w:tr w:rsidR="00FE570A" w:rsidRPr="00FE570A" w14:paraId="3B47C482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414151F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difficile</w:t>
            </w:r>
            <w:r w:rsidRPr="00FE570A">
              <w:rPr>
                <w:lang w:val="en-AU"/>
              </w:rPr>
              <w:t xml:space="preserve"> Toxin B</w:t>
            </w:r>
          </w:p>
        </w:tc>
        <w:tc>
          <w:tcPr>
            <w:tcW w:w="1350" w:type="dxa"/>
            <w:hideMark/>
          </w:tcPr>
          <w:p w14:paraId="01F2E91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5EE6030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3910242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difficile</w:t>
            </w:r>
            <w:r w:rsidRPr="00FE570A">
              <w:rPr>
                <w:lang w:val="en-AU"/>
              </w:rPr>
              <w:t xml:space="preserve"> toxin A/B</w:t>
            </w:r>
          </w:p>
        </w:tc>
      </w:tr>
      <w:tr w:rsidR="00FE570A" w:rsidRPr="00FE570A" w14:paraId="639682BA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4B4A8EF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EAEC virulence factors</w:t>
            </w:r>
          </w:p>
        </w:tc>
        <w:tc>
          <w:tcPr>
            <w:tcW w:w="1350" w:type="dxa"/>
            <w:hideMark/>
          </w:tcPr>
          <w:p w14:paraId="065C38A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(II)</w:t>
            </w:r>
          </w:p>
        </w:tc>
        <w:tc>
          <w:tcPr>
            <w:tcW w:w="1080" w:type="dxa"/>
            <w:hideMark/>
          </w:tcPr>
          <w:p w14:paraId="1AF5659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5346F0F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EAEC virulence factors</w:t>
            </w:r>
          </w:p>
        </w:tc>
      </w:tr>
      <w:tr w:rsidR="00FE570A" w:rsidRPr="00FE570A" w14:paraId="3D3473AF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2021FB5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Shigella</w:t>
            </w:r>
            <w:r w:rsidRPr="00FE570A">
              <w:rPr>
                <w:lang w:val="en-AU"/>
              </w:rPr>
              <w:t xml:space="preserve"> spp. / EIEC virulence factors</w:t>
            </w:r>
          </w:p>
        </w:tc>
        <w:tc>
          <w:tcPr>
            <w:tcW w:w="1350" w:type="dxa"/>
            <w:hideMark/>
          </w:tcPr>
          <w:p w14:paraId="52B4871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(I)</w:t>
            </w:r>
          </w:p>
        </w:tc>
        <w:tc>
          <w:tcPr>
            <w:tcW w:w="1080" w:type="dxa"/>
            <w:hideMark/>
          </w:tcPr>
          <w:p w14:paraId="72B007B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≤45</w:t>
            </w:r>
          </w:p>
        </w:tc>
        <w:tc>
          <w:tcPr>
            <w:tcW w:w="4140" w:type="dxa"/>
            <w:hideMark/>
          </w:tcPr>
          <w:p w14:paraId="66253A2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EIEC invasion plasmid antigen</w:t>
            </w:r>
          </w:p>
        </w:tc>
      </w:tr>
      <w:tr w:rsidR="00FE570A" w:rsidRPr="00FE570A" w14:paraId="564AB727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2046DD0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lastRenderedPageBreak/>
              <w:t>EPEC virulence factors</w:t>
            </w:r>
          </w:p>
        </w:tc>
        <w:tc>
          <w:tcPr>
            <w:tcW w:w="1350" w:type="dxa"/>
            <w:hideMark/>
          </w:tcPr>
          <w:p w14:paraId="599A81A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(II)</w:t>
            </w:r>
          </w:p>
        </w:tc>
        <w:tc>
          <w:tcPr>
            <w:tcW w:w="1080" w:type="dxa"/>
            <w:hideMark/>
          </w:tcPr>
          <w:p w14:paraId="176CC64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42FF46C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EPEC virulence factors</w:t>
            </w:r>
          </w:p>
        </w:tc>
      </w:tr>
      <w:tr w:rsidR="00FE570A" w:rsidRPr="00FE570A" w14:paraId="3580DF13" w14:textId="77777777" w:rsidTr="00FE570A">
        <w:trPr>
          <w:trHeight w:val="20"/>
          <w:jc w:val="center"/>
        </w:trPr>
        <w:tc>
          <w:tcPr>
            <w:tcW w:w="2790" w:type="dxa"/>
            <w:noWrap/>
            <w:hideMark/>
          </w:tcPr>
          <w:p w14:paraId="0B6126DE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ETEC heat labile/stable toxins</w:t>
            </w:r>
          </w:p>
        </w:tc>
        <w:tc>
          <w:tcPr>
            <w:tcW w:w="1350" w:type="dxa"/>
            <w:hideMark/>
          </w:tcPr>
          <w:p w14:paraId="291CC20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(II)</w:t>
            </w:r>
          </w:p>
        </w:tc>
        <w:tc>
          <w:tcPr>
            <w:tcW w:w="1080" w:type="dxa"/>
            <w:hideMark/>
          </w:tcPr>
          <w:p w14:paraId="4F4B726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1C70FC04" w14:textId="77777777" w:rsidR="00FE570A" w:rsidRPr="00FE570A" w:rsidRDefault="00FE570A" w:rsidP="00FE570A">
            <w:pPr>
              <w:spacing w:after="160" w:line="278" w:lineRule="auto"/>
              <w:rPr>
                <w:i/>
                <w:lang w:val="en-AU"/>
              </w:rPr>
            </w:pPr>
            <w:r w:rsidRPr="00FE570A">
              <w:rPr>
                <w:lang w:val="en-AU"/>
              </w:rPr>
              <w:t>ETEC heat labile and heat stable toxins</w:t>
            </w:r>
          </w:p>
        </w:tc>
      </w:tr>
      <w:tr w:rsidR="00FE570A" w:rsidRPr="00FE570A" w14:paraId="1578FFA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790" w:type="dxa"/>
            <w:noWrap/>
            <w:hideMark/>
          </w:tcPr>
          <w:p w14:paraId="2BFAA988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STEC Shiga toxin</w:t>
            </w:r>
          </w:p>
        </w:tc>
        <w:tc>
          <w:tcPr>
            <w:tcW w:w="1350" w:type="dxa"/>
            <w:hideMark/>
          </w:tcPr>
          <w:p w14:paraId="4A4680C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GI-Bacteria (II)</w:t>
            </w:r>
          </w:p>
        </w:tc>
        <w:tc>
          <w:tcPr>
            <w:tcW w:w="1080" w:type="dxa"/>
            <w:hideMark/>
          </w:tcPr>
          <w:p w14:paraId="0DC718E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≤43</w:t>
            </w:r>
          </w:p>
        </w:tc>
        <w:tc>
          <w:tcPr>
            <w:tcW w:w="4140" w:type="dxa"/>
            <w:hideMark/>
          </w:tcPr>
          <w:p w14:paraId="2A12274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STEC Shiga toxin</w:t>
            </w:r>
          </w:p>
        </w:tc>
      </w:tr>
      <w:tr w:rsidR="00FE570A" w:rsidRPr="00FE570A" w14:paraId="1A28B0F6" w14:textId="77777777" w:rsidTr="00FE570A">
        <w:trPr>
          <w:trHeight w:val="20"/>
          <w:jc w:val="center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F5242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Adenovirus F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78CEA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GI-Virus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9B9D8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≤40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F70FD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Adenovirus F (serotype 40/41)</w:t>
            </w:r>
          </w:p>
        </w:tc>
      </w:tr>
    </w:tbl>
    <w:p w14:paraId="261983C4" w14:textId="77777777" w:rsidR="00FE570A" w:rsidRPr="00FE570A" w:rsidRDefault="00FE570A" w:rsidP="00FE570A">
      <w:pPr>
        <w:rPr>
          <w:b/>
          <w:bCs/>
        </w:rPr>
      </w:pPr>
    </w:p>
    <w:p w14:paraId="3BE0CB19" w14:textId="77777777" w:rsidR="00FE570A" w:rsidRPr="00FE570A" w:rsidRDefault="00FE570A" w:rsidP="00FE570A">
      <w:pPr>
        <w:rPr>
          <w:lang w:val="en-AU"/>
        </w:rPr>
      </w:pPr>
      <w:bookmarkStart w:id="11" w:name="_Ref178855289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4</w:t>
      </w:r>
      <w:r w:rsidRPr="00FE570A">
        <w:fldChar w:fldCharType="end"/>
      </w:r>
      <w:bookmarkEnd w:id="9"/>
      <w:bookmarkEnd w:id="11"/>
      <w:r w:rsidRPr="00FE570A">
        <w:rPr>
          <w:lang w:val="en-AU"/>
        </w:rPr>
        <w:t>. Number of samples with conventional test</w:t>
      </w:r>
      <w:bookmarkEnd w:id="10"/>
      <w:r w:rsidRPr="00FE570A">
        <w:rPr>
          <w:lang w:val="en-AU"/>
        </w:rPr>
        <w:t xml:space="preserve"> results for each clinical target.</w:t>
      </w:r>
    </w:p>
    <w:tbl>
      <w:tblPr>
        <w:tblStyle w:val="PlainTable5"/>
        <w:tblW w:w="0" w:type="auto"/>
        <w:jc w:val="center"/>
        <w:tblLook w:val="0420" w:firstRow="1" w:lastRow="0" w:firstColumn="0" w:lastColumn="0" w:noHBand="0" w:noVBand="1"/>
      </w:tblPr>
      <w:tblGrid>
        <w:gridCol w:w="3283"/>
        <w:gridCol w:w="1916"/>
        <w:gridCol w:w="1553"/>
      </w:tblGrid>
      <w:tr w:rsidR="00FE570A" w:rsidRPr="00FE570A" w14:paraId="4FFB0E53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  <w:hideMark/>
          </w:tcPr>
          <w:p w14:paraId="39DC503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Target Name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  <w:hideMark/>
          </w:tcPr>
          <w:p w14:paraId="53FDB7B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Target Type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477E366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No. Samples</w:t>
            </w:r>
          </w:p>
        </w:tc>
      </w:tr>
      <w:tr w:rsidR="00FE570A" w:rsidRPr="00FE570A" w14:paraId="26D9848F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hideMark/>
          </w:tcPr>
          <w:p w14:paraId="6D61635C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Aeromonas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4C2DBF2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120A0E7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06B42EB2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1BF249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Campylobacter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1CEA6E2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6890665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4EFA4B3F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4970108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Cryptosporidium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6B369E7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29697D5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490</w:t>
            </w:r>
          </w:p>
        </w:tc>
      </w:tr>
      <w:tr w:rsidR="00FE570A" w:rsidRPr="00FE570A" w14:paraId="5CA3FFBC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325852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Cyclospora cayetanensis</w:t>
            </w:r>
          </w:p>
        </w:tc>
        <w:tc>
          <w:tcPr>
            <w:tcW w:w="0" w:type="auto"/>
            <w:hideMark/>
          </w:tcPr>
          <w:p w14:paraId="01721E2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11FAC6A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496</w:t>
            </w:r>
          </w:p>
        </w:tc>
      </w:tr>
      <w:tr w:rsidR="00FE570A" w:rsidRPr="00FE570A" w14:paraId="5F943A54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1A96B96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Edwardsiella tarda</w:t>
            </w:r>
          </w:p>
        </w:tc>
        <w:tc>
          <w:tcPr>
            <w:tcW w:w="0" w:type="auto"/>
            <w:hideMark/>
          </w:tcPr>
          <w:p w14:paraId="2354A94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01EF978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34CAA190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48E9C22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Entamoeba histolytica</w:t>
            </w:r>
          </w:p>
        </w:tc>
        <w:tc>
          <w:tcPr>
            <w:tcW w:w="0" w:type="auto"/>
            <w:hideMark/>
          </w:tcPr>
          <w:p w14:paraId="7E08993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2AEBD80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7B4DC0D5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5CA4ED2C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Enterobius vermicularis</w:t>
            </w:r>
          </w:p>
        </w:tc>
        <w:tc>
          <w:tcPr>
            <w:tcW w:w="0" w:type="auto"/>
            <w:hideMark/>
          </w:tcPr>
          <w:p w14:paraId="3E2BA55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2B73248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71BF712E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0EBB17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Giardia intestinalis</w:t>
            </w:r>
          </w:p>
        </w:tc>
        <w:tc>
          <w:tcPr>
            <w:tcW w:w="0" w:type="auto"/>
            <w:hideMark/>
          </w:tcPr>
          <w:p w14:paraId="1D055AB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7176B30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5BFD6610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5865D6F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Helicobacter pylori</w:t>
            </w:r>
          </w:p>
        </w:tc>
        <w:tc>
          <w:tcPr>
            <w:tcW w:w="0" w:type="auto"/>
            <w:hideMark/>
          </w:tcPr>
          <w:p w14:paraId="55F39E5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7E0D36D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61</w:t>
            </w:r>
          </w:p>
        </w:tc>
      </w:tr>
      <w:tr w:rsidR="00FE570A" w:rsidRPr="00FE570A" w14:paraId="6F4A1FA3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341682E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Plesiomonas shigelloides</w:t>
            </w:r>
          </w:p>
        </w:tc>
        <w:tc>
          <w:tcPr>
            <w:tcW w:w="0" w:type="auto"/>
            <w:hideMark/>
          </w:tcPr>
          <w:p w14:paraId="1F46639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6A663D4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464</w:t>
            </w:r>
          </w:p>
        </w:tc>
      </w:tr>
      <w:tr w:rsidR="00FE570A" w:rsidRPr="00FE570A" w14:paraId="31B59DC7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09ACB5A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Salmonella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41C2019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4AC2E41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4969B3F4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F72971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Strongyloides stercoralis</w:t>
            </w:r>
          </w:p>
        </w:tc>
        <w:tc>
          <w:tcPr>
            <w:tcW w:w="0" w:type="auto"/>
            <w:hideMark/>
          </w:tcPr>
          <w:p w14:paraId="0A1AFEE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48B1006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43B388E7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7729827C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Taenia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0E7FD00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Eukaryotic</w:t>
            </w:r>
          </w:p>
        </w:tc>
        <w:tc>
          <w:tcPr>
            <w:tcW w:w="0" w:type="auto"/>
            <w:hideMark/>
          </w:tcPr>
          <w:p w14:paraId="585B5AB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322809F3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997D3C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Vibrio </w:t>
            </w:r>
            <w:r w:rsidRPr="00FE570A">
              <w:rPr>
                <w:lang w:val="en-AU"/>
              </w:rPr>
              <w:t>spp</w:t>
            </w:r>
            <w:r w:rsidRPr="00FE570A">
              <w:rPr>
                <w:i/>
                <w:iCs/>
                <w:lang w:val="en-AU"/>
              </w:rPr>
              <w:t>.</w:t>
            </w:r>
          </w:p>
        </w:tc>
        <w:tc>
          <w:tcPr>
            <w:tcW w:w="0" w:type="auto"/>
            <w:hideMark/>
          </w:tcPr>
          <w:p w14:paraId="30A3FBD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1E0147B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1AA652B3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45126F0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lastRenderedPageBreak/>
              <w:t>Yersinia enterocolitica</w:t>
            </w:r>
          </w:p>
        </w:tc>
        <w:tc>
          <w:tcPr>
            <w:tcW w:w="0" w:type="auto"/>
            <w:hideMark/>
          </w:tcPr>
          <w:p w14:paraId="6F3AC29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Bacterial</w:t>
            </w:r>
          </w:p>
        </w:tc>
        <w:tc>
          <w:tcPr>
            <w:tcW w:w="0" w:type="auto"/>
            <w:hideMark/>
          </w:tcPr>
          <w:p w14:paraId="3C47697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171A54DF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9BF6DA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Adenovirus F (serotype 40/41)</w:t>
            </w:r>
          </w:p>
        </w:tc>
        <w:tc>
          <w:tcPr>
            <w:tcW w:w="0" w:type="auto"/>
            <w:hideMark/>
          </w:tcPr>
          <w:p w14:paraId="3FDE643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Viral</w:t>
            </w:r>
          </w:p>
        </w:tc>
        <w:tc>
          <w:tcPr>
            <w:tcW w:w="0" w:type="auto"/>
            <w:hideMark/>
          </w:tcPr>
          <w:p w14:paraId="51B7E6B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193</w:t>
            </w:r>
          </w:p>
        </w:tc>
      </w:tr>
      <w:tr w:rsidR="00FE570A" w:rsidRPr="00FE570A" w14:paraId="21319CF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68369B7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difficile</w:t>
            </w:r>
            <w:r w:rsidRPr="00FE570A">
              <w:rPr>
                <w:lang w:val="en-AU"/>
              </w:rPr>
              <w:t xml:space="preserve"> Toxin B</w:t>
            </w:r>
          </w:p>
        </w:tc>
        <w:tc>
          <w:tcPr>
            <w:tcW w:w="0" w:type="auto"/>
            <w:hideMark/>
          </w:tcPr>
          <w:p w14:paraId="11F6333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hideMark/>
          </w:tcPr>
          <w:p w14:paraId="2D18884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764E95E3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7602D1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EAEC virulence factors</w:t>
            </w:r>
          </w:p>
        </w:tc>
        <w:tc>
          <w:tcPr>
            <w:tcW w:w="0" w:type="auto"/>
            <w:hideMark/>
          </w:tcPr>
          <w:p w14:paraId="0FAD9D8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hideMark/>
          </w:tcPr>
          <w:p w14:paraId="1280E7F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511CD47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3FD90C0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EIEC virulence factors</w:t>
            </w:r>
          </w:p>
        </w:tc>
        <w:tc>
          <w:tcPr>
            <w:tcW w:w="0" w:type="auto"/>
            <w:hideMark/>
          </w:tcPr>
          <w:p w14:paraId="04AFCF1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hideMark/>
          </w:tcPr>
          <w:p w14:paraId="67A8C86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497</w:t>
            </w:r>
          </w:p>
        </w:tc>
      </w:tr>
      <w:tr w:rsidR="00FE570A" w:rsidRPr="00FE570A" w14:paraId="0603C5E4" w14:textId="77777777" w:rsidTr="00FE570A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A10744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EPEC virulence factors</w:t>
            </w:r>
          </w:p>
        </w:tc>
        <w:tc>
          <w:tcPr>
            <w:tcW w:w="0" w:type="auto"/>
            <w:hideMark/>
          </w:tcPr>
          <w:p w14:paraId="444ADDA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hideMark/>
          </w:tcPr>
          <w:p w14:paraId="0727340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2F677C91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noWrap/>
            <w:hideMark/>
          </w:tcPr>
          <w:p w14:paraId="59CB6B0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ETEC heat labile/stable toxins</w:t>
            </w:r>
          </w:p>
        </w:tc>
        <w:tc>
          <w:tcPr>
            <w:tcW w:w="0" w:type="auto"/>
            <w:hideMark/>
          </w:tcPr>
          <w:p w14:paraId="6BD5FC6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hideMark/>
          </w:tcPr>
          <w:p w14:paraId="0B3FF35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  <w:tr w:rsidR="00FE570A" w:rsidRPr="00FE570A" w14:paraId="6D7BE02F" w14:textId="77777777" w:rsidTr="00FE570A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229B5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STEC Shiga toxin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AE628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Virulence Factor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077E0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468</w:t>
            </w:r>
          </w:p>
        </w:tc>
      </w:tr>
    </w:tbl>
    <w:p w14:paraId="44546A01" w14:textId="77777777" w:rsidR="00FE570A" w:rsidRPr="00FE570A" w:rsidRDefault="00FE570A" w:rsidP="00FE570A"/>
    <w:p w14:paraId="757376CF" w14:textId="77777777" w:rsidR="00FE570A" w:rsidRPr="00FE570A" w:rsidRDefault="00FE570A" w:rsidP="00FE570A">
      <w:pPr>
        <w:rPr>
          <w:b/>
          <w:bCs/>
          <w:lang w:val="en-AU"/>
        </w:rPr>
      </w:pPr>
      <w:bookmarkStart w:id="12" w:name="_Ref178857233"/>
      <w:bookmarkStart w:id="13" w:name="_Ref181351358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5</w:t>
      </w:r>
      <w:r w:rsidRPr="00FE570A">
        <w:fldChar w:fldCharType="end"/>
      </w:r>
      <w:bookmarkEnd w:id="12"/>
      <w:bookmarkEnd w:id="13"/>
      <w:r w:rsidRPr="00FE570A">
        <w:rPr>
          <w:lang w:val="en-AU"/>
        </w:rPr>
        <w:t>. Simulated faecal spike-in samples were generated for increasing numbers of read pairs. Pathogen targets were generated at a fixed number of read pairs whereas read pairs for gene targets were generated to achieve a fixed depth of coverage. Estimated biomass is given for a faecal sample with 6.23 x 10</w:t>
      </w:r>
      <w:r w:rsidRPr="00FE570A">
        <w:rPr>
          <w:vertAlign w:val="superscript"/>
          <w:lang w:val="en-AU"/>
        </w:rPr>
        <w:t>10</w:t>
      </w:r>
      <w:r w:rsidRPr="00FE570A">
        <w:rPr>
          <w:lang w:val="en-AU"/>
        </w:rPr>
        <w:t xml:space="preserve"> equ. orgs/g faeces assuming 3.9 Mb organisms and 1000 bp genes. Numbers in parentheses indicate the percentage of reads from a target in a standard mNGS assay sample of 16 million read pairs and considering length for the gene targets.</w:t>
      </w:r>
      <w:bookmarkStart w:id="14" w:name="_Ref178857477"/>
      <w:r w:rsidRPr="00FE570A">
        <w:rPr>
          <w:b/>
          <w:bCs/>
          <w:lang w:val="en-AU"/>
        </w:rPr>
        <w:t xml:space="preserve"> </w:t>
      </w:r>
    </w:p>
    <w:tbl>
      <w:tblPr>
        <w:tblStyle w:val="PlainTable5"/>
        <w:tblW w:w="8730" w:type="dxa"/>
        <w:jc w:val="center"/>
        <w:tblLook w:val="0420" w:firstRow="1" w:lastRow="0" w:firstColumn="0" w:lastColumn="0" w:noHBand="0" w:noVBand="1"/>
      </w:tblPr>
      <w:tblGrid>
        <w:gridCol w:w="1063"/>
        <w:gridCol w:w="1193"/>
        <w:gridCol w:w="1542"/>
        <w:gridCol w:w="3256"/>
        <w:gridCol w:w="1676"/>
      </w:tblGrid>
      <w:tr w:rsidR="00FE570A" w:rsidRPr="00FE570A" w14:paraId="0BD89696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918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69A1EA3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Depth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03A34C7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Pathogen Target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hideMark/>
          </w:tcPr>
          <w:p w14:paraId="2AB9878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Pathogen Biomass</w:t>
            </w:r>
            <w:r w:rsidRPr="00FE570A">
              <w:rPr>
                <w:lang w:val="en-AU"/>
              </w:rPr>
              <w:br/>
              <w:t>(equ. orgs/g)</w:t>
            </w:r>
          </w:p>
        </w:tc>
        <w:tc>
          <w:tcPr>
            <w:tcW w:w="3386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2A917AD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Gene Target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hideMark/>
          </w:tcPr>
          <w:p w14:paraId="2A2295C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Gene Biomass</w:t>
            </w:r>
            <w:r w:rsidRPr="00FE570A">
              <w:rPr>
                <w:lang w:val="en-AU"/>
              </w:rPr>
              <w:br/>
              <w:t>(equ. orgs/g)</w:t>
            </w:r>
          </w:p>
        </w:tc>
      </w:tr>
      <w:tr w:rsidR="00FE570A" w:rsidRPr="00FE570A" w14:paraId="22524020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tcW w:w="918" w:type="dxa"/>
            <w:hideMark/>
          </w:tcPr>
          <w:p w14:paraId="0F15C12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Ultra-low</w:t>
            </w:r>
          </w:p>
        </w:tc>
        <w:tc>
          <w:tcPr>
            <w:tcW w:w="1152" w:type="dxa"/>
            <w:hideMark/>
          </w:tcPr>
          <w:p w14:paraId="50A0962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 (0.0001)</w:t>
            </w:r>
          </w:p>
        </w:tc>
        <w:tc>
          <w:tcPr>
            <w:tcW w:w="1564" w:type="dxa"/>
            <w:hideMark/>
          </w:tcPr>
          <w:p w14:paraId="3BADB9A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6.23×10</w:t>
            </w:r>
            <w:r w:rsidRPr="00FE570A">
              <w:rPr>
                <w:vertAlign w:val="superscript"/>
                <w:lang w:val="en-AU"/>
              </w:rPr>
              <w:t>4</w:t>
            </w:r>
          </w:p>
        </w:tc>
        <w:tc>
          <w:tcPr>
            <w:tcW w:w="3386" w:type="dxa"/>
            <w:vAlign w:val="bottom"/>
            <w:hideMark/>
          </w:tcPr>
          <w:p w14:paraId="12B800D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0.5 (6.25×10</w:t>
            </w:r>
            <w:r w:rsidRPr="00FE570A">
              <w:rPr>
                <w:vertAlign w:val="superscript"/>
                <w:lang w:val="en-AU"/>
              </w:rPr>
              <w:t>-6</w:t>
            </w:r>
            <w:r w:rsidRPr="00FE570A">
              <w:rPr>
                <w:lang w:val="en-AU"/>
              </w:rPr>
              <w:t xml:space="preserve"> to 8.75×10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>; mean = 1.16×10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>)</w:t>
            </w:r>
          </w:p>
        </w:tc>
        <w:tc>
          <w:tcPr>
            <w:tcW w:w="1710" w:type="dxa"/>
            <w:hideMark/>
          </w:tcPr>
          <w:p w14:paraId="3804919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1.52×10</w:t>
            </w:r>
            <w:r w:rsidRPr="00FE570A">
              <w:rPr>
                <w:vertAlign w:val="superscript"/>
                <w:lang w:val="en-AU"/>
              </w:rPr>
              <w:t>7</w:t>
            </w:r>
            <w:r w:rsidRPr="00FE570A">
              <w:rPr>
                <w:lang w:val="en-AU"/>
              </w:rPr>
              <w:t xml:space="preserve"> to 2.13×10</w:t>
            </w:r>
            <w:r w:rsidRPr="00FE570A">
              <w:rPr>
                <w:vertAlign w:val="superscript"/>
                <w:lang w:val="en-AU"/>
              </w:rPr>
              <w:t>8</w:t>
            </w:r>
          </w:p>
        </w:tc>
      </w:tr>
      <w:tr w:rsidR="00FE570A" w:rsidRPr="00FE570A" w14:paraId="568FEEA2" w14:textId="77777777" w:rsidTr="00FE570A">
        <w:trPr>
          <w:trHeight w:val="144"/>
          <w:jc w:val="center"/>
        </w:trPr>
        <w:tc>
          <w:tcPr>
            <w:tcW w:w="918" w:type="dxa"/>
            <w:hideMark/>
          </w:tcPr>
          <w:p w14:paraId="4872BF2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Low</w:t>
            </w:r>
          </w:p>
        </w:tc>
        <w:tc>
          <w:tcPr>
            <w:tcW w:w="1152" w:type="dxa"/>
            <w:hideMark/>
          </w:tcPr>
          <w:p w14:paraId="751CF9F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160 (0.001)</w:t>
            </w:r>
          </w:p>
        </w:tc>
        <w:tc>
          <w:tcPr>
            <w:tcW w:w="1564" w:type="dxa"/>
            <w:hideMark/>
          </w:tcPr>
          <w:p w14:paraId="73AF342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6.23×10</w:t>
            </w:r>
            <w:r w:rsidRPr="00FE570A">
              <w:rPr>
                <w:vertAlign w:val="superscript"/>
                <w:lang w:val="en-AU"/>
              </w:rPr>
              <w:t>5</w:t>
            </w:r>
          </w:p>
        </w:tc>
        <w:tc>
          <w:tcPr>
            <w:tcW w:w="3386" w:type="dxa"/>
            <w:vAlign w:val="bottom"/>
            <w:hideMark/>
          </w:tcPr>
          <w:p w14:paraId="2371977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1.0 (6.25×10</w:t>
            </w:r>
            <w:r w:rsidRPr="00FE570A">
              <w:rPr>
                <w:vertAlign w:val="superscript"/>
                <w:lang w:val="en-AU"/>
              </w:rPr>
              <w:t>-6</w:t>
            </w:r>
            <w:r w:rsidRPr="00FE570A">
              <w:rPr>
                <w:lang w:val="en-AU"/>
              </w:rPr>
              <w:t xml:space="preserve"> to 1.69×10</w:t>
            </w:r>
            <w:r w:rsidRPr="00FE570A">
              <w:rPr>
                <w:vertAlign w:val="superscript"/>
                <w:lang w:val="en-AU"/>
              </w:rPr>
              <w:t>-4</w:t>
            </w:r>
            <w:r w:rsidRPr="00FE570A">
              <w:rPr>
                <w:lang w:val="en-AU"/>
              </w:rPr>
              <w:t>; mean = 2.11×10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>)</w:t>
            </w:r>
          </w:p>
        </w:tc>
        <w:tc>
          <w:tcPr>
            <w:tcW w:w="1710" w:type="dxa"/>
            <w:hideMark/>
          </w:tcPr>
          <w:p w14:paraId="57CC601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1.52×10</w:t>
            </w:r>
            <w:r w:rsidRPr="00FE570A">
              <w:rPr>
                <w:vertAlign w:val="superscript"/>
                <w:lang w:val="en-AU"/>
              </w:rPr>
              <w:t>7</w:t>
            </w:r>
            <w:r w:rsidRPr="00FE570A">
              <w:rPr>
                <w:lang w:val="en-AU"/>
              </w:rPr>
              <w:t xml:space="preserve"> to 4.11×10</w:t>
            </w:r>
            <w:r w:rsidRPr="00FE570A">
              <w:rPr>
                <w:vertAlign w:val="superscript"/>
                <w:lang w:val="en-AU"/>
              </w:rPr>
              <w:t>8</w:t>
            </w:r>
          </w:p>
        </w:tc>
      </w:tr>
      <w:tr w:rsidR="00FE570A" w:rsidRPr="00FE570A" w14:paraId="6508C9F1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tcW w:w="918" w:type="dxa"/>
            <w:hideMark/>
          </w:tcPr>
          <w:p w14:paraId="6AC29C3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Medium</w:t>
            </w:r>
          </w:p>
        </w:tc>
        <w:tc>
          <w:tcPr>
            <w:tcW w:w="1152" w:type="dxa"/>
            <w:hideMark/>
          </w:tcPr>
          <w:p w14:paraId="46F08C6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1,600 (0.01)</w:t>
            </w:r>
          </w:p>
        </w:tc>
        <w:tc>
          <w:tcPr>
            <w:tcW w:w="1564" w:type="dxa"/>
            <w:hideMark/>
          </w:tcPr>
          <w:p w14:paraId="154726C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6.23×10</w:t>
            </w:r>
            <w:r w:rsidRPr="00FE570A">
              <w:rPr>
                <w:vertAlign w:val="superscript"/>
                <w:lang w:val="en-AU"/>
              </w:rPr>
              <w:t>6</w:t>
            </w:r>
          </w:p>
        </w:tc>
        <w:tc>
          <w:tcPr>
            <w:tcW w:w="3386" w:type="dxa"/>
            <w:vAlign w:val="bottom"/>
            <w:hideMark/>
          </w:tcPr>
          <w:p w14:paraId="65A6A40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2.5 (1.25×10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 xml:space="preserve"> to 4.25×10</w:t>
            </w:r>
            <w:r w:rsidRPr="00FE570A">
              <w:rPr>
                <w:vertAlign w:val="superscript"/>
                <w:lang w:val="en-AU"/>
              </w:rPr>
              <w:t>-4</w:t>
            </w:r>
            <w:r w:rsidRPr="00FE570A">
              <w:rPr>
                <w:lang w:val="en-AU"/>
              </w:rPr>
              <w:t>; mean = 5.75×10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>)</w:t>
            </w:r>
          </w:p>
        </w:tc>
        <w:tc>
          <w:tcPr>
            <w:tcW w:w="1710" w:type="dxa"/>
            <w:hideMark/>
          </w:tcPr>
          <w:p w14:paraId="44F0CD8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3.04×10</w:t>
            </w:r>
            <w:r w:rsidRPr="00FE570A">
              <w:rPr>
                <w:vertAlign w:val="superscript"/>
                <w:lang w:val="en-AU"/>
              </w:rPr>
              <w:t>7</w:t>
            </w:r>
            <w:r w:rsidRPr="00FE570A">
              <w:rPr>
                <w:lang w:val="en-AU"/>
              </w:rPr>
              <w:t xml:space="preserve"> to 1.03×10</w:t>
            </w:r>
            <w:r w:rsidRPr="00FE570A">
              <w:rPr>
                <w:vertAlign w:val="superscript"/>
                <w:lang w:val="en-AU"/>
              </w:rPr>
              <w:t>9</w:t>
            </w:r>
          </w:p>
        </w:tc>
      </w:tr>
      <w:tr w:rsidR="00FE570A" w:rsidRPr="00FE570A" w14:paraId="5A7CAF69" w14:textId="77777777" w:rsidTr="00FE570A">
        <w:trPr>
          <w:trHeight w:val="144"/>
          <w:jc w:val="center"/>
        </w:trPr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381AF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High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6F253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16,000 (0.1)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F44EC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6.23×10</w:t>
            </w:r>
            <w:r w:rsidRPr="00FE570A">
              <w:rPr>
                <w:vertAlign w:val="superscript"/>
                <w:lang w:val="en-AU"/>
              </w:rPr>
              <w:t>7</w:t>
            </w:r>
          </w:p>
        </w:tc>
        <w:tc>
          <w:tcPr>
            <w:tcW w:w="3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D7F1C4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5.0 (2.50×10</w:t>
            </w:r>
            <w:r w:rsidRPr="00FE570A">
              <w:rPr>
                <w:vertAlign w:val="superscript"/>
                <w:lang w:val="en-AU"/>
              </w:rPr>
              <w:t>-5</w:t>
            </w:r>
            <w:r w:rsidRPr="00FE570A">
              <w:rPr>
                <w:lang w:val="en-AU"/>
              </w:rPr>
              <w:t xml:space="preserve"> to 8.50×10</w:t>
            </w:r>
            <w:r w:rsidRPr="00FE570A">
              <w:rPr>
                <w:vertAlign w:val="superscript"/>
                <w:lang w:val="en-AU"/>
              </w:rPr>
              <w:t>-4</w:t>
            </w:r>
            <w:r w:rsidRPr="00FE570A">
              <w:rPr>
                <w:lang w:val="en-AU"/>
              </w:rPr>
              <w:t>; mean = 1.16×10</w:t>
            </w:r>
            <w:r w:rsidRPr="00FE570A">
              <w:rPr>
                <w:vertAlign w:val="superscript"/>
                <w:lang w:val="en-AU"/>
              </w:rPr>
              <w:t>-4</w:t>
            </w:r>
            <w:r w:rsidRPr="00FE570A">
              <w:rPr>
                <w:lang w:val="en-AU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6CD6E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6.07×10</w:t>
            </w:r>
            <w:r w:rsidRPr="00FE570A">
              <w:rPr>
                <w:vertAlign w:val="superscript"/>
                <w:lang w:val="en-AU"/>
              </w:rPr>
              <w:t>7</w:t>
            </w:r>
            <w:r w:rsidRPr="00FE570A">
              <w:rPr>
                <w:lang w:val="en-AU"/>
              </w:rPr>
              <w:t xml:space="preserve"> to 2.07×10</w:t>
            </w:r>
            <w:r w:rsidRPr="00FE570A">
              <w:rPr>
                <w:vertAlign w:val="superscript"/>
                <w:lang w:val="en-AU"/>
              </w:rPr>
              <w:t>9</w:t>
            </w:r>
          </w:p>
        </w:tc>
      </w:tr>
    </w:tbl>
    <w:p w14:paraId="7C622D07" w14:textId="77777777" w:rsidR="00FE570A" w:rsidRPr="00FE570A" w:rsidRDefault="00FE570A" w:rsidP="00FE570A">
      <w:pPr>
        <w:rPr>
          <w:lang w:val="en-AU"/>
        </w:rPr>
      </w:pPr>
    </w:p>
    <w:p w14:paraId="5D66563C" w14:textId="77777777" w:rsidR="00FE570A" w:rsidRPr="00FE570A" w:rsidRDefault="00FE570A" w:rsidP="00FE570A">
      <w:pPr>
        <w:rPr>
          <w:lang w:val="en-AU"/>
        </w:rPr>
      </w:pPr>
      <w:bookmarkStart w:id="15" w:name="_Ref184383774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6</w:t>
      </w:r>
      <w:r w:rsidRPr="00FE570A">
        <w:fldChar w:fldCharType="end"/>
      </w:r>
      <w:bookmarkEnd w:id="14"/>
      <w:bookmarkEnd w:id="15"/>
      <w:r w:rsidRPr="00FE570A">
        <w:rPr>
          <w:lang w:val="en-AU"/>
        </w:rPr>
        <w:t>. Targets identified by mNGS assay in faecal samples used to generate simulated communities with spiked-in targets.</w:t>
      </w:r>
    </w:p>
    <w:tbl>
      <w:tblPr>
        <w:tblStyle w:val="PlainTable5"/>
        <w:tblW w:w="0" w:type="auto"/>
        <w:jc w:val="center"/>
        <w:tblLook w:val="0420" w:firstRow="1" w:lastRow="0" w:firstColumn="0" w:lastColumn="0" w:noHBand="0" w:noVBand="1"/>
      </w:tblPr>
      <w:tblGrid>
        <w:gridCol w:w="1229"/>
        <w:gridCol w:w="5850"/>
      </w:tblGrid>
      <w:tr w:rsidR="00FE570A" w:rsidRPr="00FE570A" w14:paraId="4E62965B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990" w:type="dxa"/>
            <w:tcBorders>
              <w:top w:val="nil"/>
              <w:left w:val="nil"/>
              <w:right w:val="nil"/>
            </w:tcBorders>
            <w:hideMark/>
          </w:tcPr>
          <w:p w14:paraId="3A071CD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lastRenderedPageBreak/>
              <w:t>Sample ID</w:t>
            </w:r>
          </w:p>
        </w:tc>
        <w:tc>
          <w:tcPr>
            <w:tcW w:w="5850" w:type="dxa"/>
            <w:tcBorders>
              <w:top w:val="nil"/>
              <w:left w:val="nil"/>
              <w:right w:val="nil"/>
            </w:tcBorders>
            <w:hideMark/>
          </w:tcPr>
          <w:p w14:paraId="3DE9D37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Targets Identified by mNGS Assay</w:t>
            </w:r>
          </w:p>
        </w:tc>
      </w:tr>
      <w:tr w:rsidR="00FE570A" w:rsidRPr="00FE570A" w14:paraId="07F1C7EE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990" w:type="dxa"/>
            <w:hideMark/>
          </w:tcPr>
          <w:p w14:paraId="372F134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BBW5020</w:t>
            </w:r>
          </w:p>
        </w:tc>
        <w:tc>
          <w:tcPr>
            <w:tcW w:w="5850" w:type="dxa"/>
            <w:hideMark/>
          </w:tcPr>
          <w:p w14:paraId="2402513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Campylobacter concisus</w:t>
            </w:r>
          </w:p>
        </w:tc>
      </w:tr>
      <w:tr w:rsidR="00FE570A" w:rsidRPr="00FE570A" w14:paraId="4C421487" w14:textId="77777777" w:rsidTr="00FE570A">
        <w:trPr>
          <w:trHeight w:val="20"/>
          <w:jc w:val="center"/>
        </w:trPr>
        <w:tc>
          <w:tcPr>
            <w:tcW w:w="990" w:type="dxa"/>
            <w:hideMark/>
          </w:tcPr>
          <w:p w14:paraId="618FA3F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BBW5021</w:t>
            </w:r>
          </w:p>
        </w:tc>
        <w:tc>
          <w:tcPr>
            <w:tcW w:w="5850" w:type="dxa"/>
            <w:hideMark/>
          </w:tcPr>
          <w:p w14:paraId="5E93196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Clostridium perfringens</w:t>
            </w:r>
          </w:p>
        </w:tc>
      </w:tr>
      <w:tr w:rsidR="00FE570A" w:rsidRPr="00FE570A" w14:paraId="482E5B5E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1A5AE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BBW5022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1E444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blaACT, blaCMY_Group2, blaSHV, Salmonella enterica, Campylobacter concisus</w:t>
            </w:r>
          </w:p>
        </w:tc>
      </w:tr>
    </w:tbl>
    <w:p w14:paraId="3573FD7D" w14:textId="77777777" w:rsidR="00FE570A" w:rsidRPr="00FE570A" w:rsidRDefault="00FE570A" w:rsidP="00FE570A"/>
    <w:p w14:paraId="3DD0842B" w14:textId="77777777" w:rsidR="00FE570A" w:rsidRPr="00FE570A" w:rsidRDefault="00FE570A" w:rsidP="00FE570A">
      <w:pPr>
        <w:rPr>
          <w:lang w:val="en-AU"/>
        </w:rPr>
      </w:pPr>
      <w:bookmarkStart w:id="16" w:name="_Ref178857836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7</w:t>
      </w:r>
      <w:r w:rsidRPr="00FE570A">
        <w:fldChar w:fldCharType="end"/>
      </w:r>
      <w:bookmarkEnd w:id="16"/>
      <w:r w:rsidRPr="00FE570A">
        <w:rPr>
          <w:lang w:val="en-AU"/>
        </w:rPr>
        <w:t xml:space="preserve">. List of mNGS assay targets in each of the 22 groups used to generate </w:t>
      </w:r>
      <w:r w:rsidRPr="00FE570A">
        <w:rPr>
          <w:i/>
          <w:iCs/>
          <w:lang w:val="en-AU"/>
        </w:rPr>
        <w:t>in silico</w:t>
      </w:r>
      <w:r w:rsidRPr="00FE570A">
        <w:rPr>
          <w:lang w:val="en-AU"/>
        </w:rPr>
        <w:t xml:space="preserve"> faecal spike-in samples (see Excel file).</w:t>
      </w:r>
    </w:p>
    <w:p w14:paraId="036B44B6" w14:textId="77777777" w:rsidR="00FE570A" w:rsidRPr="00FE570A" w:rsidRDefault="00FE570A" w:rsidP="00FE570A">
      <w:pPr>
        <w:rPr>
          <w:b/>
          <w:bCs/>
          <w:lang w:val="en-AU"/>
        </w:rPr>
      </w:pPr>
    </w:p>
    <w:p w14:paraId="45379A7C" w14:textId="77777777" w:rsidR="00FE570A" w:rsidRPr="00FE570A" w:rsidRDefault="00FE570A" w:rsidP="00FE570A">
      <w:pPr>
        <w:rPr>
          <w:lang w:val="en-AU"/>
        </w:rPr>
      </w:pPr>
      <w:bookmarkStart w:id="17" w:name="_Ref194914601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8</w:t>
      </w:r>
      <w:r w:rsidRPr="00FE570A">
        <w:fldChar w:fldCharType="end"/>
      </w:r>
      <w:bookmarkEnd w:id="17"/>
      <w:r w:rsidRPr="00FE570A">
        <w:rPr>
          <w:lang w:val="en-AU"/>
        </w:rPr>
        <w:t>. Diagnostic test results for each of the 510 DHM clinical samples (see Excel file).</w:t>
      </w:r>
    </w:p>
    <w:p w14:paraId="012E72DF" w14:textId="77777777" w:rsidR="00FE570A" w:rsidRPr="00FE570A" w:rsidRDefault="00FE570A" w:rsidP="00FE570A">
      <w:pPr>
        <w:rPr>
          <w:lang w:val="en-AU"/>
        </w:rPr>
      </w:pPr>
    </w:p>
    <w:p w14:paraId="6DF99719" w14:textId="77777777" w:rsidR="00FE570A" w:rsidRPr="00FE570A" w:rsidRDefault="00FE570A" w:rsidP="00FE570A">
      <w:pPr>
        <w:rPr>
          <w:lang w:val="en-AU"/>
        </w:rPr>
      </w:pPr>
      <w:bookmarkStart w:id="18" w:name="_Ref178928531"/>
      <w:bookmarkStart w:id="19" w:name="_Toc157439944"/>
      <w:bookmarkStart w:id="20" w:name="_Toc163204308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9</w:t>
      </w:r>
      <w:r w:rsidRPr="00FE570A">
        <w:fldChar w:fldCharType="end"/>
      </w:r>
      <w:bookmarkEnd w:id="18"/>
      <w:r w:rsidRPr="00FE570A">
        <w:rPr>
          <w:lang w:val="en-AU"/>
        </w:rPr>
        <w:t>. Outcome of mNGS assay for each target in the DHM data set</w:t>
      </w:r>
      <w:bookmarkEnd w:id="19"/>
      <w:r w:rsidRPr="00FE570A">
        <w:rPr>
          <w:lang w:val="en-AU"/>
        </w:rPr>
        <w:t>.</w:t>
      </w:r>
      <w:bookmarkEnd w:id="20"/>
    </w:p>
    <w:tbl>
      <w:tblPr>
        <w:tblStyle w:val="PlainTable3"/>
        <w:tblW w:w="0" w:type="auto"/>
        <w:jc w:val="center"/>
        <w:tblLook w:val="0420" w:firstRow="1" w:lastRow="0" w:firstColumn="0" w:lastColumn="0" w:noHBand="0" w:noVBand="1"/>
      </w:tblPr>
      <w:tblGrid>
        <w:gridCol w:w="2319"/>
        <w:gridCol w:w="601"/>
        <w:gridCol w:w="499"/>
        <w:gridCol w:w="729"/>
        <w:gridCol w:w="523"/>
        <w:gridCol w:w="2094"/>
      </w:tblGrid>
      <w:tr w:rsidR="00FE570A" w:rsidRPr="00FE570A" w14:paraId="26E22D2A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tcBorders>
              <w:top w:val="nil"/>
              <w:left w:val="nil"/>
              <w:right w:val="nil"/>
            </w:tcBorders>
            <w:hideMark/>
          </w:tcPr>
          <w:p w14:paraId="1B267BDE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2E6AB45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4E94318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263D31C2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14AAA2E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7138B0C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Prevalence (%)</w:t>
            </w:r>
          </w:p>
        </w:tc>
      </w:tr>
      <w:tr w:rsidR="00FE570A" w:rsidRPr="00FE570A" w14:paraId="34327742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hideMark/>
          </w:tcPr>
          <w:p w14:paraId="4DEB75B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Aeromonas</w:t>
            </w:r>
            <w:r w:rsidRPr="00FE570A">
              <w:rPr>
                <w:lang w:val="en-AU"/>
              </w:rPr>
              <w:t xml:space="preserve"> spp.</w:t>
            </w:r>
          </w:p>
        </w:tc>
        <w:tc>
          <w:tcPr>
            <w:tcW w:w="0" w:type="auto"/>
            <w:hideMark/>
          </w:tcPr>
          <w:p w14:paraId="5D0F653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30</w:t>
            </w:r>
          </w:p>
        </w:tc>
        <w:tc>
          <w:tcPr>
            <w:tcW w:w="0" w:type="auto"/>
            <w:hideMark/>
          </w:tcPr>
          <w:p w14:paraId="32ABAFC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7F82236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450</w:t>
            </w:r>
          </w:p>
        </w:tc>
        <w:tc>
          <w:tcPr>
            <w:tcW w:w="0" w:type="auto"/>
            <w:hideMark/>
          </w:tcPr>
          <w:p w14:paraId="3E9416C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15</w:t>
            </w:r>
          </w:p>
        </w:tc>
        <w:tc>
          <w:tcPr>
            <w:tcW w:w="0" w:type="auto"/>
            <w:hideMark/>
          </w:tcPr>
          <w:p w14:paraId="523AC8B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9.05</w:t>
            </w:r>
          </w:p>
        </w:tc>
      </w:tr>
      <w:tr w:rsidR="00FE570A" w:rsidRPr="00FE570A" w14:paraId="18E9851C" w14:textId="77777777" w:rsidTr="00FE570A">
        <w:trPr>
          <w:trHeight w:val="20"/>
          <w:jc w:val="center"/>
        </w:trPr>
        <w:tc>
          <w:tcPr>
            <w:tcW w:w="2319" w:type="dxa"/>
            <w:hideMark/>
          </w:tcPr>
          <w:p w14:paraId="0F15FEF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Campylobacter</w:t>
            </w:r>
            <w:r w:rsidRPr="00FE570A">
              <w:rPr>
                <w:lang w:val="en-AU"/>
              </w:rPr>
              <w:t xml:space="preserve"> spp.</w:t>
            </w:r>
          </w:p>
        </w:tc>
        <w:tc>
          <w:tcPr>
            <w:tcW w:w="0" w:type="auto"/>
            <w:hideMark/>
          </w:tcPr>
          <w:p w14:paraId="59E2F0F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41</w:t>
            </w:r>
          </w:p>
        </w:tc>
        <w:tc>
          <w:tcPr>
            <w:tcW w:w="0" w:type="auto"/>
            <w:hideMark/>
          </w:tcPr>
          <w:p w14:paraId="7244210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3AB3104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451</w:t>
            </w:r>
          </w:p>
        </w:tc>
        <w:tc>
          <w:tcPr>
            <w:tcW w:w="0" w:type="auto"/>
            <w:hideMark/>
          </w:tcPr>
          <w:p w14:paraId="028584B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</w:t>
            </w:r>
          </w:p>
        </w:tc>
        <w:tc>
          <w:tcPr>
            <w:tcW w:w="0" w:type="auto"/>
            <w:hideMark/>
          </w:tcPr>
          <w:p w14:paraId="5741F89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9.05</w:t>
            </w:r>
          </w:p>
        </w:tc>
      </w:tr>
      <w:tr w:rsidR="00FE570A" w:rsidRPr="00FE570A" w14:paraId="47053240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hideMark/>
          </w:tcPr>
          <w:p w14:paraId="51A430A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Edwardsiella tarda</w:t>
            </w:r>
          </w:p>
        </w:tc>
        <w:tc>
          <w:tcPr>
            <w:tcW w:w="0" w:type="auto"/>
            <w:hideMark/>
          </w:tcPr>
          <w:p w14:paraId="22EB5A5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</w:t>
            </w:r>
          </w:p>
        </w:tc>
        <w:tc>
          <w:tcPr>
            <w:tcW w:w="0" w:type="auto"/>
            <w:hideMark/>
          </w:tcPr>
          <w:p w14:paraId="39F4EBF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040CECA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465</w:t>
            </w:r>
          </w:p>
        </w:tc>
        <w:tc>
          <w:tcPr>
            <w:tcW w:w="0" w:type="auto"/>
            <w:hideMark/>
          </w:tcPr>
          <w:p w14:paraId="7EDE68B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35638C2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0.64</w:t>
            </w:r>
          </w:p>
        </w:tc>
      </w:tr>
      <w:tr w:rsidR="00FE570A" w:rsidRPr="00FE570A" w14:paraId="1E5B1904" w14:textId="77777777" w:rsidTr="00FE570A">
        <w:trPr>
          <w:trHeight w:val="20"/>
          <w:jc w:val="center"/>
        </w:trPr>
        <w:tc>
          <w:tcPr>
            <w:tcW w:w="2319" w:type="dxa"/>
            <w:hideMark/>
          </w:tcPr>
          <w:p w14:paraId="2D6598E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Helicobacter pylori</w:t>
            </w:r>
          </w:p>
        </w:tc>
        <w:tc>
          <w:tcPr>
            <w:tcW w:w="0" w:type="auto"/>
            <w:hideMark/>
          </w:tcPr>
          <w:p w14:paraId="2DA836C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294A4E1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22A3252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40</w:t>
            </w:r>
          </w:p>
        </w:tc>
        <w:tc>
          <w:tcPr>
            <w:tcW w:w="0" w:type="auto"/>
            <w:hideMark/>
          </w:tcPr>
          <w:p w14:paraId="67D5C7C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20</w:t>
            </w:r>
          </w:p>
        </w:tc>
        <w:tc>
          <w:tcPr>
            <w:tcW w:w="0" w:type="auto"/>
            <w:hideMark/>
          </w:tcPr>
          <w:p w14:paraId="0F5DD90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34.43</w:t>
            </w:r>
          </w:p>
        </w:tc>
      </w:tr>
      <w:tr w:rsidR="00FE570A" w:rsidRPr="00FE570A" w14:paraId="27990615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hideMark/>
          </w:tcPr>
          <w:p w14:paraId="27DB6886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Plesiomonas shigelloides</w:t>
            </w:r>
          </w:p>
        </w:tc>
        <w:tc>
          <w:tcPr>
            <w:tcW w:w="0" w:type="auto"/>
            <w:hideMark/>
          </w:tcPr>
          <w:p w14:paraId="2745ADC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23</w:t>
            </w:r>
          </w:p>
        </w:tc>
        <w:tc>
          <w:tcPr>
            <w:tcW w:w="0" w:type="auto"/>
            <w:hideMark/>
          </w:tcPr>
          <w:p w14:paraId="37278D1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035DA71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441</w:t>
            </w:r>
          </w:p>
        </w:tc>
        <w:tc>
          <w:tcPr>
            <w:tcW w:w="0" w:type="auto"/>
            <w:hideMark/>
          </w:tcPr>
          <w:p w14:paraId="3AE00C7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404B661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4.96</w:t>
            </w:r>
          </w:p>
        </w:tc>
      </w:tr>
      <w:tr w:rsidR="00FE570A" w:rsidRPr="00FE570A" w14:paraId="56BC8F1B" w14:textId="77777777" w:rsidTr="00FE570A">
        <w:trPr>
          <w:trHeight w:val="20"/>
          <w:jc w:val="center"/>
        </w:trPr>
        <w:tc>
          <w:tcPr>
            <w:tcW w:w="2319" w:type="dxa"/>
            <w:hideMark/>
          </w:tcPr>
          <w:p w14:paraId="348B192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Salmonella</w:t>
            </w:r>
            <w:r w:rsidRPr="00FE570A">
              <w:rPr>
                <w:lang w:val="en-AU"/>
              </w:rPr>
              <w:t xml:space="preserve"> spp.</w:t>
            </w:r>
          </w:p>
        </w:tc>
        <w:tc>
          <w:tcPr>
            <w:tcW w:w="0" w:type="auto"/>
            <w:hideMark/>
          </w:tcPr>
          <w:p w14:paraId="5751295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31</w:t>
            </w:r>
          </w:p>
        </w:tc>
        <w:tc>
          <w:tcPr>
            <w:tcW w:w="0" w:type="auto"/>
            <w:hideMark/>
          </w:tcPr>
          <w:p w14:paraId="5FAABFB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3489F7F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456</w:t>
            </w:r>
          </w:p>
        </w:tc>
        <w:tc>
          <w:tcPr>
            <w:tcW w:w="0" w:type="auto"/>
            <w:hideMark/>
          </w:tcPr>
          <w:p w14:paraId="2BFBB8A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</w:t>
            </w:r>
          </w:p>
        </w:tc>
        <w:tc>
          <w:tcPr>
            <w:tcW w:w="0" w:type="auto"/>
            <w:hideMark/>
          </w:tcPr>
          <w:p w14:paraId="72E8597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8.05</w:t>
            </w:r>
          </w:p>
        </w:tc>
      </w:tr>
      <w:tr w:rsidR="00FE570A" w:rsidRPr="00FE570A" w14:paraId="7D93746D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hideMark/>
          </w:tcPr>
          <w:p w14:paraId="1ACAE23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Vibrio</w:t>
            </w:r>
            <w:r w:rsidRPr="00FE570A">
              <w:rPr>
                <w:lang w:val="en-AU"/>
              </w:rPr>
              <w:t xml:space="preserve"> spp.</w:t>
            </w:r>
          </w:p>
        </w:tc>
        <w:tc>
          <w:tcPr>
            <w:tcW w:w="0" w:type="auto"/>
            <w:hideMark/>
          </w:tcPr>
          <w:p w14:paraId="7456196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</w:t>
            </w:r>
          </w:p>
        </w:tc>
        <w:tc>
          <w:tcPr>
            <w:tcW w:w="0" w:type="auto"/>
            <w:hideMark/>
          </w:tcPr>
          <w:p w14:paraId="261A273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545F40D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474</w:t>
            </w:r>
          </w:p>
        </w:tc>
        <w:tc>
          <w:tcPr>
            <w:tcW w:w="0" w:type="auto"/>
            <w:hideMark/>
          </w:tcPr>
          <w:p w14:paraId="6548875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</w:t>
            </w:r>
          </w:p>
        </w:tc>
        <w:tc>
          <w:tcPr>
            <w:tcW w:w="0" w:type="auto"/>
            <w:hideMark/>
          </w:tcPr>
          <w:p w14:paraId="2A7C4C9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4.23</w:t>
            </w:r>
          </w:p>
        </w:tc>
      </w:tr>
      <w:tr w:rsidR="00FE570A" w:rsidRPr="00FE570A" w14:paraId="7C0241B6" w14:textId="77777777" w:rsidTr="00FE570A">
        <w:trPr>
          <w:trHeight w:val="20"/>
          <w:jc w:val="center"/>
        </w:trPr>
        <w:tc>
          <w:tcPr>
            <w:tcW w:w="23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E67A8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Yersinia enterocolitica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F83DE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6C8A9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0E508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33F3F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22B83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6.64</w:t>
            </w:r>
          </w:p>
        </w:tc>
      </w:tr>
      <w:tr w:rsidR="00FE570A" w:rsidRPr="00FE570A" w14:paraId="76611EE0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9FEF9B" w14:textId="77777777" w:rsidR="00FE570A" w:rsidRPr="00FE570A" w:rsidRDefault="00FE570A" w:rsidP="00FE570A">
            <w:pPr>
              <w:spacing w:after="160" w:line="278" w:lineRule="auto"/>
              <w:rPr>
                <w:b/>
                <w:bCs/>
                <w:lang w:val="en-AU"/>
              </w:rPr>
            </w:pPr>
            <w:r w:rsidRPr="00FE570A">
              <w:rPr>
                <w:b/>
                <w:bCs/>
                <w:lang w:val="en-AU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B7FD5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7E484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A7674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3240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32751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C40E3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</w:p>
        </w:tc>
      </w:tr>
    </w:tbl>
    <w:p w14:paraId="06EA769B" w14:textId="77777777" w:rsidR="00FE570A" w:rsidRPr="00FE570A" w:rsidRDefault="00FE570A" w:rsidP="00FE570A">
      <w:pPr>
        <w:rPr>
          <w:lang w:val="en-AU"/>
        </w:rPr>
      </w:pPr>
    </w:p>
    <w:tbl>
      <w:tblPr>
        <w:tblStyle w:val="PlainTable3"/>
        <w:tblW w:w="0" w:type="auto"/>
        <w:jc w:val="center"/>
        <w:tblLook w:val="0420" w:firstRow="1" w:lastRow="0" w:firstColumn="0" w:lastColumn="0" w:noHBand="0" w:noVBand="1"/>
      </w:tblPr>
      <w:tblGrid>
        <w:gridCol w:w="2812"/>
        <w:gridCol w:w="487"/>
        <w:gridCol w:w="499"/>
        <w:gridCol w:w="729"/>
        <w:gridCol w:w="523"/>
        <w:gridCol w:w="1686"/>
      </w:tblGrid>
      <w:tr w:rsidR="00FE570A" w:rsidRPr="00FE570A" w14:paraId="77B20F97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6BD4DC4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lastRenderedPageBreak/>
              <w:t>Eukaryotes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6013133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56D5F2C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68CFEAE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TN</w:t>
            </w:r>
          </w:p>
        </w:tc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B7275C2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FN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11C59E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Prevalence (%)</w:t>
            </w:r>
          </w:p>
        </w:tc>
      </w:tr>
      <w:tr w:rsidR="00FE570A" w:rsidRPr="00FE570A" w14:paraId="06675C39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hideMark/>
          </w:tcPr>
          <w:p w14:paraId="050D0CC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Cryptosporidium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0" w:type="auto"/>
            <w:hideMark/>
          </w:tcPr>
          <w:p w14:paraId="60B081D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36</w:t>
            </w:r>
          </w:p>
        </w:tc>
        <w:tc>
          <w:tcPr>
            <w:tcW w:w="0" w:type="auto"/>
            <w:hideMark/>
          </w:tcPr>
          <w:p w14:paraId="6E70FFF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0019C80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452</w:t>
            </w:r>
          </w:p>
        </w:tc>
        <w:tc>
          <w:tcPr>
            <w:tcW w:w="416" w:type="dxa"/>
            <w:hideMark/>
          </w:tcPr>
          <w:p w14:paraId="781ABDA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1257" w:type="dxa"/>
            <w:hideMark/>
          </w:tcPr>
          <w:p w14:paraId="34E9BF9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7.35</w:t>
            </w:r>
          </w:p>
        </w:tc>
      </w:tr>
      <w:tr w:rsidR="00FE570A" w:rsidRPr="00FE570A" w14:paraId="1F100FE3" w14:textId="77777777" w:rsidTr="00FE570A">
        <w:trPr>
          <w:trHeight w:val="20"/>
          <w:jc w:val="center"/>
        </w:trPr>
        <w:tc>
          <w:tcPr>
            <w:tcW w:w="0" w:type="auto"/>
            <w:hideMark/>
          </w:tcPr>
          <w:p w14:paraId="4649A6D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Cyclospora cayetanensis</w:t>
            </w:r>
          </w:p>
        </w:tc>
        <w:tc>
          <w:tcPr>
            <w:tcW w:w="0" w:type="auto"/>
            <w:hideMark/>
          </w:tcPr>
          <w:p w14:paraId="1291449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</w:t>
            </w:r>
          </w:p>
        </w:tc>
        <w:tc>
          <w:tcPr>
            <w:tcW w:w="0" w:type="auto"/>
            <w:hideMark/>
          </w:tcPr>
          <w:p w14:paraId="6A0041B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26E52D6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480</w:t>
            </w:r>
          </w:p>
        </w:tc>
        <w:tc>
          <w:tcPr>
            <w:tcW w:w="416" w:type="dxa"/>
            <w:hideMark/>
          </w:tcPr>
          <w:p w14:paraId="410B4C7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1257" w:type="dxa"/>
            <w:hideMark/>
          </w:tcPr>
          <w:p w14:paraId="698143B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3.23</w:t>
            </w:r>
          </w:p>
        </w:tc>
      </w:tr>
      <w:tr w:rsidR="00FE570A" w:rsidRPr="00FE570A" w14:paraId="5364328E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hideMark/>
          </w:tcPr>
          <w:p w14:paraId="463E3EB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Entamoeba histolytica</w:t>
            </w:r>
          </w:p>
        </w:tc>
        <w:tc>
          <w:tcPr>
            <w:tcW w:w="0" w:type="auto"/>
            <w:hideMark/>
          </w:tcPr>
          <w:p w14:paraId="5CF90F1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59C4643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5E460FD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492</w:t>
            </w:r>
          </w:p>
        </w:tc>
        <w:tc>
          <w:tcPr>
            <w:tcW w:w="416" w:type="dxa"/>
            <w:hideMark/>
          </w:tcPr>
          <w:p w14:paraId="40DA6DD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</w:t>
            </w:r>
          </w:p>
        </w:tc>
        <w:tc>
          <w:tcPr>
            <w:tcW w:w="1257" w:type="dxa"/>
            <w:hideMark/>
          </w:tcPr>
          <w:p w14:paraId="16B5B16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1.01</w:t>
            </w:r>
          </w:p>
        </w:tc>
      </w:tr>
      <w:tr w:rsidR="00FE570A" w:rsidRPr="00FE570A" w14:paraId="4134EC6A" w14:textId="77777777" w:rsidTr="00FE570A">
        <w:trPr>
          <w:trHeight w:val="20"/>
          <w:jc w:val="center"/>
        </w:trPr>
        <w:tc>
          <w:tcPr>
            <w:tcW w:w="0" w:type="auto"/>
            <w:hideMark/>
          </w:tcPr>
          <w:p w14:paraId="45F465E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Enterobius vermicularis</w:t>
            </w:r>
          </w:p>
        </w:tc>
        <w:tc>
          <w:tcPr>
            <w:tcW w:w="0" w:type="auto"/>
            <w:hideMark/>
          </w:tcPr>
          <w:p w14:paraId="4BF5189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</w:t>
            </w:r>
          </w:p>
        </w:tc>
        <w:tc>
          <w:tcPr>
            <w:tcW w:w="0" w:type="auto"/>
            <w:hideMark/>
          </w:tcPr>
          <w:p w14:paraId="14BE41D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61F1744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459</w:t>
            </w:r>
          </w:p>
        </w:tc>
        <w:tc>
          <w:tcPr>
            <w:tcW w:w="416" w:type="dxa"/>
            <w:hideMark/>
          </w:tcPr>
          <w:p w14:paraId="0707B6F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1257" w:type="dxa"/>
            <w:hideMark/>
          </w:tcPr>
          <w:p w14:paraId="4E0216E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1.92</w:t>
            </w:r>
          </w:p>
        </w:tc>
      </w:tr>
      <w:tr w:rsidR="00FE570A" w:rsidRPr="00FE570A" w14:paraId="326C8C46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hideMark/>
          </w:tcPr>
          <w:p w14:paraId="265E7234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Giardia intestinalis</w:t>
            </w:r>
          </w:p>
        </w:tc>
        <w:tc>
          <w:tcPr>
            <w:tcW w:w="0" w:type="auto"/>
            <w:hideMark/>
          </w:tcPr>
          <w:p w14:paraId="10500A9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26</w:t>
            </w:r>
          </w:p>
        </w:tc>
        <w:tc>
          <w:tcPr>
            <w:tcW w:w="0" w:type="auto"/>
            <w:hideMark/>
          </w:tcPr>
          <w:p w14:paraId="69B3D4B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32F46CB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466</w:t>
            </w:r>
          </w:p>
        </w:tc>
        <w:tc>
          <w:tcPr>
            <w:tcW w:w="416" w:type="dxa"/>
            <w:hideMark/>
          </w:tcPr>
          <w:p w14:paraId="65FB621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</w:t>
            </w:r>
          </w:p>
        </w:tc>
        <w:tc>
          <w:tcPr>
            <w:tcW w:w="1257" w:type="dxa"/>
            <w:hideMark/>
          </w:tcPr>
          <w:p w14:paraId="77EF4D1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6.24</w:t>
            </w:r>
          </w:p>
        </w:tc>
      </w:tr>
      <w:tr w:rsidR="00FE570A" w:rsidRPr="00FE570A" w14:paraId="2836F272" w14:textId="77777777" w:rsidTr="00FE570A">
        <w:trPr>
          <w:trHeight w:val="20"/>
          <w:jc w:val="center"/>
        </w:trPr>
        <w:tc>
          <w:tcPr>
            <w:tcW w:w="0" w:type="auto"/>
            <w:hideMark/>
          </w:tcPr>
          <w:p w14:paraId="094E201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Strongyloides stercoralis</w:t>
            </w:r>
          </w:p>
        </w:tc>
        <w:tc>
          <w:tcPr>
            <w:tcW w:w="0" w:type="auto"/>
            <w:hideMark/>
          </w:tcPr>
          <w:p w14:paraId="1531D0D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3325DB0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4E50F00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467</w:t>
            </w:r>
          </w:p>
        </w:tc>
        <w:tc>
          <w:tcPr>
            <w:tcW w:w="416" w:type="dxa"/>
            <w:hideMark/>
          </w:tcPr>
          <w:p w14:paraId="12158E9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1257" w:type="dxa"/>
            <w:hideMark/>
          </w:tcPr>
          <w:p w14:paraId="600B2FD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0.21</w:t>
            </w:r>
          </w:p>
        </w:tc>
      </w:tr>
      <w:tr w:rsidR="00FE570A" w:rsidRPr="00FE570A" w14:paraId="46979D16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hideMark/>
          </w:tcPr>
          <w:p w14:paraId="5EFFC0C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 xml:space="preserve">Taenia </w:t>
            </w:r>
            <w:r w:rsidRPr="00FE570A">
              <w:rPr>
                <w:lang w:val="en-AU"/>
              </w:rPr>
              <w:t>spp.</w:t>
            </w:r>
          </w:p>
        </w:tc>
        <w:tc>
          <w:tcPr>
            <w:tcW w:w="0" w:type="auto"/>
            <w:hideMark/>
          </w:tcPr>
          <w:p w14:paraId="14926E9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50A8DBA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hideMark/>
          </w:tcPr>
          <w:p w14:paraId="78FFCF90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467</w:t>
            </w:r>
          </w:p>
        </w:tc>
        <w:tc>
          <w:tcPr>
            <w:tcW w:w="416" w:type="dxa"/>
            <w:hideMark/>
          </w:tcPr>
          <w:p w14:paraId="08CABA1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1257" w:type="dxa"/>
            <w:hideMark/>
          </w:tcPr>
          <w:p w14:paraId="64525BC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0.21</w:t>
            </w:r>
          </w:p>
        </w:tc>
      </w:tr>
      <w:tr w:rsidR="00FE570A" w:rsidRPr="00FE570A" w14:paraId="4320FAD0" w14:textId="77777777" w:rsidTr="00FE570A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722CE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30B66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D2D1F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CD687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3283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2E5E2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8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DEB05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</w:p>
        </w:tc>
      </w:tr>
    </w:tbl>
    <w:p w14:paraId="6342D048" w14:textId="77777777" w:rsidR="00FE570A" w:rsidRPr="00FE570A" w:rsidRDefault="00FE570A" w:rsidP="00FE570A"/>
    <w:tbl>
      <w:tblPr>
        <w:tblStyle w:val="PlainTable3"/>
        <w:tblW w:w="5580" w:type="dxa"/>
        <w:jc w:val="center"/>
        <w:tblLook w:val="0420" w:firstRow="1" w:lastRow="0" w:firstColumn="0" w:lastColumn="0" w:noHBand="0" w:noVBand="1"/>
      </w:tblPr>
      <w:tblGrid>
        <w:gridCol w:w="1777"/>
        <w:gridCol w:w="487"/>
        <w:gridCol w:w="499"/>
        <w:gridCol w:w="601"/>
        <w:gridCol w:w="530"/>
        <w:gridCol w:w="1686"/>
      </w:tblGrid>
      <w:tr w:rsidR="00FE570A" w:rsidRPr="00FE570A" w14:paraId="79DFC65C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2410" w:type="dxa"/>
            <w:tcBorders>
              <w:top w:val="nil"/>
              <w:left w:val="nil"/>
              <w:right w:val="nil"/>
            </w:tcBorders>
            <w:hideMark/>
          </w:tcPr>
          <w:p w14:paraId="153D486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Viruses</w:t>
            </w:r>
          </w:p>
        </w:tc>
        <w:tc>
          <w:tcPr>
            <w:tcW w:w="428" w:type="dxa"/>
            <w:tcBorders>
              <w:top w:val="nil"/>
              <w:left w:val="nil"/>
              <w:right w:val="nil"/>
            </w:tcBorders>
            <w:hideMark/>
          </w:tcPr>
          <w:p w14:paraId="6B0E6C21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TP</w:t>
            </w:r>
          </w:p>
        </w:tc>
        <w:tc>
          <w:tcPr>
            <w:tcW w:w="409" w:type="dxa"/>
            <w:tcBorders>
              <w:top w:val="nil"/>
              <w:left w:val="nil"/>
              <w:right w:val="nil"/>
            </w:tcBorders>
            <w:hideMark/>
          </w:tcPr>
          <w:p w14:paraId="2357255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FP</w:t>
            </w:r>
          </w:p>
        </w:tc>
        <w:tc>
          <w:tcPr>
            <w:tcW w:w="493" w:type="dxa"/>
            <w:tcBorders>
              <w:top w:val="nil"/>
              <w:left w:val="nil"/>
              <w:right w:val="nil"/>
            </w:tcBorders>
            <w:hideMark/>
          </w:tcPr>
          <w:p w14:paraId="6140AECE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TN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hideMark/>
          </w:tcPr>
          <w:p w14:paraId="097F0F1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FN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</w:tcBorders>
            <w:hideMark/>
          </w:tcPr>
          <w:p w14:paraId="6A73DC85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Prevalence (%)</w:t>
            </w:r>
          </w:p>
        </w:tc>
      </w:tr>
      <w:tr w:rsidR="00FE570A" w:rsidRPr="00FE570A" w14:paraId="54701DCC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2410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C9B4C8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lang w:val="en-AU"/>
              </w:rPr>
              <w:t>Adenovirus F (serotype 40/41)</w:t>
            </w:r>
          </w:p>
        </w:tc>
        <w:tc>
          <w:tcPr>
            <w:tcW w:w="428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290BC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41</w:t>
            </w:r>
          </w:p>
        </w:tc>
        <w:tc>
          <w:tcPr>
            <w:tcW w:w="409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B6018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</w:t>
            </w:r>
          </w:p>
        </w:tc>
        <w:tc>
          <w:tcPr>
            <w:tcW w:w="49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6553E9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120</w:t>
            </w:r>
          </w:p>
        </w:tc>
        <w:tc>
          <w:tcPr>
            <w:tcW w:w="542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0F09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28</w:t>
            </w:r>
          </w:p>
        </w:tc>
        <w:tc>
          <w:tcPr>
            <w:tcW w:w="1298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2A3CE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35.75</w:t>
            </w:r>
          </w:p>
        </w:tc>
      </w:tr>
    </w:tbl>
    <w:p w14:paraId="6C3402CF" w14:textId="77777777" w:rsidR="00FE570A" w:rsidRPr="00FE570A" w:rsidRDefault="00FE570A" w:rsidP="00FE570A">
      <w:pPr>
        <w:rPr>
          <w:lang w:val="en-AU"/>
        </w:rPr>
      </w:pPr>
    </w:p>
    <w:tbl>
      <w:tblPr>
        <w:tblStyle w:val="PlainTable3"/>
        <w:tblW w:w="0" w:type="auto"/>
        <w:jc w:val="center"/>
        <w:tblLook w:val="0420" w:firstRow="1" w:lastRow="0" w:firstColumn="0" w:lastColumn="0" w:noHBand="0" w:noVBand="1"/>
      </w:tblPr>
      <w:tblGrid>
        <w:gridCol w:w="3272"/>
        <w:gridCol w:w="601"/>
        <w:gridCol w:w="499"/>
        <w:gridCol w:w="729"/>
        <w:gridCol w:w="601"/>
        <w:gridCol w:w="2094"/>
      </w:tblGrid>
      <w:tr w:rsidR="00FE570A" w:rsidRPr="00FE570A" w14:paraId="2E047C05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225CA807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Virulence factors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57A6CC83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3500B1B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76AF1B3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36B4D7DD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52CA17EB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Prevalence (%)</w:t>
            </w:r>
          </w:p>
        </w:tc>
      </w:tr>
      <w:tr w:rsidR="00FE570A" w:rsidRPr="00FE570A" w14:paraId="1C9D3E9D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vAlign w:val="bottom"/>
            <w:hideMark/>
          </w:tcPr>
          <w:p w14:paraId="7D16A9F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i/>
                <w:iCs/>
                <w:lang w:val="en-AU"/>
              </w:rPr>
              <w:t>C. difficile</w:t>
            </w:r>
            <w:r w:rsidRPr="00FE570A">
              <w:rPr>
                <w:lang w:val="en-AU"/>
              </w:rPr>
              <w:t xml:space="preserve"> toxin A/B</w:t>
            </w:r>
          </w:p>
        </w:tc>
        <w:tc>
          <w:tcPr>
            <w:tcW w:w="0" w:type="auto"/>
            <w:vAlign w:val="center"/>
            <w:hideMark/>
          </w:tcPr>
          <w:p w14:paraId="6984A83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2135A37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1CBE3A5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444</w:t>
            </w:r>
          </w:p>
        </w:tc>
        <w:tc>
          <w:tcPr>
            <w:tcW w:w="0" w:type="auto"/>
            <w:vAlign w:val="center"/>
            <w:hideMark/>
          </w:tcPr>
          <w:p w14:paraId="25E8F04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7455DA1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10.66</w:t>
            </w:r>
          </w:p>
        </w:tc>
      </w:tr>
      <w:tr w:rsidR="00FE570A" w:rsidRPr="00FE570A" w14:paraId="090B6F30" w14:textId="77777777" w:rsidTr="00FE570A">
        <w:trPr>
          <w:trHeight w:val="20"/>
          <w:jc w:val="center"/>
        </w:trPr>
        <w:tc>
          <w:tcPr>
            <w:tcW w:w="0" w:type="auto"/>
            <w:vAlign w:val="bottom"/>
            <w:hideMark/>
          </w:tcPr>
          <w:p w14:paraId="5777C9C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EAEC virulence factors</w:t>
            </w:r>
          </w:p>
        </w:tc>
        <w:tc>
          <w:tcPr>
            <w:tcW w:w="0" w:type="auto"/>
            <w:vAlign w:val="center"/>
            <w:hideMark/>
          </w:tcPr>
          <w:p w14:paraId="2985A33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14:paraId="06D3B52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2DA2F4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393</w:t>
            </w:r>
          </w:p>
        </w:tc>
        <w:tc>
          <w:tcPr>
            <w:tcW w:w="0" w:type="auto"/>
            <w:vAlign w:val="center"/>
            <w:hideMark/>
          </w:tcPr>
          <w:p w14:paraId="0755806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762BCAA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15.81</w:t>
            </w:r>
          </w:p>
        </w:tc>
      </w:tr>
      <w:tr w:rsidR="00FE570A" w:rsidRPr="00FE570A" w14:paraId="08AA16FE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vAlign w:val="bottom"/>
            <w:hideMark/>
          </w:tcPr>
          <w:p w14:paraId="16B5440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EIEC virulence factors</w:t>
            </w:r>
          </w:p>
        </w:tc>
        <w:tc>
          <w:tcPr>
            <w:tcW w:w="0" w:type="auto"/>
            <w:vAlign w:val="center"/>
            <w:hideMark/>
          </w:tcPr>
          <w:p w14:paraId="430088B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068A37E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F8EE40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434</w:t>
            </w:r>
          </w:p>
        </w:tc>
        <w:tc>
          <w:tcPr>
            <w:tcW w:w="0" w:type="auto"/>
            <w:vAlign w:val="center"/>
            <w:hideMark/>
          </w:tcPr>
          <w:p w14:paraId="27CE648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33F2E78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12.68</w:t>
            </w:r>
          </w:p>
        </w:tc>
      </w:tr>
      <w:tr w:rsidR="00FE570A" w:rsidRPr="00FE570A" w14:paraId="06173A71" w14:textId="77777777" w:rsidTr="00FE570A">
        <w:trPr>
          <w:trHeight w:val="20"/>
          <w:jc w:val="center"/>
        </w:trPr>
        <w:tc>
          <w:tcPr>
            <w:tcW w:w="0" w:type="auto"/>
            <w:vAlign w:val="bottom"/>
            <w:hideMark/>
          </w:tcPr>
          <w:p w14:paraId="0040D10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EPEC virulence factors</w:t>
            </w:r>
          </w:p>
        </w:tc>
        <w:tc>
          <w:tcPr>
            <w:tcW w:w="0" w:type="auto"/>
            <w:vAlign w:val="center"/>
            <w:hideMark/>
          </w:tcPr>
          <w:p w14:paraId="51A01A0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0613CE53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0DEFC1A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372</w:t>
            </w:r>
          </w:p>
        </w:tc>
        <w:tc>
          <w:tcPr>
            <w:tcW w:w="0" w:type="auto"/>
            <w:vAlign w:val="center"/>
            <w:hideMark/>
          </w:tcPr>
          <w:p w14:paraId="457A42E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14:paraId="7E650FA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20.51</w:t>
            </w:r>
          </w:p>
        </w:tc>
      </w:tr>
      <w:tr w:rsidR="00FE570A" w:rsidRPr="00FE570A" w14:paraId="52E38E02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vAlign w:val="bottom"/>
            <w:hideMark/>
          </w:tcPr>
          <w:p w14:paraId="4429A56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ETEC heat labile/stable toxins</w:t>
            </w:r>
          </w:p>
        </w:tc>
        <w:tc>
          <w:tcPr>
            <w:tcW w:w="0" w:type="auto"/>
            <w:vAlign w:val="center"/>
            <w:hideMark/>
          </w:tcPr>
          <w:p w14:paraId="0CBACAD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750467F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514F147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440</w:t>
            </w:r>
          </w:p>
        </w:tc>
        <w:tc>
          <w:tcPr>
            <w:tcW w:w="0" w:type="auto"/>
            <w:vAlign w:val="center"/>
            <w:hideMark/>
          </w:tcPr>
          <w:p w14:paraId="4F79118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72A22E9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5.98</w:t>
            </w:r>
          </w:p>
        </w:tc>
      </w:tr>
      <w:tr w:rsidR="00FE570A" w:rsidRPr="00FE570A" w14:paraId="3C5D41F3" w14:textId="77777777" w:rsidTr="00FE570A">
        <w:trPr>
          <w:trHeight w:val="20"/>
          <w:jc w:val="center"/>
        </w:trPr>
        <w:tc>
          <w:tcPr>
            <w:tcW w:w="0" w:type="auto"/>
            <w:vAlign w:val="bottom"/>
            <w:hideMark/>
          </w:tcPr>
          <w:p w14:paraId="7ECBD37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STEC Shiga toxin</w:t>
            </w:r>
          </w:p>
        </w:tc>
        <w:tc>
          <w:tcPr>
            <w:tcW w:w="0" w:type="auto"/>
            <w:vAlign w:val="center"/>
            <w:hideMark/>
          </w:tcPr>
          <w:p w14:paraId="6C7D70C6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35C3A44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434108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466</w:t>
            </w:r>
          </w:p>
        </w:tc>
        <w:tc>
          <w:tcPr>
            <w:tcW w:w="0" w:type="auto"/>
            <w:vAlign w:val="center"/>
            <w:hideMark/>
          </w:tcPr>
          <w:p w14:paraId="7C6BE6DB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2846681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0.43</w:t>
            </w:r>
          </w:p>
        </w:tc>
      </w:tr>
      <w:tr w:rsidR="00FE570A" w:rsidRPr="00FE570A" w14:paraId="479AFCDD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B7CE0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670E8D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A5F94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A2D7C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2549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FA31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70C0A2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</w:p>
        </w:tc>
      </w:tr>
    </w:tbl>
    <w:p w14:paraId="1FE3876C" w14:textId="77777777" w:rsidR="00FE570A" w:rsidRPr="00FE570A" w:rsidRDefault="00FE570A" w:rsidP="00FE570A">
      <w:pPr>
        <w:rPr>
          <w:lang w:val="en-AU"/>
        </w:rPr>
      </w:pPr>
    </w:p>
    <w:tbl>
      <w:tblPr>
        <w:tblStyle w:val="PlainTable3"/>
        <w:tblW w:w="0" w:type="auto"/>
        <w:jc w:val="center"/>
        <w:tblLook w:val="0420" w:firstRow="1" w:lastRow="0" w:firstColumn="0" w:lastColumn="0" w:noHBand="0" w:noVBand="1"/>
      </w:tblPr>
      <w:tblGrid>
        <w:gridCol w:w="1640"/>
        <w:gridCol w:w="601"/>
        <w:gridCol w:w="499"/>
        <w:gridCol w:w="729"/>
        <w:gridCol w:w="601"/>
      </w:tblGrid>
      <w:tr w:rsidR="00FE570A" w:rsidRPr="00FE570A" w14:paraId="6228B042" w14:textId="77777777" w:rsidTr="00FE5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76CF0B9A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All targets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7FFD1D2F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2C559939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6AE3F100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45A19046" w14:textId="77777777" w:rsidR="00FE570A" w:rsidRPr="00FE570A" w:rsidRDefault="00FE570A" w:rsidP="00FE570A">
            <w:pPr>
              <w:spacing w:after="160" w:line="278" w:lineRule="auto"/>
              <w:rPr>
                <w:i/>
                <w:iCs/>
                <w:lang w:val="en-AU"/>
              </w:rPr>
            </w:pPr>
            <w:r w:rsidRPr="00FE570A">
              <w:rPr>
                <w:i/>
                <w:iCs/>
                <w:lang w:val="en-AU"/>
              </w:rPr>
              <w:t>FN</w:t>
            </w:r>
          </w:p>
        </w:tc>
      </w:tr>
      <w:tr w:rsidR="00FE570A" w:rsidRPr="00FE570A" w14:paraId="5E468084" w14:textId="77777777" w:rsidTr="00FE5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FEC43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lastRenderedPageBreak/>
              <w:t>Total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BA75EE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481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4B004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14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56954F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9192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AAD8A8" w14:textId="77777777" w:rsidR="00FE570A" w:rsidRPr="00FE570A" w:rsidRDefault="00FE570A" w:rsidP="00FE570A">
            <w:pPr>
              <w:spacing w:after="160" w:line="278" w:lineRule="auto"/>
              <w:rPr>
                <w:lang w:val="en-AU"/>
              </w:rPr>
            </w:pPr>
            <w:r w:rsidRPr="00FE570A">
              <w:rPr>
                <w:lang w:val="en-AU"/>
              </w:rPr>
              <w:t>234</w:t>
            </w:r>
          </w:p>
        </w:tc>
      </w:tr>
    </w:tbl>
    <w:p w14:paraId="51BD3FD6" w14:textId="77777777" w:rsidR="00FE570A" w:rsidRPr="00FE570A" w:rsidRDefault="00FE570A" w:rsidP="00FE570A">
      <w:pPr>
        <w:rPr>
          <w:b/>
          <w:bCs/>
          <w:lang w:val="en-AU"/>
        </w:rPr>
      </w:pPr>
      <w:r w:rsidRPr="00FE570A">
        <w:rPr>
          <w:lang w:val="en-AU"/>
        </w:rPr>
        <w:br/>
      </w:r>
      <w:bookmarkStart w:id="21" w:name="_Ref185414252"/>
    </w:p>
    <w:p w14:paraId="6446E68E" w14:textId="77777777" w:rsidR="00FE570A" w:rsidRPr="00FE570A" w:rsidRDefault="00FE570A" w:rsidP="00FE570A">
      <w:pPr>
        <w:rPr>
          <w:b/>
          <w:bCs/>
          <w:lang w:val="en-AU"/>
        </w:rPr>
      </w:pPr>
      <w:bookmarkStart w:id="22" w:name="_Ref187223164"/>
      <w:bookmarkStart w:id="23" w:name="_Ref185506842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10</w:t>
      </w:r>
      <w:r w:rsidRPr="00FE570A">
        <w:fldChar w:fldCharType="end"/>
      </w:r>
      <w:bookmarkEnd w:id="22"/>
      <w:r w:rsidRPr="00FE570A">
        <w:rPr>
          <w:lang w:val="en-AU"/>
        </w:rPr>
        <w:t>. Additional targets identified by the mNGS assay compared to current standard-of-care diagnostic testing performed by DHM (see Excel file).</w:t>
      </w:r>
    </w:p>
    <w:p w14:paraId="0F07D26B" w14:textId="77777777" w:rsidR="00FE570A" w:rsidRPr="00FE570A" w:rsidRDefault="00FE570A" w:rsidP="00FE570A">
      <w:pPr>
        <w:rPr>
          <w:lang w:val="en-AU"/>
        </w:rPr>
      </w:pPr>
      <w:bookmarkStart w:id="24" w:name="_Ref187223187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11</w:t>
      </w:r>
      <w:r w:rsidRPr="00FE570A">
        <w:fldChar w:fldCharType="end"/>
      </w:r>
      <w:bookmarkEnd w:id="21"/>
      <w:bookmarkEnd w:id="23"/>
      <w:bookmarkEnd w:id="24"/>
      <w:r w:rsidRPr="00FE570A">
        <w:rPr>
          <w:lang w:val="en-AU"/>
        </w:rPr>
        <w:t>. Performance of the mNGS assay compared to PCR reference testing (see Excel file).</w:t>
      </w:r>
    </w:p>
    <w:p w14:paraId="3A201DE0" w14:textId="77777777" w:rsidR="00FE570A" w:rsidRPr="00FE570A" w:rsidRDefault="00FE570A" w:rsidP="00FE570A">
      <w:pPr>
        <w:rPr>
          <w:lang w:val="en-AU"/>
        </w:rPr>
      </w:pPr>
      <w:bookmarkStart w:id="25" w:name="_Ref190851472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12</w:t>
      </w:r>
      <w:r w:rsidRPr="00FE570A">
        <w:fldChar w:fldCharType="end"/>
      </w:r>
      <w:bookmarkEnd w:id="25"/>
      <w:r w:rsidRPr="00FE570A">
        <w:rPr>
          <w:lang w:val="en-AU"/>
        </w:rPr>
        <w:t>. Sensitivity of mNGS assay on samples with Seegene PCR results stratified by C</w:t>
      </w:r>
      <w:r w:rsidRPr="00FE570A">
        <w:rPr>
          <w:vertAlign w:val="subscript"/>
          <w:lang w:val="en-AU"/>
        </w:rPr>
        <w:t>t</w:t>
      </w:r>
      <w:r w:rsidRPr="00FE570A">
        <w:rPr>
          <w:lang w:val="en-AU"/>
        </w:rPr>
        <w:t xml:space="preserve"> values greater or less than 35 (see Excel file).</w:t>
      </w:r>
    </w:p>
    <w:p w14:paraId="7D26ED64" w14:textId="77777777" w:rsidR="00FE570A" w:rsidRPr="00FE570A" w:rsidRDefault="00FE570A" w:rsidP="00FE570A">
      <w:pPr>
        <w:rPr>
          <w:lang w:val="en-AU"/>
        </w:rPr>
      </w:pPr>
      <w:bookmarkStart w:id="26" w:name="_Ref184383820"/>
      <w:bookmarkStart w:id="27" w:name="_Ref179707877"/>
      <w:bookmarkStart w:id="28" w:name="_Ref178858956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13</w:t>
      </w:r>
      <w:r w:rsidRPr="00FE570A">
        <w:fldChar w:fldCharType="end"/>
      </w:r>
      <w:bookmarkEnd w:id="26"/>
      <w:r w:rsidRPr="00FE570A">
        <w:rPr>
          <w:lang w:val="en-AU"/>
        </w:rPr>
        <w:t>. Reproducibility of mNGS targets across biological replicates (see Excel file).</w:t>
      </w:r>
    </w:p>
    <w:p w14:paraId="596E1F6B" w14:textId="77777777" w:rsidR="00FE570A" w:rsidRPr="00FE570A" w:rsidRDefault="00FE570A" w:rsidP="00FE570A">
      <w:pPr>
        <w:rPr>
          <w:lang w:val="en-AU"/>
        </w:rPr>
      </w:pPr>
      <w:bookmarkStart w:id="29" w:name="_Ref181351945"/>
      <w:bookmarkEnd w:id="27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14</w:t>
      </w:r>
      <w:r w:rsidRPr="00FE570A">
        <w:fldChar w:fldCharType="end"/>
      </w:r>
      <w:bookmarkEnd w:id="28"/>
      <w:bookmarkEnd w:id="29"/>
      <w:r w:rsidRPr="00FE570A">
        <w:rPr>
          <w:lang w:val="en-AU"/>
        </w:rPr>
        <w:t xml:space="preserve">. Performance of each target in the mNGS assay on the </w:t>
      </w:r>
      <w:r w:rsidRPr="00FE570A">
        <w:rPr>
          <w:i/>
          <w:iCs/>
          <w:lang w:val="en-AU"/>
        </w:rPr>
        <w:t>in silico</w:t>
      </w:r>
      <w:r w:rsidRPr="00FE570A">
        <w:rPr>
          <w:lang w:val="en-AU"/>
        </w:rPr>
        <w:t xml:space="preserve"> faecal spike-in samples (see Excel file).</w:t>
      </w:r>
    </w:p>
    <w:p w14:paraId="70B84314" w14:textId="77777777" w:rsidR="00FE570A" w:rsidRPr="00FE570A" w:rsidRDefault="00FE570A" w:rsidP="00FE570A">
      <w:pPr>
        <w:rPr>
          <w:lang w:val="en-AU"/>
        </w:rPr>
      </w:pPr>
      <w:bookmarkStart w:id="30" w:name="_Ref178925835"/>
      <w:bookmarkStart w:id="31" w:name="_Ref180750241"/>
      <w:r w:rsidRPr="00FE570A">
        <w:rPr>
          <w:b/>
          <w:bCs/>
          <w:lang w:val="en-AU"/>
        </w:rPr>
        <w:t xml:space="preserve">Supp. Table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Supp._Table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15</w:t>
      </w:r>
      <w:r w:rsidRPr="00FE570A">
        <w:fldChar w:fldCharType="end"/>
      </w:r>
      <w:bookmarkEnd w:id="30"/>
      <w:bookmarkEnd w:id="31"/>
      <w:r w:rsidRPr="00FE570A">
        <w:rPr>
          <w:lang w:val="en-AU"/>
        </w:rPr>
        <w:t xml:space="preserve">. </w:t>
      </w:r>
      <w:bookmarkStart w:id="32" w:name="_Ref180750209"/>
      <w:r w:rsidRPr="00FE570A">
        <w:rPr>
          <w:lang w:val="en-AU"/>
        </w:rPr>
        <w:t xml:space="preserve">Exploration of FP predictions for the </w:t>
      </w:r>
      <w:r w:rsidRPr="00FE570A">
        <w:rPr>
          <w:i/>
          <w:iCs/>
          <w:lang w:val="en-AU"/>
        </w:rPr>
        <w:t xml:space="preserve">in silico </w:t>
      </w:r>
      <w:r w:rsidRPr="00FE570A">
        <w:rPr>
          <w:lang w:val="en-AU"/>
        </w:rPr>
        <w:t>faecal samples (see Excel file).</w:t>
      </w:r>
      <w:bookmarkEnd w:id="32"/>
    </w:p>
    <w:p w14:paraId="67F25617" w14:textId="77777777" w:rsidR="00FE570A" w:rsidRPr="00FE570A" w:rsidRDefault="00FE570A" w:rsidP="00FE570A">
      <w:r w:rsidRPr="00FE570A">
        <w:br w:type="page"/>
      </w:r>
    </w:p>
    <w:p w14:paraId="56DDAC10" w14:textId="77777777" w:rsidR="00FE570A" w:rsidRPr="00FE570A" w:rsidRDefault="00FE570A" w:rsidP="00FE570A">
      <w:r w:rsidRPr="00FE570A">
        <w:lastRenderedPageBreak/>
        <w:t>Supplementary Figures</w:t>
      </w:r>
    </w:p>
    <w:p w14:paraId="111EB762" w14:textId="0196AE06" w:rsidR="00FE570A" w:rsidRPr="00FE570A" w:rsidRDefault="00FE570A" w:rsidP="00FE570A">
      <w:r w:rsidRPr="00FE570A">
        <w:drawing>
          <wp:inline distT="0" distB="0" distL="0" distR="0" wp14:anchorId="5D680CF3" wp14:editId="3F2560E3">
            <wp:extent cx="3733800" cy="3190875"/>
            <wp:effectExtent l="0" t="0" r="0" b="9525"/>
            <wp:docPr id="156697770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DEEB6" w14:textId="77777777" w:rsidR="00FE570A" w:rsidRPr="00FE570A" w:rsidRDefault="00FE570A" w:rsidP="00FE570A">
      <w:pPr>
        <w:rPr>
          <w:lang w:val="en-AU"/>
        </w:rPr>
      </w:pPr>
      <w:bookmarkStart w:id="33" w:name="_Ref178845566"/>
      <w:bookmarkStart w:id="34" w:name="_Toc163204318"/>
      <w:bookmarkStart w:id="35" w:name="_Ref178927791"/>
      <w:bookmarkStart w:id="36" w:name="_Ref184708365"/>
      <w:r w:rsidRPr="00FE570A">
        <w:rPr>
          <w:b/>
          <w:bCs/>
          <w:lang w:val="en-AU"/>
        </w:rPr>
        <w:t xml:space="preserve">Supp. Figure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Supp._Figure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1</w:t>
      </w:r>
      <w:r w:rsidRPr="00FE570A">
        <w:fldChar w:fldCharType="end"/>
      </w:r>
      <w:bookmarkEnd w:id="33"/>
      <w:r w:rsidRPr="00FE570A">
        <w:rPr>
          <w:lang w:val="en-AU"/>
        </w:rPr>
        <w:t xml:space="preserve">. Decision trees for resolving discordant conventional </w:t>
      </w:r>
      <w:bookmarkEnd w:id="34"/>
      <w:bookmarkEnd w:id="35"/>
      <w:r w:rsidRPr="00FE570A">
        <w:rPr>
          <w:lang w:val="en-AU"/>
        </w:rPr>
        <w:t>and mNGS assay test results.</w:t>
      </w:r>
      <w:bookmarkEnd w:id="36"/>
      <w:r w:rsidRPr="00FE570A">
        <w:rPr>
          <w:lang w:val="en-AU"/>
        </w:rPr>
        <w:t xml:space="preserve"> Samples with a single conventional test result are either i) concordant with the mNGS assay and classified as a TP or TN, ii) discordant with the mNGS assay and subjected to an additional independent PCR test (</w:t>
      </w:r>
      <w:r w:rsidRPr="00FE570A">
        <w:rPr>
          <w:lang w:val="en-AU"/>
        </w:rPr>
        <w:fldChar w:fldCharType="begin"/>
      </w:r>
      <w:r w:rsidRPr="00FE570A">
        <w:rPr>
          <w:lang w:val="en-AU"/>
        </w:rPr>
        <w:instrText xml:space="preserve"> REF _Ref178845566 \h  \* MERGEFORMAT </w:instrText>
      </w:r>
      <w:r w:rsidRPr="00FE570A">
        <w:rPr>
          <w:lang w:val="en-AU"/>
        </w:rPr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Supp. Figure 1</w:t>
      </w:r>
      <w:r w:rsidRPr="00FE570A">
        <w:fldChar w:fldCharType="end"/>
      </w:r>
      <w:r w:rsidRPr="00FE570A">
        <w:rPr>
          <w:b/>
          <w:bCs/>
          <w:lang w:val="en-AU"/>
        </w:rPr>
        <w:t>A</w:t>
      </w:r>
      <w:r w:rsidRPr="00FE570A">
        <w:rPr>
          <w:lang w:val="en-AU"/>
        </w:rPr>
        <w:t>). A majority vote (&gt;50% consensus) was used to establish the expected result for samples provided with multiple conventional test results or where a single discordant test result prompted application of an additional independent PCR test (</w:t>
      </w:r>
      <w:r w:rsidRPr="00FE570A">
        <w:rPr>
          <w:b/>
          <w:bCs/>
          <w:lang w:val="en-AU"/>
        </w:rPr>
        <w:t>B</w:t>
      </w:r>
      <w:r w:rsidRPr="00FE570A">
        <w:rPr>
          <w:lang w:val="en-AU"/>
        </w:rPr>
        <w:t>). Samples where conventional tests had a majority result were used to evaluate the mNGS assay, whereas samples without a majority result (i.e. equal number of conventional tests indicating the absence or presence of a target) were subjected to additional PCR testing in order to establish a consensus point of truth.</w:t>
      </w:r>
    </w:p>
    <w:p w14:paraId="2E6B9A3B" w14:textId="77777777" w:rsidR="00FE570A" w:rsidRPr="00FE570A" w:rsidRDefault="00FE570A" w:rsidP="00FE570A">
      <w:pPr>
        <w:rPr>
          <w:lang w:val="en-AU"/>
        </w:rPr>
      </w:pPr>
    </w:p>
    <w:p w14:paraId="7108824D" w14:textId="77777777" w:rsidR="00FE570A" w:rsidRPr="00FE570A" w:rsidRDefault="00FE570A" w:rsidP="00FE570A">
      <w:r w:rsidRPr="00FE570A">
        <w:br w:type="page"/>
      </w:r>
    </w:p>
    <w:p w14:paraId="6E7BBF01" w14:textId="623D8545" w:rsidR="00FE570A" w:rsidRPr="00FE570A" w:rsidRDefault="00FE570A" w:rsidP="00FE570A">
      <w:r w:rsidRPr="00FE570A">
        <w:lastRenderedPageBreak/>
        <w:drawing>
          <wp:inline distT="0" distB="0" distL="0" distR="0" wp14:anchorId="7BC5C14E" wp14:editId="5B6EA7BA">
            <wp:extent cx="4857750" cy="2219325"/>
            <wp:effectExtent l="0" t="0" r="0" b="9525"/>
            <wp:docPr id="14103460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B6D18" w14:textId="77777777" w:rsidR="00FE570A" w:rsidRPr="00FE570A" w:rsidRDefault="00FE570A" w:rsidP="00FE570A">
      <w:pPr>
        <w:rPr>
          <w:lang w:val="en-AU"/>
        </w:rPr>
      </w:pPr>
      <w:bookmarkStart w:id="37" w:name="_Ref185502613"/>
      <w:r w:rsidRPr="00FE570A">
        <w:rPr>
          <w:b/>
          <w:bCs/>
          <w:lang w:val="en-AU"/>
        </w:rPr>
        <w:t xml:space="preserve">Supp. Figure </w:t>
      </w:r>
      <w:r w:rsidRPr="00FE570A">
        <w:rPr>
          <w:lang w:val="en-AU"/>
        </w:rPr>
        <w:fldChar w:fldCharType="begin"/>
      </w:r>
      <w:r w:rsidRPr="00FE570A">
        <w:rPr>
          <w:b/>
          <w:bCs/>
          <w:lang w:val="en-AU"/>
        </w:rPr>
        <w:instrText xml:space="preserve"> SEQ Supp._Figure \* ARABIC </w:instrText>
      </w:r>
      <w:r w:rsidRPr="00FE570A">
        <w:rPr>
          <w:lang w:val="en-AU"/>
        </w:rPr>
        <w:fldChar w:fldCharType="separate"/>
      </w:r>
      <w:r w:rsidRPr="00FE570A">
        <w:rPr>
          <w:b/>
          <w:bCs/>
          <w:lang w:val="en-AU"/>
        </w:rPr>
        <w:t>2</w:t>
      </w:r>
      <w:r w:rsidRPr="00FE570A">
        <w:fldChar w:fldCharType="end"/>
      </w:r>
      <w:bookmarkEnd w:id="37"/>
      <w:r w:rsidRPr="00FE570A">
        <w:rPr>
          <w:lang w:val="en-AU"/>
        </w:rPr>
        <w:t>. Number of identified reads for mNGS targets with increasing concentration in a standard faecal sample for pathogen (</w:t>
      </w:r>
      <w:r w:rsidRPr="00FE570A">
        <w:rPr>
          <w:b/>
          <w:bCs/>
          <w:lang w:val="en-AU"/>
        </w:rPr>
        <w:t>A</w:t>
      </w:r>
      <w:r w:rsidRPr="00FE570A">
        <w:rPr>
          <w:lang w:val="en-AU"/>
        </w:rPr>
        <w:t>) and gene (</w:t>
      </w:r>
      <w:r w:rsidRPr="00FE570A">
        <w:rPr>
          <w:b/>
          <w:bCs/>
          <w:lang w:val="en-AU"/>
        </w:rPr>
        <w:t>B</w:t>
      </w:r>
      <w:r w:rsidRPr="00FE570A">
        <w:rPr>
          <w:lang w:val="en-AU"/>
        </w:rPr>
        <w:t xml:space="preserve">) targets. For pathogen targets, the red dotted lines indicate the ultra-low (16 read pairs), low (160 read pairs), and medium (1,600 read pairs) read depths used for the </w:t>
      </w:r>
      <w:r w:rsidRPr="00FE570A">
        <w:rPr>
          <w:i/>
          <w:iCs/>
          <w:lang w:val="en-AU"/>
        </w:rPr>
        <w:t>in silico</w:t>
      </w:r>
      <w:r w:rsidRPr="00FE570A">
        <w:rPr>
          <w:lang w:val="en-AU"/>
        </w:rPr>
        <w:t xml:space="preserve"> samples. Identification of pathogen targets required 10</w:t>
      </w:r>
      <w:r w:rsidRPr="00FE570A">
        <w:rPr>
          <w:vertAlign w:val="superscript"/>
          <w:lang w:val="en-AU"/>
        </w:rPr>
        <w:t>5</w:t>
      </w:r>
      <w:r w:rsidRPr="00FE570A">
        <w:rPr>
          <w:lang w:val="en-AU"/>
        </w:rPr>
        <w:t xml:space="preserve"> to 10</w:t>
      </w:r>
      <w:r w:rsidRPr="00FE570A">
        <w:rPr>
          <w:vertAlign w:val="superscript"/>
          <w:lang w:val="en-AU"/>
        </w:rPr>
        <w:t>6</w:t>
      </w:r>
      <w:r w:rsidRPr="00FE570A">
        <w:rPr>
          <w:lang w:val="en-AU"/>
        </w:rPr>
        <w:t xml:space="preserve"> equ. orgs/g faeces where the number of identified reads fall between the ultra-low and low read depths.  For gene targets, the red dotted lines indicate the ultra-low (0.5x coverage; 1.6 read pairs), low (1x coverage; 3.2 read pairs), medium (2.5x coverage; 8.3 read pairs), and high (5x coverage; 16.6 read pairs) read depths used for the </w:t>
      </w:r>
      <w:r w:rsidRPr="00FE570A">
        <w:rPr>
          <w:i/>
          <w:iCs/>
          <w:lang w:val="en-AU"/>
        </w:rPr>
        <w:t>in silico</w:t>
      </w:r>
      <w:r w:rsidRPr="00FE570A">
        <w:rPr>
          <w:lang w:val="en-AU"/>
        </w:rPr>
        <w:t xml:space="preserve"> samples assuming an average gene length of 1,000 bp. Robust identification of gene targets required ≥10</w:t>
      </w:r>
      <w:r w:rsidRPr="00FE570A">
        <w:rPr>
          <w:vertAlign w:val="superscript"/>
          <w:lang w:val="en-AU"/>
        </w:rPr>
        <w:t>8</w:t>
      </w:r>
      <w:r w:rsidRPr="00FE570A">
        <w:rPr>
          <w:lang w:val="en-AU"/>
        </w:rPr>
        <w:t xml:space="preserve"> equ. orgs/g faeces where the majority of targets are at or above the low </w:t>
      </w:r>
      <w:r w:rsidRPr="00FE570A">
        <w:rPr>
          <w:i/>
          <w:iCs/>
          <w:lang w:val="en-AU"/>
        </w:rPr>
        <w:t xml:space="preserve">in silico </w:t>
      </w:r>
      <w:r w:rsidRPr="00FE570A">
        <w:rPr>
          <w:lang w:val="en-AU"/>
        </w:rPr>
        <w:t>read depth.</w:t>
      </w:r>
    </w:p>
    <w:p w14:paraId="7A750290" w14:textId="77777777" w:rsidR="00FE570A" w:rsidRPr="00FE570A" w:rsidRDefault="00FE570A" w:rsidP="00FE570A">
      <w:r w:rsidRPr="00FE570A">
        <w:br w:type="page"/>
      </w:r>
    </w:p>
    <w:p w14:paraId="75F04E23" w14:textId="77777777" w:rsidR="00FE570A" w:rsidRPr="00FE570A" w:rsidRDefault="00FE570A" w:rsidP="00FE570A">
      <w:r w:rsidRPr="00FE570A">
        <w:lastRenderedPageBreak/>
        <w:t>Supplementary Notes</w:t>
      </w:r>
    </w:p>
    <w:p w14:paraId="1EF2906C" w14:textId="77777777" w:rsidR="00FE570A" w:rsidRPr="00FE570A" w:rsidRDefault="00FE570A" w:rsidP="00FE570A">
      <w:bookmarkStart w:id="38" w:name="_Ref179194838"/>
      <w:bookmarkStart w:id="39" w:name="_Ref178861619"/>
      <w:bookmarkStart w:id="40" w:name="_Ref178861597"/>
      <w:r w:rsidRPr="00FE570A">
        <w:rPr>
          <w:b/>
          <w:bCs/>
        </w:rPr>
        <w:t xml:space="preserve">Supp. Note </w:t>
      </w:r>
      <w:r w:rsidRPr="00FE570A">
        <w:fldChar w:fldCharType="begin"/>
      </w:r>
      <w:r w:rsidRPr="00FE570A">
        <w:rPr>
          <w:b/>
          <w:bCs/>
        </w:rPr>
        <w:instrText xml:space="preserve"> SEQ Supp._Note \* ARABIC </w:instrText>
      </w:r>
      <w:r w:rsidRPr="00FE570A">
        <w:fldChar w:fldCharType="separate"/>
      </w:r>
      <w:r w:rsidRPr="00FE570A">
        <w:rPr>
          <w:b/>
          <w:bCs/>
        </w:rPr>
        <w:t>1</w:t>
      </w:r>
      <w:r w:rsidRPr="00FE570A">
        <w:fldChar w:fldCharType="end"/>
      </w:r>
      <w:bookmarkEnd w:id="38"/>
      <w:r w:rsidRPr="00FE570A">
        <w:t xml:space="preserve">. Simulated samples were used to determine the limit of detection of the mNGS assay by spiking in isolate cells at decreasing equ. orgs/g faeces into a homologous faecal matrix (see </w:t>
      </w:r>
      <w:r w:rsidRPr="00FE570A">
        <w:rPr>
          <w:i/>
          <w:iCs/>
        </w:rPr>
        <w:t>Analytical Performance on Simulated Samples</w:t>
      </w:r>
      <w:r w:rsidRPr="00FE570A">
        <w:t>). The faecal matrix was determined to have a biomass of 4.19 to 8.67 x 10</w:t>
      </w:r>
      <w:r w:rsidRPr="00FE570A">
        <w:rPr>
          <w:vertAlign w:val="superscript"/>
        </w:rPr>
        <w:t>10</w:t>
      </w:r>
      <w:r w:rsidRPr="00FE570A">
        <w:t xml:space="preserve"> equ. orgs/g in a faecal sample. Sensitivity reached 100% for all mNGS assay target pathogens at 10</w:t>
      </w:r>
      <w:r w:rsidRPr="00FE570A">
        <w:rPr>
          <w:vertAlign w:val="superscript"/>
        </w:rPr>
        <w:t>6</w:t>
      </w:r>
      <w:r w:rsidRPr="00FE570A">
        <w:t xml:space="preserve"> equ. orgs/g (</w:t>
      </w:r>
      <w:r w:rsidRPr="00FE570A">
        <w:fldChar w:fldCharType="begin"/>
      </w:r>
      <w:r w:rsidRPr="00FE570A">
        <w:instrText xml:space="preserve"> REF _Ref179190500 \h </w:instrText>
      </w:r>
      <w:r w:rsidRPr="00FE570A">
        <w:fldChar w:fldCharType="separate"/>
      </w:r>
      <w:r w:rsidRPr="00FE570A">
        <w:rPr>
          <w:b/>
          <w:bCs/>
        </w:rPr>
        <w:t>Table 2</w:t>
      </w:r>
      <w:r w:rsidRPr="00FE570A">
        <w:fldChar w:fldCharType="end"/>
      </w:r>
      <w:r w:rsidRPr="00FE570A">
        <w:t>). This corresponds to a relative abundance of 0.00115% (100% x 10</w:t>
      </w:r>
      <w:r w:rsidRPr="00FE570A">
        <w:rPr>
          <w:vertAlign w:val="superscript"/>
        </w:rPr>
        <w:t xml:space="preserve">6 </w:t>
      </w:r>
      <w:r w:rsidRPr="00FE570A">
        <w:t>/ 8.67 x 10</w:t>
      </w:r>
      <w:r w:rsidRPr="00FE570A">
        <w:rPr>
          <w:vertAlign w:val="superscript"/>
        </w:rPr>
        <w:t>10</w:t>
      </w:r>
      <w:r w:rsidRPr="00FE570A">
        <w:t>) to 0.00239% (100% x 10</w:t>
      </w:r>
      <w:r w:rsidRPr="00FE570A">
        <w:rPr>
          <w:vertAlign w:val="superscript"/>
        </w:rPr>
        <w:t xml:space="preserve">6 </w:t>
      </w:r>
      <w:r w:rsidRPr="00FE570A">
        <w:t>/ 4.19 x 10</w:t>
      </w:r>
      <w:r w:rsidRPr="00FE570A">
        <w:rPr>
          <w:vertAlign w:val="superscript"/>
        </w:rPr>
        <w:t>10</w:t>
      </w:r>
      <w:r w:rsidRPr="00FE570A">
        <w:t xml:space="preserve">). For an mNGS assay operating at 16 million read pairs this corresponds to 184 to 382 read pairs from each species, assuming a genome size equal to the mean genome size of all organisms in the sample. The low depth </w:t>
      </w:r>
      <w:r w:rsidRPr="00FE570A">
        <w:rPr>
          <w:i/>
          <w:iCs/>
        </w:rPr>
        <w:t>in silico</w:t>
      </w:r>
      <w:r w:rsidRPr="00FE570A">
        <w:t xml:space="preserve"> faecal samples were set at 160 read pairs (0.001% relative read abundance) to correspond with the expected limit of detection of a target requiring approximately 10</w:t>
      </w:r>
      <w:r w:rsidRPr="00FE570A">
        <w:rPr>
          <w:vertAlign w:val="superscript"/>
        </w:rPr>
        <w:t>6</w:t>
      </w:r>
      <w:r w:rsidRPr="00FE570A">
        <w:t xml:space="preserve"> equ. orgs/g (</w:t>
      </w:r>
      <w:r w:rsidRPr="00FE570A">
        <w:fldChar w:fldCharType="begin"/>
      </w:r>
      <w:r w:rsidRPr="00FE570A">
        <w:instrText xml:space="preserve"> REF _Ref178857233 \h </w:instrText>
      </w:r>
      <w:r w:rsidRPr="00FE570A">
        <w:fldChar w:fldCharType="separate"/>
      </w:r>
      <w:r w:rsidRPr="00FE570A">
        <w:rPr>
          <w:b/>
          <w:bCs/>
        </w:rPr>
        <w:t>Supp. Table 5</w:t>
      </w:r>
      <w:r w:rsidRPr="00FE570A">
        <w:fldChar w:fldCharType="end"/>
      </w:r>
      <w:r w:rsidRPr="00FE570A">
        <w:t>). Similarly, ultra-low depth was set at 16 read pairs (0.0001% relative read abundance) to simulate targets detectable at 10</w:t>
      </w:r>
      <w:r w:rsidRPr="00FE570A">
        <w:rPr>
          <w:vertAlign w:val="superscript"/>
        </w:rPr>
        <w:t>5</w:t>
      </w:r>
      <w:r w:rsidRPr="00FE570A">
        <w:t xml:space="preserve"> equ. orgs/g. </w:t>
      </w:r>
    </w:p>
    <w:p w14:paraId="5A9B54E0" w14:textId="77777777" w:rsidR="00FE570A" w:rsidRPr="00FE570A" w:rsidRDefault="00FE570A" w:rsidP="00FE570A">
      <w:r w:rsidRPr="00FE570A">
        <w:t>AMR and VF genes are ~1,000 bp and thus expected to have an mNGS assay limit of detection that is 3900 time lower than for a bacterial pathogen (3.9 Mb / 1000 bp). This is 3 orders of magnitude smaller which is in good agreement with the analytical results where bacterial pathogens have 100% sensitivity at 10</w:t>
      </w:r>
      <w:r w:rsidRPr="00FE570A">
        <w:rPr>
          <w:vertAlign w:val="superscript"/>
        </w:rPr>
        <w:t>6</w:t>
      </w:r>
      <w:r w:rsidRPr="00FE570A">
        <w:t xml:space="preserve"> equ. orgs/g and only a subset of AMR and VF genes reach 100% sensitivity at 10</w:t>
      </w:r>
      <w:r w:rsidRPr="00FE570A">
        <w:rPr>
          <w:vertAlign w:val="superscript"/>
        </w:rPr>
        <w:t>8</w:t>
      </w:r>
      <w:r w:rsidRPr="00FE570A">
        <w:t xml:space="preserve"> equ. orgs/g (i.e. indicating 10</w:t>
      </w:r>
      <w:r w:rsidRPr="00FE570A">
        <w:rPr>
          <w:vertAlign w:val="superscript"/>
        </w:rPr>
        <w:t>9</w:t>
      </w:r>
      <w:r w:rsidRPr="00FE570A">
        <w:t xml:space="preserve"> equ. orgs/g or greater is required before all gene targets reach 100% sensitivity). Read pairs from AMR and VF gene targets were simulated to achieve a fixed depth of coverage between 0.5x and 2.0x as this corresponds to an expected biomass between 1.52 x 10</w:t>
      </w:r>
      <w:r w:rsidRPr="00FE570A">
        <w:rPr>
          <w:vertAlign w:val="superscript"/>
        </w:rPr>
        <w:t>7</w:t>
      </w:r>
      <w:r w:rsidRPr="00FE570A">
        <w:t xml:space="preserve"> to 2.07 x 10</w:t>
      </w:r>
      <w:r w:rsidRPr="00FE570A">
        <w:rPr>
          <w:vertAlign w:val="superscript"/>
        </w:rPr>
        <w:t xml:space="preserve">9 </w:t>
      </w:r>
      <w:r w:rsidRPr="00FE570A">
        <w:t>equ. orgs/g (</w:t>
      </w:r>
      <w:r w:rsidRPr="00FE570A">
        <w:fldChar w:fldCharType="begin"/>
      </w:r>
      <w:r w:rsidRPr="00FE570A">
        <w:instrText xml:space="preserve"> REF _Ref178857233 \h </w:instrText>
      </w:r>
      <w:r w:rsidRPr="00FE570A">
        <w:fldChar w:fldCharType="separate"/>
      </w:r>
      <w:r w:rsidRPr="00FE570A">
        <w:rPr>
          <w:b/>
          <w:bCs/>
        </w:rPr>
        <w:t>Supp. Table 5</w:t>
      </w:r>
      <w:r w:rsidRPr="00FE570A">
        <w:fldChar w:fldCharType="end"/>
      </w:r>
      <w:r w:rsidRPr="00FE570A">
        <w:t>) which is around the limit of detection established for AMR and VF genes using simulated samples.</w:t>
      </w:r>
      <w:bookmarkEnd w:id="39"/>
      <w:bookmarkEnd w:id="40"/>
    </w:p>
    <w:p w14:paraId="141406D2" w14:textId="77777777" w:rsidR="00FE570A" w:rsidRPr="00FE570A" w:rsidRDefault="00FE570A" w:rsidP="00FE570A"/>
    <w:p w14:paraId="5F5659EA" w14:textId="77777777" w:rsidR="00FE570A" w:rsidRPr="00FE570A" w:rsidRDefault="00FE570A" w:rsidP="00FE570A">
      <w:bookmarkStart w:id="41" w:name="_Ref184830883"/>
      <w:r w:rsidRPr="00FE570A">
        <w:rPr>
          <w:b/>
          <w:bCs/>
        </w:rPr>
        <w:t xml:space="preserve">Supp. Note </w:t>
      </w:r>
      <w:r w:rsidRPr="00FE570A">
        <w:fldChar w:fldCharType="begin"/>
      </w:r>
      <w:r w:rsidRPr="00FE570A">
        <w:rPr>
          <w:b/>
          <w:bCs/>
        </w:rPr>
        <w:instrText xml:space="preserve"> SEQ Supp._Note \* ARABIC </w:instrText>
      </w:r>
      <w:r w:rsidRPr="00FE570A">
        <w:fldChar w:fldCharType="separate"/>
      </w:r>
      <w:r w:rsidRPr="00FE570A">
        <w:rPr>
          <w:b/>
          <w:bCs/>
        </w:rPr>
        <w:t>2</w:t>
      </w:r>
      <w:r w:rsidRPr="00FE570A">
        <w:fldChar w:fldCharType="end"/>
      </w:r>
      <w:bookmarkEnd w:id="41"/>
      <w:r w:rsidRPr="00FE570A">
        <w:t xml:space="preserve">. The mNGS assay demonstrates excellent specificity and PPV across all targets as a result of few FP predictions. The limited number of FPs that occurred were investigated to establish factors resulting in incorrect predictions (126 FPs compared to 8,558 TPs and 126,635 TNs; </w:t>
      </w:r>
      <w:r w:rsidRPr="00FE570A">
        <w:fldChar w:fldCharType="begin"/>
      </w:r>
      <w:r w:rsidRPr="00FE570A">
        <w:instrText xml:space="preserve"> REF _Ref181351945 \h </w:instrText>
      </w:r>
      <w:r w:rsidRPr="00FE570A">
        <w:fldChar w:fldCharType="separate"/>
      </w:r>
      <w:r w:rsidRPr="00FE570A">
        <w:rPr>
          <w:b/>
          <w:bCs/>
        </w:rPr>
        <w:t>Supp. Table 14</w:t>
      </w:r>
      <w:r w:rsidRPr="00FE570A">
        <w:fldChar w:fldCharType="end"/>
      </w:r>
      <w:r w:rsidRPr="00FE570A">
        <w:t xml:space="preserve">). Notably, FP predictions only occurred for 9 of 176 (5.1%) targets. The only two pathogens to result in FPs were </w:t>
      </w:r>
      <w:r w:rsidRPr="00FE570A">
        <w:rPr>
          <w:i/>
          <w:iCs/>
        </w:rPr>
        <w:t>Helicobacter cinaedi</w:t>
      </w:r>
      <w:r w:rsidRPr="00FE570A">
        <w:t xml:space="preserve"> and </w:t>
      </w:r>
      <w:r w:rsidRPr="00FE570A">
        <w:rPr>
          <w:i/>
          <w:iCs/>
        </w:rPr>
        <w:t>H. fennelliae</w:t>
      </w:r>
      <w:r w:rsidRPr="00FE570A">
        <w:t xml:space="preserve"> and these were the results of the </w:t>
      </w:r>
      <w:r w:rsidRPr="00FE570A">
        <w:rPr>
          <w:i/>
          <w:iCs/>
        </w:rPr>
        <w:t>in silico</w:t>
      </w:r>
      <w:r w:rsidRPr="00FE570A">
        <w:t xml:space="preserve"> samples containing the other </w:t>
      </w:r>
      <w:r w:rsidRPr="00FE570A">
        <w:rPr>
          <w:i/>
          <w:iCs/>
        </w:rPr>
        <w:t xml:space="preserve">Helicobacter </w:t>
      </w:r>
      <w:r w:rsidRPr="00FE570A">
        <w:t xml:space="preserve">species (i.e. </w:t>
      </w:r>
      <w:r w:rsidRPr="00FE570A">
        <w:rPr>
          <w:i/>
          <w:iCs/>
        </w:rPr>
        <w:t>Helicobacter cinaedi</w:t>
      </w:r>
      <w:r w:rsidRPr="00FE570A">
        <w:t xml:space="preserve"> being identified in samples with </w:t>
      </w:r>
      <w:r w:rsidRPr="00FE570A">
        <w:rPr>
          <w:i/>
          <w:iCs/>
        </w:rPr>
        <w:t>H. fennelliae</w:t>
      </w:r>
      <w:r w:rsidRPr="00FE570A">
        <w:t xml:space="preserve">, and vice versa). There were 3 AMR, 1 VF, and 3 VF with host targets resulting in FPs. Similar, to the </w:t>
      </w:r>
      <w:r w:rsidRPr="00FE570A">
        <w:rPr>
          <w:i/>
          <w:iCs/>
        </w:rPr>
        <w:t>Helicobacter</w:t>
      </w:r>
      <w:r w:rsidRPr="00FE570A">
        <w:t xml:space="preserve"> FPs, the FP for CTX-M-G8 is the result of the </w:t>
      </w:r>
      <w:r w:rsidRPr="00FE570A">
        <w:rPr>
          <w:i/>
          <w:iCs/>
        </w:rPr>
        <w:t xml:space="preserve">in silico </w:t>
      </w:r>
      <w:r w:rsidRPr="00FE570A">
        <w:t xml:space="preserve">sample contain the closely related genes CTX-M-G1 and CTX-M-G9. The cause of the other FP AMR and VF gene predictions is less clear though may be the result of interaction with </w:t>
      </w:r>
      <w:r w:rsidRPr="00FE570A">
        <w:lastRenderedPageBreak/>
        <w:t xml:space="preserve">DNA in the faecal background or other targets spiked into the sample (e.g. identification of the Shiga toxin in a sample that contains stx1A as a spike in and identified to contain a </w:t>
      </w:r>
      <w:r w:rsidRPr="00FE570A">
        <w:rPr>
          <w:i/>
          <w:iCs/>
        </w:rPr>
        <w:t>Shigella/E. coli</w:t>
      </w:r>
      <w:r w:rsidRPr="00FE570A">
        <w:t xml:space="preserve"> species in the faecal background).</w:t>
      </w:r>
    </w:p>
    <w:p w14:paraId="337C32C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70A"/>
    <w:rsid w:val="00156A6D"/>
    <w:rsid w:val="00643231"/>
    <w:rsid w:val="00732981"/>
    <w:rsid w:val="00A96173"/>
    <w:rsid w:val="00AC0449"/>
    <w:rsid w:val="00AD604E"/>
    <w:rsid w:val="00B34282"/>
    <w:rsid w:val="00FE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77AFB"/>
  <w15:chartTrackingRefBased/>
  <w15:docId w15:val="{90671102-3B53-47F9-88CF-C63B7BFF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7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7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7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7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7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7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7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7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7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7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7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7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7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7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7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70A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FE57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FE57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2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1836</Words>
  <Characters>10467</Characters>
  <Application>Microsoft Office Word</Application>
  <DocSecurity>0</DocSecurity>
  <Lines>87</Lines>
  <Paragraphs>24</Paragraphs>
  <ScaleCrop>false</ScaleCrop>
  <Company>Springer Nature</Company>
  <LinksUpToDate>false</LinksUpToDate>
  <CharactersWithSpaces>12279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2025-07-10T07:07:00Z</dcterms:created>
  <dcterms:modified xsi:type="dcterms:W3CDTF">2025-07-10T07:08:00Z</dcterms:modified>
</cp:coreProperties>
</file>