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8056" w14:textId="798F4F32" w:rsidR="009E2B28" w:rsidRPr="003607DA" w:rsidRDefault="009E2B28" w:rsidP="003607DA">
      <w:pPr>
        <w:spacing w:after="60"/>
        <w:rPr>
          <w:b/>
          <w:bCs/>
        </w:rPr>
      </w:pPr>
      <w:r w:rsidRPr="003607DA">
        <w:rPr>
          <w:b/>
          <w:bCs/>
        </w:rPr>
        <w:t>Definitions of 12</w:t>
      </w:r>
      <w:r w:rsidRPr="003607DA">
        <w:rPr>
          <w:b/>
          <w:bCs/>
        </w:rPr>
        <w:t xml:space="preserve"> Essential Futures Tools and the Scenario Planning Framework</w:t>
      </w:r>
      <w:r w:rsidR="003607DA" w:rsidRPr="003607DA">
        <w:rPr>
          <w:b/>
          <w:bCs/>
        </w:rPr>
        <w:tab/>
      </w:r>
      <w:r w:rsidR="003607DA" w:rsidRPr="003607DA">
        <w:rPr>
          <w:b/>
          <w:bCs/>
        </w:rPr>
        <w:tab/>
      </w:r>
      <w:r w:rsidR="003607DA" w:rsidRPr="003607DA">
        <w:rPr>
          <w:b/>
          <w:bCs/>
        </w:rPr>
        <w:tab/>
      </w:r>
      <w:r w:rsidR="003607DA" w:rsidRPr="003607DA">
        <w:rPr>
          <w:b/>
          <w:bCs/>
        </w:rPr>
        <w:tab/>
      </w:r>
      <w:r w:rsidR="003607DA" w:rsidRPr="003607DA">
        <w:rPr>
          <w:b/>
          <w:bCs/>
        </w:rPr>
        <w:tab/>
      </w:r>
      <w:r w:rsidR="003607DA" w:rsidRPr="003607DA">
        <w:rPr>
          <w:b/>
          <w:bCs/>
        </w:rPr>
        <w:tab/>
        <w:t>Appendices A</w:t>
      </w:r>
    </w:p>
    <w:tbl>
      <w:tblPr>
        <w:tblStyle w:val="TableGrid"/>
        <w:tblW w:w="15735" w:type="dxa"/>
        <w:tblInd w:w="-856" w:type="dxa"/>
        <w:tblLook w:val="04A0" w:firstRow="1" w:lastRow="0" w:firstColumn="1" w:lastColumn="0" w:noHBand="0" w:noVBand="1"/>
      </w:tblPr>
      <w:tblGrid>
        <w:gridCol w:w="554"/>
        <w:gridCol w:w="8661"/>
        <w:gridCol w:w="6520"/>
      </w:tblGrid>
      <w:tr w:rsidR="003607DA" w:rsidRPr="003607DA" w14:paraId="1D13E952" w14:textId="77777777" w:rsidTr="003607DA">
        <w:tc>
          <w:tcPr>
            <w:tcW w:w="554" w:type="dxa"/>
          </w:tcPr>
          <w:p w14:paraId="2A1F6117" w14:textId="50F4FD1A" w:rsidR="007B798F" w:rsidRPr="003607DA" w:rsidRDefault="006F40BE" w:rsidP="006F40BE">
            <w:pPr>
              <w:jc w:val="center"/>
              <w:rPr>
                <w:b/>
                <w:bCs/>
                <w:sz w:val="22"/>
                <w:szCs w:val="22"/>
              </w:rPr>
            </w:pPr>
            <w:r w:rsidRPr="003607DA">
              <w:rPr>
                <w:b/>
                <w:bCs/>
                <w:sz w:val="22"/>
                <w:szCs w:val="22"/>
              </w:rPr>
              <w:t>Ser</w:t>
            </w:r>
          </w:p>
        </w:tc>
        <w:tc>
          <w:tcPr>
            <w:tcW w:w="8661" w:type="dxa"/>
          </w:tcPr>
          <w:p w14:paraId="10DC87B3" w14:textId="197FE985" w:rsidR="007B798F" w:rsidRPr="003607DA" w:rsidRDefault="006F40BE" w:rsidP="006F40BE">
            <w:pPr>
              <w:jc w:val="center"/>
              <w:rPr>
                <w:b/>
                <w:bCs/>
                <w:sz w:val="22"/>
                <w:szCs w:val="22"/>
              </w:rPr>
            </w:pPr>
            <w:r w:rsidRPr="003607DA">
              <w:rPr>
                <w:b/>
                <w:bCs/>
                <w:sz w:val="22"/>
                <w:szCs w:val="22"/>
              </w:rPr>
              <w:t>Tool Description</w:t>
            </w:r>
          </w:p>
        </w:tc>
        <w:tc>
          <w:tcPr>
            <w:tcW w:w="6520" w:type="dxa"/>
          </w:tcPr>
          <w:p w14:paraId="774E976B" w14:textId="77DDDAFE" w:rsidR="007B798F" w:rsidRPr="003607DA" w:rsidRDefault="006F40BE" w:rsidP="006F40BE">
            <w:pPr>
              <w:jc w:val="center"/>
              <w:rPr>
                <w:b/>
                <w:bCs/>
                <w:sz w:val="22"/>
                <w:szCs w:val="22"/>
              </w:rPr>
            </w:pPr>
            <w:r w:rsidRPr="003607DA">
              <w:rPr>
                <w:b/>
                <w:bCs/>
                <w:sz w:val="22"/>
                <w:szCs w:val="22"/>
              </w:rPr>
              <w:t>Citations</w:t>
            </w:r>
          </w:p>
        </w:tc>
      </w:tr>
      <w:tr w:rsidR="003607DA" w:rsidRPr="003607DA" w14:paraId="0B93E198" w14:textId="77777777" w:rsidTr="003607DA">
        <w:tc>
          <w:tcPr>
            <w:tcW w:w="554" w:type="dxa"/>
          </w:tcPr>
          <w:p w14:paraId="012AFD82" w14:textId="434249FA" w:rsidR="009E2B28" w:rsidRPr="003607DA" w:rsidRDefault="009E2B28" w:rsidP="00B62D60">
            <w:pPr>
              <w:jc w:val="center"/>
              <w:rPr>
                <w:sz w:val="22"/>
                <w:szCs w:val="22"/>
              </w:rPr>
            </w:pPr>
            <w:r w:rsidRPr="003607DA">
              <w:rPr>
                <w:sz w:val="22"/>
                <w:szCs w:val="22"/>
              </w:rPr>
              <w:t>1</w:t>
            </w:r>
          </w:p>
        </w:tc>
        <w:tc>
          <w:tcPr>
            <w:tcW w:w="8661" w:type="dxa"/>
          </w:tcPr>
          <w:p w14:paraId="694C1ED1" w14:textId="77777777" w:rsidR="009E2B28" w:rsidRPr="003607DA" w:rsidRDefault="009E2B28" w:rsidP="00B62D60">
            <w:pPr>
              <w:rPr>
                <w:sz w:val="22"/>
                <w:szCs w:val="22"/>
              </w:rPr>
            </w:pPr>
            <w:r w:rsidRPr="003607DA">
              <w:rPr>
                <w:b/>
                <w:bCs/>
                <w:sz w:val="22"/>
                <w:szCs w:val="22"/>
              </w:rPr>
              <w:t>Archetype</w:t>
            </w:r>
            <w:r w:rsidRPr="003607DA">
              <w:rPr>
                <w:sz w:val="22"/>
                <w:szCs w:val="22"/>
              </w:rPr>
              <w:t xml:space="preserve"> </w:t>
            </w:r>
            <w:r w:rsidRPr="003607DA">
              <w:rPr>
                <w:b/>
                <w:bCs/>
                <w:sz w:val="22"/>
                <w:szCs w:val="22"/>
              </w:rPr>
              <w:t xml:space="preserve">Scenarios </w:t>
            </w:r>
            <w:r w:rsidRPr="003607DA">
              <w:rPr>
                <w:sz w:val="22"/>
                <w:szCs w:val="22"/>
              </w:rPr>
              <w:t>are global narrative templates that represent plausible alternative futures (Dator, 2020). Typically structured around four recurring patterns: continued growth, collapse, disciplined society, and transformation. They offer a conceptual framework for organizing diverse driving forces and emerging issues into distinct future outcomes (</w:t>
            </w:r>
            <w:proofErr w:type="spellStart"/>
            <w:r w:rsidRPr="003607DA">
              <w:rPr>
                <w:sz w:val="22"/>
                <w:szCs w:val="22"/>
              </w:rPr>
              <w:t>Fergnani</w:t>
            </w:r>
            <w:proofErr w:type="spellEnd"/>
            <w:r w:rsidRPr="003607DA">
              <w:rPr>
                <w:sz w:val="22"/>
                <w:szCs w:val="22"/>
              </w:rPr>
              <w:t xml:space="preserve"> &amp; Jackson, 2019).</w:t>
            </w:r>
          </w:p>
        </w:tc>
        <w:tc>
          <w:tcPr>
            <w:tcW w:w="6520" w:type="dxa"/>
          </w:tcPr>
          <w:p w14:paraId="20D5E686" w14:textId="77777777" w:rsidR="009E2B28" w:rsidRPr="003607DA" w:rsidRDefault="009E2B28" w:rsidP="009E2B28">
            <w:pPr>
              <w:spacing w:after="60"/>
              <w:rPr>
                <w:sz w:val="22"/>
                <w:szCs w:val="22"/>
              </w:rPr>
            </w:pPr>
            <w:r w:rsidRPr="003607DA">
              <w:rPr>
                <w:sz w:val="22"/>
                <w:szCs w:val="22"/>
              </w:rPr>
              <w:t xml:space="preserve">Dator J. (2020). The Manoa school’s four futures. In: Slaughter R., Hines A. (eds.), </w:t>
            </w:r>
            <w:r w:rsidRPr="003607DA">
              <w:rPr>
                <w:i/>
                <w:iCs/>
                <w:sz w:val="22"/>
                <w:szCs w:val="22"/>
              </w:rPr>
              <w:t>Knowledge Base of Futures Studies</w:t>
            </w:r>
            <w:r w:rsidRPr="003607DA">
              <w:rPr>
                <w:sz w:val="22"/>
                <w:szCs w:val="22"/>
              </w:rPr>
              <w:t>. Association of Professional Futurists and Foresight International, pp. 109–119.</w:t>
            </w:r>
          </w:p>
          <w:p w14:paraId="4F806447" w14:textId="406C967C" w:rsidR="009E2B28" w:rsidRPr="003607DA" w:rsidRDefault="009E2B28" w:rsidP="009E2B28">
            <w:pPr>
              <w:spacing w:after="60"/>
              <w:rPr>
                <w:sz w:val="22"/>
                <w:szCs w:val="22"/>
              </w:rPr>
            </w:pPr>
            <w:proofErr w:type="spellStart"/>
            <w:r w:rsidRPr="003607DA">
              <w:rPr>
                <w:sz w:val="22"/>
                <w:szCs w:val="22"/>
              </w:rPr>
              <w:t>Fergnani</w:t>
            </w:r>
            <w:proofErr w:type="spellEnd"/>
            <w:r w:rsidRPr="003607DA">
              <w:rPr>
                <w:sz w:val="22"/>
                <w:szCs w:val="22"/>
              </w:rPr>
              <w:t xml:space="preserve"> A., Jackson M. (2019). Extracting scenario archetypes: A quantitative text analysis of documents about the future. </w:t>
            </w:r>
            <w:r w:rsidRPr="003607DA">
              <w:rPr>
                <w:i/>
                <w:iCs/>
                <w:sz w:val="22"/>
                <w:szCs w:val="22"/>
              </w:rPr>
              <w:t>Futures &amp; Foresight Science</w:t>
            </w:r>
            <w:r w:rsidRPr="003607DA">
              <w:rPr>
                <w:sz w:val="22"/>
                <w:szCs w:val="22"/>
              </w:rPr>
              <w:t xml:space="preserve">, </w:t>
            </w:r>
            <w:r w:rsidRPr="003607DA">
              <w:rPr>
                <w:b/>
                <w:bCs/>
                <w:sz w:val="22"/>
                <w:szCs w:val="22"/>
              </w:rPr>
              <w:t>1</w:t>
            </w:r>
            <w:r w:rsidRPr="003607DA">
              <w:rPr>
                <w:sz w:val="22"/>
                <w:szCs w:val="22"/>
              </w:rPr>
              <w:t>(1), 1–12. doi:10.1002/ffo2.2</w:t>
            </w:r>
          </w:p>
        </w:tc>
      </w:tr>
      <w:tr w:rsidR="003607DA" w:rsidRPr="003607DA" w14:paraId="0877BC8F" w14:textId="77777777" w:rsidTr="003607DA">
        <w:tc>
          <w:tcPr>
            <w:tcW w:w="554" w:type="dxa"/>
          </w:tcPr>
          <w:p w14:paraId="581368FA" w14:textId="2ADB9EF4" w:rsidR="006F40BE" w:rsidRPr="003607DA" w:rsidRDefault="009E2B28" w:rsidP="006F40BE">
            <w:pPr>
              <w:jc w:val="center"/>
              <w:rPr>
                <w:sz w:val="22"/>
                <w:szCs w:val="22"/>
              </w:rPr>
            </w:pPr>
            <w:r w:rsidRPr="003607DA">
              <w:rPr>
                <w:sz w:val="22"/>
                <w:szCs w:val="22"/>
              </w:rPr>
              <w:t>2</w:t>
            </w:r>
            <w:r w:rsidR="006F40BE" w:rsidRPr="003607DA">
              <w:rPr>
                <w:sz w:val="22"/>
                <w:szCs w:val="22"/>
              </w:rPr>
              <w:t>.</w:t>
            </w:r>
          </w:p>
        </w:tc>
        <w:tc>
          <w:tcPr>
            <w:tcW w:w="8661" w:type="dxa"/>
          </w:tcPr>
          <w:p w14:paraId="7BAF2086" w14:textId="77777777" w:rsidR="006F40BE" w:rsidRPr="00F876CF" w:rsidRDefault="006F40BE" w:rsidP="002778F8">
            <w:pPr>
              <w:rPr>
                <w:sz w:val="22"/>
                <w:szCs w:val="22"/>
              </w:rPr>
            </w:pPr>
            <w:proofErr w:type="spellStart"/>
            <w:r w:rsidRPr="00F876CF">
              <w:rPr>
                <w:b/>
                <w:bCs/>
                <w:sz w:val="22"/>
                <w:szCs w:val="22"/>
              </w:rPr>
              <w:t>Backcasting</w:t>
            </w:r>
            <w:proofErr w:type="spellEnd"/>
            <w:r w:rsidRPr="00F876CF">
              <w:rPr>
                <w:sz w:val="22"/>
                <w:szCs w:val="22"/>
              </w:rPr>
              <w:t xml:space="preserve"> is a normative foresight method that begins by establishing a vision of a desirable future and then works backward to identify the goals, strategies, and policy measures required to achieve it (</w:t>
            </w:r>
            <w:proofErr w:type="spellStart"/>
            <w:r w:rsidRPr="00F876CF">
              <w:rPr>
                <w:sz w:val="22"/>
                <w:szCs w:val="22"/>
              </w:rPr>
              <w:t>Dreborg</w:t>
            </w:r>
            <w:proofErr w:type="spellEnd"/>
            <w:r w:rsidRPr="00F876CF">
              <w:rPr>
                <w:sz w:val="22"/>
                <w:szCs w:val="22"/>
              </w:rPr>
              <w:t xml:space="preserve">, 1996). Unlike forecasting, which extrapolates from present trends, </w:t>
            </w:r>
            <w:proofErr w:type="spellStart"/>
            <w:r w:rsidRPr="00F876CF">
              <w:rPr>
                <w:sz w:val="22"/>
                <w:szCs w:val="22"/>
              </w:rPr>
              <w:t>backcasting</w:t>
            </w:r>
            <w:proofErr w:type="spellEnd"/>
            <w:r w:rsidRPr="00F876CF">
              <w:rPr>
                <w:sz w:val="22"/>
                <w:szCs w:val="22"/>
              </w:rPr>
              <w:t xml:space="preserve"> </w:t>
            </w:r>
            <w:r w:rsidRPr="003607DA">
              <w:rPr>
                <w:sz w:val="22"/>
                <w:szCs w:val="22"/>
              </w:rPr>
              <w:t>(</w:t>
            </w:r>
            <w:r w:rsidRPr="003607DA">
              <w:rPr>
                <w:i/>
                <w:iCs/>
                <w:sz w:val="22"/>
                <w:szCs w:val="22"/>
              </w:rPr>
              <w:t>reverse extrapolation</w:t>
            </w:r>
            <w:r w:rsidRPr="003607DA">
              <w:rPr>
                <w:sz w:val="22"/>
                <w:szCs w:val="22"/>
              </w:rPr>
              <w:t xml:space="preserve">) </w:t>
            </w:r>
            <w:r w:rsidRPr="00F876CF">
              <w:rPr>
                <w:sz w:val="22"/>
                <w:szCs w:val="22"/>
              </w:rPr>
              <w:t>focuses on transformative change by asking: “What must we do today to realise a preferred tomorrow?”</w:t>
            </w:r>
          </w:p>
          <w:p w14:paraId="087FAF7E" w14:textId="77777777" w:rsidR="006F40BE" w:rsidRPr="00F876CF" w:rsidRDefault="006F40BE" w:rsidP="002778F8">
            <w:pPr>
              <w:rPr>
                <w:sz w:val="22"/>
                <w:szCs w:val="22"/>
              </w:rPr>
            </w:pPr>
            <w:r w:rsidRPr="00F876CF">
              <w:rPr>
                <w:sz w:val="22"/>
                <w:szCs w:val="22"/>
              </w:rPr>
              <w:t>The process typically unfolds in three structured phases:</w:t>
            </w:r>
          </w:p>
          <w:p w14:paraId="257C1D29" w14:textId="77777777" w:rsidR="006F40BE" w:rsidRPr="00F876CF" w:rsidRDefault="006F40BE" w:rsidP="002778F8">
            <w:pPr>
              <w:numPr>
                <w:ilvl w:val="0"/>
                <w:numId w:val="9"/>
              </w:numPr>
              <w:rPr>
                <w:sz w:val="22"/>
                <w:szCs w:val="22"/>
              </w:rPr>
            </w:pPr>
            <w:r w:rsidRPr="00F876CF">
              <w:rPr>
                <w:sz w:val="22"/>
                <w:szCs w:val="22"/>
              </w:rPr>
              <w:t>Visioning Phase</w:t>
            </w:r>
          </w:p>
          <w:p w14:paraId="25778410" w14:textId="77777777" w:rsidR="006F40BE" w:rsidRPr="00F876CF" w:rsidRDefault="006F40BE" w:rsidP="002778F8">
            <w:pPr>
              <w:numPr>
                <w:ilvl w:val="1"/>
                <w:numId w:val="9"/>
              </w:numPr>
              <w:ind w:left="681" w:hanging="284"/>
              <w:rPr>
                <w:sz w:val="22"/>
                <w:szCs w:val="22"/>
              </w:rPr>
            </w:pPr>
            <w:r w:rsidRPr="00F876CF">
              <w:rPr>
                <w:sz w:val="22"/>
                <w:szCs w:val="22"/>
              </w:rPr>
              <w:t>Define a clear and compelling image of the desired future.</w:t>
            </w:r>
          </w:p>
          <w:p w14:paraId="75122F4E" w14:textId="77777777" w:rsidR="006F40BE" w:rsidRPr="00F876CF" w:rsidRDefault="006F40BE" w:rsidP="002778F8">
            <w:pPr>
              <w:numPr>
                <w:ilvl w:val="1"/>
                <w:numId w:val="9"/>
              </w:numPr>
              <w:ind w:left="681" w:hanging="284"/>
              <w:rPr>
                <w:sz w:val="22"/>
                <w:szCs w:val="22"/>
              </w:rPr>
            </w:pPr>
            <w:r w:rsidRPr="00F876CF">
              <w:rPr>
                <w:sz w:val="22"/>
                <w:szCs w:val="22"/>
              </w:rPr>
              <w:t>Engage stakeholders to articulate long-term goals and values.</w:t>
            </w:r>
          </w:p>
          <w:p w14:paraId="55ADA6D7" w14:textId="77777777" w:rsidR="006F40BE" w:rsidRPr="00F876CF" w:rsidRDefault="006F40BE" w:rsidP="002778F8">
            <w:pPr>
              <w:numPr>
                <w:ilvl w:val="0"/>
                <w:numId w:val="9"/>
              </w:numPr>
              <w:rPr>
                <w:sz w:val="22"/>
                <w:szCs w:val="22"/>
              </w:rPr>
            </w:pPr>
            <w:r w:rsidRPr="00F876CF">
              <w:rPr>
                <w:sz w:val="22"/>
                <w:szCs w:val="22"/>
              </w:rPr>
              <w:t>Policy Packaging Phase</w:t>
            </w:r>
          </w:p>
          <w:p w14:paraId="01E66857" w14:textId="77777777" w:rsidR="006F40BE" w:rsidRPr="00F876CF" w:rsidRDefault="006F40BE" w:rsidP="002778F8">
            <w:pPr>
              <w:numPr>
                <w:ilvl w:val="1"/>
                <w:numId w:val="9"/>
              </w:numPr>
              <w:ind w:left="681" w:hanging="284"/>
              <w:rPr>
                <w:sz w:val="22"/>
                <w:szCs w:val="22"/>
              </w:rPr>
            </w:pPr>
            <w:r w:rsidRPr="00F876CF">
              <w:rPr>
                <w:sz w:val="22"/>
                <w:szCs w:val="22"/>
              </w:rPr>
              <w:t>Identify and organise policy measures into coherent packages.</w:t>
            </w:r>
          </w:p>
          <w:p w14:paraId="7F3D8A19" w14:textId="77777777" w:rsidR="006F40BE" w:rsidRPr="00F876CF" w:rsidRDefault="006F40BE" w:rsidP="002778F8">
            <w:pPr>
              <w:numPr>
                <w:ilvl w:val="1"/>
                <w:numId w:val="9"/>
              </w:numPr>
              <w:ind w:left="681" w:hanging="284"/>
              <w:rPr>
                <w:sz w:val="22"/>
                <w:szCs w:val="22"/>
              </w:rPr>
            </w:pPr>
            <w:r w:rsidRPr="00F876CF">
              <w:rPr>
                <w:sz w:val="22"/>
                <w:szCs w:val="22"/>
              </w:rPr>
              <w:t>Sequence actions over time to bridge the gap between present conditions and the envisioned future.</w:t>
            </w:r>
          </w:p>
          <w:p w14:paraId="76E7DFA3" w14:textId="77777777" w:rsidR="006F40BE" w:rsidRPr="00F876CF" w:rsidRDefault="006F40BE" w:rsidP="002778F8">
            <w:pPr>
              <w:numPr>
                <w:ilvl w:val="0"/>
                <w:numId w:val="9"/>
              </w:numPr>
              <w:rPr>
                <w:sz w:val="22"/>
                <w:szCs w:val="22"/>
              </w:rPr>
            </w:pPr>
            <w:r w:rsidRPr="00F876CF">
              <w:rPr>
                <w:sz w:val="22"/>
                <w:szCs w:val="22"/>
              </w:rPr>
              <w:t>Appraisal Phase</w:t>
            </w:r>
          </w:p>
          <w:p w14:paraId="387B590A" w14:textId="77777777" w:rsidR="006F40BE" w:rsidRPr="00F876CF" w:rsidRDefault="006F40BE" w:rsidP="002778F8">
            <w:pPr>
              <w:numPr>
                <w:ilvl w:val="1"/>
                <w:numId w:val="9"/>
              </w:numPr>
              <w:ind w:left="681" w:hanging="284"/>
              <w:rPr>
                <w:sz w:val="22"/>
                <w:szCs w:val="22"/>
              </w:rPr>
            </w:pPr>
            <w:r w:rsidRPr="00F876CF">
              <w:rPr>
                <w:sz w:val="22"/>
                <w:szCs w:val="22"/>
              </w:rPr>
              <w:t>Evaluate proposed policies for feasibility, effectiveness, and social acceptability.</w:t>
            </w:r>
          </w:p>
          <w:p w14:paraId="6F13B2F7" w14:textId="77777777" w:rsidR="006F40BE" w:rsidRPr="003607DA" w:rsidRDefault="006F40BE" w:rsidP="002778F8">
            <w:pPr>
              <w:numPr>
                <w:ilvl w:val="1"/>
                <w:numId w:val="9"/>
              </w:numPr>
              <w:ind w:left="681" w:hanging="284"/>
              <w:rPr>
                <w:sz w:val="22"/>
                <w:szCs w:val="22"/>
              </w:rPr>
            </w:pPr>
            <w:r w:rsidRPr="00F876CF">
              <w:rPr>
                <w:sz w:val="22"/>
                <w:szCs w:val="22"/>
              </w:rPr>
              <w:t>Anticipate potential barriers to implementation and refine strategies accordingly.</w:t>
            </w:r>
          </w:p>
        </w:tc>
        <w:tc>
          <w:tcPr>
            <w:tcW w:w="6520" w:type="dxa"/>
          </w:tcPr>
          <w:p w14:paraId="209AEB79" w14:textId="38E04B7C" w:rsidR="00F772C2" w:rsidRPr="00F772C2" w:rsidRDefault="00F772C2" w:rsidP="00F772C2">
            <w:pPr>
              <w:spacing w:after="60"/>
              <w:rPr>
                <w:sz w:val="22"/>
                <w:szCs w:val="22"/>
              </w:rPr>
            </w:pPr>
            <w:proofErr w:type="spellStart"/>
            <w:r w:rsidRPr="00F772C2">
              <w:rPr>
                <w:sz w:val="22"/>
                <w:szCs w:val="22"/>
              </w:rPr>
              <w:t>Bibri</w:t>
            </w:r>
            <w:proofErr w:type="spellEnd"/>
            <w:r w:rsidRPr="00F772C2">
              <w:rPr>
                <w:sz w:val="22"/>
                <w:szCs w:val="22"/>
              </w:rPr>
              <w:t xml:space="preserve">, S. E. (2018). </w:t>
            </w:r>
            <w:proofErr w:type="spellStart"/>
            <w:r w:rsidRPr="00F772C2">
              <w:rPr>
                <w:sz w:val="22"/>
                <w:szCs w:val="22"/>
              </w:rPr>
              <w:t>Backcasting</w:t>
            </w:r>
            <w:proofErr w:type="spellEnd"/>
            <w:r w:rsidRPr="00F772C2">
              <w:rPr>
                <w:sz w:val="22"/>
                <w:szCs w:val="22"/>
              </w:rPr>
              <w:t xml:space="preserve"> in futures studies: A synthesized scholarly and planning approach to strategic smart sustainable city development. </w:t>
            </w:r>
            <w:r w:rsidRPr="00F772C2">
              <w:rPr>
                <w:i/>
                <w:iCs/>
                <w:sz w:val="22"/>
                <w:szCs w:val="22"/>
              </w:rPr>
              <w:t>European Journal of Futures Research</w:t>
            </w:r>
            <w:r w:rsidRPr="00F772C2">
              <w:rPr>
                <w:sz w:val="22"/>
                <w:szCs w:val="22"/>
              </w:rPr>
              <w:t xml:space="preserve">, </w:t>
            </w:r>
            <w:r w:rsidRPr="00F772C2">
              <w:rPr>
                <w:b/>
                <w:bCs/>
                <w:sz w:val="22"/>
                <w:szCs w:val="22"/>
              </w:rPr>
              <w:t>6</w:t>
            </w:r>
            <w:r w:rsidRPr="00F772C2">
              <w:rPr>
                <w:sz w:val="22"/>
                <w:szCs w:val="22"/>
              </w:rPr>
              <w:t>(13), 1–27. https://doi.org/10.1186/s40309-018-0142-z</w:t>
            </w:r>
          </w:p>
          <w:p w14:paraId="72485639" w14:textId="5460F91D" w:rsidR="00F772C2" w:rsidRPr="00F772C2" w:rsidRDefault="00F772C2" w:rsidP="00F772C2">
            <w:pPr>
              <w:spacing w:after="60"/>
              <w:rPr>
                <w:sz w:val="22"/>
                <w:szCs w:val="22"/>
              </w:rPr>
            </w:pPr>
            <w:proofErr w:type="spellStart"/>
            <w:r w:rsidRPr="00F772C2">
              <w:rPr>
                <w:sz w:val="22"/>
                <w:szCs w:val="22"/>
              </w:rPr>
              <w:t>Dreborg</w:t>
            </w:r>
            <w:proofErr w:type="spellEnd"/>
            <w:r w:rsidRPr="00F772C2">
              <w:rPr>
                <w:sz w:val="22"/>
                <w:szCs w:val="22"/>
              </w:rPr>
              <w:t xml:space="preserve">, K. H. (1996). Essence of </w:t>
            </w:r>
            <w:proofErr w:type="spellStart"/>
            <w:r w:rsidRPr="00F772C2">
              <w:rPr>
                <w:sz w:val="22"/>
                <w:szCs w:val="22"/>
              </w:rPr>
              <w:t>backcasting</w:t>
            </w:r>
            <w:proofErr w:type="spellEnd"/>
            <w:r w:rsidRPr="00F772C2">
              <w:rPr>
                <w:sz w:val="22"/>
                <w:szCs w:val="22"/>
              </w:rPr>
              <w:t xml:space="preserve">. </w:t>
            </w:r>
            <w:r w:rsidRPr="00F772C2">
              <w:rPr>
                <w:i/>
                <w:iCs/>
                <w:sz w:val="22"/>
                <w:szCs w:val="22"/>
              </w:rPr>
              <w:t>Futures</w:t>
            </w:r>
            <w:r w:rsidRPr="00F772C2">
              <w:rPr>
                <w:sz w:val="22"/>
                <w:szCs w:val="22"/>
              </w:rPr>
              <w:t xml:space="preserve">, </w:t>
            </w:r>
            <w:r w:rsidRPr="00F772C2">
              <w:rPr>
                <w:b/>
                <w:bCs/>
                <w:sz w:val="22"/>
                <w:szCs w:val="22"/>
              </w:rPr>
              <w:t>28</w:t>
            </w:r>
            <w:r w:rsidRPr="00F772C2">
              <w:rPr>
                <w:sz w:val="22"/>
                <w:szCs w:val="22"/>
              </w:rPr>
              <w:t>(9), 813–828. https://doi.org/10.1016/S0016-3287(96)00044-4</w:t>
            </w:r>
          </w:p>
          <w:p w14:paraId="2181B7DF" w14:textId="41A21726" w:rsidR="006F40BE" w:rsidRPr="003607DA" w:rsidRDefault="00F772C2" w:rsidP="002778F8">
            <w:pPr>
              <w:spacing w:after="60"/>
              <w:rPr>
                <w:sz w:val="22"/>
                <w:szCs w:val="22"/>
              </w:rPr>
            </w:pPr>
            <w:r w:rsidRPr="00F772C2">
              <w:rPr>
                <w:sz w:val="22"/>
                <w:szCs w:val="22"/>
                <w:lang w:val="it-IT"/>
              </w:rPr>
              <w:t xml:space="preserve">Soria-Lara, J. A., &amp; Banister, D. (2017). </w:t>
            </w:r>
            <w:r w:rsidRPr="00F772C2">
              <w:rPr>
                <w:sz w:val="22"/>
                <w:szCs w:val="22"/>
              </w:rPr>
              <w:t xml:space="preserve">Participatory visioning in transport </w:t>
            </w:r>
            <w:proofErr w:type="spellStart"/>
            <w:r w:rsidRPr="00F772C2">
              <w:rPr>
                <w:sz w:val="22"/>
                <w:szCs w:val="22"/>
              </w:rPr>
              <w:t>backcasting</w:t>
            </w:r>
            <w:proofErr w:type="spellEnd"/>
            <w:r w:rsidRPr="00F772C2">
              <w:rPr>
                <w:sz w:val="22"/>
                <w:szCs w:val="22"/>
              </w:rPr>
              <w:t xml:space="preserve"> studies: Methodological lessons from Andalusia (Spain). </w:t>
            </w:r>
            <w:r w:rsidRPr="00F772C2">
              <w:rPr>
                <w:i/>
                <w:iCs/>
                <w:sz w:val="22"/>
                <w:szCs w:val="22"/>
              </w:rPr>
              <w:t>Journal of Transport Geography</w:t>
            </w:r>
            <w:r w:rsidRPr="00F772C2">
              <w:rPr>
                <w:sz w:val="22"/>
                <w:szCs w:val="22"/>
              </w:rPr>
              <w:t xml:space="preserve">, </w:t>
            </w:r>
            <w:r w:rsidRPr="00F772C2">
              <w:rPr>
                <w:b/>
                <w:bCs/>
                <w:sz w:val="22"/>
                <w:szCs w:val="22"/>
              </w:rPr>
              <w:t>58</w:t>
            </w:r>
            <w:r w:rsidRPr="00F772C2">
              <w:rPr>
                <w:sz w:val="22"/>
                <w:szCs w:val="22"/>
              </w:rPr>
              <w:t>, 113–126. https://doi.org/10.1016/j.jtrangeo.2016.11.012</w:t>
            </w:r>
          </w:p>
        </w:tc>
      </w:tr>
      <w:tr w:rsidR="003607DA" w:rsidRPr="003607DA" w14:paraId="6E4E6D47" w14:textId="77777777" w:rsidTr="003607DA">
        <w:tc>
          <w:tcPr>
            <w:tcW w:w="554" w:type="dxa"/>
          </w:tcPr>
          <w:p w14:paraId="77FD2E3C" w14:textId="7E59AB0D" w:rsidR="006F40BE" w:rsidRPr="003607DA" w:rsidRDefault="009E2B28" w:rsidP="006F40BE">
            <w:pPr>
              <w:jc w:val="center"/>
              <w:rPr>
                <w:sz w:val="22"/>
                <w:szCs w:val="22"/>
              </w:rPr>
            </w:pPr>
            <w:r w:rsidRPr="003607DA">
              <w:rPr>
                <w:sz w:val="22"/>
                <w:szCs w:val="22"/>
              </w:rPr>
              <w:t>3</w:t>
            </w:r>
            <w:r w:rsidR="006F40BE" w:rsidRPr="003607DA">
              <w:rPr>
                <w:sz w:val="22"/>
                <w:szCs w:val="22"/>
              </w:rPr>
              <w:t>.</w:t>
            </w:r>
          </w:p>
        </w:tc>
        <w:tc>
          <w:tcPr>
            <w:tcW w:w="8661" w:type="dxa"/>
          </w:tcPr>
          <w:p w14:paraId="46E3ABD5" w14:textId="77777777" w:rsidR="006F40BE" w:rsidRPr="003607DA" w:rsidRDefault="006F40BE" w:rsidP="00F52F2A">
            <w:pPr>
              <w:rPr>
                <w:sz w:val="22"/>
                <w:szCs w:val="22"/>
              </w:rPr>
            </w:pPr>
            <w:r w:rsidRPr="003607DA">
              <w:rPr>
                <w:b/>
                <w:bCs/>
                <w:sz w:val="22"/>
                <w:szCs w:val="22"/>
              </w:rPr>
              <w:t>Branch Analysis</w:t>
            </w:r>
            <w:r w:rsidRPr="003607DA">
              <w:rPr>
                <w:sz w:val="22"/>
                <w:szCs w:val="22"/>
              </w:rPr>
              <w:t xml:space="preserve"> is a scenario-building method that explores path-dependent outcomes by systematically identifying key events and mapping their consequences onto a branching diagram (Rhydderch, 2009). It supports the development of plausible futures by examining critical questions and the cascading impacts of decisions or occurrences. This technique is especially effective for scenarios cantered on known turning points, such as elections, referendums, or peace negotiations, where multiple outcomes are possible within a short- to medium-term horizon (Rhydderch, 2009).</w:t>
            </w:r>
          </w:p>
        </w:tc>
        <w:tc>
          <w:tcPr>
            <w:tcW w:w="6520" w:type="dxa"/>
          </w:tcPr>
          <w:p w14:paraId="287A0027" w14:textId="77777777" w:rsidR="00F772C2" w:rsidRPr="00F772C2" w:rsidRDefault="00F772C2" w:rsidP="00F772C2">
            <w:pPr>
              <w:spacing w:after="60"/>
              <w:rPr>
                <w:sz w:val="22"/>
                <w:szCs w:val="22"/>
              </w:rPr>
            </w:pPr>
            <w:r w:rsidRPr="00F772C2">
              <w:rPr>
                <w:sz w:val="22"/>
                <w:szCs w:val="22"/>
              </w:rPr>
              <w:t>Rhydderch, A. (2009). Scenario planning: Guidance notes. Foresight Horizon Scanning Centre, Government Office for Science. Available via Global Interagency Security Forum</w:t>
            </w:r>
          </w:p>
          <w:p w14:paraId="728B8A88" w14:textId="3B85E096" w:rsidR="006F40BE" w:rsidRPr="003607DA" w:rsidRDefault="00F772C2" w:rsidP="00F772C2">
            <w:pPr>
              <w:spacing w:after="60"/>
              <w:rPr>
                <w:sz w:val="22"/>
                <w:szCs w:val="22"/>
              </w:rPr>
            </w:pPr>
            <w:r w:rsidRPr="00F772C2">
              <w:rPr>
                <w:sz w:val="22"/>
                <w:szCs w:val="22"/>
                <w:lang w:val="it-IT"/>
              </w:rPr>
              <w:t xml:space="preserve">Postma, T. J. B. M., &amp; Liebl, F. (2005). </w:t>
            </w:r>
            <w:r w:rsidRPr="00F772C2">
              <w:rPr>
                <w:sz w:val="22"/>
                <w:szCs w:val="22"/>
              </w:rPr>
              <w:t>How to improve scenario analysis as a strategic management tool? Technological Forecasting and Social Change, 72(2), 161–173. https://doi.org/10.1016/j.techfore.2003.11.005</w:t>
            </w:r>
          </w:p>
        </w:tc>
      </w:tr>
      <w:tr w:rsidR="003607DA" w:rsidRPr="003607DA" w14:paraId="07F96456" w14:textId="77777777" w:rsidTr="003607DA">
        <w:tc>
          <w:tcPr>
            <w:tcW w:w="554" w:type="dxa"/>
          </w:tcPr>
          <w:p w14:paraId="56A15828" w14:textId="078C9D16" w:rsidR="007B798F" w:rsidRPr="003607DA" w:rsidRDefault="009E2B28" w:rsidP="006F40BE">
            <w:pPr>
              <w:jc w:val="center"/>
              <w:rPr>
                <w:sz w:val="22"/>
                <w:szCs w:val="22"/>
              </w:rPr>
            </w:pPr>
            <w:r w:rsidRPr="003607DA">
              <w:rPr>
                <w:sz w:val="22"/>
                <w:szCs w:val="22"/>
              </w:rPr>
              <w:t>4</w:t>
            </w:r>
            <w:r w:rsidR="007B798F" w:rsidRPr="003607DA">
              <w:rPr>
                <w:sz w:val="22"/>
                <w:szCs w:val="22"/>
              </w:rPr>
              <w:t>.</w:t>
            </w:r>
          </w:p>
        </w:tc>
        <w:tc>
          <w:tcPr>
            <w:tcW w:w="8661" w:type="dxa"/>
          </w:tcPr>
          <w:p w14:paraId="56C69226" w14:textId="3EF37A52" w:rsidR="007B798F" w:rsidRPr="007B798F" w:rsidRDefault="007B798F" w:rsidP="007B798F">
            <w:pPr>
              <w:rPr>
                <w:sz w:val="22"/>
                <w:szCs w:val="22"/>
              </w:rPr>
            </w:pPr>
            <w:r w:rsidRPr="003607DA">
              <w:rPr>
                <w:b/>
                <w:bCs/>
                <w:sz w:val="22"/>
                <w:szCs w:val="22"/>
              </w:rPr>
              <w:t>D</w:t>
            </w:r>
            <w:r w:rsidRPr="007B798F">
              <w:rPr>
                <w:b/>
                <w:bCs/>
                <w:sz w:val="22"/>
                <w:szCs w:val="22"/>
              </w:rPr>
              <w:t xml:space="preserve">river </w:t>
            </w:r>
            <w:r w:rsidRPr="003607DA">
              <w:rPr>
                <w:b/>
                <w:bCs/>
                <w:sz w:val="22"/>
                <w:szCs w:val="22"/>
              </w:rPr>
              <w:t>M</w:t>
            </w:r>
            <w:r w:rsidRPr="007B798F">
              <w:rPr>
                <w:b/>
                <w:bCs/>
                <w:sz w:val="22"/>
                <w:szCs w:val="22"/>
              </w:rPr>
              <w:t>apping</w:t>
            </w:r>
            <w:r w:rsidRPr="003607DA">
              <w:rPr>
                <w:b/>
                <w:bCs/>
                <w:sz w:val="22"/>
                <w:szCs w:val="22"/>
              </w:rPr>
              <w:t xml:space="preserve">: </w:t>
            </w:r>
            <w:r w:rsidRPr="007B798F">
              <w:rPr>
                <w:sz w:val="22"/>
                <w:szCs w:val="22"/>
              </w:rPr>
              <w:t>is a foresight tool used to identify and assess the most influential forces of change</w:t>
            </w:r>
            <w:r w:rsidRPr="003607DA">
              <w:rPr>
                <w:sz w:val="22"/>
                <w:szCs w:val="22"/>
              </w:rPr>
              <w:t xml:space="preserve">, </w:t>
            </w:r>
            <w:r w:rsidRPr="007B798F">
              <w:rPr>
                <w:sz w:val="22"/>
                <w:szCs w:val="22"/>
              </w:rPr>
              <w:t xml:space="preserve">called </w:t>
            </w:r>
            <w:r w:rsidRPr="007B798F">
              <w:rPr>
                <w:i/>
                <w:iCs/>
                <w:sz w:val="22"/>
                <w:szCs w:val="22"/>
              </w:rPr>
              <w:t>drivers</w:t>
            </w:r>
            <w:r w:rsidRPr="003607DA">
              <w:rPr>
                <w:i/>
                <w:iCs/>
                <w:sz w:val="22"/>
                <w:szCs w:val="22"/>
              </w:rPr>
              <w:t xml:space="preserve">, </w:t>
            </w:r>
            <w:r w:rsidRPr="007B798F">
              <w:rPr>
                <w:sz w:val="22"/>
                <w:szCs w:val="22"/>
              </w:rPr>
              <w:t>within a system or context. These drivers are typically trends or emerging issues that could shape future developments.</w:t>
            </w:r>
          </w:p>
          <w:p w14:paraId="1AE19CFD" w14:textId="77777777" w:rsidR="007B798F" w:rsidRPr="007B798F" w:rsidRDefault="007B798F" w:rsidP="007B798F">
            <w:pPr>
              <w:numPr>
                <w:ilvl w:val="0"/>
                <w:numId w:val="2"/>
              </w:numPr>
              <w:tabs>
                <w:tab w:val="clear" w:pos="360"/>
              </w:tabs>
              <w:rPr>
                <w:sz w:val="22"/>
                <w:szCs w:val="22"/>
              </w:rPr>
            </w:pPr>
            <w:r w:rsidRPr="007B798F">
              <w:rPr>
                <w:sz w:val="22"/>
                <w:szCs w:val="22"/>
              </w:rPr>
              <w:lastRenderedPageBreak/>
              <w:t xml:space="preserve">Drivers are gathered through horizon scanning and categorized using frameworks like </w:t>
            </w:r>
            <w:r w:rsidRPr="007B798F">
              <w:rPr>
                <w:b/>
                <w:bCs/>
                <w:sz w:val="22"/>
                <w:szCs w:val="22"/>
              </w:rPr>
              <w:t>PESTLE</w:t>
            </w:r>
            <w:r w:rsidRPr="007B798F">
              <w:rPr>
                <w:sz w:val="22"/>
                <w:szCs w:val="22"/>
              </w:rPr>
              <w:t xml:space="preserve"> (Political, Economic, Social, Technological, Legal, Environmental).</w:t>
            </w:r>
          </w:p>
          <w:p w14:paraId="5C505FF0" w14:textId="77777777" w:rsidR="007B798F" w:rsidRPr="007B798F" w:rsidRDefault="007B798F" w:rsidP="007B798F">
            <w:pPr>
              <w:numPr>
                <w:ilvl w:val="0"/>
                <w:numId w:val="2"/>
              </w:numPr>
              <w:tabs>
                <w:tab w:val="clear" w:pos="360"/>
              </w:tabs>
              <w:rPr>
                <w:sz w:val="22"/>
                <w:szCs w:val="22"/>
              </w:rPr>
            </w:pPr>
            <w:r w:rsidRPr="007B798F">
              <w:rPr>
                <w:sz w:val="22"/>
                <w:szCs w:val="22"/>
              </w:rPr>
              <w:t xml:space="preserve">They are then plotted on an </w:t>
            </w:r>
            <w:r w:rsidRPr="007B798F">
              <w:rPr>
                <w:b/>
                <w:bCs/>
                <w:sz w:val="22"/>
                <w:szCs w:val="22"/>
              </w:rPr>
              <w:t>uncertainty-impact matrix</w:t>
            </w:r>
            <w:r w:rsidRPr="007B798F">
              <w:rPr>
                <w:sz w:val="22"/>
                <w:szCs w:val="22"/>
              </w:rPr>
              <w:t>, which helps evaluate how uncertain and impactful each driver is.</w:t>
            </w:r>
          </w:p>
          <w:p w14:paraId="06BFED85" w14:textId="4E8286BD" w:rsidR="007B798F" w:rsidRPr="003607DA" w:rsidRDefault="007B798F" w:rsidP="00AA1776">
            <w:pPr>
              <w:numPr>
                <w:ilvl w:val="0"/>
                <w:numId w:val="2"/>
              </w:numPr>
              <w:tabs>
                <w:tab w:val="clear" w:pos="360"/>
              </w:tabs>
              <w:rPr>
                <w:sz w:val="22"/>
                <w:szCs w:val="22"/>
              </w:rPr>
            </w:pPr>
            <w:r w:rsidRPr="007B798F">
              <w:rPr>
                <w:sz w:val="22"/>
                <w:szCs w:val="22"/>
              </w:rPr>
              <w:t xml:space="preserve">This process reveals </w:t>
            </w:r>
            <w:r w:rsidRPr="007B798F">
              <w:rPr>
                <w:b/>
                <w:bCs/>
                <w:sz w:val="22"/>
                <w:szCs w:val="22"/>
              </w:rPr>
              <w:t>critical uncertainties</w:t>
            </w:r>
            <w:r w:rsidRPr="003607DA">
              <w:rPr>
                <w:b/>
                <w:bCs/>
                <w:sz w:val="22"/>
                <w:szCs w:val="22"/>
              </w:rPr>
              <w:t xml:space="preserve">, </w:t>
            </w:r>
            <w:r w:rsidRPr="007B798F">
              <w:rPr>
                <w:sz w:val="22"/>
                <w:szCs w:val="22"/>
              </w:rPr>
              <w:t>drivers that are both highly impactful and unpredictable</w:t>
            </w:r>
            <w:r w:rsidRPr="003607DA">
              <w:rPr>
                <w:sz w:val="22"/>
                <w:szCs w:val="22"/>
              </w:rPr>
              <w:t xml:space="preserve">, </w:t>
            </w:r>
            <w:r w:rsidRPr="007B798F">
              <w:rPr>
                <w:sz w:val="22"/>
                <w:szCs w:val="22"/>
              </w:rPr>
              <w:t>which are essential for developing robust future scenarios</w:t>
            </w:r>
          </w:p>
        </w:tc>
        <w:tc>
          <w:tcPr>
            <w:tcW w:w="6520" w:type="dxa"/>
          </w:tcPr>
          <w:p w14:paraId="3E3FC304" w14:textId="6F05FC32" w:rsidR="00F772C2" w:rsidRPr="00F772C2" w:rsidRDefault="00F772C2" w:rsidP="00F772C2">
            <w:pPr>
              <w:spacing w:after="60"/>
              <w:rPr>
                <w:sz w:val="22"/>
                <w:szCs w:val="22"/>
              </w:rPr>
            </w:pPr>
            <w:r w:rsidRPr="00F772C2">
              <w:rPr>
                <w:sz w:val="22"/>
                <w:szCs w:val="22"/>
              </w:rPr>
              <w:lastRenderedPageBreak/>
              <w:t>Government Office for Science. (2024). The Futures Toolkit: Tools for strategic foresight and scenario planning. GOV.UK. Retrieved from Futures Toolkit for policymakers and analysts</w:t>
            </w:r>
          </w:p>
          <w:p w14:paraId="2F2948F2" w14:textId="09804F4A" w:rsidR="00F772C2" w:rsidRPr="00F772C2" w:rsidRDefault="00F772C2" w:rsidP="00F772C2">
            <w:pPr>
              <w:spacing w:after="60"/>
              <w:rPr>
                <w:sz w:val="22"/>
                <w:szCs w:val="22"/>
              </w:rPr>
            </w:pPr>
            <w:r w:rsidRPr="00F772C2">
              <w:rPr>
                <w:sz w:val="22"/>
                <w:szCs w:val="22"/>
              </w:rPr>
              <w:lastRenderedPageBreak/>
              <w:t>Petersen, J. L. (1999). Out of the Blue: How to Anticipate Big Future Surprises. Madison Books, Lanham, MD.</w:t>
            </w:r>
          </w:p>
          <w:p w14:paraId="5DE0333F" w14:textId="244514AC" w:rsidR="00F772C2" w:rsidRPr="00F772C2" w:rsidRDefault="00F772C2" w:rsidP="00F772C2">
            <w:pPr>
              <w:spacing w:after="60"/>
              <w:rPr>
                <w:sz w:val="22"/>
                <w:szCs w:val="22"/>
              </w:rPr>
            </w:pPr>
            <w:r w:rsidRPr="00F772C2">
              <w:rPr>
                <w:sz w:val="22"/>
                <w:szCs w:val="22"/>
              </w:rPr>
              <w:t>UK Government. (2018). The Futures Toolkit: Tools for Futures Thinking and Foresight Across UK Government. Government Office for Science. Retrieved from Embedding Project resource</w:t>
            </w:r>
          </w:p>
          <w:p w14:paraId="222531EF" w14:textId="5AEA9CA7" w:rsidR="007B798F" w:rsidRPr="003607DA" w:rsidRDefault="00F772C2" w:rsidP="001773CD">
            <w:pPr>
              <w:spacing w:after="60"/>
              <w:rPr>
                <w:sz w:val="22"/>
                <w:szCs w:val="22"/>
              </w:rPr>
            </w:pPr>
            <w:r w:rsidRPr="00F772C2">
              <w:rPr>
                <w:sz w:val="22"/>
                <w:szCs w:val="22"/>
              </w:rPr>
              <w:t>Wade, W. (2012). Scenario Planning: A Field Guide to the Future. John Wiley &amp; Sons.</w:t>
            </w:r>
          </w:p>
        </w:tc>
      </w:tr>
      <w:tr w:rsidR="003607DA" w:rsidRPr="003607DA" w14:paraId="51AEB77D" w14:textId="77777777" w:rsidTr="003607DA">
        <w:tc>
          <w:tcPr>
            <w:tcW w:w="554" w:type="dxa"/>
          </w:tcPr>
          <w:p w14:paraId="0519B3C0" w14:textId="2E0926B0" w:rsidR="007B798F" w:rsidRPr="003607DA" w:rsidRDefault="009E2B28" w:rsidP="006F40BE">
            <w:pPr>
              <w:jc w:val="center"/>
              <w:rPr>
                <w:sz w:val="22"/>
                <w:szCs w:val="22"/>
              </w:rPr>
            </w:pPr>
            <w:r w:rsidRPr="003607DA">
              <w:rPr>
                <w:sz w:val="22"/>
                <w:szCs w:val="22"/>
              </w:rPr>
              <w:lastRenderedPageBreak/>
              <w:t>5</w:t>
            </w:r>
          </w:p>
        </w:tc>
        <w:tc>
          <w:tcPr>
            <w:tcW w:w="8661" w:type="dxa"/>
          </w:tcPr>
          <w:p w14:paraId="21C21366" w14:textId="61F9C590" w:rsidR="007B798F" w:rsidRPr="003607DA" w:rsidRDefault="007B798F" w:rsidP="007B798F">
            <w:pPr>
              <w:rPr>
                <w:sz w:val="22"/>
                <w:szCs w:val="22"/>
              </w:rPr>
            </w:pPr>
            <w:r w:rsidRPr="00F9404E">
              <w:rPr>
                <w:b/>
                <w:bCs/>
                <w:sz w:val="22"/>
                <w:szCs w:val="22"/>
              </w:rPr>
              <w:t>Future Wheel</w:t>
            </w:r>
            <w:r w:rsidRPr="003607DA">
              <w:rPr>
                <w:b/>
                <w:bCs/>
                <w:sz w:val="22"/>
                <w:szCs w:val="22"/>
              </w:rPr>
              <w:t>:</w:t>
            </w:r>
            <w:r w:rsidRPr="00F9404E">
              <w:rPr>
                <w:b/>
                <w:bCs/>
                <w:sz w:val="22"/>
                <w:szCs w:val="22"/>
              </w:rPr>
              <w:t xml:space="preserve"> </w:t>
            </w:r>
            <w:r w:rsidRPr="003607DA">
              <w:rPr>
                <w:sz w:val="22"/>
                <w:szCs w:val="22"/>
              </w:rPr>
              <w:t xml:space="preserve">“smart group” method that uses a structured brainstorming process to uncover and evaluate multiple levels of consequences resulting from all types of change. The output is a map of possible direct and indirect, positive and negative impacts that can be </w:t>
            </w:r>
            <w:proofErr w:type="spellStart"/>
            <w:r w:rsidRPr="003607DA">
              <w:rPr>
                <w:sz w:val="22"/>
                <w:szCs w:val="22"/>
              </w:rPr>
              <w:t>analyzed</w:t>
            </w:r>
            <w:proofErr w:type="spellEnd"/>
            <w:r w:rsidRPr="003607DA">
              <w:rPr>
                <w:sz w:val="22"/>
                <w:szCs w:val="22"/>
              </w:rPr>
              <w:t xml:space="preserve"> to develop strategies to promote desirable consequences and avoid undesirable ones</w:t>
            </w:r>
            <w:r w:rsidRPr="003607DA">
              <w:rPr>
                <w:sz w:val="22"/>
                <w:szCs w:val="22"/>
              </w:rPr>
              <w:t xml:space="preserve"> (</w:t>
            </w:r>
            <w:r w:rsidRPr="00F9404E">
              <w:rPr>
                <w:sz w:val="22"/>
                <w:szCs w:val="22"/>
              </w:rPr>
              <w:t>Bengston, 2016</w:t>
            </w:r>
            <w:r w:rsidRPr="003607DA">
              <w:rPr>
                <w:sz w:val="22"/>
                <w:szCs w:val="22"/>
              </w:rPr>
              <w:t>).</w:t>
            </w:r>
          </w:p>
          <w:p w14:paraId="46117A02" w14:textId="14A65607" w:rsidR="007B798F" w:rsidRPr="003607DA" w:rsidRDefault="007B798F" w:rsidP="007B798F">
            <w:pPr>
              <w:rPr>
                <w:sz w:val="22"/>
                <w:szCs w:val="22"/>
              </w:rPr>
            </w:pPr>
            <w:r w:rsidRPr="00F9404E">
              <w:rPr>
                <w:sz w:val="22"/>
                <w:szCs w:val="22"/>
              </w:rPr>
              <w:t>It is used for identifying and packaging primary, secondary, &amp; tertiary consequences of trends, events, emerging issues, and future possible decisions (Inayatullah, 2008). It can help to understand the potential consequences of science-related developments (</w:t>
            </w:r>
            <w:proofErr w:type="spellStart"/>
            <w:r w:rsidRPr="00F9404E">
              <w:rPr>
                <w:sz w:val="22"/>
                <w:szCs w:val="22"/>
              </w:rPr>
              <w:t>BouJaoude</w:t>
            </w:r>
            <w:proofErr w:type="spellEnd"/>
            <w:r w:rsidRPr="00F9404E">
              <w:rPr>
                <w:sz w:val="22"/>
                <w:szCs w:val="22"/>
              </w:rPr>
              <w:t xml:space="preserve"> 2000).</w:t>
            </w:r>
          </w:p>
        </w:tc>
        <w:tc>
          <w:tcPr>
            <w:tcW w:w="6520" w:type="dxa"/>
          </w:tcPr>
          <w:p w14:paraId="5473F046" w14:textId="5BC4A050" w:rsidR="00F772C2" w:rsidRPr="00F772C2" w:rsidRDefault="00F772C2" w:rsidP="00F772C2">
            <w:pPr>
              <w:spacing w:after="60"/>
              <w:rPr>
                <w:sz w:val="22"/>
                <w:szCs w:val="22"/>
              </w:rPr>
            </w:pPr>
            <w:r w:rsidRPr="00F772C2">
              <w:rPr>
                <w:sz w:val="22"/>
                <w:szCs w:val="22"/>
              </w:rPr>
              <w:t>Bengston, D. N. (2016). The Futures Wheel: A method for exploring the implications of social–ecological change. Society &amp; Natural Resources, 29(3), 374–379. https://doi.org/10.1080/08941920.2015.1054980</w:t>
            </w:r>
          </w:p>
          <w:p w14:paraId="281A9C71" w14:textId="77777777" w:rsidR="00F772C2" w:rsidRPr="003607DA" w:rsidRDefault="00F772C2" w:rsidP="00F772C2">
            <w:pPr>
              <w:spacing w:after="60"/>
              <w:rPr>
                <w:sz w:val="22"/>
                <w:szCs w:val="22"/>
              </w:rPr>
            </w:pPr>
            <w:proofErr w:type="spellStart"/>
            <w:r w:rsidRPr="00F772C2">
              <w:rPr>
                <w:sz w:val="22"/>
                <w:szCs w:val="22"/>
              </w:rPr>
              <w:t>BouJaoude</w:t>
            </w:r>
            <w:proofErr w:type="spellEnd"/>
            <w:r w:rsidRPr="00F772C2">
              <w:rPr>
                <w:sz w:val="22"/>
                <w:szCs w:val="22"/>
              </w:rPr>
              <w:t>, S. B. (2000). What might happen if ...? The Science Teacher, 67(4), 44–47.</w:t>
            </w:r>
          </w:p>
          <w:p w14:paraId="27826D7A" w14:textId="1FF05D5D" w:rsidR="007B798F" w:rsidRPr="003607DA" w:rsidRDefault="00F772C2" w:rsidP="001773CD">
            <w:pPr>
              <w:spacing w:after="60"/>
              <w:rPr>
                <w:sz w:val="22"/>
                <w:szCs w:val="22"/>
              </w:rPr>
            </w:pPr>
            <w:r w:rsidRPr="00F772C2">
              <w:rPr>
                <w:sz w:val="22"/>
                <w:szCs w:val="22"/>
              </w:rPr>
              <w:t>Inayatullah, S. (2008). Six pillars: Future thinking for transformation. Foresight, 10(1), 4–21. https://doi.org/10.1108/14636680810855991</w:t>
            </w:r>
          </w:p>
        </w:tc>
      </w:tr>
      <w:tr w:rsidR="003607DA" w:rsidRPr="003607DA" w14:paraId="2B1F88BB" w14:textId="77777777" w:rsidTr="003607DA">
        <w:tc>
          <w:tcPr>
            <w:tcW w:w="554" w:type="dxa"/>
          </w:tcPr>
          <w:p w14:paraId="7104D217" w14:textId="7E8777BA" w:rsidR="006F40BE" w:rsidRPr="003607DA" w:rsidRDefault="009E2B28" w:rsidP="006F40BE">
            <w:pPr>
              <w:jc w:val="center"/>
              <w:rPr>
                <w:sz w:val="22"/>
                <w:szCs w:val="22"/>
              </w:rPr>
            </w:pPr>
            <w:r w:rsidRPr="003607DA">
              <w:rPr>
                <w:sz w:val="22"/>
                <w:szCs w:val="22"/>
              </w:rPr>
              <w:t>6</w:t>
            </w:r>
          </w:p>
        </w:tc>
        <w:tc>
          <w:tcPr>
            <w:tcW w:w="8661" w:type="dxa"/>
          </w:tcPr>
          <w:p w14:paraId="60FC9FEF" w14:textId="77777777" w:rsidR="006F40BE" w:rsidRPr="003D2A41" w:rsidRDefault="006F40BE" w:rsidP="00FB4651">
            <w:pPr>
              <w:rPr>
                <w:sz w:val="22"/>
                <w:szCs w:val="22"/>
              </w:rPr>
            </w:pPr>
            <w:proofErr w:type="spellStart"/>
            <w:r w:rsidRPr="003D2A41">
              <w:rPr>
                <w:b/>
                <w:bCs/>
                <w:sz w:val="22"/>
                <w:szCs w:val="22"/>
              </w:rPr>
              <w:t>Roadmapping</w:t>
            </w:r>
            <w:proofErr w:type="spellEnd"/>
            <w:r w:rsidRPr="003D2A41">
              <w:rPr>
                <w:sz w:val="22"/>
                <w:szCs w:val="22"/>
              </w:rPr>
              <w:t xml:space="preserve"> is a </w:t>
            </w:r>
            <w:r w:rsidRPr="003607DA">
              <w:rPr>
                <w:sz w:val="22"/>
                <w:szCs w:val="22"/>
              </w:rPr>
              <w:t>structured,</w:t>
            </w:r>
            <w:r w:rsidRPr="003D2A41">
              <w:rPr>
                <w:sz w:val="22"/>
                <w:szCs w:val="22"/>
              </w:rPr>
              <w:t xml:space="preserve"> yet flexible decision-support method used to navigate uncertainty and guide strategic implementation. It operates as a post-scenario tool that visualises and evaluates layered information across time (Lizaso &amp; Reger, 2004), integrating diverse perspectives and causal pathways to identify opportunities for action.</w:t>
            </w:r>
          </w:p>
          <w:p w14:paraId="56907D19" w14:textId="77777777" w:rsidR="006F40BE" w:rsidRPr="003D2A41" w:rsidRDefault="006F40BE" w:rsidP="00FB4651">
            <w:pPr>
              <w:rPr>
                <w:sz w:val="22"/>
                <w:szCs w:val="22"/>
              </w:rPr>
            </w:pPr>
            <w:r w:rsidRPr="003D2A41">
              <w:rPr>
                <w:sz w:val="22"/>
                <w:szCs w:val="22"/>
              </w:rPr>
              <w:t>It consists of:</w:t>
            </w:r>
          </w:p>
          <w:p w14:paraId="001C09CB" w14:textId="77777777" w:rsidR="006F40BE" w:rsidRPr="003607DA" w:rsidRDefault="006F40BE" w:rsidP="00FB4651">
            <w:pPr>
              <w:pStyle w:val="ListParagraph"/>
              <w:numPr>
                <w:ilvl w:val="0"/>
                <w:numId w:val="13"/>
              </w:numPr>
              <w:rPr>
                <w:sz w:val="22"/>
                <w:szCs w:val="22"/>
              </w:rPr>
            </w:pPr>
            <w:r w:rsidRPr="003607DA">
              <w:rPr>
                <w:sz w:val="22"/>
                <w:szCs w:val="22"/>
              </w:rPr>
              <w:t>A process: collaborative dialogue among stakeholders (Grossman, 2004)</w:t>
            </w:r>
          </w:p>
          <w:p w14:paraId="4EB05ED4" w14:textId="77777777" w:rsidR="006F40BE" w:rsidRPr="003607DA" w:rsidRDefault="006F40BE" w:rsidP="00FB4651">
            <w:pPr>
              <w:pStyle w:val="ListParagraph"/>
              <w:numPr>
                <w:ilvl w:val="0"/>
                <w:numId w:val="13"/>
              </w:numPr>
              <w:rPr>
                <w:sz w:val="22"/>
                <w:szCs w:val="22"/>
              </w:rPr>
            </w:pPr>
            <w:r w:rsidRPr="003607DA">
              <w:rPr>
                <w:sz w:val="22"/>
                <w:szCs w:val="22"/>
              </w:rPr>
              <w:t>A product: a visual roadmap representing strategic pathways</w:t>
            </w:r>
          </w:p>
          <w:p w14:paraId="5F32B9B1" w14:textId="77777777" w:rsidR="006F40BE" w:rsidRPr="003607DA" w:rsidRDefault="006F40BE" w:rsidP="00FB4651">
            <w:pPr>
              <w:pStyle w:val="ListParagraph"/>
              <w:numPr>
                <w:ilvl w:val="0"/>
                <w:numId w:val="13"/>
              </w:numPr>
              <w:rPr>
                <w:sz w:val="22"/>
                <w:szCs w:val="22"/>
              </w:rPr>
            </w:pPr>
            <w:r w:rsidRPr="003607DA">
              <w:rPr>
                <w:sz w:val="22"/>
                <w:szCs w:val="22"/>
              </w:rPr>
              <w:t>It helps foster a shared vision and supports strategic alignment by making assumptions, priorities, and implementation steps explicit (Phaal et al., 2009).</w:t>
            </w:r>
          </w:p>
          <w:p w14:paraId="380A98E3" w14:textId="77777777" w:rsidR="006F40BE" w:rsidRPr="003607DA" w:rsidRDefault="006F40BE" w:rsidP="00FB4651">
            <w:pPr>
              <w:rPr>
                <w:sz w:val="22"/>
                <w:szCs w:val="22"/>
              </w:rPr>
            </w:pPr>
          </w:p>
        </w:tc>
        <w:tc>
          <w:tcPr>
            <w:tcW w:w="6520" w:type="dxa"/>
          </w:tcPr>
          <w:p w14:paraId="7BE24359" w14:textId="561A882F" w:rsidR="00F772C2" w:rsidRPr="00F772C2" w:rsidRDefault="00F772C2" w:rsidP="00F772C2">
            <w:pPr>
              <w:spacing w:after="60"/>
              <w:rPr>
                <w:sz w:val="22"/>
                <w:szCs w:val="22"/>
              </w:rPr>
            </w:pPr>
            <w:r w:rsidRPr="00F772C2">
              <w:rPr>
                <w:sz w:val="22"/>
                <w:szCs w:val="22"/>
              </w:rPr>
              <w:t>Grossman, D. S. (2004). Putting technology on the road. Research-Technology Management, 47(2), 41–46.</w:t>
            </w:r>
          </w:p>
          <w:p w14:paraId="323EAF09" w14:textId="339B637A" w:rsidR="00F772C2" w:rsidRPr="00F772C2" w:rsidRDefault="00F772C2" w:rsidP="00F772C2">
            <w:pPr>
              <w:spacing w:after="60"/>
              <w:rPr>
                <w:sz w:val="22"/>
                <w:szCs w:val="22"/>
              </w:rPr>
            </w:pPr>
            <w:r w:rsidRPr="00F772C2">
              <w:rPr>
                <w:sz w:val="22"/>
                <w:szCs w:val="22"/>
              </w:rPr>
              <w:t xml:space="preserve">Lizaso, F., &amp; Reger, G. (2004). Linking </w:t>
            </w:r>
            <w:proofErr w:type="spellStart"/>
            <w:r w:rsidRPr="00F772C2">
              <w:rPr>
                <w:sz w:val="22"/>
                <w:szCs w:val="22"/>
              </w:rPr>
              <w:t>roadmapping</w:t>
            </w:r>
            <w:proofErr w:type="spellEnd"/>
            <w:r w:rsidRPr="00F772C2">
              <w:rPr>
                <w:sz w:val="22"/>
                <w:szCs w:val="22"/>
              </w:rPr>
              <w:t xml:space="preserve"> and scenarios as an approach for strategic technology planning. International Journal of Technology Intelligence and Planning, 1(1), 68–86. https://doi.org/10.1504/IJTIP.2004.004928</w:t>
            </w:r>
          </w:p>
          <w:p w14:paraId="29CDAFEE" w14:textId="226081C3" w:rsidR="00F772C2" w:rsidRPr="00F772C2" w:rsidRDefault="00F772C2" w:rsidP="00F772C2">
            <w:pPr>
              <w:spacing w:after="60"/>
              <w:rPr>
                <w:sz w:val="22"/>
                <w:szCs w:val="22"/>
              </w:rPr>
            </w:pPr>
            <w:r w:rsidRPr="00F772C2">
              <w:rPr>
                <w:sz w:val="22"/>
                <w:szCs w:val="22"/>
              </w:rPr>
              <w:t>Phaal, R., Farrukh, C. J. P., &amp; Probert, P. R. (2009). Visualising strategy: A classification of graphical roadmap forms. International Journal of Technology Management, 47(4), 286–305. https://doi.org/10.1504/IJTM.2009.024431</w:t>
            </w:r>
          </w:p>
          <w:p w14:paraId="04E39D8B" w14:textId="1F2C071F" w:rsidR="006F40BE" w:rsidRPr="003607DA" w:rsidRDefault="00F772C2" w:rsidP="00FB4651">
            <w:pPr>
              <w:spacing w:after="60"/>
              <w:rPr>
                <w:sz w:val="22"/>
                <w:szCs w:val="22"/>
              </w:rPr>
            </w:pPr>
            <w:r w:rsidRPr="00F772C2">
              <w:rPr>
                <w:sz w:val="22"/>
                <w:szCs w:val="22"/>
              </w:rPr>
              <w:t xml:space="preserve">Ricard, L. M., &amp; Borch, K. (2011). From future scenarios to </w:t>
            </w:r>
            <w:proofErr w:type="spellStart"/>
            <w:r w:rsidRPr="00F772C2">
              <w:rPr>
                <w:sz w:val="22"/>
                <w:szCs w:val="22"/>
              </w:rPr>
              <w:t>roadmapping</w:t>
            </w:r>
            <w:proofErr w:type="spellEnd"/>
            <w:r w:rsidRPr="00F772C2">
              <w:rPr>
                <w:sz w:val="22"/>
                <w:szCs w:val="22"/>
              </w:rPr>
              <w:t xml:space="preserve">: A practical guide to explore innovation and strategy. In The 4th International Seville Conference on Future-Oriented Technology Analysis (FTA). European Commission Joint Research Centre. </w:t>
            </w:r>
          </w:p>
        </w:tc>
      </w:tr>
      <w:tr w:rsidR="003607DA" w:rsidRPr="003607DA" w14:paraId="190972E2" w14:textId="77777777" w:rsidTr="003607DA">
        <w:tc>
          <w:tcPr>
            <w:tcW w:w="554" w:type="dxa"/>
          </w:tcPr>
          <w:p w14:paraId="1D7CBFB3" w14:textId="1B6A157E" w:rsidR="006F40BE" w:rsidRPr="003607DA" w:rsidRDefault="009E2B28" w:rsidP="006F40BE">
            <w:pPr>
              <w:jc w:val="center"/>
              <w:rPr>
                <w:sz w:val="22"/>
                <w:szCs w:val="22"/>
              </w:rPr>
            </w:pPr>
            <w:r w:rsidRPr="003607DA">
              <w:rPr>
                <w:sz w:val="22"/>
                <w:szCs w:val="22"/>
              </w:rPr>
              <w:lastRenderedPageBreak/>
              <w:t>7</w:t>
            </w:r>
          </w:p>
        </w:tc>
        <w:tc>
          <w:tcPr>
            <w:tcW w:w="8661" w:type="dxa"/>
          </w:tcPr>
          <w:p w14:paraId="55D2F0C5" w14:textId="43F81723" w:rsidR="006F40BE" w:rsidRPr="003607DA" w:rsidRDefault="006F40BE" w:rsidP="00C3578A">
            <w:pPr>
              <w:rPr>
                <w:sz w:val="22"/>
                <w:szCs w:val="22"/>
              </w:rPr>
            </w:pPr>
            <w:r w:rsidRPr="003607DA">
              <w:rPr>
                <w:b/>
                <w:bCs/>
                <w:sz w:val="22"/>
                <w:szCs w:val="22"/>
              </w:rPr>
              <w:t>Scenario Matrix</w:t>
            </w:r>
            <w:r w:rsidRPr="003607DA">
              <w:rPr>
                <w:b/>
                <w:bCs/>
                <w:sz w:val="22"/>
                <w:szCs w:val="22"/>
              </w:rPr>
              <w:t xml:space="preserve"> (2x2)</w:t>
            </w:r>
            <w:r w:rsidRPr="003607DA">
              <w:rPr>
                <w:sz w:val="22"/>
                <w:szCs w:val="22"/>
              </w:rPr>
              <w:t xml:space="preserve"> (Scenario-Axes Technique) is a 2x2 framework constructed by juxtaposing two critical axes of uncertainty, each representing a key factor with high impact and unpredictability (Schwenker &amp; Wulf, 2013). Each axis reflects two contrasting future outcomes (e.g., positive vs. negative), resulting in four distinct scenarios that explore plausible futures within a specific thematic or geographic context (van der Heijden, 2005).</w:t>
            </w:r>
          </w:p>
        </w:tc>
        <w:tc>
          <w:tcPr>
            <w:tcW w:w="6520" w:type="dxa"/>
          </w:tcPr>
          <w:p w14:paraId="19C6567F" w14:textId="04D13507" w:rsidR="00F772C2" w:rsidRPr="00F772C2" w:rsidRDefault="00F772C2" w:rsidP="00F772C2">
            <w:pPr>
              <w:spacing w:after="60"/>
              <w:rPr>
                <w:sz w:val="22"/>
                <w:szCs w:val="22"/>
              </w:rPr>
            </w:pPr>
            <w:r w:rsidRPr="00F772C2">
              <w:rPr>
                <w:sz w:val="22"/>
                <w:szCs w:val="22"/>
              </w:rPr>
              <w:t xml:space="preserve">Rhydderch, A. (2017). Scenario Building: The 2x2 Matrix Technique. Prospective and Strategic Foresight Toolbox. </w:t>
            </w:r>
            <w:proofErr w:type="spellStart"/>
            <w:r w:rsidRPr="00F772C2">
              <w:rPr>
                <w:sz w:val="22"/>
                <w:szCs w:val="22"/>
              </w:rPr>
              <w:t>Futuribles</w:t>
            </w:r>
            <w:proofErr w:type="spellEnd"/>
            <w:r w:rsidRPr="00F772C2">
              <w:rPr>
                <w:sz w:val="22"/>
                <w:szCs w:val="22"/>
              </w:rPr>
              <w:t xml:space="preserve"> International. </w:t>
            </w:r>
          </w:p>
          <w:p w14:paraId="68F10F57" w14:textId="0EA998C5" w:rsidR="00F772C2" w:rsidRPr="00F772C2" w:rsidRDefault="00F772C2" w:rsidP="00F772C2">
            <w:pPr>
              <w:spacing w:after="60"/>
              <w:rPr>
                <w:sz w:val="22"/>
                <w:szCs w:val="22"/>
              </w:rPr>
            </w:pPr>
            <w:r w:rsidRPr="00F772C2">
              <w:rPr>
                <w:sz w:val="22"/>
                <w:szCs w:val="22"/>
              </w:rPr>
              <w:t>Schwenker, B., &amp; Wulf, T. (2013). Scenario-Based Strategic Planning: Developing Strategies in an Uncertain World. Springer Gabler. https://doi.org/10.1007/978-3-658-02875-6</w:t>
            </w:r>
          </w:p>
          <w:p w14:paraId="0AF5F6CB" w14:textId="00B98411" w:rsidR="006F40BE" w:rsidRPr="003607DA" w:rsidRDefault="00F772C2" w:rsidP="006F40BE">
            <w:pPr>
              <w:spacing w:after="60"/>
              <w:rPr>
                <w:sz w:val="22"/>
                <w:szCs w:val="22"/>
              </w:rPr>
            </w:pPr>
            <w:r w:rsidRPr="00F772C2">
              <w:rPr>
                <w:sz w:val="22"/>
                <w:szCs w:val="22"/>
              </w:rPr>
              <w:t>Van der Heijden, K. (2005). Scenarios: The Art of Strategic Conversation (2nd ed.). John Wiley &amp; Sons Ltd.</w:t>
            </w:r>
          </w:p>
        </w:tc>
      </w:tr>
      <w:tr w:rsidR="003607DA" w:rsidRPr="003607DA" w14:paraId="681D533B" w14:textId="77777777" w:rsidTr="003607DA">
        <w:tc>
          <w:tcPr>
            <w:tcW w:w="554" w:type="dxa"/>
          </w:tcPr>
          <w:p w14:paraId="6053C768" w14:textId="28CC632C" w:rsidR="006F40BE" w:rsidRPr="003607DA" w:rsidRDefault="009E2B28" w:rsidP="006F40BE">
            <w:pPr>
              <w:jc w:val="center"/>
              <w:rPr>
                <w:sz w:val="22"/>
                <w:szCs w:val="22"/>
              </w:rPr>
            </w:pPr>
            <w:r w:rsidRPr="003607DA">
              <w:rPr>
                <w:sz w:val="22"/>
                <w:szCs w:val="22"/>
              </w:rPr>
              <w:t>8</w:t>
            </w:r>
          </w:p>
        </w:tc>
        <w:tc>
          <w:tcPr>
            <w:tcW w:w="8661" w:type="dxa"/>
          </w:tcPr>
          <w:p w14:paraId="0915CDA8" w14:textId="7F3B37C6" w:rsidR="006F40BE" w:rsidRPr="003607DA" w:rsidRDefault="006F40BE" w:rsidP="00A62DAA">
            <w:pPr>
              <w:rPr>
                <w:sz w:val="22"/>
                <w:szCs w:val="22"/>
              </w:rPr>
            </w:pPr>
            <w:r w:rsidRPr="00F9404E">
              <w:rPr>
                <w:b/>
                <w:bCs/>
                <w:sz w:val="22"/>
                <w:szCs w:val="22"/>
              </w:rPr>
              <w:t>Scenario planning</w:t>
            </w:r>
            <w:r w:rsidRPr="003607DA">
              <w:rPr>
                <w:sz w:val="22"/>
                <w:szCs w:val="22"/>
              </w:rPr>
              <w:t>:</w:t>
            </w:r>
            <w:r w:rsidRPr="00F9404E">
              <w:rPr>
                <w:sz w:val="22"/>
                <w:szCs w:val="22"/>
              </w:rPr>
              <w:t xml:space="preserve"> is a strategic planning method for exploring possible future scenarios and development paths over a medium-term horizon (Schoemaker, 1995)</w:t>
            </w:r>
            <w:r w:rsidR="00F772C2" w:rsidRPr="003607DA">
              <w:rPr>
                <w:sz w:val="22"/>
                <w:szCs w:val="22"/>
              </w:rPr>
              <w:t>.</w:t>
            </w:r>
            <w:r w:rsidRPr="00F9404E">
              <w:rPr>
                <w:sz w:val="22"/>
                <w:szCs w:val="22"/>
              </w:rPr>
              <w:t xml:space="preserve"> It emphasises understanding complexity and uncertainty, focusing on possible and plausible futures rather than a precise prediction based on extrapolation of existing trends.  By highlighting key trends, drivers and factors that could lead to significant shifts, scenario planning helps executives develop adaptable and more robust strategies to address various contingencies (Schwenker and Wulf, 2013; Martelli, 2014).</w:t>
            </w:r>
          </w:p>
        </w:tc>
        <w:tc>
          <w:tcPr>
            <w:tcW w:w="6520" w:type="dxa"/>
          </w:tcPr>
          <w:p w14:paraId="3BD0915B" w14:textId="2CACDBAC" w:rsidR="00F772C2" w:rsidRPr="00F772C2" w:rsidRDefault="00F772C2" w:rsidP="00F772C2">
            <w:pPr>
              <w:spacing w:after="60"/>
              <w:rPr>
                <w:sz w:val="22"/>
                <w:szCs w:val="22"/>
              </w:rPr>
            </w:pPr>
            <w:r w:rsidRPr="00F772C2">
              <w:rPr>
                <w:sz w:val="22"/>
                <w:szCs w:val="22"/>
              </w:rPr>
              <w:t>Martelli, A. (2014). Models of Scenario Building and Planning: Facing Uncertainty and Complexity. Palgrave Macmillan. https://doi.org/10.1057/9781137293503</w:t>
            </w:r>
          </w:p>
          <w:p w14:paraId="4B652B65" w14:textId="38CE0EDF" w:rsidR="00F772C2" w:rsidRPr="00F772C2" w:rsidRDefault="00F772C2" w:rsidP="00F772C2">
            <w:pPr>
              <w:spacing w:after="60"/>
              <w:rPr>
                <w:sz w:val="22"/>
                <w:szCs w:val="22"/>
              </w:rPr>
            </w:pPr>
            <w:r w:rsidRPr="00F772C2">
              <w:rPr>
                <w:sz w:val="22"/>
                <w:szCs w:val="22"/>
              </w:rPr>
              <w:t>Schoemaker, P. J. H. (1995). Scenario planning: A tool for strategic thinking. Sloan Management Review, 37(2), 25–40. MIT Sloan article</w:t>
            </w:r>
          </w:p>
          <w:p w14:paraId="082AAC36" w14:textId="1DD7A82F" w:rsidR="006F40BE" w:rsidRPr="003607DA" w:rsidRDefault="00F772C2" w:rsidP="006F40BE">
            <w:pPr>
              <w:spacing w:after="60"/>
              <w:rPr>
                <w:sz w:val="22"/>
                <w:szCs w:val="22"/>
              </w:rPr>
            </w:pPr>
            <w:r w:rsidRPr="00F772C2">
              <w:rPr>
                <w:sz w:val="22"/>
                <w:szCs w:val="22"/>
              </w:rPr>
              <w:t>Schwenker, B., &amp; Wulf, T. (2013). Scenario-Based Strategic Planning: Developing Strategies in an Uncertain World. Springer Gabler. https://doi.org/10.1007/978-3-658-02875-6</w:t>
            </w:r>
          </w:p>
        </w:tc>
      </w:tr>
      <w:tr w:rsidR="003607DA" w:rsidRPr="003607DA" w14:paraId="38AC6BC5" w14:textId="77777777" w:rsidTr="003607DA">
        <w:tc>
          <w:tcPr>
            <w:tcW w:w="554" w:type="dxa"/>
          </w:tcPr>
          <w:p w14:paraId="6A55B0EF" w14:textId="1DD860BC" w:rsidR="001773CD" w:rsidRPr="003607DA" w:rsidRDefault="009E2B28" w:rsidP="006F40BE">
            <w:pPr>
              <w:jc w:val="center"/>
              <w:rPr>
                <w:sz w:val="22"/>
                <w:szCs w:val="22"/>
              </w:rPr>
            </w:pPr>
            <w:r w:rsidRPr="003607DA">
              <w:rPr>
                <w:sz w:val="22"/>
                <w:szCs w:val="22"/>
              </w:rPr>
              <w:t>9</w:t>
            </w:r>
          </w:p>
        </w:tc>
        <w:tc>
          <w:tcPr>
            <w:tcW w:w="8661" w:type="dxa"/>
          </w:tcPr>
          <w:p w14:paraId="7471BD6D" w14:textId="73543291" w:rsidR="001773CD" w:rsidRPr="003607DA" w:rsidRDefault="001773CD" w:rsidP="001773CD">
            <w:pPr>
              <w:rPr>
                <w:sz w:val="22"/>
                <w:szCs w:val="22"/>
              </w:rPr>
            </w:pPr>
            <w:r w:rsidRPr="003607DA">
              <w:rPr>
                <w:b/>
                <w:bCs/>
                <w:sz w:val="22"/>
                <w:szCs w:val="22"/>
              </w:rPr>
              <w:t>SWOT</w:t>
            </w:r>
            <w:r w:rsidRPr="003607DA">
              <w:rPr>
                <w:b/>
                <w:bCs/>
                <w:sz w:val="22"/>
                <w:szCs w:val="22"/>
              </w:rPr>
              <w:t>:</w:t>
            </w:r>
            <w:r w:rsidRPr="003607DA">
              <w:rPr>
                <w:sz w:val="22"/>
                <w:szCs w:val="22"/>
              </w:rPr>
              <w:t xml:space="preserve"> is a foundational strategic framework that highlights the interplay between internal </w:t>
            </w:r>
            <w:r w:rsidRPr="003607DA">
              <w:rPr>
                <w:i/>
                <w:iCs/>
                <w:sz w:val="22"/>
                <w:szCs w:val="22"/>
              </w:rPr>
              <w:t>strengths</w:t>
            </w:r>
            <w:r w:rsidRPr="003607DA">
              <w:rPr>
                <w:sz w:val="22"/>
                <w:szCs w:val="22"/>
              </w:rPr>
              <w:t xml:space="preserve"> and </w:t>
            </w:r>
            <w:r w:rsidRPr="003607DA">
              <w:rPr>
                <w:i/>
                <w:iCs/>
                <w:sz w:val="22"/>
                <w:szCs w:val="22"/>
              </w:rPr>
              <w:t>weaknesses</w:t>
            </w:r>
            <w:r w:rsidRPr="003607DA">
              <w:rPr>
                <w:sz w:val="22"/>
                <w:szCs w:val="22"/>
              </w:rPr>
              <w:t xml:space="preserve"> and external </w:t>
            </w:r>
            <w:r w:rsidRPr="003607DA">
              <w:rPr>
                <w:i/>
                <w:iCs/>
                <w:sz w:val="22"/>
                <w:szCs w:val="22"/>
              </w:rPr>
              <w:t>opportunities</w:t>
            </w:r>
            <w:r w:rsidRPr="003607DA">
              <w:rPr>
                <w:sz w:val="22"/>
                <w:szCs w:val="22"/>
              </w:rPr>
              <w:t xml:space="preserve"> and </w:t>
            </w:r>
            <w:r w:rsidRPr="003607DA">
              <w:rPr>
                <w:i/>
                <w:iCs/>
                <w:sz w:val="22"/>
                <w:szCs w:val="22"/>
              </w:rPr>
              <w:t>threats</w:t>
            </w:r>
            <w:r w:rsidRPr="003607DA">
              <w:rPr>
                <w:i/>
                <w:iCs/>
                <w:sz w:val="22"/>
                <w:szCs w:val="22"/>
              </w:rPr>
              <w:t xml:space="preserve"> </w:t>
            </w:r>
            <w:r w:rsidRPr="003607DA">
              <w:rPr>
                <w:sz w:val="22"/>
                <w:szCs w:val="22"/>
              </w:rPr>
              <w:t>(Barney, 1995). While useful for initiating analysis of competitive advantage, it offers only a preliminary lens. To gain deeper strategic insight, it must be complemented by rigorous evaluations of competitive dynamics, resource capabilities, financial performance, and organizational structure</w:t>
            </w:r>
          </w:p>
        </w:tc>
        <w:tc>
          <w:tcPr>
            <w:tcW w:w="6520" w:type="dxa"/>
          </w:tcPr>
          <w:p w14:paraId="4A7D016C" w14:textId="38C72861" w:rsidR="001773CD" w:rsidRPr="003607DA" w:rsidRDefault="00F772C2" w:rsidP="006F40BE">
            <w:pPr>
              <w:spacing w:after="60"/>
              <w:rPr>
                <w:sz w:val="22"/>
                <w:szCs w:val="22"/>
              </w:rPr>
            </w:pPr>
            <w:r w:rsidRPr="003607DA">
              <w:rPr>
                <w:sz w:val="22"/>
                <w:szCs w:val="22"/>
              </w:rPr>
              <w:t>Barney, J. B. (1995). Looking inside for competitive advantage. Academy of Management Executive, 9(4), 49–61.</w:t>
            </w:r>
          </w:p>
        </w:tc>
      </w:tr>
      <w:tr w:rsidR="003607DA" w:rsidRPr="003607DA" w14:paraId="001BE6D7" w14:textId="77777777" w:rsidTr="003607DA">
        <w:tc>
          <w:tcPr>
            <w:tcW w:w="554" w:type="dxa"/>
          </w:tcPr>
          <w:p w14:paraId="2E02D8E8" w14:textId="72F518F9" w:rsidR="006F40BE" w:rsidRPr="003607DA" w:rsidRDefault="009E2B28" w:rsidP="006F40BE">
            <w:pPr>
              <w:jc w:val="center"/>
              <w:rPr>
                <w:sz w:val="22"/>
                <w:szCs w:val="22"/>
              </w:rPr>
            </w:pPr>
            <w:r w:rsidRPr="003607DA">
              <w:rPr>
                <w:sz w:val="22"/>
                <w:szCs w:val="22"/>
              </w:rPr>
              <w:t>10</w:t>
            </w:r>
          </w:p>
        </w:tc>
        <w:tc>
          <w:tcPr>
            <w:tcW w:w="8661" w:type="dxa"/>
          </w:tcPr>
          <w:p w14:paraId="3E480171" w14:textId="77777777" w:rsidR="006F40BE" w:rsidRPr="003D2A41" w:rsidRDefault="006F40BE" w:rsidP="004B4DA7">
            <w:pPr>
              <w:rPr>
                <w:sz w:val="22"/>
                <w:szCs w:val="22"/>
              </w:rPr>
            </w:pPr>
            <w:r w:rsidRPr="003D2A41">
              <w:rPr>
                <w:b/>
                <w:bCs/>
                <w:sz w:val="22"/>
                <w:szCs w:val="22"/>
              </w:rPr>
              <w:t>Three Horizons (3H)</w:t>
            </w:r>
            <w:r w:rsidRPr="003D2A41">
              <w:rPr>
                <w:sz w:val="22"/>
                <w:szCs w:val="22"/>
              </w:rPr>
              <w:t xml:space="preserve"> is a futures thinking framework that connects the present with desired futures, helping to identify transitional innovations and disruptions that emerge from tensions between existing systems and visionary aspirations.</w:t>
            </w:r>
          </w:p>
          <w:p w14:paraId="6B6C18A0" w14:textId="77777777" w:rsidR="006F40BE" w:rsidRPr="003D2A41" w:rsidRDefault="006F40BE" w:rsidP="004B4DA7">
            <w:pPr>
              <w:rPr>
                <w:sz w:val="22"/>
                <w:szCs w:val="22"/>
              </w:rPr>
            </w:pPr>
            <w:r w:rsidRPr="003D2A41">
              <w:rPr>
                <w:sz w:val="22"/>
                <w:szCs w:val="22"/>
              </w:rPr>
              <w:t>It maps change across three overlapping horizons:</w:t>
            </w:r>
          </w:p>
          <w:p w14:paraId="2CF9A464" w14:textId="77777777" w:rsidR="006F40BE" w:rsidRPr="003D2A41" w:rsidRDefault="006F40BE" w:rsidP="004B4DA7">
            <w:pPr>
              <w:numPr>
                <w:ilvl w:val="0"/>
                <w:numId w:val="11"/>
              </w:numPr>
              <w:rPr>
                <w:sz w:val="22"/>
                <w:szCs w:val="22"/>
              </w:rPr>
            </w:pPr>
            <w:r w:rsidRPr="003D2A41">
              <w:rPr>
                <w:sz w:val="22"/>
                <w:szCs w:val="22"/>
              </w:rPr>
              <w:t>H1 (Managerial) – The dominant present system focused on continuity.</w:t>
            </w:r>
          </w:p>
          <w:p w14:paraId="00246A52" w14:textId="77777777" w:rsidR="006F40BE" w:rsidRPr="003D2A41" w:rsidRDefault="006F40BE" w:rsidP="004B4DA7">
            <w:pPr>
              <w:numPr>
                <w:ilvl w:val="0"/>
                <w:numId w:val="11"/>
              </w:numPr>
              <w:rPr>
                <w:sz w:val="22"/>
                <w:szCs w:val="22"/>
              </w:rPr>
            </w:pPr>
            <w:r w:rsidRPr="003D2A41">
              <w:rPr>
                <w:sz w:val="22"/>
                <w:szCs w:val="22"/>
              </w:rPr>
              <w:t>H2 (Entrepreneurial) – A space of innovation and competing logics.</w:t>
            </w:r>
          </w:p>
          <w:p w14:paraId="100F850A" w14:textId="77777777" w:rsidR="006F40BE" w:rsidRPr="003D2A41" w:rsidRDefault="006F40BE" w:rsidP="004B4DA7">
            <w:pPr>
              <w:numPr>
                <w:ilvl w:val="0"/>
                <w:numId w:val="11"/>
              </w:numPr>
              <w:rPr>
                <w:sz w:val="22"/>
                <w:szCs w:val="22"/>
              </w:rPr>
            </w:pPr>
            <w:r w:rsidRPr="003D2A41">
              <w:rPr>
                <w:sz w:val="22"/>
                <w:szCs w:val="22"/>
              </w:rPr>
              <w:t>H3 (Visionary) – A transformative future shaped by new paradigms.</w:t>
            </w:r>
          </w:p>
          <w:p w14:paraId="3E6F7B6B" w14:textId="77777777" w:rsidR="006F40BE" w:rsidRPr="003D2A41" w:rsidRDefault="006F40BE" w:rsidP="004B4DA7">
            <w:pPr>
              <w:rPr>
                <w:sz w:val="22"/>
                <w:szCs w:val="22"/>
              </w:rPr>
            </w:pPr>
            <w:r w:rsidRPr="003D2A41">
              <w:rPr>
                <w:sz w:val="22"/>
                <w:szCs w:val="22"/>
              </w:rPr>
              <w:t>The method aids strategic dialogue on complex, uncertain problems, encourages future-conscious decision-making, and depicts change more realistically than linear technology roadmaps</w:t>
            </w:r>
          </w:p>
          <w:p w14:paraId="55DE9536" w14:textId="77777777" w:rsidR="006F40BE" w:rsidRPr="003607DA" w:rsidRDefault="006F40BE" w:rsidP="004B4DA7">
            <w:pPr>
              <w:rPr>
                <w:sz w:val="22"/>
                <w:szCs w:val="22"/>
              </w:rPr>
            </w:pPr>
          </w:p>
        </w:tc>
        <w:tc>
          <w:tcPr>
            <w:tcW w:w="6520" w:type="dxa"/>
          </w:tcPr>
          <w:p w14:paraId="4BD074F0" w14:textId="6427D992" w:rsidR="003607DA" w:rsidRPr="003607DA" w:rsidRDefault="003607DA" w:rsidP="003607DA">
            <w:pPr>
              <w:spacing w:after="60"/>
              <w:rPr>
                <w:sz w:val="22"/>
                <w:szCs w:val="22"/>
              </w:rPr>
            </w:pPr>
            <w:r w:rsidRPr="003607DA">
              <w:rPr>
                <w:sz w:val="22"/>
                <w:szCs w:val="22"/>
              </w:rPr>
              <w:t xml:space="preserve">Curry, A., &amp; Hodgson, A. (2008). Seeing in multiple horizons: Connecting futures to strategy. Journal of Futures Studies, 13(1), 1–20. </w:t>
            </w:r>
          </w:p>
          <w:p w14:paraId="1722EB97" w14:textId="5DB4E060" w:rsidR="003607DA" w:rsidRPr="003607DA" w:rsidRDefault="003607DA" w:rsidP="003607DA">
            <w:pPr>
              <w:spacing w:after="60"/>
              <w:rPr>
                <w:sz w:val="22"/>
                <w:szCs w:val="22"/>
              </w:rPr>
            </w:pPr>
            <w:r w:rsidRPr="003607DA">
              <w:rPr>
                <w:sz w:val="22"/>
                <w:szCs w:val="22"/>
              </w:rPr>
              <w:t>Sharpe, B., &amp; Hodgson, A. (2006). Intelligent Infrastructure Futures: Technology Forward Look. Foresight Directorate, UK Department of Trade &amp; Industry. Government publication</w:t>
            </w:r>
          </w:p>
          <w:p w14:paraId="1C1F841C" w14:textId="1629FEFC" w:rsidR="006F40BE" w:rsidRPr="003607DA" w:rsidRDefault="003607DA" w:rsidP="006F40BE">
            <w:pPr>
              <w:spacing w:after="60"/>
              <w:rPr>
                <w:sz w:val="22"/>
                <w:szCs w:val="22"/>
              </w:rPr>
            </w:pPr>
            <w:r w:rsidRPr="003607DA">
              <w:rPr>
                <w:sz w:val="22"/>
                <w:szCs w:val="22"/>
              </w:rPr>
              <w:t>Sharpe, B., Hodgson, A., Leicester, G., Lyon, A., &amp; Fazey, I. (2016). Three horizons: A pathways practice for transformation. Ecology and Society, 21(2), Article 47. https://doi.org/10.5751/ES-08388-210247</w:t>
            </w:r>
          </w:p>
        </w:tc>
      </w:tr>
      <w:tr w:rsidR="003607DA" w:rsidRPr="003607DA" w14:paraId="0B9DCB5E" w14:textId="77777777" w:rsidTr="003607DA">
        <w:tc>
          <w:tcPr>
            <w:tcW w:w="554" w:type="dxa"/>
          </w:tcPr>
          <w:p w14:paraId="04551C55" w14:textId="3F42DB95" w:rsidR="006F40BE" w:rsidRPr="003607DA" w:rsidRDefault="009E2B28" w:rsidP="006F40BE">
            <w:pPr>
              <w:jc w:val="center"/>
              <w:rPr>
                <w:sz w:val="22"/>
                <w:szCs w:val="22"/>
              </w:rPr>
            </w:pPr>
            <w:r w:rsidRPr="003607DA">
              <w:rPr>
                <w:sz w:val="22"/>
                <w:szCs w:val="22"/>
              </w:rPr>
              <w:lastRenderedPageBreak/>
              <w:t>11</w:t>
            </w:r>
          </w:p>
        </w:tc>
        <w:tc>
          <w:tcPr>
            <w:tcW w:w="8661" w:type="dxa"/>
          </w:tcPr>
          <w:p w14:paraId="502C99A8" w14:textId="77777777" w:rsidR="006F40BE" w:rsidRPr="001773CD" w:rsidRDefault="006F40BE" w:rsidP="00B750CC">
            <w:pPr>
              <w:rPr>
                <w:sz w:val="22"/>
                <w:szCs w:val="22"/>
              </w:rPr>
            </w:pPr>
            <w:r w:rsidRPr="001773CD">
              <w:rPr>
                <w:b/>
                <w:bCs/>
                <w:sz w:val="22"/>
                <w:szCs w:val="22"/>
              </w:rPr>
              <w:t xml:space="preserve">Verge Framework </w:t>
            </w:r>
            <w:r w:rsidRPr="001773CD">
              <w:rPr>
                <w:sz w:val="22"/>
                <w:szCs w:val="22"/>
              </w:rPr>
              <w:t>(Lum &amp; Bowman</w:t>
            </w:r>
            <w:r w:rsidRPr="003607DA">
              <w:rPr>
                <w:sz w:val="22"/>
                <w:szCs w:val="22"/>
              </w:rPr>
              <w:t>, 2004</w:t>
            </w:r>
            <w:r w:rsidRPr="001773CD">
              <w:rPr>
                <w:sz w:val="22"/>
                <w:szCs w:val="22"/>
              </w:rPr>
              <w:t xml:space="preserve">) is a foresight tool that explores how social and technological changes affect human </w:t>
            </w:r>
            <w:r w:rsidRPr="003607DA">
              <w:rPr>
                <w:sz w:val="22"/>
                <w:szCs w:val="22"/>
              </w:rPr>
              <w:t>behaviour</w:t>
            </w:r>
            <w:r w:rsidRPr="001773CD">
              <w:rPr>
                <w:sz w:val="22"/>
                <w:szCs w:val="22"/>
              </w:rPr>
              <w:t xml:space="preserve"> and experience across five dimensions:</w:t>
            </w:r>
          </w:p>
          <w:p w14:paraId="5A0FA563" w14:textId="77777777" w:rsidR="006F40BE" w:rsidRPr="001773CD" w:rsidRDefault="006F40BE" w:rsidP="00B750CC">
            <w:pPr>
              <w:numPr>
                <w:ilvl w:val="0"/>
                <w:numId w:val="4"/>
              </w:numPr>
              <w:rPr>
                <w:sz w:val="22"/>
                <w:szCs w:val="22"/>
              </w:rPr>
            </w:pPr>
            <w:r w:rsidRPr="001773CD">
              <w:rPr>
                <w:b/>
                <w:bCs/>
                <w:sz w:val="22"/>
                <w:szCs w:val="22"/>
              </w:rPr>
              <w:t>Define</w:t>
            </w:r>
            <w:r w:rsidRPr="001773CD">
              <w:rPr>
                <w:sz w:val="22"/>
                <w:szCs w:val="22"/>
              </w:rPr>
              <w:t>: How people see themselves</w:t>
            </w:r>
            <w:r w:rsidRPr="003607DA">
              <w:rPr>
                <w:sz w:val="22"/>
                <w:szCs w:val="22"/>
              </w:rPr>
              <w:t xml:space="preserve">, </w:t>
            </w:r>
            <w:r w:rsidRPr="001773CD">
              <w:rPr>
                <w:sz w:val="22"/>
                <w:szCs w:val="22"/>
              </w:rPr>
              <w:t>their identity and role.</w:t>
            </w:r>
          </w:p>
          <w:p w14:paraId="25489B43" w14:textId="77777777" w:rsidR="006F40BE" w:rsidRPr="001773CD" w:rsidRDefault="006F40BE" w:rsidP="00B750CC">
            <w:pPr>
              <w:numPr>
                <w:ilvl w:val="0"/>
                <w:numId w:val="4"/>
              </w:numPr>
              <w:rPr>
                <w:sz w:val="22"/>
                <w:szCs w:val="22"/>
              </w:rPr>
            </w:pPr>
            <w:r w:rsidRPr="001773CD">
              <w:rPr>
                <w:b/>
                <w:bCs/>
                <w:sz w:val="22"/>
                <w:szCs w:val="22"/>
              </w:rPr>
              <w:t>Relate</w:t>
            </w:r>
            <w:r w:rsidRPr="001773CD">
              <w:rPr>
                <w:sz w:val="22"/>
                <w:szCs w:val="22"/>
              </w:rPr>
              <w:t>: How people interact with others</w:t>
            </w:r>
            <w:r w:rsidRPr="003607DA">
              <w:rPr>
                <w:sz w:val="22"/>
                <w:szCs w:val="22"/>
              </w:rPr>
              <w:t xml:space="preserve">, </w:t>
            </w:r>
            <w:r w:rsidRPr="001773CD">
              <w:rPr>
                <w:sz w:val="22"/>
                <w:szCs w:val="22"/>
              </w:rPr>
              <w:t>their relationships and social roles.</w:t>
            </w:r>
          </w:p>
          <w:p w14:paraId="6D791A13" w14:textId="77777777" w:rsidR="006F40BE" w:rsidRPr="001773CD" w:rsidRDefault="006F40BE" w:rsidP="00B750CC">
            <w:pPr>
              <w:numPr>
                <w:ilvl w:val="0"/>
                <w:numId w:val="4"/>
              </w:numPr>
              <w:rPr>
                <w:sz w:val="22"/>
                <w:szCs w:val="22"/>
              </w:rPr>
            </w:pPr>
            <w:r w:rsidRPr="001773CD">
              <w:rPr>
                <w:b/>
                <w:bCs/>
                <w:sz w:val="22"/>
                <w:szCs w:val="22"/>
              </w:rPr>
              <w:t>Connect</w:t>
            </w:r>
            <w:r w:rsidRPr="001773CD">
              <w:rPr>
                <w:sz w:val="22"/>
                <w:szCs w:val="22"/>
              </w:rPr>
              <w:t>: How people understand and experience the world</w:t>
            </w:r>
            <w:r w:rsidRPr="003607DA">
              <w:rPr>
                <w:sz w:val="22"/>
                <w:szCs w:val="22"/>
              </w:rPr>
              <w:t xml:space="preserve">, </w:t>
            </w:r>
            <w:r w:rsidRPr="001773CD">
              <w:rPr>
                <w:sz w:val="22"/>
                <w:szCs w:val="22"/>
              </w:rPr>
              <w:t>through technology, media, or sensory engagement.</w:t>
            </w:r>
          </w:p>
          <w:p w14:paraId="59EA48B5" w14:textId="77777777" w:rsidR="006F40BE" w:rsidRPr="001773CD" w:rsidRDefault="006F40BE" w:rsidP="00B750CC">
            <w:pPr>
              <w:numPr>
                <w:ilvl w:val="0"/>
                <w:numId w:val="4"/>
              </w:numPr>
              <w:rPr>
                <w:sz w:val="22"/>
                <w:szCs w:val="22"/>
              </w:rPr>
            </w:pPr>
            <w:r w:rsidRPr="001773CD">
              <w:rPr>
                <w:b/>
                <w:bCs/>
                <w:sz w:val="22"/>
                <w:szCs w:val="22"/>
              </w:rPr>
              <w:t>Create</w:t>
            </w:r>
            <w:r w:rsidRPr="001773CD">
              <w:rPr>
                <w:sz w:val="22"/>
                <w:szCs w:val="22"/>
              </w:rPr>
              <w:t>: How people make and build</w:t>
            </w:r>
            <w:r w:rsidRPr="003607DA">
              <w:rPr>
                <w:sz w:val="22"/>
                <w:szCs w:val="22"/>
              </w:rPr>
              <w:t xml:space="preserve"> </w:t>
            </w:r>
            <w:r w:rsidRPr="001773CD">
              <w:rPr>
                <w:sz w:val="22"/>
                <w:szCs w:val="22"/>
              </w:rPr>
              <w:t>tools, ideas, or systems.</w:t>
            </w:r>
          </w:p>
          <w:p w14:paraId="0BF420B3" w14:textId="77777777" w:rsidR="006F40BE" w:rsidRPr="001773CD" w:rsidRDefault="006F40BE" w:rsidP="00B750CC">
            <w:pPr>
              <w:numPr>
                <w:ilvl w:val="0"/>
                <w:numId w:val="4"/>
              </w:numPr>
              <w:rPr>
                <w:sz w:val="22"/>
                <w:szCs w:val="22"/>
              </w:rPr>
            </w:pPr>
            <w:r w:rsidRPr="001773CD">
              <w:rPr>
                <w:b/>
                <w:bCs/>
                <w:sz w:val="22"/>
                <w:szCs w:val="22"/>
              </w:rPr>
              <w:t>Consume</w:t>
            </w:r>
            <w:r w:rsidRPr="001773CD">
              <w:rPr>
                <w:sz w:val="22"/>
                <w:szCs w:val="22"/>
              </w:rPr>
              <w:t>: How people acquire, use, and value resources</w:t>
            </w:r>
            <w:r w:rsidRPr="003607DA">
              <w:rPr>
                <w:sz w:val="22"/>
                <w:szCs w:val="22"/>
              </w:rPr>
              <w:t xml:space="preserve"> </w:t>
            </w:r>
            <w:r w:rsidRPr="001773CD">
              <w:rPr>
                <w:sz w:val="22"/>
                <w:szCs w:val="22"/>
              </w:rPr>
              <w:t>such as goods, information, or services.</w:t>
            </w:r>
          </w:p>
          <w:p w14:paraId="2F971772" w14:textId="77777777" w:rsidR="006F40BE" w:rsidRPr="003607DA" w:rsidRDefault="006F40BE" w:rsidP="00B750CC">
            <w:pPr>
              <w:rPr>
                <w:sz w:val="22"/>
                <w:szCs w:val="22"/>
              </w:rPr>
            </w:pPr>
            <w:r w:rsidRPr="001773CD">
              <w:rPr>
                <w:sz w:val="22"/>
                <w:szCs w:val="22"/>
              </w:rPr>
              <w:t xml:space="preserve">Verge helps futurists uncover deeper cultural and emotional dynamics that standard scenario planning might miss. By putting human </w:t>
            </w:r>
            <w:r w:rsidRPr="003607DA">
              <w:rPr>
                <w:sz w:val="22"/>
                <w:szCs w:val="22"/>
              </w:rPr>
              <w:t>behaviour</w:t>
            </w:r>
            <w:r w:rsidRPr="001773CD">
              <w:rPr>
                <w:sz w:val="22"/>
                <w:szCs w:val="22"/>
              </w:rPr>
              <w:t xml:space="preserve"> at the </w:t>
            </w:r>
            <w:r w:rsidRPr="003607DA">
              <w:rPr>
                <w:sz w:val="22"/>
                <w:szCs w:val="22"/>
              </w:rPr>
              <w:t>centre</w:t>
            </w:r>
            <w:r w:rsidRPr="001773CD">
              <w:rPr>
                <w:sz w:val="22"/>
                <w:szCs w:val="22"/>
              </w:rPr>
              <w:t xml:space="preserve"> of foresight, it’s especially valuable for designing strategies that resonate on a personal and societal level.</w:t>
            </w:r>
          </w:p>
        </w:tc>
        <w:tc>
          <w:tcPr>
            <w:tcW w:w="6520" w:type="dxa"/>
          </w:tcPr>
          <w:p w14:paraId="3FD732A7" w14:textId="72BEFD62" w:rsidR="003607DA" w:rsidRPr="003607DA" w:rsidRDefault="003607DA" w:rsidP="003607DA">
            <w:pPr>
              <w:spacing w:after="60"/>
              <w:rPr>
                <w:sz w:val="22"/>
                <w:szCs w:val="22"/>
              </w:rPr>
            </w:pPr>
            <w:r w:rsidRPr="003607DA">
              <w:rPr>
                <w:sz w:val="22"/>
                <w:szCs w:val="22"/>
              </w:rPr>
              <w:t>Lum, R., &amp; Bowman, M. (2004). Verge: A General Practice Framework for Foresight Work. Vision Foresight Strategy LLC. Framework overview</w:t>
            </w:r>
          </w:p>
          <w:p w14:paraId="3DBF0018" w14:textId="25CD6AA6" w:rsidR="003607DA" w:rsidRPr="003607DA" w:rsidRDefault="003607DA" w:rsidP="003607DA">
            <w:pPr>
              <w:spacing w:after="60"/>
              <w:rPr>
                <w:sz w:val="22"/>
                <w:szCs w:val="22"/>
              </w:rPr>
            </w:pPr>
            <w:r w:rsidRPr="003607DA">
              <w:rPr>
                <w:sz w:val="22"/>
                <w:szCs w:val="22"/>
              </w:rPr>
              <w:t>Textor, R. B. (1995). The ethnographic futures research method: An application to Thailand. Futures, 27(4), 461–471. https://doi.org/10.1016/0016-3287(95)00010-6</w:t>
            </w:r>
          </w:p>
          <w:p w14:paraId="74E4E122" w14:textId="4438530F" w:rsidR="006F40BE" w:rsidRPr="003607DA" w:rsidRDefault="006F40BE" w:rsidP="00B750CC">
            <w:pPr>
              <w:spacing w:after="60"/>
              <w:rPr>
                <w:sz w:val="22"/>
                <w:szCs w:val="22"/>
              </w:rPr>
            </w:pPr>
          </w:p>
        </w:tc>
      </w:tr>
      <w:tr w:rsidR="003607DA" w:rsidRPr="003607DA" w14:paraId="7DF97844" w14:textId="77777777" w:rsidTr="003607DA">
        <w:tc>
          <w:tcPr>
            <w:tcW w:w="554" w:type="dxa"/>
          </w:tcPr>
          <w:p w14:paraId="04CD8D64" w14:textId="5A7F9A30" w:rsidR="001B0A92" w:rsidRPr="003607DA" w:rsidRDefault="006F40BE" w:rsidP="006F40BE">
            <w:pPr>
              <w:jc w:val="center"/>
              <w:rPr>
                <w:sz w:val="22"/>
                <w:szCs w:val="22"/>
              </w:rPr>
            </w:pPr>
            <w:r w:rsidRPr="003607DA">
              <w:rPr>
                <w:sz w:val="22"/>
                <w:szCs w:val="22"/>
              </w:rPr>
              <w:t>12</w:t>
            </w:r>
          </w:p>
        </w:tc>
        <w:tc>
          <w:tcPr>
            <w:tcW w:w="8661" w:type="dxa"/>
          </w:tcPr>
          <w:p w14:paraId="071E1B43" w14:textId="77777777" w:rsidR="00F876CF" w:rsidRPr="00F876CF" w:rsidRDefault="00F876CF" w:rsidP="00F876CF">
            <w:pPr>
              <w:rPr>
                <w:sz w:val="22"/>
                <w:szCs w:val="22"/>
              </w:rPr>
            </w:pPr>
            <w:r w:rsidRPr="00F876CF">
              <w:rPr>
                <w:b/>
                <w:bCs/>
                <w:sz w:val="22"/>
                <w:szCs w:val="22"/>
              </w:rPr>
              <w:t>Visioning</w:t>
            </w:r>
            <w:r w:rsidRPr="00F876CF">
              <w:rPr>
                <w:sz w:val="22"/>
                <w:szCs w:val="22"/>
              </w:rPr>
              <w:t xml:space="preserve"> is the process of collaboratively developing a set of shared aims and objectives for a project, and articulating a compelling image of a preferred future that would result if these aims </w:t>
            </w:r>
            <w:proofErr w:type="gramStart"/>
            <w:r w:rsidRPr="00F876CF">
              <w:rPr>
                <w:sz w:val="22"/>
                <w:szCs w:val="22"/>
              </w:rPr>
              <w:t>are</w:t>
            </w:r>
            <w:proofErr w:type="gramEnd"/>
            <w:r w:rsidRPr="00F876CF">
              <w:rPr>
                <w:sz w:val="22"/>
                <w:szCs w:val="22"/>
              </w:rPr>
              <w:t xml:space="preserve"> successfully realised. It serves as a strategic tool for aligning stakeholders around a common direction and guiding long-term planning.</w:t>
            </w:r>
          </w:p>
          <w:p w14:paraId="29088A0C" w14:textId="77777777" w:rsidR="00F876CF" w:rsidRPr="00F876CF" w:rsidRDefault="00F876CF" w:rsidP="00F876CF">
            <w:pPr>
              <w:rPr>
                <w:sz w:val="22"/>
                <w:szCs w:val="22"/>
              </w:rPr>
            </w:pPr>
            <w:r w:rsidRPr="00F876CF">
              <w:rPr>
                <w:sz w:val="22"/>
                <w:szCs w:val="22"/>
              </w:rPr>
              <w:t>This practice enables participants to:</w:t>
            </w:r>
          </w:p>
          <w:p w14:paraId="47A4A462" w14:textId="77777777" w:rsidR="00F876CF" w:rsidRPr="00F876CF" w:rsidRDefault="00F876CF" w:rsidP="00F876CF">
            <w:pPr>
              <w:numPr>
                <w:ilvl w:val="0"/>
                <w:numId w:val="6"/>
              </w:numPr>
              <w:rPr>
                <w:sz w:val="22"/>
                <w:szCs w:val="22"/>
              </w:rPr>
            </w:pPr>
            <w:r w:rsidRPr="00F876CF">
              <w:rPr>
                <w:sz w:val="22"/>
                <w:szCs w:val="22"/>
              </w:rPr>
              <w:t>Envision what success looks like in a future context.</w:t>
            </w:r>
          </w:p>
          <w:p w14:paraId="12431C05" w14:textId="77777777" w:rsidR="00F876CF" w:rsidRPr="00F876CF" w:rsidRDefault="00F876CF" w:rsidP="00F876CF">
            <w:pPr>
              <w:numPr>
                <w:ilvl w:val="0"/>
                <w:numId w:val="6"/>
              </w:numPr>
              <w:rPr>
                <w:sz w:val="22"/>
                <w:szCs w:val="22"/>
              </w:rPr>
            </w:pPr>
            <w:r w:rsidRPr="00F876CF">
              <w:rPr>
                <w:sz w:val="22"/>
                <w:szCs w:val="22"/>
              </w:rPr>
              <w:t>Identify the values, policies, strategies, and actions necessary to achieve that future.</w:t>
            </w:r>
          </w:p>
          <w:p w14:paraId="5CB5E38F" w14:textId="5DFFEDB9" w:rsidR="001B0A92" w:rsidRPr="003607DA" w:rsidRDefault="00F876CF" w:rsidP="001B0A92">
            <w:pPr>
              <w:numPr>
                <w:ilvl w:val="0"/>
                <w:numId w:val="6"/>
              </w:numPr>
              <w:rPr>
                <w:sz w:val="22"/>
                <w:szCs w:val="22"/>
              </w:rPr>
            </w:pPr>
            <w:r w:rsidRPr="00F876CF">
              <w:rPr>
                <w:sz w:val="22"/>
                <w:szCs w:val="22"/>
              </w:rPr>
              <w:t xml:space="preserve">Foster commitment and coherence across teams or organisations by making abstract goals tangible and </w:t>
            </w:r>
            <w:r w:rsidR="006F40BE" w:rsidRPr="003607DA">
              <w:rPr>
                <w:sz w:val="22"/>
                <w:szCs w:val="22"/>
              </w:rPr>
              <w:t>time bound</w:t>
            </w:r>
            <w:r w:rsidRPr="00F876CF">
              <w:rPr>
                <w:sz w:val="22"/>
                <w:szCs w:val="22"/>
              </w:rPr>
              <w:t>.</w:t>
            </w:r>
          </w:p>
        </w:tc>
        <w:tc>
          <w:tcPr>
            <w:tcW w:w="6520" w:type="dxa"/>
          </w:tcPr>
          <w:p w14:paraId="271A047F" w14:textId="45A27AF9" w:rsidR="003607DA" w:rsidRPr="003607DA" w:rsidRDefault="003607DA" w:rsidP="003607DA">
            <w:pPr>
              <w:spacing w:after="60"/>
              <w:rPr>
                <w:sz w:val="22"/>
                <w:szCs w:val="22"/>
              </w:rPr>
            </w:pPr>
            <w:r w:rsidRPr="003607DA">
              <w:rPr>
                <w:sz w:val="22"/>
                <w:szCs w:val="22"/>
              </w:rPr>
              <w:t>Bezold, C. (2009). Anticipatory democracy and visioning: Making foresight more democratic. Futures, 41(3), 187–193. https://doi.org/10.1016/j.futures.2008.07.005</w:t>
            </w:r>
          </w:p>
          <w:p w14:paraId="2C2B53E1" w14:textId="0285533A" w:rsidR="003607DA" w:rsidRPr="003607DA" w:rsidRDefault="003607DA" w:rsidP="003607DA">
            <w:pPr>
              <w:spacing w:after="60"/>
              <w:rPr>
                <w:sz w:val="22"/>
                <w:szCs w:val="22"/>
              </w:rPr>
            </w:pPr>
            <w:r w:rsidRPr="003607DA">
              <w:rPr>
                <w:sz w:val="22"/>
                <w:szCs w:val="22"/>
              </w:rPr>
              <w:t>Inayatullah, S. (2008). Six pillars: Futures thinking for transforming. Foresight, 10(1), 4–21. https://doi.org/10.1108/14636680810855991</w:t>
            </w:r>
          </w:p>
          <w:p w14:paraId="48E7C18F" w14:textId="77777777" w:rsidR="001B0A92" w:rsidRPr="003607DA" w:rsidRDefault="001B0A92" w:rsidP="001B0A92">
            <w:pPr>
              <w:spacing w:after="60"/>
              <w:rPr>
                <w:sz w:val="22"/>
                <w:szCs w:val="22"/>
              </w:rPr>
            </w:pPr>
          </w:p>
        </w:tc>
      </w:tr>
      <w:tr w:rsidR="003607DA" w:rsidRPr="003607DA" w14:paraId="1665B46D" w14:textId="77777777" w:rsidTr="003607DA">
        <w:tc>
          <w:tcPr>
            <w:tcW w:w="554" w:type="dxa"/>
          </w:tcPr>
          <w:p w14:paraId="7F87D665" w14:textId="165EA1E3" w:rsidR="003D2A41" w:rsidRPr="003607DA" w:rsidRDefault="006F40BE" w:rsidP="006F40BE">
            <w:pPr>
              <w:jc w:val="center"/>
              <w:rPr>
                <w:sz w:val="22"/>
                <w:szCs w:val="22"/>
              </w:rPr>
            </w:pPr>
            <w:r w:rsidRPr="003607DA">
              <w:rPr>
                <w:sz w:val="22"/>
                <w:szCs w:val="22"/>
              </w:rPr>
              <w:t>13</w:t>
            </w:r>
          </w:p>
        </w:tc>
        <w:tc>
          <w:tcPr>
            <w:tcW w:w="8661" w:type="dxa"/>
          </w:tcPr>
          <w:p w14:paraId="3DAB42AE" w14:textId="5F5A64C3" w:rsidR="003D2A41" w:rsidRPr="003D2A41" w:rsidRDefault="003D2A41" w:rsidP="003D2A41">
            <w:pPr>
              <w:rPr>
                <w:sz w:val="22"/>
                <w:szCs w:val="22"/>
              </w:rPr>
            </w:pPr>
            <w:r w:rsidRPr="003D2A41">
              <w:rPr>
                <w:b/>
                <w:bCs/>
                <w:sz w:val="22"/>
                <w:szCs w:val="22"/>
              </w:rPr>
              <w:t>Wind Tunnelling</w:t>
            </w:r>
            <w:r w:rsidRPr="003D2A41">
              <w:rPr>
                <w:sz w:val="22"/>
                <w:szCs w:val="22"/>
              </w:rPr>
              <w:t xml:space="preserve"> is a foresight method for evaluating the robustness of policy and strategic options against a range of future scenarios (Bradfield et al., 2015). It supports both exploratory and decision-oriented processes</w:t>
            </w:r>
            <w:r w:rsidRPr="003607DA">
              <w:rPr>
                <w:sz w:val="22"/>
                <w:szCs w:val="22"/>
              </w:rPr>
              <w:t xml:space="preserve"> </w:t>
            </w:r>
            <w:r w:rsidRPr="003D2A41">
              <w:rPr>
                <w:sz w:val="22"/>
                <w:szCs w:val="22"/>
              </w:rPr>
              <w:t>whether one-off or ongoing</w:t>
            </w:r>
            <w:r w:rsidRPr="003607DA">
              <w:rPr>
                <w:sz w:val="22"/>
                <w:szCs w:val="22"/>
              </w:rPr>
              <w:t xml:space="preserve"> </w:t>
            </w:r>
            <w:r w:rsidRPr="003D2A41">
              <w:rPr>
                <w:sz w:val="22"/>
                <w:szCs w:val="22"/>
              </w:rPr>
              <w:t>by assessing how well strategies perform under diverse external conditions.</w:t>
            </w:r>
          </w:p>
          <w:p w14:paraId="6E29E8C5" w14:textId="77777777" w:rsidR="003D2A41" w:rsidRPr="003D2A41" w:rsidRDefault="003D2A41" w:rsidP="003D2A41">
            <w:pPr>
              <w:rPr>
                <w:sz w:val="22"/>
                <w:szCs w:val="22"/>
              </w:rPr>
            </w:pPr>
            <w:r w:rsidRPr="003D2A41">
              <w:rPr>
                <w:sz w:val="22"/>
                <w:szCs w:val="22"/>
              </w:rPr>
              <w:t>The method involves:</w:t>
            </w:r>
          </w:p>
          <w:p w14:paraId="58D3CC6B" w14:textId="77777777" w:rsidR="003D2A41" w:rsidRPr="003D2A41" w:rsidRDefault="003D2A41" w:rsidP="003D2A41">
            <w:pPr>
              <w:numPr>
                <w:ilvl w:val="0"/>
                <w:numId w:val="15"/>
              </w:numPr>
              <w:rPr>
                <w:sz w:val="22"/>
                <w:szCs w:val="22"/>
              </w:rPr>
            </w:pPr>
            <w:r w:rsidRPr="003D2A41">
              <w:rPr>
                <w:sz w:val="22"/>
                <w:szCs w:val="22"/>
              </w:rPr>
              <w:t>Testing strategic assumptions across multiple scenarios</w:t>
            </w:r>
          </w:p>
          <w:p w14:paraId="505612A4" w14:textId="77777777" w:rsidR="003D2A41" w:rsidRPr="003D2A41" w:rsidRDefault="003D2A41" w:rsidP="003D2A41">
            <w:pPr>
              <w:numPr>
                <w:ilvl w:val="0"/>
                <w:numId w:val="15"/>
              </w:numPr>
              <w:rPr>
                <w:sz w:val="22"/>
                <w:szCs w:val="22"/>
              </w:rPr>
            </w:pPr>
            <w:r w:rsidRPr="003D2A41">
              <w:rPr>
                <w:sz w:val="22"/>
                <w:szCs w:val="22"/>
              </w:rPr>
              <w:t>Rating or ranking options based on viability, adaptability, and resilience</w:t>
            </w:r>
          </w:p>
          <w:p w14:paraId="1938E9E3" w14:textId="191C57A1" w:rsidR="003D2A41" w:rsidRPr="003607DA" w:rsidRDefault="003D2A41" w:rsidP="00AB518F">
            <w:pPr>
              <w:numPr>
                <w:ilvl w:val="0"/>
                <w:numId w:val="15"/>
              </w:numPr>
              <w:rPr>
                <w:sz w:val="22"/>
                <w:szCs w:val="22"/>
              </w:rPr>
            </w:pPr>
            <w:r w:rsidRPr="003D2A41">
              <w:rPr>
                <w:sz w:val="22"/>
                <w:szCs w:val="22"/>
              </w:rPr>
              <w:t>Identifying critical planning moments where strategies may need to be revised, reinforced, or discarded</w:t>
            </w:r>
          </w:p>
        </w:tc>
        <w:tc>
          <w:tcPr>
            <w:tcW w:w="6520" w:type="dxa"/>
          </w:tcPr>
          <w:p w14:paraId="766403C8" w14:textId="4A949EA6" w:rsidR="003607DA" w:rsidRPr="003607DA" w:rsidRDefault="003607DA" w:rsidP="003607DA">
            <w:pPr>
              <w:spacing w:after="60"/>
              <w:rPr>
                <w:sz w:val="22"/>
                <w:szCs w:val="22"/>
              </w:rPr>
            </w:pPr>
            <w:r w:rsidRPr="003607DA">
              <w:rPr>
                <w:sz w:val="22"/>
                <w:szCs w:val="22"/>
              </w:rPr>
              <w:t>Bradfield, R., Wright, G., Burt, G., Cairns, G., &amp; van der Heijden, K. (2005). The origins and evolution of scenario techniques in long range business planning. Futures, 37(8), 795–812. https://doi.org/10.1016/j.futures.2005.01.003</w:t>
            </w:r>
          </w:p>
          <w:p w14:paraId="75F21327" w14:textId="16D4BDCF" w:rsidR="003607DA" w:rsidRPr="003607DA" w:rsidRDefault="003607DA" w:rsidP="003607DA">
            <w:pPr>
              <w:spacing w:after="60"/>
              <w:rPr>
                <w:sz w:val="22"/>
                <w:szCs w:val="22"/>
              </w:rPr>
            </w:pPr>
            <w:r w:rsidRPr="003607DA">
              <w:rPr>
                <w:sz w:val="22"/>
                <w:szCs w:val="22"/>
              </w:rPr>
              <w:t>Chermack, T. J. (2011). Scenario Planning in Organizations: How to Create, Use, and Assess Scenarios. Berrett-Koehler Publishers.</w:t>
            </w:r>
          </w:p>
          <w:p w14:paraId="62D5C284" w14:textId="2CF5401C" w:rsidR="003607DA" w:rsidRPr="003607DA" w:rsidRDefault="003607DA" w:rsidP="003607DA">
            <w:pPr>
              <w:spacing w:after="60"/>
              <w:rPr>
                <w:sz w:val="22"/>
                <w:szCs w:val="22"/>
              </w:rPr>
            </w:pPr>
            <w:r w:rsidRPr="003607DA">
              <w:rPr>
                <w:sz w:val="22"/>
                <w:szCs w:val="22"/>
              </w:rPr>
              <w:t xml:space="preserve">De </w:t>
            </w:r>
            <w:proofErr w:type="spellStart"/>
            <w:r w:rsidRPr="003607DA">
              <w:rPr>
                <w:sz w:val="22"/>
                <w:szCs w:val="22"/>
              </w:rPr>
              <w:t>Ruijter</w:t>
            </w:r>
            <w:proofErr w:type="spellEnd"/>
            <w:r w:rsidRPr="003607DA">
              <w:rPr>
                <w:sz w:val="22"/>
                <w:szCs w:val="22"/>
              </w:rPr>
              <w:t>, P. (2014). Scenario Based Strategy: Navigate the Future. Gower Publishing. https://doi.org/10.4324/9781315607689</w:t>
            </w:r>
          </w:p>
          <w:p w14:paraId="3771736B" w14:textId="176B31ED" w:rsidR="003D2A41" w:rsidRPr="003607DA" w:rsidRDefault="003607DA" w:rsidP="003D2A41">
            <w:pPr>
              <w:spacing w:after="60"/>
              <w:rPr>
                <w:sz w:val="22"/>
                <w:szCs w:val="22"/>
              </w:rPr>
            </w:pPr>
            <w:r w:rsidRPr="003607DA">
              <w:rPr>
                <w:sz w:val="22"/>
                <w:szCs w:val="22"/>
              </w:rPr>
              <w:t>van der Heijden, K. (2005). Scenarios: The Art of Strategic Conversation (2nd ed.). John Wiley &amp; Sons Ltd.</w:t>
            </w:r>
          </w:p>
        </w:tc>
      </w:tr>
    </w:tbl>
    <w:p w14:paraId="7E2FF18B" w14:textId="77777777" w:rsidR="00F60430" w:rsidRPr="003607DA" w:rsidRDefault="00F60430">
      <w:pPr>
        <w:rPr>
          <w:sz w:val="2"/>
          <w:szCs w:val="2"/>
        </w:rPr>
      </w:pPr>
    </w:p>
    <w:sectPr w:rsidR="00F60430" w:rsidRPr="003607DA" w:rsidSect="003607DA">
      <w:pgSz w:w="16838" w:h="11906" w:orient="landscape"/>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3F9C"/>
    <w:multiLevelType w:val="multilevel"/>
    <w:tmpl w:val="1D8E4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F6B9D"/>
    <w:multiLevelType w:val="multilevel"/>
    <w:tmpl w:val="6C127B80"/>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FC44A8"/>
    <w:multiLevelType w:val="multilevel"/>
    <w:tmpl w:val="340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C693F"/>
    <w:multiLevelType w:val="multilevel"/>
    <w:tmpl w:val="C994B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B8662B"/>
    <w:multiLevelType w:val="multilevel"/>
    <w:tmpl w:val="C4E0582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3807EE"/>
    <w:multiLevelType w:val="multilevel"/>
    <w:tmpl w:val="D16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3478EF"/>
    <w:multiLevelType w:val="hybridMultilevel"/>
    <w:tmpl w:val="5956C2D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950512B"/>
    <w:multiLevelType w:val="multilevel"/>
    <w:tmpl w:val="45CE7EE0"/>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FDD14B7"/>
    <w:multiLevelType w:val="multilevel"/>
    <w:tmpl w:val="2C2AAEF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0127D27"/>
    <w:multiLevelType w:val="multilevel"/>
    <w:tmpl w:val="2BD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B507D9"/>
    <w:multiLevelType w:val="multilevel"/>
    <w:tmpl w:val="8AA4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A6490B"/>
    <w:multiLevelType w:val="multilevel"/>
    <w:tmpl w:val="B61CC862"/>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D86733F"/>
    <w:multiLevelType w:val="multilevel"/>
    <w:tmpl w:val="EC6451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574369"/>
    <w:multiLevelType w:val="multilevel"/>
    <w:tmpl w:val="D0D4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4D628B"/>
    <w:multiLevelType w:val="hybridMultilevel"/>
    <w:tmpl w:val="982C60F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3B52FF"/>
    <w:multiLevelType w:val="multilevel"/>
    <w:tmpl w:val="2AC8BA5E"/>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36201065">
    <w:abstractNumId w:val="4"/>
  </w:num>
  <w:num w:numId="2" w16cid:durableId="302152829">
    <w:abstractNumId w:val="7"/>
  </w:num>
  <w:num w:numId="3" w16cid:durableId="275447910">
    <w:abstractNumId w:val="9"/>
  </w:num>
  <w:num w:numId="4" w16cid:durableId="1381635143">
    <w:abstractNumId w:val="8"/>
  </w:num>
  <w:num w:numId="5" w16cid:durableId="545334127">
    <w:abstractNumId w:val="10"/>
  </w:num>
  <w:num w:numId="6" w16cid:durableId="1159998734">
    <w:abstractNumId w:val="1"/>
  </w:num>
  <w:num w:numId="7" w16cid:durableId="267977095">
    <w:abstractNumId w:val="13"/>
  </w:num>
  <w:num w:numId="8" w16cid:durableId="55476128">
    <w:abstractNumId w:val="12"/>
  </w:num>
  <w:num w:numId="9" w16cid:durableId="1070885726">
    <w:abstractNumId w:val="6"/>
  </w:num>
  <w:num w:numId="10" w16cid:durableId="914558837">
    <w:abstractNumId w:val="0"/>
  </w:num>
  <w:num w:numId="11" w16cid:durableId="1425423140">
    <w:abstractNumId w:val="15"/>
  </w:num>
  <w:num w:numId="12" w16cid:durableId="13502728">
    <w:abstractNumId w:val="5"/>
  </w:num>
  <w:num w:numId="13" w16cid:durableId="65078641">
    <w:abstractNumId w:val="14"/>
  </w:num>
  <w:num w:numId="14" w16cid:durableId="1463573307">
    <w:abstractNumId w:val="3"/>
  </w:num>
  <w:num w:numId="15" w16cid:durableId="1792745879">
    <w:abstractNumId w:val="11"/>
  </w:num>
  <w:num w:numId="16" w16cid:durableId="87584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8F"/>
    <w:rsid w:val="001773CD"/>
    <w:rsid w:val="001B0A92"/>
    <w:rsid w:val="002863D6"/>
    <w:rsid w:val="003607DA"/>
    <w:rsid w:val="003D2A41"/>
    <w:rsid w:val="006F40BE"/>
    <w:rsid w:val="007B798F"/>
    <w:rsid w:val="009E2B28"/>
    <w:rsid w:val="00DF5490"/>
    <w:rsid w:val="00F60430"/>
    <w:rsid w:val="00F772C2"/>
    <w:rsid w:val="00F87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550F1"/>
  <w15:chartTrackingRefBased/>
  <w15:docId w15:val="{435FFB18-979A-4653-91D3-B258CF00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98F"/>
    <w:rPr>
      <w:rFonts w:eastAsiaTheme="majorEastAsia" w:cstheme="majorBidi"/>
      <w:color w:val="272727" w:themeColor="text1" w:themeTint="D8"/>
    </w:rPr>
  </w:style>
  <w:style w:type="paragraph" w:styleId="Title">
    <w:name w:val="Title"/>
    <w:basedOn w:val="Normal"/>
    <w:next w:val="Normal"/>
    <w:link w:val="TitleChar"/>
    <w:uiPriority w:val="10"/>
    <w:qFormat/>
    <w:rsid w:val="007B7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98F"/>
    <w:pPr>
      <w:spacing w:before="160"/>
      <w:jc w:val="center"/>
    </w:pPr>
    <w:rPr>
      <w:i/>
      <w:iCs/>
      <w:color w:val="404040" w:themeColor="text1" w:themeTint="BF"/>
    </w:rPr>
  </w:style>
  <w:style w:type="character" w:customStyle="1" w:styleId="QuoteChar">
    <w:name w:val="Quote Char"/>
    <w:basedOn w:val="DefaultParagraphFont"/>
    <w:link w:val="Quote"/>
    <w:uiPriority w:val="29"/>
    <w:rsid w:val="007B798F"/>
    <w:rPr>
      <w:i/>
      <w:iCs/>
      <w:color w:val="404040" w:themeColor="text1" w:themeTint="BF"/>
    </w:rPr>
  </w:style>
  <w:style w:type="paragraph" w:styleId="ListParagraph">
    <w:name w:val="List Paragraph"/>
    <w:basedOn w:val="Normal"/>
    <w:uiPriority w:val="34"/>
    <w:qFormat/>
    <w:rsid w:val="007B798F"/>
    <w:pPr>
      <w:ind w:left="720"/>
      <w:contextualSpacing/>
    </w:pPr>
  </w:style>
  <w:style w:type="character" w:styleId="IntenseEmphasis">
    <w:name w:val="Intense Emphasis"/>
    <w:basedOn w:val="DefaultParagraphFont"/>
    <w:uiPriority w:val="21"/>
    <w:qFormat/>
    <w:rsid w:val="007B798F"/>
    <w:rPr>
      <w:i/>
      <w:iCs/>
      <w:color w:val="0F4761" w:themeColor="accent1" w:themeShade="BF"/>
    </w:rPr>
  </w:style>
  <w:style w:type="paragraph" w:styleId="IntenseQuote">
    <w:name w:val="Intense Quote"/>
    <w:basedOn w:val="Normal"/>
    <w:next w:val="Normal"/>
    <w:link w:val="IntenseQuoteChar"/>
    <w:uiPriority w:val="30"/>
    <w:qFormat/>
    <w:rsid w:val="007B7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98F"/>
    <w:rPr>
      <w:i/>
      <w:iCs/>
      <w:color w:val="0F4761" w:themeColor="accent1" w:themeShade="BF"/>
    </w:rPr>
  </w:style>
  <w:style w:type="character" w:styleId="IntenseReference">
    <w:name w:val="Intense Reference"/>
    <w:basedOn w:val="DefaultParagraphFont"/>
    <w:uiPriority w:val="32"/>
    <w:qFormat/>
    <w:rsid w:val="007B798F"/>
    <w:rPr>
      <w:b/>
      <w:bCs/>
      <w:smallCaps/>
      <w:color w:val="0F4761" w:themeColor="accent1" w:themeShade="BF"/>
      <w:spacing w:val="5"/>
    </w:rPr>
  </w:style>
  <w:style w:type="table" w:styleId="TableGrid">
    <w:name w:val="Table Grid"/>
    <w:basedOn w:val="TableNormal"/>
    <w:uiPriority w:val="39"/>
    <w:rsid w:val="007B7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76CF"/>
    <w:rPr>
      <w:color w:val="467886" w:themeColor="hyperlink"/>
      <w:u w:val="single"/>
    </w:rPr>
  </w:style>
  <w:style w:type="character" w:styleId="UnresolvedMention">
    <w:name w:val="Unresolved Mention"/>
    <w:basedOn w:val="DefaultParagraphFont"/>
    <w:uiPriority w:val="99"/>
    <w:semiHidden/>
    <w:unhideWhenUsed/>
    <w:rsid w:val="00F87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696">
      <w:bodyDiv w:val="1"/>
      <w:marLeft w:val="0"/>
      <w:marRight w:val="0"/>
      <w:marTop w:val="0"/>
      <w:marBottom w:val="0"/>
      <w:divBdr>
        <w:top w:val="none" w:sz="0" w:space="0" w:color="auto"/>
        <w:left w:val="none" w:sz="0" w:space="0" w:color="auto"/>
        <w:bottom w:val="none" w:sz="0" w:space="0" w:color="auto"/>
        <w:right w:val="none" w:sz="0" w:space="0" w:color="auto"/>
      </w:divBdr>
    </w:div>
    <w:div w:id="42799558">
      <w:bodyDiv w:val="1"/>
      <w:marLeft w:val="0"/>
      <w:marRight w:val="0"/>
      <w:marTop w:val="0"/>
      <w:marBottom w:val="0"/>
      <w:divBdr>
        <w:top w:val="none" w:sz="0" w:space="0" w:color="auto"/>
        <w:left w:val="none" w:sz="0" w:space="0" w:color="auto"/>
        <w:bottom w:val="none" w:sz="0" w:space="0" w:color="auto"/>
        <w:right w:val="none" w:sz="0" w:space="0" w:color="auto"/>
      </w:divBdr>
      <w:divsChild>
        <w:div w:id="927275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49693">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
    <w:div w:id="252980495">
      <w:bodyDiv w:val="1"/>
      <w:marLeft w:val="0"/>
      <w:marRight w:val="0"/>
      <w:marTop w:val="0"/>
      <w:marBottom w:val="0"/>
      <w:divBdr>
        <w:top w:val="none" w:sz="0" w:space="0" w:color="auto"/>
        <w:left w:val="none" w:sz="0" w:space="0" w:color="auto"/>
        <w:bottom w:val="none" w:sz="0" w:space="0" w:color="auto"/>
        <w:right w:val="none" w:sz="0" w:space="0" w:color="auto"/>
      </w:divBdr>
    </w:div>
    <w:div w:id="327446996">
      <w:bodyDiv w:val="1"/>
      <w:marLeft w:val="0"/>
      <w:marRight w:val="0"/>
      <w:marTop w:val="0"/>
      <w:marBottom w:val="0"/>
      <w:divBdr>
        <w:top w:val="none" w:sz="0" w:space="0" w:color="auto"/>
        <w:left w:val="none" w:sz="0" w:space="0" w:color="auto"/>
        <w:bottom w:val="none" w:sz="0" w:space="0" w:color="auto"/>
        <w:right w:val="none" w:sz="0" w:space="0" w:color="auto"/>
      </w:divBdr>
    </w:div>
    <w:div w:id="352659112">
      <w:bodyDiv w:val="1"/>
      <w:marLeft w:val="0"/>
      <w:marRight w:val="0"/>
      <w:marTop w:val="0"/>
      <w:marBottom w:val="0"/>
      <w:divBdr>
        <w:top w:val="none" w:sz="0" w:space="0" w:color="auto"/>
        <w:left w:val="none" w:sz="0" w:space="0" w:color="auto"/>
        <w:bottom w:val="none" w:sz="0" w:space="0" w:color="auto"/>
        <w:right w:val="none" w:sz="0" w:space="0" w:color="auto"/>
      </w:divBdr>
    </w:div>
    <w:div w:id="360595202">
      <w:bodyDiv w:val="1"/>
      <w:marLeft w:val="0"/>
      <w:marRight w:val="0"/>
      <w:marTop w:val="0"/>
      <w:marBottom w:val="0"/>
      <w:divBdr>
        <w:top w:val="none" w:sz="0" w:space="0" w:color="auto"/>
        <w:left w:val="none" w:sz="0" w:space="0" w:color="auto"/>
        <w:bottom w:val="none" w:sz="0" w:space="0" w:color="auto"/>
        <w:right w:val="none" w:sz="0" w:space="0" w:color="auto"/>
      </w:divBdr>
    </w:div>
    <w:div w:id="405423960">
      <w:bodyDiv w:val="1"/>
      <w:marLeft w:val="0"/>
      <w:marRight w:val="0"/>
      <w:marTop w:val="0"/>
      <w:marBottom w:val="0"/>
      <w:divBdr>
        <w:top w:val="none" w:sz="0" w:space="0" w:color="auto"/>
        <w:left w:val="none" w:sz="0" w:space="0" w:color="auto"/>
        <w:bottom w:val="none" w:sz="0" w:space="0" w:color="auto"/>
        <w:right w:val="none" w:sz="0" w:space="0" w:color="auto"/>
      </w:divBdr>
    </w:div>
    <w:div w:id="656111475">
      <w:bodyDiv w:val="1"/>
      <w:marLeft w:val="0"/>
      <w:marRight w:val="0"/>
      <w:marTop w:val="0"/>
      <w:marBottom w:val="0"/>
      <w:divBdr>
        <w:top w:val="none" w:sz="0" w:space="0" w:color="auto"/>
        <w:left w:val="none" w:sz="0" w:space="0" w:color="auto"/>
        <w:bottom w:val="none" w:sz="0" w:space="0" w:color="auto"/>
        <w:right w:val="none" w:sz="0" w:space="0" w:color="auto"/>
      </w:divBdr>
    </w:div>
    <w:div w:id="677006098">
      <w:bodyDiv w:val="1"/>
      <w:marLeft w:val="0"/>
      <w:marRight w:val="0"/>
      <w:marTop w:val="0"/>
      <w:marBottom w:val="0"/>
      <w:divBdr>
        <w:top w:val="none" w:sz="0" w:space="0" w:color="auto"/>
        <w:left w:val="none" w:sz="0" w:space="0" w:color="auto"/>
        <w:bottom w:val="none" w:sz="0" w:space="0" w:color="auto"/>
        <w:right w:val="none" w:sz="0" w:space="0" w:color="auto"/>
      </w:divBdr>
    </w:div>
    <w:div w:id="744913066">
      <w:bodyDiv w:val="1"/>
      <w:marLeft w:val="0"/>
      <w:marRight w:val="0"/>
      <w:marTop w:val="0"/>
      <w:marBottom w:val="0"/>
      <w:divBdr>
        <w:top w:val="none" w:sz="0" w:space="0" w:color="auto"/>
        <w:left w:val="none" w:sz="0" w:space="0" w:color="auto"/>
        <w:bottom w:val="none" w:sz="0" w:space="0" w:color="auto"/>
        <w:right w:val="none" w:sz="0" w:space="0" w:color="auto"/>
      </w:divBdr>
    </w:div>
    <w:div w:id="795175709">
      <w:bodyDiv w:val="1"/>
      <w:marLeft w:val="0"/>
      <w:marRight w:val="0"/>
      <w:marTop w:val="0"/>
      <w:marBottom w:val="0"/>
      <w:divBdr>
        <w:top w:val="none" w:sz="0" w:space="0" w:color="auto"/>
        <w:left w:val="none" w:sz="0" w:space="0" w:color="auto"/>
        <w:bottom w:val="none" w:sz="0" w:space="0" w:color="auto"/>
        <w:right w:val="none" w:sz="0" w:space="0" w:color="auto"/>
      </w:divBdr>
    </w:div>
    <w:div w:id="845363591">
      <w:bodyDiv w:val="1"/>
      <w:marLeft w:val="0"/>
      <w:marRight w:val="0"/>
      <w:marTop w:val="0"/>
      <w:marBottom w:val="0"/>
      <w:divBdr>
        <w:top w:val="none" w:sz="0" w:space="0" w:color="auto"/>
        <w:left w:val="none" w:sz="0" w:space="0" w:color="auto"/>
        <w:bottom w:val="none" w:sz="0" w:space="0" w:color="auto"/>
        <w:right w:val="none" w:sz="0" w:space="0" w:color="auto"/>
      </w:divBdr>
    </w:div>
    <w:div w:id="907151803">
      <w:bodyDiv w:val="1"/>
      <w:marLeft w:val="0"/>
      <w:marRight w:val="0"/>
      <w:marTop w:val="0"/>
      <w:marBottom w:val="0"/>
      <w:divBdr>
        <w:top w:val="none" w:sz="0" w:space="0" w:color="auto"/>
        <w:left w:val="none" w:sz="0" w:space="0" w:color="auto"/>
        <w:bottom w:val="none" w:sz="0" w:space="0" w:color="auto"/>
        <w:right w:val="none" w:sz="0" w:space="0" w:color="auto"/>
      </w:divBdr>
    </w:div>
    <w:div w:id="1026253541">
      <w:bodyDiv w:val="1"/>
      <w:marLeft w:val="0"/>
      <w:marRight w:val="0"/>
      <w:marTop w:val="0"/>
      <w:marBottom w:val="0"/>
      <w:divBdr>
        <w:top w:val="none" w:sz="0" w:space="0" w:color="auto"/>
        <w:left w:val="none" w:sz="0" w:space="0" w:color="auto"/>
        <w:bottom w:val="none" w:sz="0" w:space="0" w:color="auto"/>
        <w:right w:val="none" w:sz="0" w:space="0" w:color="auto"/>
      </w:divBdr>
    </w:div>
    <w:div w:id="1030688077">
      <w:bodyDiv w:val="1"/>
      <w:marLeft w:val="0"/>
      <w:marRight w:val="0"/>
      <w:marTop w:val="0"/>
      <w:marBottom w:val="0"/>
      <w:divBdr>
        <w:top w:val="none" w:sz="0" w:space="0" w:color="auto"/>
        <w:left w:val="none" w:sz="0" w:space="0" w:color="auto"/>
        <w:bottom w:val="none" w:sz="0" w:space="0" w:color="auto"/>
        <w:right w:val="none" w:sz="0" w:space="0" w:color="auto"/>
      </w:divBdr>
    </w:div>
    <w:div w:id="1052002596">
      <w:bodyDiv w:val="1"/>
      <w:marLeft w:val="0"/>
      <w:marRight w:val="0"/>
      <w:marTop w:val="0"/>
      <w:marBottom w:val="0"/>
      <w:divBdr>
        <w:top w:val="none" w:sz="0" w:space="0" w:color="auto"/>
        <w:left w:val="none" w:sz="0" w:space="0" w:color="auto"/>
        <w:bottom w:val="none" w:sz="0" w:space="0" w:color="auto"/>
        <w:right w:val="none" w:sz="0" w:space="0" w:color="auto"/>
      </w:divBdr>
    </w:div>
    <w:div w:id="1182011955">
      <w:bodyDiv w:val="1"/>
      <w:marLeft w:val="0"/>
      <w:marRight w:val="0"/>
      <w:marTop w:val="0"/>
      <w:marBottom w:val="0"/>
      <w:divBdr>
        <w:top w:val="none" w:sz="0" w:space="0" w:color="auto"/>
        <w:left w:val="none" w:sz="0" w:space="0" w:color="auto"/>
        <w:bottom w:val="none" w:sz="0" w:space="0" w:color="auto"/>
        <w:right w:val="none" w:sz="0" w:space="0" w:color="auto"/>
      </w:divBdr>
    </w:div>
    <w:div w:id="1193809854">
      <w:bodyDiv w:val="1"/>
      <w:marLeft w:val="0"/>
      <w:marRight w:val="0"/>
      <w:marTop w:val="0"/>
      <w:marBottom w:val="0"/>
      <w:divBdr>
        <w:top w:val="none" w:sz="0" w:space="0" w:color="auto"/>
        <w:left w:val="none" w:sz="0" w:space="0" w:color="auto"/>
        <w:bottom w:val="none" w:sz="0" w:space="0" w:color="auto"/>
        <w:right w:val="none" w:sz="0" w:space="0" w:color="auto"/>
      </w:divBdr>
    </w:div>
    <w:div w:id="1335256238">
      <w:bodyDiv w:val="1"/>
      <w:marLeft w:val="0"/>
      <w:marRight w:val="0"/>
      <w:marTop w:val="0"/>
      <w:marBottom w:val="0"/>
      <w:divBdr>
        <w:top w:val="none" w:sz="0" w:space="0" w:color="auto"/>
        <w:left w:val="none" w:sz="0" w:space="0" w:color="auto"/>
        <w:bottom w:val="none" w:sz="0" w:space="0" w:color="auto"/>
        <w:right w:val="none" w:sz="0" w:space="0" w:color="auto"/>
      </w:divBdr>
    </w:div>
    <w:div w:id="1385175654">
      <w:bodyDiv w:val="1"/>
      <w:marLeft w:val="0"/>
      <w:marRight w:val="0"/>
      <w:marTop w:val="0"/>
      <w:marBottom w:val="0"/>
      <w:divBdr>
        <w:top w:val="none" w:sz="0" w:space="0" w:color="auto"/>
        <w:left w:val="none" w:sz="0" w:space="0" w:color="auto"/>
        <w:bottom w:val="none" w:sz="0" w:space="0" w:color="auto"/>
        <w:right w:val="none" w:sz="0" w:space="0" w:color="auto"/>
      </w:divBdr>
    </w:div>
    <w:div w:id="1386829304">
      <w:bodyDiv w:val="1"/>
      <w:marLeft w:val="0"/>
      <w:marRight w:val="0"/>
      <w:marTop w:val="0"/>
      <w:marBottom w:val="0"/>
      <w:divBdr>
        <w:top w:val="none" w:sz="0" w:space="0" w:color="auto"/>
        <w:left w:val="none" w:sz="0" w:space="0" w:color="auto"/>
        <w:bottom w:val="none" w:sz="0" w:space="0" w:color="auto"/>
        <w:right w:val="none" w:sz="0" w:space="0" w:color="auto"/>
      </w:divBdr>
    </w:div>
    <w:div w:id="1483162300">
      <w:bodyDiv w:val="1"/>
      <w:marLeft w:val="0"/>
      <w:marRight w:val="0"/>
      <w:marTop w:val="0"/>
      <w:marBottom w:val="0"/>
      <w:divBdr>
        <w:top w:val="none" w:sz="0" w:space="0" w:color="auto"/>
        <w:left w:val="none" w:sz="0" w:space="0" w:color="auto"/>
        <w:bottom w:val="none" w:sz="0" w:space="0" w:color="auto"/>
        <w:right w:val="none" w:sz="0" w:space="0" w:color="auto"/>
      </w:divBdr>
    </w:div>
    <w:div w:id="1597246396">
      <w:bodyDiv w:val="1"/>
      <w:marLeft w:val="0"/>
      <w:marRight w:val="0"/>
      <w:marTop w:val="0"/>
      <w:marBottom w:val="0"/>
      <w:divBdr>
        <w:top w:val="none" w:sz="0" w:space="0" w:color="auto"/>
        <w:left w:val="none" w:sz="0" w:space="0" w:color="auto"/>
        <w:bottom w:val="none" w:sz="0" w:space="0" w:color="auto"/>
        <w:right w:val="none" w:sz="0" w:space="0" w:color="auto"/>
      </w:divBdr>
    </w:div>
    <w:div w:id="1627618553">
      <w:bodyDiv w:val="1"/>
      <w:marLeft w:val="0"/>
      <w:marRight w:val="0"/>
      <w:marTop w:val="0"/>
      <w:marBottom w:val="0"/>
      <w:divBdr>
        <w:top w:val="none" w:sz="0" w:space="0" w:color="auto"/>
        <w:left w:val="none" w:sz="0" w:space="0" w:color="auto"/>
        <w:bottom w:val="none" w:sz="0" w:space="0" w:color="auto"/>
        <w:right w:val="none" w:sz="0" w:space="0" w:color="auto"/>
      </w:divBdr>
    </w:div>
    <w:div w:id="1701126990">
      <w:bodyDiv w:val="1"/>
      <w:marLeft w:val="0"/>
      <w:marRight w:val="0"/>
      <w:marTop w:val="0"/>
      <w:marBottom w:val="0"/>
      <w:divBdr>
        <w:top w:val="none" w:sz="0" w:space="0" w:color="auto"/>
        <w:left w:val="none" w:sz="0" w:space="0" w:color="auto"/>
        <w:bottom w:val="none" w:sz="0" w:space="0" w:color="auto"/>
        <w:right w:val="none" w:sz="0" w:space="0" w:color="auto"/>
      </w:divBdr>
    </w:div>
    <w:div w:id="1732772831">
      <w:bodyDiv w:val="1"/>
      <w:marLeft w:val="0"/>
      <w:marRight w:val="0"/>
      <w:marTop w:val="0"/>
      <w:marBottom w:val="0"/>
      <w:divBdr>
        <w:top w:val="none" w:sz="0" w:space="0" w:color="auto"/>
        <w:left w:val="none" w:sz="0" w:space="0" w:color="auto"/>
        <w:bottom w:val="none" w:sz="0" w:space="0" w:color="auto"/>
        <w:right w:val="none" w:sz="0" w:space="0" w:color="auto"/>
      </w:divBdr>
    </w:div>
    <w:div w:id="1739204714">
      <w:bodyDiv w:val="1"/>
      <w:marLeft w:val="0"/>
      <w:marRight w:val="0"/>
      <w:marTop w:val="0"/>
      <w:marBottom w:val="0"/>
      <w:divBdr>
        <w:top w:val="none" w:sz="0" w:space="0" w:color="auto"/>
        <w:left w:val="none" w:sz="0" w:space="0" w:color="auto"/>
        <w:bottom w:val="none" w:sz="0" w:space="0" w:color="auto"/>
        <w:right w:val="none" w:sz="0" w:space="0" w:color="auto"/>
      </w:divBdr>
      <w:divsChild>
        <w:div w:id="822962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838151">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847476005">
      <w:bodyDiv w:val="1"/>
      <w:marLeft w:val="0"/>
      <w:marRight w:val="0"/>
      <w:marTop w:val="0"/>
      <w:marBottom w:val="0"/>
      <w:divBdr>
        <w:top w:val="none" w:sz="0" w:space="0" w:color="auto"/>
        <w:left w:val="none" w:sz="0" w:space="0" w:color="auto"/>
        <w:bottom w:val="none" w:sz="0" w:space="0" w:color="auto"/>
        <w:right w:val="none" w:sz="0" w:space="0" w:color="auto"/>
      </w:divBdr>
    </w:div>
    <w:div w:id="1922133236">
      <w:bodyDiv w:val="1"/>
      <w:marLeft w:val="0"/>
      <w:marRight w:val="0"/>
      <w:marTop w:val="0"/>
      <w:marBottom w:val="0"/>
      <w:divBdr>
        <w:top w:val="none" w:sz="0" w:space="0" w:color="auto"/>
        <w:left w:val="none" w:sz="0" w:space="0" w:color="auto"/>
        <w:bottom w:val="none" w:sz="0" w:space="0" w:color="auto"/>
        <w:right w:val="none" w:sz="0" w:space="0" w:color="auto"/>
      </w:divBdr>
    </w:div>
    <w:div w:id="1956056837">
      <w:bodyDiv w:val="1"/>
      <w:marLeft w:val="0"/>
      <w:marRight w:val="0"/>
      <w:marTop w:val="0"/>
      <w:marBottom w:val="0"/>
      <w:divBdr>
        <w:top w:val="none" w:sz="0" w:space="0" w:color="auto"/>
        <w:left w:val="none" w:sz="0" w:space="0" w:color="auto"/>
        <w:bottom w:val="none" w:sz="0" w:space="0" w:color="auto"/>
        <w:right w:val="none" w:sz="0" w:space="0" w:color="auto"/>
      </w:divBdr>
    </w:div>
    <w:div w:id="1965305632">
      <w:bodyDiv w:val="1"/>
      <w:marLeft w:val="0"/>
      <w:marRight w:val="0"/>
      <w:marTop w:val="0"/>
      <w:marBottom w:val="0"/>
      <w:divBdr>
        <w:top w:val="none" w:sz="0" w:space="0" w:color="auto"/>
        <w:left w:val="none" w:sz="0" w:space="0" w:color="auto"/>
        <w:bottom w:val="none" w:sz="0" w:space="0" w:color="auto"/>
        <w:right w:val="none" w:sz="0" w:space="0" w:color="auto"/>
      </w:divBdr>
    </w:div>
    <w:div w:id="2005160988">
      <w:bodyDiv w:val="1"/>
      <w:marLeft w:val="0"/>
      <w:marRight w:val="0"/>
      <w:marTop w:val="0"/>
      <w:marBottom w:val="0"/>
      <w:divBdr>
        <w:top w:val="none" w:sz="0" w:space="0" w:color="auto"/>
        <w:left w:val="none" w:sz="0" w:space="0" w:color="auto"/>
        <w:bottom w:val="none" w:sz="0" w:space="0" w:color="auto"/>
        <w:right w:val="none" w:sz="0" w:space="0" w:color="auto"/>
      </w:divBdr>
    </w:div>
    <w:div w:id="2131580654">
      <w:bodyDiv w:val="1"/>
      <w:marLeft w:val="0"/>
      <w:marRight w:val="0"/>
      <w:marTop w:val="0"/>
      <w:marBottom w:val="0"/>
      <w:divBdr>
        <w:top w:val="none" w:sz="0" w:space="0" w:color="auto"/>
        <w:left w:val="none" w:sz="0" w:space="0" w:color="auto"/>
        <w:bottom w:val="none" w:sz="0" w:space="0" w:color="auto"/>
        <w:right w:val="none" w:sz="0" w:space="0" w:color="auto"/>
      </w:divBdr>
    </w:div>
    <w:div w:id="2143687475">
      <w:bodyDiv w:val="1"/>
      <w:marLeft w:val="0"/>
      <w:marRight w:val="0"/>
      <w:marTop w:val="0"/>
      <w:marBottom w:val="0"/>
      <w:divBdr>
        <w:top w:val="none" w:sz="0" w:space="0" w:color="auto"/>
        <w:left w:val="none" w:sz="0" w:space="0" w:color="auto"/>
        <w:bottom w:val="none" w:sz="0" w:space="0" w:color="auto"/>
        <w:right w:val="none" w:sz="0" w:space="0" w:color="auto"/>
      </w:divBdr>
    </w:div>
    <w:div w:id="2146192694">
      <w:bodyDiv w:val="1"/>
      <w:marLeft w:val="0"/>
      <w:marRight w:val="0"/>
      <w:marTop w:val="0"/>
      <w:marBottom w:val="0"/>
      <w:divBdr>
        <w:top w:val="none" w:sz="0" w:space="0" w:color="auto"/>
        <w:left w:val="none" w:sz="0" w:space="0" w:color="auto"/>
        <w:bottom w:val="none" w:sz="0" w:space="0" w:color="auto"/>
        <w:right w:val="none" w:sz="0" w:space="0" w:color="auto"/>
      </w:divBdr>
    </w:div>
    <w:div w:id="214704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76117-6D44-477D-9867-BC25E492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2115</Words>
  <Characters>12057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Beech, Nick</dc:creator>
  <cp:keywords/>
  <dc:description/>
  <cp:lastModifiedBy>Beech, Nick</cp:lastModifiedBy>
  <cp:revision>1</cp:revision>
  <dcterms:created xsi:type="dcterms:W3CDTF">2025-07-28T13:39:00Z</dcterms:created>
  <dcterms:modified xsi:type="dcterms:W3CDTF">2025-07-28T15:11:00Z</dcterms:modified>
</cp:coreProperties>
</file>