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D360B" w:rsidRDefault="00BD360B" w:rsidP="00BD360B">
      <w:pPr>
        <w:spacing w:before="120"/>
        <w:ind w:firstLine="0"/>
        <w:rPr>
          <w:rFonts w:ascii="Times New Roman" w:eastAsia="Calibri" w:hAnsi="Times New Roman" w:cs="Times New Roman"/>
          <w:b/>
          <w:sz w:val="28"/>
          <w:lang w:bidi="ar-SA"/>
        </w:rPr>
      </w:pPr>
      <w:r>
        <w:rPr>
          <w:rFonts w:ascii="Times New Roman" w:eastAsia="Calibri" w:hAnsi="Times New Roman" w:cs="Times New Roman"/>
          <w:b/>
          <w:sz w:val="28"/>
          <w:lang w:bidi="ar-SA"/>
        </w:rPr>
        <w:t xml:space="preserve">Supplementary </w:t>
      </w:r>
      <w:r w:rsidR="00A534C0">
        <w:rPr>
          <w:rFonts w:ascii="Times New Roman" w:eastAsia="Calibri" w:hAnsi="Times New Roman" w:cs="Times New Roman"/>
          <w:b/>
          <w:sz w:val="28"/>
          <w:lang w:bidi="ar-SA"/>
        </w:rPr>
        <w:t>Materials</w:t>
      </w:r>
      <w:bookmarkStart w:id="0" w:name="_GoBack"/>
      <w:bookmarkEnd w:id="0"/>
    </w:p>
    <w:p w:rsidR="00BD360B" w:rsidRDefault="00BD360B" w:rsidP="00BD360B">
      <w:pPr>
        <w:spacing w:before="120"/>
        <w:ind w:firstLine="0"/>
        <w:rPr>
          <w:rFonts w:ascii="Times New Roman" w:eastAsia="Calibri" w:hAnsi="Times New Roman" w:cs="Times New Roman"/>
          <w:b/>
          <w:sz w:val="28"/>
          <w:lang w:bidi="ar-SA"/>
        </w:rPr>
      </w:pPr>
    </w:p>
    <w:p w:rsidR="00BD360B" w:rsidRPr="00EE48E6" w:rsidRDefault="00BD360B" w:rsidP="00BD360B">
      <w:pPr>
        <w:spacing w:before="120"/>
        <w:ind w:left="708" w:firstLine="0"/>
        <w:rPr>
          <w:rFonts w:ascii="Times New Roman" w:eastAsia="Calibri" w:hAnsi="Times New Roman" w:cs="Times New Roman"/>
          <w:b/>
          <w:sz w:val="28"/>
          <w:lang w:bidi="ar-SA"/>
        </w:rPr>
      </w:pPr>
      <w:r w:rsidRPr="00EE48E6">
        <w:rPr>
          <w:rFonts w:ascii="Times New Roman" w:eastAsia="Calibri" w:hAnsi="Times New Roman" w:cs="Times New Roman"/>
          <w:b/>
          <w:sz w:val="28"/>
          <w:lang w:bidi="ar-SA"/>
        </w:rPr>
        <w:t>Supplementary Table 1 – Exclusion Criteria</w:t>
      </w:r>
    </w:p>
    <w:p w:rsidR="00BD360B" w:rsidRDefault="00BD360B" w:rsidP="00BD360B">
      <w:pPr>
        <w:spacing w:before="120"/>
        <w:ind w:firstLine="0"/>
        <w:rPr>
          <w:rFonts w:ascii="Times New Roman" w:eastAsia="Calibri" w:hAnsi="Times New Roman" w:cs="Times New Roman"/>
          <w:b/>
          <w:lang w:bidi="ar-SA"/>
        </w:rPr>
      </w:pPr>
      <w:r>
        <w:rPr>
          <w:rFonts w:ascii="Times New Roman" w:eastAsia="Calibri" w:hAnsi="Times New Roman" w:cs="Times New Roman"/>
          <w:b/>
          <w:lang w:bidi="ar-SA"/>
        </w:rPr>
        <w:t>Table 1. Exclusion criteria for participants</w:t>
      </w:r>
    </w:p>
    <w:tbl>
      <w:tblPr>
        <w:tblStyle w:val="EinfacheTabelle21"/>
        <w:tblpPr w:leftFromText="141" w:rightFromText="141" w:vertAnchor="text" w:tblpY="1"/>
        <w:tblOverlap w:val="never"/>
        <w:tblW w:w="0" w:type="auto"/>
        <w:tblLook w:val="0400" w:firstRow="0" w:lastRow="0" w:firstColumn="0" w:lastColumn="0" w:noHBand="0" w:noVBand="1"/>
      </w:tblPr>
      <w:tblGrid>
        <w:gridCol w:w="8850"/>
        <w:gridCol w:w="222"/>
      </w:tblGrid>
      <w:tr w:rsidR="00BD360B" w:rsidDel="00F8765D" w:rsidTr="007E6211">
        <w:trPr>
          <w:cnfStyle w:val="000000100000" w:firstRow="0" w:lastRow="0" w:firstColumn="0" w:lastColumn="0" w:oddVBand="0" w:evenVBand="0" w:oddHBand="1" w:evenHBand="0" w:firstRowFirstColumn="0" w:firstRowLastColumn="0" w:lastRowFirstColumn="0" w:lastRowLastColumn="0"/>
        </w:trPr>
        <w:tc>
          <w:tcPr>
            <w:tcW w:w="0" w:type="auto"/>
          </w:tcPr>
          <w:p w:rsidR="00BD360B" w:rsidRDefault="00BD360B" w:rsidP="007E6211">
            <w:pPr>
              <w:spacing w:before="120"/>
              <w:ind w:firstLine="0"/>
              <w:rPr>
                <w:rFonts w:ascii="Times New Roman" w:eastAsia="Calibri" w:hAnsi="Times New Roman" w:cs="Times New Roman"/>
                <w:bCs/>
                <w:sz w:val="24"/>
                <w:lang w:bidi="ar-SA"/>
              </w:rPr>
            </w:pPr>
            <w:r>
              <w:rPr>
                <w:rFonts w:ascii="Times New Roman" w:eastAsia="Calibri" w:hAnsi="Times New Roman" w:cs="Times New Roman"/>
                <w:sz w:val="24"/>
                <w:lang w:bidi="ar-SA"/>
              </w:rPr>
              <w:t>1. Relevant, uncorrected vision disorder</w:t>
            </w:r>
          </w:p>
        </w:tc>
        <w:tc>
          <w:tcPr>
            <w:tcW w:w="0" w:type="auto"/>
          </w:tcPr>
          <w:p w:rsidR="00BD360B" w:rsidRDefault="00BD360B" w:rsidP="007E6211">
            <w:pPr>
              <w:spacing w:before="120"/>
              <w:ind w:firstLine="0"/>
              <w:rPr>
                <w:rFonts w:ascii="Times New Roman" w:eastAsia="Calibri" w:hAnsi="Times New Roman" w:cs="Times New Roman"/>
                <w:sz w:val="24"/>
                <w:lang w:bidi="ar-SA"/>
              </w:rPr>
            </w:pPr>
          </w:p>
        </w:tc>
      </w:tr>
      <w:tr w:rsidR="00BD360B" w:rsidDel="00F8765D" w:rsidTr="007E6211">
        <w:tc>
          <w:tcPr>
            <w:tcW w:w="0" w:type="auto"/>
          </w:tcPr>
          <w:p w:rsidR="00BD360B" w:rsidRDefault="00BD360B" w:rsidP="007E6211">
            <w:pPr>
              <w:spacing w:before="120"/>
              <w:ind w:firstLine="0"/>
              <w:rPr>
                <w:rFonts w:ascii="Times New Roman" w:eastAsia="Calibri" w:hAnsi="Times New Roman" w:cs="Times New Roman"/>
                <w:sz w:val="24"/>
                <w:lang w:bidi="ar-SA"/>
              </w:rPr>
            </w:pPr>
            <w:r>
              <w:rPr>
                <w:rFonts w:ascii="Times New Roman" w:eastAsia="Calibri" w:hAnsi="Times New Roman" w:cs="Times New Roman"/>
                <w:sz w:val="24"/>
                <w:lang w:bidi="ar-SA"/>
              </w:rPr>
              <w:t>2. Evidence of cognitive impairment (ACE-III score of ≤ 86)</w:t>
            </w:r>
          </w:p>
        </w:tc>
        <w:tc>
          <w:tcPr>
            <w:tcW w:w="0" w:type="auto"/>
          </w:tcPr>
          <w:p w:rsidR="00BD360B" w:rsidRDefault="00BD360B" w:rsidP="007E6211">
            <w:pPr>
              <w:spacing w:before="120"/>
              <w:ind w:firstLine="0"/>
              <w:rPr>
                <w:rFonts w:ascii="Times New Roman" w:eastAsia="Calibri" w:hAnsi="Times New Roman" w:cs="Times New Roman"/>
                <w:sz w:val="24"/>
                <w:lang w:bidi="ar-SA"/>
              </w:rPr>
            </w:pPr>
          </w:p>
        </w:tc>
      </w:tr>
      <w:tr w:rsidR="00BD360B" w:rsidDel="00F8765D" w:rsidTr="007E6211">
        <w:trPr>
          <w:cnfStyle w:val="000000100000" w:firstRow="0" w:lastRow="0" w:firstColumn="0" w:lastColumn="0" w:oddVBand="0" w:evenVBand="0" w:oddHBand="1" w:evenHBand="0" w:firstRowFirstColumn="0" w:firstRowLastColumn="0" w:lastRowFirstColumn="0" w:lastRowLastColumn="0"/>
        </w:trPr>
        <w:tc>
          <w:tcPr>
            <w:tcW w:w="0" w:type="auto"/>
          </w:tcPr>
          <w:p w:rsidR="00BD360B" w:rsidRDefault="00BD360B" w:rsidP="007E6211">
            <w:pPr>
              <w:spacing w:before="120"/>
              <w:ind w:firstLine="0"/>
              <w:rPr>
                <w:rFonts w:ascii="Times New Roman" w:eastAsia="Calibri" w:hAnsi="Times New Roman" w:cs="Times New Roman"/>
                <w:bCs/>
                <w:sz w:val="24"/>
                <w:lang w:bidi="ar-SA"/>
              </w:rPr>
            </w:pPr>
            <w:r>
              <w:rPr>
                <w:rFonts w:ascii="Times New Roman" w:eastAsia="Calibri" w:hAnsi="Times New Roman" w:cs="Times New Roman"/>
                <w:sz w:val="24"/>
                <w:lang w:bidi="ar-SA"/>
              </w:rPr>
              <w:t>3. Relevant psychiatric or neurological pre-existing condition (e.g., major depression, focal damage of the brain due to operation or stroke, epilepsy)</w:t>
            </w:r>
          </w:p>
        </w:tc>
        <w:tc>
          <w:tcPr>
            <w:tcW w:w="0" w:type="auto"/>
          </w:tcPr>
          <w:p w:rsidR="00BD360B" w:rsidRDefault="00BD360B" w:rsidP="007E6211">
            <w:pPr>
              <w:spacing w:before="120"/>
              <w:ind w:firstLine="0"/>
              <w:rPr>
                <w:rFonts w:ascii="Times New Roman" w:eastAsia="Calibri" w:hAnsi="Times New Roman" w:cs="Times New Roman"/>
                <w:sz w:val="24"/>
                <w:lang w:bidi="ar-SA"/>
              </w:rPr>
            </w:pPr>
          </w:p>
        </w:tc>
      </w:tr>
      <w:tr w:rsidR="00BD360B" w:rsidDel="00F8765D" w:rsidTr="007E6211">
        <w:tc>
          <w:tcPr>
            <w:tcW w:w="0" w:type="auto"/>
          </w:tcPr>
          <w:p w:rsidR="00BD360B" w:rsidRDefault="00BD360B" w:rsidP="007E6211">
            <w:pPr>
              <w:spacing w:before="120"/>
              <w:ind w:firstLine="0"/>
              <w:rPr>
                <w:rFonts w:ascii="Times New Roman" w:eastAsia="Calibri" w:hAnsi="Times New Roman" w:cs="Times New Roman"/>
                <w:sz w:val="24"/>
                <w:lang w:bidi="ar-SA"/>
              </w:rPr>
            </w:pPr>
            <w:r>
              <w:rPr>
                <w:rFonts w:ascii="Times New Roman" w:eastAsia="Calibri" w:hAnsi="Times New Roman" w:cs="Times New Roman"/>
                <w:sz w:val="24"/>
                <w:lang w:bidi="ar-SA"/>
              </w:rPr>
              <w:t>4. Contraindications for MRI (e.g., cardiac pacemaker, non-removable metal parts in/at the body, claustrophobia; excluded from gut-microbiome analyses only; included in remaining analyses)</w:t>
            </w:r>
          </w:p>
        </w:tc>
        <w:tc>
          <w:tcPr>
            <w:tcW w:w="0" w:type="auto"/>
          </w:tcPr>
          <w:p w:rsidR="00BD360B" w:rsidRDefault="00BD360B" w:rsidP="007E6211">
            <w:pPr>
              <w:spacing w:before="120"/>
              <w:ind w:firstLine="0"/>
              <w:rPr>
                <w:rFonts w:ascii="Times New Roman" w:eastAsia="Calibri" w:hAnsi="Times New Roman" w:cs="Times New Roman"/>
                <w:sz w:val="24"/>
                <w:lang w:bidi="ar-SA"/>
              </w:rPr>
            </w:pPr>
          </w:p>
        </w:tc>
      </w:tr>
      <w:tr w:rsidR="00BD360B" w:rsidDel="00F8765D" w:rsidTr="007E6211">
        <w:trPr>
          <w:cnfStyle w:val="000000100000" w:firstRow="0" w:lastRow="0" w:firstColumn="0" w:lastColumn="0" w:oddVBand="0" w:evenVBand="0" w:oddHBand="1" w:evenHBand="0" w:firstRowFirstColumn="0" w:firstRowLastColumn="0" w:lastRowFirstColumn="0" w:lastRowLastColumn="0"/>
          <w:trHeight w:val="670"/>
        </w:trPr>
        <w:tc>
          <w:tcPr>
            <w:tcW w:w="0" w:type="auto"/>
          </w:tcPr>
          <w:p w:rsidR="00BD360B" w:rsidRDefault="00BD360B" w:rsidP="007E6211">
            <w:pPr>
              <w:spacing w:before="120"/>
              <w:ind w:firstLine="0"/>
              <w:rPr>
                <w:rFonts w:ascii="Times New Roman" w:eastAsia="Calibri" w:hAnsi="Times New Roman" w:cs="Times New Roman"/>
                <w:bCs/>
                <w:sz w:val="24"/>
                <w:lang w:bidi="ar-SA"/>
              </w:rPr>
            </w:pPr>
            <w:r>
              <w:rPr>
                <w:rFonts w:ascii="Times New Roman" w:eastAsia="Calibri" w:hAnsi="Times New Roman" w:cs="Times New Roman"/>
                <w:sz w:val="24"/>
                <w:lang w:bidi="ar-SA"/>
              </w:rPr>
              <w:t>5. Permanent medication with sedating substances</w:t>
            </w:r>
          </w:p>
        </w:tc>
        <w:tc>
          <w:tcPr>
            <w:tcW w:w="0" w:type="auto"/>
          </w:tcPr>
          <w:p w:rsidR="00BD360B" w:rsidRDefault="00BD360B" w:rsidP="007E6211">
            <w:pPr>
              <w:spacing w:before="120"/>
              <w:ind w:firstLine="0"/>
              <w:rPr>
                <w:rFonts w:ascii="Times New Roman" w:eastAsia="Calibri" w:hAnsi="Times New Roman" w:cs="Times New Roman"/>
                <w:sz w:val="24"/>
                <w:lang w:bidi="ar-SA"/>
              </w:rPr>
            </w:pPr>
          </w:p>
        </w:tc>
      </w:tr>
      <w:tr w:rsidR="00BD360B" w:rsidDel="00F8765D" w:rsidTr="007E6211">
        <w:tc>
          <w:tcPr>
            <w:tcW w:w="0" w:type="auto"/>
          </w:tcPr>
          <w:p w:rsidR="00BD360B" w:rsidRDefault="00BD360B" w:rsidP="007E6211">
            <w:pPr>
              <w:spacing w:before="120"/>
              <w:ind w:firstLine="0"/>
              <w:rPr>
                <w:rFonts w:ascii="Times New Roman" w:eastAsia="Calibri" w:hAnsi="Times New Roman" w:cs="Times New Roman"/>
                <w:sz w:val="24"/>
                <w:lang w:bidi="ar-SA"/>
              </w:rPr>
            </w:pPr>
            <w:r>
              <w:rPr>
                <w:rFonts w:ascii="Times New Roman" w:eastAsia="Calibri" w:hAnsi="Times New Roman" w:cs="Times New Roman"/>
                <w:sz w:val="24"/>
                <w:lang w:bidi="ar-SA"/>
              </w:rPr>
              <w:t>6. Loss of capacity of consent</w:t>
            </w:r>
          </w:p>
        </w:tc>
        <w:tc>
          <w:tcPr>
            <w:tcW w:w="0" w:type="auto"/>
          </w:tcPr>
          <w:p w:rsidR="00BD360B" w:rsidRDefault="00BD360B" w:rsidP="007E6211">
            <w:pPr>
              <w:spacing w:before="120"/>
              <w:ind w:firstLine="0"/>
              <w:rPr>
                <w:rFonts w:ascii="Times New Roman" w:eastAsia="Calibri" w:hAnsi="Times New Roman" w:cs="Times New Roman"/>
                <w:sz w:val="24"/>
                <w:lang w:bidi="ar-SA"/>
              </w:rPr>
            </w:pPr>
          </w:p>
        </w:tc>
      </w:tr>
      <w:tr w:rsidR="00BD360B" w:rsidDel="00F8765D" w:rsidTr="007E6211">
        <w:trPr>
          <w:cnfStyle w:val="000000100000" w:firstRow="0" w:lastRow="0" w:firstColumn="0" w:lastColumn="0" w:oddVBand="0" w:evenVBand="0" w:oddHBand="1" w:evenHBand="0" w:firstRowFirstColumn="0" w:firstRowLastColumn="0" w:lastRowFirstColumn="0" w:lastRowLastColumn="0"/>
        </w:trPr>
        <w:tc>
          <w:tcPr>
            <w:tcW w:w="0" w:type="auto"/>
          </w:tcPr>
          <w:p w:rsidR="00BD360B" w:rsidRDefault="00BD360B" w:rsidP="007E6211">
            <w:pPr>
              <w:spacing w:before="120"/>
              <w:ind w:firstLine="0"/>
              <w:rPr>
                <w:rFonts w:ascii="Times New Roman" w:eastAsia="Calibri" w:hAnsi="Times New Roman" w:cs="Times New Roman"/>
                <w:bCs/>
                <w:sz w:val="24"/>
                <w:lang w:bidi="ar-SA"/>
              </w:rPr>
            </w:pPr>
            <w:r>
              <w:rPr>
                <w:rFonts w:ascii="Times New Roman" w:eastAsia="Calibri" w:hAnsi="Times New Roman" w:cs="Times New Roman"/>
                <w:sz w:val="24"/>
                <w:lang w:bidi="ar-SA"/>
              </w:rPr>
              <w:t>7. Relevant, physical impairment</w:t>
            </w:r>
          </w:p>
        </w:tc>
        <w:tc>
          <w:tcPr>
            <w:tcW w:w="0" w:type="auto"/>
          </w:tcPr>
          <w:p w:rsidR="00BD360B" w:rsidRDefault="00BD360B" w:rsidP="007E6211">
            <w:pPr>
              <w:spacing w:before="120"/>
              <w:ind w:firstLine="0"/>
              <w:rPr>
                <w:rFonts w:ascii="Times New Roman" w:eastAsia="Calibri" w:hAnsi="Times New Roman" w:cs="Times New Roman"/>
                <w:sz w:val="24"/>
                <w:lang w:bidi="ar-SA"/>
              </w:rPr>
            </w:pPr>
          </w:p>
        </w:tc>
      </w:tr>
      <w:tr w:rsidR="00BD360B" w:rsidDel="00F8765D" w:rsidTr="007E6211">
        <w:tc>
          <w:tcPr>
            <w:tcW w:w="0" w:type="auto"/>
          </w:tcPr>
          <w:p w:rsidR="00BD360B" w:rsidRDefault="00BD360B" w:rsidP="007E6211">
            <w:pPr>
              <w:spacing w:before="120"/>
              <w:ind w:firstLine="0"/>
              <w:rPr>
                <w:rFonts w:ascii="Times New Roman" w:eastAsia="Calibri" w:hAnsi="Times New Roman" w:cs="Times New Roman"/>
                <w:sz w:val="24"/>
                <w:lang w:bidi="ar-SA"/>
              </w:rPr>
            </w:pPr>
            <w:r>
              <w:rPr>
                <w:rFonts w:ascii="Times New Roman" w:eastAsia="Calibri" w:hAnsi="Times New Roman" w:cs="Times New Roman"/>
                <w:sz w:val="24"/>
                <w:lang w:bidi="ar-SA"/>
              </w:rPr>
              <w:t>8. Stadium 3 and 4 cardiac diseases</w:t>
            </w:r>
          </w:p>
        </w:tc>
        <w:tc>
          <w:tcPr>
            <w:tcW w:w="0" w:type="auto"/>
          </w:tcPr>
          <w:p w:rsidR="00BD360B" w:rsidRDefault="00BD360B" w:rsidP="007E6211">
            <w:pPr>
              <w:spacing w:before="120"/>
              <w:ind w:firstLine="0"/>
              <w:rPr>
                <w:rFonts w:ascii="Times New Roman" w:eastAsia="Calibri" w:hAnsi="Times New Roman" w:cs="Times New Roman"/>
                <w:sz w:val="24"/>
                <w:lang w:bidi="ar-SA"/>
              </w:rPr>
            </w:pPr>
          </w:p>
        </w:tc>
      </w:tr>
      <w:tr w:rsidR="00BD360B" w:rsidDel="00F8765D" w:rsidTr="007E6211">
        <w:trPr>
          <w:cnfStyle w:val="000000100000" w:firstRow="0" w:lastRow="0" w:firstColumn="0" w:lastColumn="0" w:oddVBand="0" w:evenVBand="0" w:oddHBand="1" w:evenHBand="0" w:firstRowFirstColumn="0" w:firstRowLastColumn="0" w:lastRowFirstColumn="0" w:lastRowLastColumn="0"/>
        </w:trPr>
        <w:tc>
          <w:tcPr>
            <w:tcW w:w="0" w:type="auto"/>
          </w:tcPr>
          <w:p w:rsidR="00BD360B" w:rsidRDefault="00BD360B" w:rsidP="007E6211">
            <w:pPr>
              <w:spacing w:before="120"/>
              <w:ind w:firstLine="0"/>
              <w:rPr>
                <w:rFonts w:ascii="Times New Roman" w:eastAsia="Calibri" w:hAnsi="Times New Roman" w:cs="Times New Roman"/>
                <w:sz w:val="24"/>
                <w:lang w:bidi="ar-SA"/>
              </w:rPr>
            </w:pPr>
            <w:r>
              <w:rPr>
                <w:rFonts w:ascii="Times New Roman" w:eastAsia="Calibri" w:hAnsi="Times New Roman" w:cs="Times New Roman"/>
                <w:sz w:val="24"/>
                <w:lang w:bidi="ar-SA"/>
              </w:rPr>
              <w:t>9. Relevant systemic disease: cancer, severe kidney or liver disease, type 1 or 2 diabetes, diseases with intrinsic inflammation</w:t>
            </w:r>
          </w:p>
        </w:tc>
        <w:tc>
          <w:tcPr>
            <w:tcW w:w="0" w:type="auto"/>
          </w:tcPr>
          <w:p w:rsidR="00BD360B" w:rsidRDefault="00BD360B" w:rsidP="007E6211">
            <w:pPr>
              <w:spacing w:before="120"/>
              <w:ind w:firstLine="0"/>
              <w:rPr>
                <w:rFonts w:ascii="Times New Roman" w:eastAsia="Calibri" w:hAnsi="Times New Roman" w:cs="Times New Roman"/>
                <w:sz w:val="24"/>
                <w:lang w:bidi="ar-SA"/>
              </w:rPr>
            </w:pPr>
          </w:p>
        </w:tc>
      </w:tr>
      <w:tr w:rsidR="00BD360B" w:rsidDel="00F8765D" w:rsidTr="007E6211">
        <w:tc>
          <w:tcPr>
            <w:tcW w:w="0" w:type="auto"/>
          </w:tcPr>
          <w:p w:rsidR="00BD360B" w:rsidRDefault="00BD360B" w:rsidP="007E6211">
            <w:pPr>
              <w:spacing w:before="120"/>
              <w:ind w:firstLine="0"/>
              <w:rPr>
                <w:rFonts w:ascii="Times New Roman" w:eastAsia="Calibri" w:hAnsi="Times New Roman" w:cs="Times New Roman"/>
                <w:sz w:val="24"/>
                <w:lang w:bidi="ar-SA"/>
              </w:rPr>
            </w:pPr>
            <w:r>
              <w:rPr>
                <w:rFonts w:ascii="Times New Roman" w:eastAsia="Calibri" w:hAnsi="Times New Roman" w:cs="Times New Roman"/>
                <w:sz w:val="24"/>
                <w:lang w:bidi="ar-SA"/>
              </w:rPr>
              <w:lastRenderedPageBreak/>
              <w:t>10. Treatments that influence glucose or microbiome composition: antidiabetics, antibiotics, immune suppressants, etc. (excluded from gut-microbiome analyses only; included in remaining analyses)</w:t>
            </w:r>
          </w:p>
        </w:tc>
        <w:tc>
          <w:tcPr>
            <w:tcW w:w="0" w:type="auto"/>
          </w:tcPr>
          <w:p w:rsidR="00BD360B" w:rsidRDefault="00BD360B" w:rsidP="007E6211">
            <w:pPr>
              <w:spacing w:before="120"/>
              <w:ind w:firstLine="0"/>
              <w:rPr>
                <w:rFonts w:ascii="Times New Roman" w:eastAsia="Calibri" w:hAnsi="Times New Roman" w:cs="Times New Roman"/>
                <w:sz w:val="24"/>
                <w:lang w:bidi="ar-SA"/>
              </w:rPr>
            </w:pPr>
          </w:p>
        </w:tc>
      </w:tr>
      <w:tr w:rsidR="00BD360B" w:rsidDel="00F8765D" w:rsidTr="007E6211">
        <w:trPr>
          <w:cnfStyle w:val="000000100000" w:firstRow="0" w:lastRow="0" w:firstColumn="0" w:lastColumn="0" w:oddVBand="0" w:evenVBand="0" w:oddHBand="1" w:evenHBand="0" w:firstRowFirstColumn="0" w:firstRowLastColumn="0" w:lastRowFirstColumn="0" w:lastRowLastColumn="0"/>
        </w:trPr>
        <w:tc>
          <w:tcPr>
            <w:tcW w:w="0" w:type="auto"/>
          </w:tcPr>
          <w:p w:rsidR="00BD360B" w:rsidRDefault="00BD360B" w:rsidP="007E6211">
            <w:pPr>
              <w:spacing w:before="120"/>
              <w:ind w:firstLine="0"/>
              <w:rPr>
                <w:rFonts w:ascii="Times New Roman" w:eastAsia="Calibri" w:hAnsi="Times New Roman" w:cs="Times New Roman"/>
                <w:sz w:val="24"/>
                <w:lang w:bidi="ar-SA"/>
              </w:rPr>
            </w:pPr>
            <w:r>
              <w:rPr>
                <w:rFonts w:ascii="Times New Roman" w:eastAsia="Calibri" w:hAnsi="Times New Roman" w:cs="Times New Roman"/>
                <w:sz w:val="24"/>
                <w:lang w:bidi="ar-SA"/>
              </w:rPr>
              <w:t>11. Chronic obstipation or diarrhea</w:t>
            </w:r>
          </w:p>
        </w:tc>
        <w:tc>
          <w:tcPr>
            <w:tcW w:w="0" w:type="auto"/>
          </w:tcPr>
          <w:p w:rsidR="00BD360B" w:rsidRDefault="00BD360B" w:rsidP="007E6211">
            <w:pPr>
              <w:spacing w:before="120"/>
              <w:ind w:firstLine="0"/>
              <w:rPr>
                <w:rFonts w:ascii="Times New Roman" w:eastAsia="Calibri" w:hAnsi="Times New Roman" w:cs="Times New Roman"/>
                <w:sz w:val="24"/>
                <w:lang w:bidi="ar-SA"/>
              </w:rPr>
            </w:pPr>
          </w:p>
        </w:tc>
      </w:tr>
      <w:tr w:rsidR="00BD360B" w:rsidDel="00F8765D" w:rsidTr="007E6211">
        <w:tc>
          <w:tcPr>
            <w:tcW w:w="0" w:type="auto"/>
          </w:tcPr>
          <w:p w:rsidR="00BD360B" w:rsidRDefault="00BD360B" w:rsidP="007E6211">
            <w:pPr>
              <w:spacing w:before="120"/>
              <w:ind w:firstLine="0"/>
              <w:rPr>
                <w:rFonts w:ascii="Times New Roman" w:eastAsia="Calibri" w:hAnsi="Times New Roman" w:cs="Times New Roman"/>
                <w:sz w:val="24"/>
                <w:lang w:bidi="ar-SA"/>
              </w:rPr>
            </w:pPr>
            <w:r>
              <w:rPr>
                <w:rFonts w:ascii="Times New Roman" w:eastAsia="Calibri" w:hAnsi="Times New Roman" w:cs="Times New Roman"/>
                <w:sz w:val="24"/>
                <w:lang w:bidi="ar-SA"/>
              </w:rPr>
              <w:t>12. Symptoms of clinical infection during the last month</w:t>
            </w:r>
          </w:p>
        </w:tc>
        <w:tc>
          <w:tcPr>
            <w:tcW w:w="0" w:type="auto"/>
          </w:tcPr>
          <w:p w:rsidR="00BD360B" w:rsidRDefault="00BD360B" w:rsidP="007E6211">
            <w:pPr>
              <w:spacing w:before="120"/>
              <w:ind w:firstLine="0"/>
              <w:rPr>
                <w:rFonts w:ascii="Times New Roman" w:eastAsia="Calibri" w:hAnsi="Times New Roman" w:cs="Times New Roman"/>
                <w:sz w:val="24"/>
                <w:lang w:bidi="ar-SA"/>
              </w:rPr>
            </w:pPr>
          </w:p>
        </w:tc>
      </w:tr>
      <w:tr w:rsidR="00BD360B" w:rsidDel="00F8765D" w:rsidTr="007E6211">
        <w:trPr>
          <w:cnfStyle w:val="000000100000" w:firstRow="0" w:lastRow="0" w:firstColumn="0" w:lastColumn="0" w:oddVBand="0" w:evenVBand="0" w:oddHBand="1" w:evenHBand="0" w:firstRowFirstColumn="0" w:firstRowLastColumn="0" w:lastRowFirstColumn="0" w:lastRowLastColumn="0"/>
        </w:trPr>
        <w:tc>
          <w:tcPr>
            <w:tcW w:w="0" w:type="auto"/>
          </w:tcPr>
          <w:p w:rsidR="00BD360B" w:rsidRDefault="00BD360B" w:rsidP="007E6211">
            <w:pPr>
              <w:spacing w:before="120"/>
              <w:ind w:firstLine="0"/>
              <w:rPr>
                <w:rFonts w:ascii="Times New Roman" w:eastAsia="Calibri" w:hAnsi="Times New Roman" w:cs="Times New Roman"/>
                <w:bCs/>
                <w:sz w:val="24"/>
                <w:lang w:bidi="ar-SA"/>
              </w:rPr>
            </w:pPr>
            <w:r>
              <w:rPr>
                <w:rFonts w:ascii="Times New Roman" w:eastAsia="Calibri" w:hAnsi="Times New Roman" w:cs="Times New Roman"/>
                <w:sz w:val="24"/>
                <w:lang w:bidi="ar-SA"/>
              </w:rPr>
              <w:t>13. Excessive alcohol/drug consumption</w:t>
            </w:r>
          </w:p>
        </w:tc>
        <w:tc>
          <w:tcPr>
            <w:tcW w:w="0" w:type="auto"/>
          </w:tcPr>
          <w:p w:rsidR="00BD360B" w:rsidRDefault="00BD360B" w:rsidP="007E6211">
            <w:pPr>
              <w:spacing w:before="120"/>
              <w:ind w:firstLine="0"/>
              <w:rPr>
                <w:rFonts w:ascii="Times New Roman" w:eastAsia="Calibri" w:hAnsi="Times New Roman" w:cs="Times New Roman"/>
                <w:sz w:val="24"/>
                <w:lang w:bidi="ar-SA"/>
              </w:rPr>
            </w:pPr>
          </w:p>
        </w:tc>
      </w:tr>
      <w:tr w:rsidR="00BD360B" w:rsidDel="00F8765D" w:rsidTr="007E6211">
        <w:tc>
          <w:tcPr>
            <w:tcW w:w="0" w:type="auto"/>
          </w:tcPr>
          <w:p w:rsidR="00BD360B" w:rsidRDefault="00BD360B" w:rsidP="007E6211">
            <w:pPr>
              <w:spacing w:before="120"/>
              <w:ind w:firstLine="0"/>
              <w:rPr>
                <w:rFonts w:ascii="Times New Roman" w:eastAsia="Calibri" w:hAnsi="Times New Roman" w:cs="Times New Roman"/>
                <w:sz w:val="24"/>
                <w:lang w:bidi="ar-SA"/>
              </w:rPr>
            </w:pPr>
            <w:r>
              <w:rPr>
                <w:rFonts w:ascii="Times New Roman" w:eastAsia="Calibri" w:hAnsi="Times New Roman" w:cs="Times New Roman"/>
                <w:sz w:val="24"/>
                <w:lang w:bidi="ar-SA"/>
              </w:rPr>
              <w:t>14. Severe eating disorder</w:t>
            </w:r>
          </w:p>
        </w:tc>
        <w:tc>
          <w:tcPr>
            <w:tcW w:w="0" w:type="auto"/>
          </w:tcPr>
          <w:p w:rsidR="00BD360B" w:rsidRDefault="00BD360B" w:rsidP="007E6211">
            <w:pPr>
              <w:spacing w:before="120"/>
              <w:ind w:firstLine="0"/>
              <w:rPr>
                <w:rFonts w:ascii="Times New Roman" w:eastAsia="Calibri" w:hAnsi="Times New Roman" w:cs="Times New Roman"/>
                <w:sz w:val="24"/>
                <w:lang w:bidi="ar-SA"/>
              </w:rPr>
            </w:pPr>
          </w:p>
        </w:tc>
      </w:tr>
      <w:tr w:rsidR="00BD360B" w:rsidDel="00F8765D" w:rsidTr="007E6211">
        <w:trPr>
          <w:cnfStyle w:val="000000100000" w:firstRow="0" w:lastRow="0" w:firstColumn="0" w:lastColumn="0" w:oddVBand="0" w:evenVBand="0" w:oddHBand="1" w:evenHBand="0" w:firstRowFirstColumn="0" w:firstRowLastColumn="0" w:lastRowFirstColumn="0" w:lastRowLastColumn="0"/>
        </w:trPr>
        <w:tc>
          <w:tcPr>
            <w:tcW w:w="0" w:type="auto"/>
          </w:tcPr>
          <w:p w:rsidR="00BD360B" w:rsidRDefault="00BD360B" w:rsidP="007E6211">
            <w:pPr>
              <w:spacing w:before="120"/>
              <w:ind w:firstLine="0"/>
              <w:rPr>
                <w:rFonts w:ascii="Times New Roman" w:eastAsia="Calibri" w:hAnsi="Times New Roman" w:cs="Times New Roman"/>
                <w:sz w:val="24"/>
                <w:lang w:bidi="ar-SA"/>
              </w:rPr>
            </w:pPr>
            <w:r>
              <w:rPr>
                <w:rFonts w:ascii="Times New Roman" w:eastAsia="Calibri" w:hAnsi="Times New Roman" w:cs="Times New Roman"/>
                <w:sz w:val="24"/>
                <w:lang w:bidi="ar-SA"/>
              </w:rPr>
              <w:t>15. Known disruption of iron balance</w:t>
            </w:r>
          </w:p>
        </w:tc>
        <w:tc>
          <w:tcPr>
            <w:tcW w:w="0" w:type="auto"/>
          </w:tcPr>
          <w:p w:rsidR="00BD360B" w:rsidRDefault="00BD360B" w:rsidP="007E6211">
            <w:pPr>
              <w:spacing w:before="120"/>
              <w:ind w:firstLine="0"/>
              <w:rPr>
                <w:rFonts w:ascii="Times New Roman" w:eastAsia="Calibri" w:hAnsi="Times New Roman" w:cs="Times New Roman"/>
                <w:sz w:val="24"/>
                <w:lang w:bidi="ar-SA"/>
              </w:rPr>
            </w:pPr>
          </w:p>
        </w:tc>
      </w:tr>
      <w:tr w:rsidR="00BD360B" w:rsidDel="00F8765D" w:rsidTr="007E6211">
        <w:tc>
          <w:tcPr>
            <w:tcW w:w="0" w:type="auto"/>
          </w:tcPr>
          <w:p w:rsidR="00BD360B" w:rsidRDefault="00BD360B" w:rsidP="007E6211">
            <w:pPr>
              <w:spacing w:before="120"/>
              <w:ind w:firstLine="0"/>
              <w:rPr>
                <w:rFonts w:ascii="Times New Roman" w:eastAsia="Calibri" w:hAnsi="Times New Roman" w:cs="Times New Roman"/>
                <w:sz w:val="24"/>
                <w:lang w:bidi="ar-SA"/>
              </w:rPr>
            </w:pPr>
            <w:r>
              <w:rPr>
                <w:rFonts w:ascii="Times New Roman" w:eastAsia="Calibri" w:hAnsi="Times New Roman" w:cs="Times New Roman"/>
                <w:sz w:val="24"/>
                <w:lang w:bidi="ar-SA"/>
              </w:rPr>
              <w:t>16. Chronic treatment with steroidal anti-inflammatory drugs</w:t>
            </w:r>
          </w:p>
        </w:tc>
        <w:tc>
          <w:tcPr>
            <w:tcW w:w="0" w:type="auto"/>
          </w:tcPr>
          <w:p w:rsidR="00BD360B" w:rsidRDefault="00BD360B" w:rsidP="007E6211">
            <w:pPr>
              <w:spacing w:before="120"/>
              <w:ind w:firstLine="0"/>
              <w:rPr>
                <w:rFonts w:ascii="Times New Roman" w:eastAsia="Calibri" w:hAnsi="Times New Roman" w:cs="Times New Roman"/>
                <w:sz w:val="24"/>
                <w:lang w:bidi="ar-SA"/>
              </w:rPr>
            </w:pPr>
          </w:p>
        </w:tc>
      </w:tr>
      <w:tr w:rsidR="00BD360B" w:rsidDel="00F8765D" w:rsidTr="007E6211">
        <w:trPr>
          <w:cnfStyle w:val="000000100000" w:firstRow="0" w:lastRow="0" w:firstColumn="0" w:lastColumn="0" w:oddVBand="0" w:evenVBand="0" w:oddHBand="1" w:evenHBand="0" w:firstRowFirstColumn="0" w:firstRowLastColumn="0" w:lastRowFirstColumn="0" w:lastRowLastColumn="0"/>
        </w:trPr>
        <w:tc>
          <w:tcPr>
            <w:tcW w:w="0" w:type="auto"/>
          </w:tcPr>
          <w:p w:rsidR="00BD360B" w:rsidRDefault="00BD360B" w:rsidP="007E6211">
            <w:pPr>
              <w:spacing w:before="120"/>
              <w:ind w:firstLine="0"/>
              <w:rPr>
                <w:rFonts w:ascii="Times New Roman" w:eastAsia="Calibri" w:hAnsi="Times New Roman" w:cs="Times New Roman"/>
                <w:sz w:val="24"/>
                <w:lang w:bidi="ar-SA"/>
              </w:rPr>
            </w:pPr>
            <w:r>
              <w:rPr>
                <w:rFonts w:ascii="Times New Roman" w:eastAsia="Calibri" w:hAnsi="Times New Roman" w:cs="Times New Roman"/>
                <w:sz w:val="24"/>
                <w:lang w:bidi="ar-SA"/>
              </w:rPr>
              <w:t>17. Treatment with proton pump inhibitors</w:t>
            </w:r>
          </w:p>
        </w:tc>
        <w:tc>
          <w:tcPr>
            <w:tcW w:w="0" w:type="auto"/>
          </w:tcPr>
          <w:p w:rsidR="00BD360B" w:rsidRDefault="00BD360B" w:rsidP="007E6211">
            <w:pPr>
              <w:spacing w:before="120"/>
              <w:ind w:firstLine="0"/>
              <w:rPr>
                <w:rFonts w:ascii="Times New Roman" w:eastAsia="Calibri" w:hAnsi="Times New Roman" w:cs="Times New Roman"/>
                <w:sz w:val="24"/>
                <w:lang w:bidi="ar-SA"/>
              </w:rPr>
            </w:pPr>
          </w:p>
        </w:tc>
      </w:tr>
    </w:tbl>
    <w:p w:rsidR="00BD360B" w:rsidRDefault="00BD360B" w:rsidP="00BD360B">
      <w:pPr>
        <w:spacing w:before="120"/>
        <w:ind w:firstLine="0"/>
        <w:rPr>
          <w:rFonts w:ascii="Times New Roman" w:eastAsia="Calibri" w:hAnsi="Times New Roman" w:cs="Times New Roman"/>
          <w:sz w:val="24"/>
          <w:lang w:bidi="ar-SA"/>
        </w:rPr>
      </w:pPr>
    </w:p>
    <w:p w:rsidR="006C58DF" w:rsidRPr="00EE48E6" w:rsidRDefault="006C58DF" w:rsidP="006C58DF">
      <w:pPr>
        <w:spacing w:before="120"/>
        <w:ind w:firstLine="708"/>
        <w:rPr>
          <w:rFonts w:ascii="Times New Roman" w:eastAsia="Calibri" w:hAnsi="Times New Roman" w:cs="Times New Roman"/>
          <w:b/>
          <w:sz w:val="28"/>
          <w:lang w:bidi="ar-SA"/>
        </w:rPr>
      </w:pPr>
      <w:r w:rsidRPr="00EE48E6">
        <w:rPr>
          <w:rFonts w:ascii="Times New Roman" w:eastAsia="Calibri" w:hAnsi="Times New Roman" w:cs="Times New Roman"/>
          <w:b/>
          <w:sz w:val="28"/>
          <w:lang w:bidi="ar-SA"/>
        </w:rPr>
        <w:t xml:space="preserve">Supplementary </w:t>
      </w:r>
      <w:r>
        <w:rPr>
          <w:rFonts w:ascii="Times New Roman" w:eastAsia="Calibri" w:hAnsi="Times New Roman" w:cs="Times New Roman"/>
          <w:b/>
          <w:sz w:val="28"/>
          <w:lang w:bidi="ar-SA"/>
        </w:rPr>
        <w:t>Material</w:t>
      </w:r>
      <w:r w:rsidRPr="00EE48E6">
        <w:rPr>
          <w:rFonts w:ascii="Times New Roman" w:eastAsia="Calibri" w:hAnsi="Times New Roman" w:cs="Times New Roman"/>
          <w:b/>
          <w:sz w:val="28"/>
          <w:lang w:bidi="ar-SA"/>
        </w:rPr>
        <w:t xml:space="preserve"> </w:t>
      </w:r>
      <w:r>
        <w:rPr>
          <w:rFonts w:ascii="Times New Roman" w:eastAsia="Calibri" w:hAnsi="Times New Roman" w:cs="Times New Roman"/>
          <w:b/>
          <w:sz w:val="28"/>
          <w:lang w:bidi="ar-SA"/>
        </w:rPr>
        <w:t>1</w:t>
      </w:r>
      <w:r w:rsidRPr="00EE48E6">
        <w:rPr>
          <w:rFonts w:ascii="Times New Roman" w:eastAsia="Calibri" w:hAnsi="Times New Roman" w:cs="Times New Roman"/>
          <w:b/>
          <w:sz w:val="28"/>
          <w:lang w:bidi="ar-SA"/>
        </w:rPr>
        <w:t xml:space="preserve"> - Fitting of the whole report task</w:t>
      </w:r>
    </w:p>
    <w:p w:rsidR="006C58DF" w:rsidRDefault="006C58DF" w:rsidP="006C58DF">
      <w:pPr>
        <w:spacing w:before="120"/>
        <w:ind w:firstLine="0"/>
        <w:rPr>
          <w:rFonts w:ascii="Times New Roman" w:eastAsia="Calibri" w:hAnsi="Times New Roman" w:cs="Times New Roman"/>
          <w:sz w:val="24"/>
          <w:lang w:bidi="ar-SA"/>
        </w:rPr>
      </w:pPr>
      <w:r w:rsidRPr="003C760C">
        <w:rPr>
          <w:rFonts w:ascii="Times New Roman" w:eastAsia="Calibri" w:hAnsi="Times New Roman" w:cs="Times New Roman"/>
          <w:sz w:val="24"/>
          <w:lang w:bidi="ar-SA"/>
        </w:rPr>
        <w:t xml:space="preserve">Fitting of whole-report accuracy in the different experimental conditions yields the parameters visual processing speed </w:t>
      </w:r>
      <w:r w:rsidRPr="005A26E8">
        <w:rPr>
          <w:rFonts w:ascii="Times New Roman" w:eastAsia="Calibri" w:hAnsi="Times New Roman" w:cs="Times New Roman"/>
          <w:i/>
          <w:sz w:val="24"/>
          <w:lang w:bidi="ar-SA"/>
        </w:rPr>
        <w:t xml:space="preserve">C </w:t>
      </w:r>
      <w:r w:rsidRPr="003C760C">
        <w:rPr>
          <w:rFonts w:ascii="Times New Roman" w:eastAsia="Calibri" w:hAnsi="Times New Roman" w:cs="Times New Roman"/>
          <w:sz w:val="24"/>
          <w:lang w:bidi="ar-SA"/>
        </w:rPr>
        <w:t xml:space="preserve">(in number of </w:t>
      </w:r>
      <w:r>
        <w:rPr>
          <w:rFonts w:ascii="Times New Roman" w:eastAsia="Calibri" w:hAnsi="Times New Roman" w:cs="Times New Roman"/>
          <w:sz w:val="24"/>
          <w:lang w:bidi="ar-SA"/>
        </w:rPr>
        <w:t>items</w:t>
      </w:r>
      <w:r w:rsidRPr="003C760C">
        <w:rPr>
          <w:rFonts w:ascii="Times New Roman" w:eastAsia="Calibri" w:hAnsi="Times New Roman" w:cs="Times New Roman"/>
          <w:sz w:val="24"/>
          <w:lang w:bidi="ar-SA"/>
        </w:rPr>
        <w:t>/s), visual threshold</w:t>
      </w:r>
      <w:r w:rsidRPr="005A26E8">
        <w:rPr>
          <w:rFonts w:ascii="Times New Roman" w:eastAsia="Calibri" w:hAnsi="Times New Roman" w:cs="Times New Roman"/>
          <w:i/>
          <w:sz w:val="24"/>
          <w:lang w:bidi="ar-SA"/>
        </w:rPr>
        <w:t xml:space="preserve"> t0</w:t>
      </w:r>
      <w:r w:rsidRPr="003C760C">
        <w:rPr>
          <w:rFonts w:ascii="Times New Roman" w:eastAsia="Calibri" w:hAnsi="Times New Roman" w:cs="Times New Roman"/>
          <w:sz w:val="24"/>
          <w:lang w:bidi="ar-SA"/>
        </w:rPr>
        <w:t xml:space="preserve"> (minimum effective exposure duration in ms), and </w:t>
      </w:r>
      <w:r>
        <w:rPr>
          <w:rFonts w:ascii="Times New Roman" w:eastAsia="Calibri" w:hAnsi="Times New Roman" w:cs="Times New Roman"/>
          <w:sz w:val="24"/>
          <w:lang w:bidi="ar-SA"/>
        </w:rPr>
        <w:t xml:space="preserve">visual short-term memory </w:t>
      </w:r>
      <w:r w:rsidRPr="005A26E8">
        <w:rPr>
          <w:rFonts w:ascii="Times New Roman" w:eastAsia="Calibri" w:hAnsi="Times New Roman" w:cs="Times New Roman"/>
          <w:i/>
          <w:sz w:val="24"/>
          <w:lang w:bidi="ar-SA"/>
        </w:rPr>
        <w:t>K</w:t>
      </w:r>
      <w:r w:rsidRPr="003C760C">
        <w:rPr>
          <w:rFonts w:ascii="Times New Roman" w:eastAsia="Calibri" w:hAnsi="Times New Roman" w:cs="Times New Roman"/>
          <w:sz w:val="24"/>
          <w:lang w:bidi="ar-SA"/>
        </w:rPr>
        <w:t xml:space="preserve"> (</w:t>
      </w:r>
      <w:r>
        <w:rPr>
          <w:rFonts w:ascii="Times New Roman" w:eastAsia="Calibri" w:hAnsi="Times New Roman" w:cs="Times New Roman"/>
          <w:sz w:val="24"/>
          <w:lang w:bidi="ar-SA"/>
        </w:rPr>
        <w:t xml:space="preserve">vSTM; </w:t>
      </w:r>
      <w:r w:rsidRPr="003C760C">
        <w:rPr>
          <w:rFonts w:ascii="Times New Roman" w:eastAsia="Calibri" w:hAnsi="Times New Roman" w:cs="Times New Roman"/>
          <w:sz w:val="24"/>
          <w:lang w:bidi="ar-SA"/>
        </w:rPr>
        <w:t xml:space="preserve">in number of elements). </w:t>
      </w:r>
      <w:proofErr w:type="gramStart"/>
      <w:r w:rsidRPr="003C760C">
        <w:rPr>
          <w:rFonts w:ascii="Times New Roman" w:eastAsia="Calibri" w:hAnsi="Times New Roman" w:cs="Times New Roman"/>
          <w:sz w:val="24"/>
          <w:lang w:bidi="ar-SA"/>
        </w:rPr>
        <w:t>Detailed underlying estimation algorithms were described by Kyllingsbaek (2006)</w:t>
      </w:r>
      <w:proofErr w:type="gramEnd"/>
      <w:r w:rsidRPr="003C760C">
        <w:rPr>
          <w:rFonts w:ascii="Times New Roman" w:eastAsia="Calibri" w:hAnsi="Times New Roman" w:cs="Times New Roman"/>
          <w:sz w:val="24"/>
          <w:lang w:bidi="ar-SA"/>
        </w:rPr>
        <w:t xml:space="preserve">. </w:t>
      </w:r>
      <w:r>
        <w:rPr>
          <w:rFonts w:ascii="Times New Roman" w:eastAsia="Calibri" w:hAnsi="Times New Roman" w:cs="Times New Roman"/>
          <w:sz w:val="24"/>
          <w:lang w:bidi="ar-SA"/>
        </w:rPr>
        <w:t xml:space="preserve">According to this model, visual objects </w:t>
      </w:r>
      <w:proofErr w:type="gramStart"/>
      <w:r>
        <w:rPr>
          <w:rFonts w:ascii="Times New Roman" w:eastAsia="Calibri" w:hAnsi="Times New Roman" w:cs="Times New Roman"/>
          <w:sz w:val="24"/>
          <w:lang w:bidi="ar-SA"/>
        </w:rPr>
        <w:t>are processed</w:t>
      </w:r>
      <w:proofErr w:type="gramEnd"/>
      <w:r>
        <w:rPr>
          <w:rFonts w:ascii="Times New Roman" w:eastAsia="Calibri" w:hAnsi="Times New Roman" w:cs="Times New Roman"/>
          <w:sz w:val="24"/>
          <w:lang w:bidi="ar-SA"/>
        </w:rPr>
        <w:t xml:space="preserve"> in parallel and compete for selection based on processing speed – objects </w:t>
      </w:r>
      <w:r w:rsidRPr="00B45D5C">
        <w:rPr>
          <w:rFonts w:ascii="Times New Roman" w:eastAsia="Calibri" w:hAnsi="Times New Roman" w:cs="Times New Roman"/>
          <w:sz w:val="24"/>
          <w:lang w:bidi="ar-SA"/>
        </w:rPr>
        <w:t>processed the fastest are encoded first unti</w:t>
      </w:r>
      <w:r>
        <w:rPr>
          <w:rFonts w:ascii="Times New Roman" w:eastAsia="Calibri" w:hAnsi="Times New Roman" w:cs="Times New Roman"/>
          <w:sz w:val="24"/>
          <w:lang w:bidi="ar-SA"/>
        </w:rPr>
        <w:t xml:space="preserve">l the vSTM </w:t>
      </w:r>
      <w:r w:rsidRPr="00B45D5C">
        <w:rPr>
          <w:rFonts w:ascii="Times New Roman" w:eastAsia="Calibri" w:hAnsi="Times New Roman" w:cs="Times New Roman"/>
          <w:sz w:val="24"/>
          <w:lang w:bidi="ar-SA"/>
        </w:rPr>
        <w:t>reaches its capacity.</w:t>
      </w:r>
      <w:r>
        <w:rPr>
          <w:rFonts w:ascii="Times New Roman" w:eastAsia="Calibri" w:hAnsi="Times New Roman" w:cs="Times New Roman"/>
          <w:sz w:val="24"/>
          <w:lang w:bidi="ar-SA"/>
        </w:rPr>
        <w:t xml:space="preserve"> </w:t>
      </w:r>
      <w:r w:rsidRPr="00B45D5C">
        <w:rPr>
          <w:rFonts w:ascii="Times New Roman" w:eastAsia="Calibri" w:hAnsi="Times New Roman" w:cs="Times New Roman"/>
          <w:sz w:val="24"/>
          <w:lang w:bidi="ar-SA"/>
        </w:rPr>
        <w:t xml:space="preserve">Once encoded, an object becomes consciously accessible and </w:t>
      </w:r>
      <w:proofErr w:type="gramStart"/>
      <w:r w:rsidRPr="00B45D5C">
        <w:rPr>
          <w:rFonts w:ascii="Times New Roman" w:eastAsia="Calibri" w:hAnsi="Times New Roman" w:cs="Times New Roman"/>
          <w:sz w:val="24"/>
          <w:lang w:bidi="ar-SA"/>
        </w:rPr>
        <w:t>can be reported</w:t>
      </w:r>
      <w:proofErr w:type="gramEnd"/>
      <w:r w:rsidRPr="00B45D5C">
        <w:rPr>
          <w:rFonts w:ascii="Times New Roman" w:eastAsia="Calibri" w:hAnsi="Times New Roman" w:cs="Times New Roman"/>
          <w:sz w:val="24"/>
          <w:lang w:bidi="ar-SA"/>
        </w:rPr>
        <w:t>.</w:t>
      </w:r>
      <w:r>
        <w:rPr>
          <w:rFonts w:ascii="Times New Roman" w:eastAsia="Calibri" w:hAnsi="Times New Roman" w:cs="Times New Roman"/>
          <w:sz w:val="24"/>
          <w:lang w:bidi="ar-SA"/>
        </w:rPr>
        <w:t xml:space="preserve"> </w:t>
      </w:r>
      <w:r w:rsidRPr="00B45D5C">
        <w:rPr>
          <w:rFonts w:ascii="Times New Roman" w:eastAsia="Calibri" w:hAnsi="Times New Roman" w:cs="Times New Roman"/>
          <w:sz w:val="24"/>
          <w:lang w:bidi="ar-SA"/>
        </w:rPr>
        <w:t xml:space="preserve">The </w:t>
      </w:r>
      <w:r w:rsidRPr="00B45D5C">
        <w:rPr>
          <w:rFonts w:ascii="Times New Roman" w:eastAsia="Calibri" w:hAnsi="Times New Roman" w:cs="Times New Roman"/>
          <w:sz w:val="24"/>
          <w:lang w:bidi="ar-SA"/>
        </w:rPr>
        <w:lastRenderedPageBreak/>
        <w:t xml:space="preserve">likelihood of an object </w:t>
      </w:r>
      <w:proofErr w:type="gramStart"/>
      <w:r w:rsidRPr="00B45D5C">
        <w:rPr>
          <w:rFonts w:ascii="Times New Roman" w:eastAsia="Calibri" w:hAnsi="Times New Roman" w:cs="Times New Roman"/>
          <w:sz w:val="24"/>
          <w:lang w:bidi="ar-SA"/>
        </w:rPr>
        <w:t>being selected</w:t>
      </w:r>
      <w:proofErr w:type="gramEnd"/>
      <w:r w:rsidRPr="00B45D5C">
        <w:rPr>
          <w:rFonts w:ascii="Times New Roman" w:eastAsia="Calibri" w:hAnsi="Times New Roman" w:cs="Times New Roman"/>
          <w:sz w:val="24"/>
          <w:lang w:bidi="ar-SA"/>
        </w:rPr>
        <w:t xml:space="preserve"> is determi</w:t>
      </w:r>
      <w:r>
        <w:rPr>
          <w:rFonts w:ascii="Times New Roman" w:eastAsia="Calibri" w:hAnsi="Times New Roman" w:cs="Times New Roman"/>
          <w:sz w:val="24"/>
          <w:lang w:bidi="ar-SA"/>
        </w:rPr>
        <w:t xml:space="preserve">ned by (a) its processing rate </w:t>
      </w:r>
      <w:r w:rsidRPr="00B45D5C">
        <w:rPr>
          <w:rFonts w:ascii="Times New Roman" w:eastAsia="Calibri" w:hAnsi="Times New Roman" w:cs="Times New Roman"/>
          <w:i/>
          <w:sz w:val="24"/>
          <w:lang w:bidi="ar-SA"/>
        </w:rPr>
        <w:t>v</w:t>
      </w:r>
      <w:r>
        <w:rPr>
          <w:rFonts w:ascii="Times New Roman" w:eastAsia="Calibri" w:hAnsi="Times New Roman" w:cs="Times New Roman"/>
          <w:sz w:val="24"/>
          <w:lang w:bidi="ar-SA"/>
        </w:rPr>
        <w:t xml:space="preserve">, </w:t>
      </w:r>
      <w:r w:rsidRPr="00B45D5C">
        <w:rPr>
          <w:rFonts w:ascii="Times New Roman" w:eastAsia="Calibri" w:hAnsi="Times New Roman" w:cs="Times New Roman"/>
          <w:sz w:val="24"/>
          <w:lang w:bidi="ar-SA"/>
        </w:rPr>
        <w:t>and (b) the vSTM</w:t>
      </w:r>
      <w:r>
        <w:rPr>
          <w:rFonts w:ascii="Times New Roman" w:eastAsia="Calibri" w:hAnsi="Times New Roman" w:cs="Times New Roman"/>
          <w:sz w:val="24"/>
          <w:lang w:bidi="ar-SA"/>
        </w:rPr>
        <w:t xml:space="preserve"> storage capacity</w:t>
      </w:r>
      <w:r w:rsidRPr="00B45D5C">
        <w:rPr>
          <w:rFonts w:ascii="Times New Roman" w:eastAsia="Calibri" w:hAnsi="Times New Roman" w:cs="Times New Roman"/>
          <w:sz w:val="24"/>
          <w:lang w:bidi="ar-SA"/>
        </w:rPr>
        <w:t xml:space="preserve"> </w:t>
      </w:r>
      <w:r w:rsidRPr="00B45D5C">
        <w:rPr>
          <w:rFonts w:ascii="Times New Roman" w:eastAsia="Calibri" w:hAnsi="Times New Roman" w:cs="Times New Roman"/>
          <w:i/>
          <w:sz w:val="24"/>
          <w:lang w:bidi="ar-SA"/>
        </w:rPr>
        <w:t>K</w:t>
      </w:r>
      <w:r w:rsidRPr="00B45D5C">
        <w:rPr>
          <w:rFonts w:ascii="Times New Roman" w:eastAsia="Calibri" w:hAnsi="Times New Roman" w:cs="Times New Roman"/>
          <w:sz w:val="24"/>
          <w:lang w:bidi="ar-SA"/>
        </w:rPr>
        <w:t>. The processing rate depends on the dynamics of the processing system, with selection probability increasing exp</w:t>
      </w:r>
      <w:r>
        <w:rPr>
          <w:rFonts w:ascii="Times New Roman" w:eastAsia="Calibri" w:hAnsi="Times New Roman" w:cs="Times New Roman"/>
          <w:sz w:val="24"/>
          <w:lang w:bidi="ar-SA"/>
        </w:rPr>
        <w:t>onentially as exposure duration increases.</w:t>
      </w:r>
    </w:p>
    <w:p w:rsidR="006C58DF" w:rsidRDefault="006C58DF" w:rsidP="006C58DF">
      <w:pPr>
        <w:spacing w:before="120"/>
        <w:ind w:firstLine="0"/>
        <w:rPr>
          <w:rFonts w:ascii="Times New Roman" w:eastAsia="Calibri" w:hAnsi="Times New Roman" w:cs="Times New Roman"/>
          <w:sz w:val="24"/>
          <w:lang w:bidi="ar-SA"/>
        </w:rPr>
      </w:pPr>
      <w:r w:rsidRPr="00B45D5C">
        <w:rPr>
          <w:rFonts w:ascii="Times New Roman" w:eastAsia="Calibri" w:hAnsi="Times New Roman" w:cs="Times New Roman"/>
          <w:sz w:val="24"/>
          <w:lang w:bidi="ar-SA"/>
        </w:rPr>
        <w:t>Mathematically, TVA models the dynamics of the processing systems by three parameters.</w:t>
      </w:r>
      <w:r>
        <w:rPr>
          <w:rFonts w:ascii="Times New Roman" w:eastAsia="Calibri" w:hAnsi="Times New Roman" w:cs="Times New Roman"/>
          <w:sz w:val="24"/>
          <w:lang w:bidi="ar-SA"/>
        </w:rPr>
        <w:t xml:space="preserve"> The first the parameter visual threshold </w:t>
      </w:r>
      <w:r>
        <w:rPr>
          <w:rFonts w:ascii="Times New Roman" w:eastAsia="Calibri" w:hAnsi="Times New Roman" w:cs="Times New Roman"/>
          <w:i/>
          <w:sz w:val="24"/>
          <w:lang w:bidi="ar-SA"/>
        </w:rPr>
        <w:t>t</w:t>
      </w:r>
      <w:r>
        <w:rPr>
          <w:rFonts w:ascii="Times New Roman" w:eastAsia="Calibri" w:hAnsi="Times New Roman" w:cs="Times New Roman"/>
          <w:i/>
          <w:sz w:val="24"/>
          <w:vertAlign w:val="subscript"/>
          <w:lang w:bidi="ar-SA"/>
        </w:rPr>
        <w:t>0</w:t>
      </w:r>
      <w:r>
        <w:rPr>
          <w:rFonts w:ascii="Times New Roman" w:eastAsia="Calibri" w:hAnsi="Times New Roman" w:cs="Times New Roman"/>
          <w:sz w:val="24"/>
          <w:lang w:bidi="ar-SA"/>
        </w:rPr>
        <w:t xml:space="preserve">, representing the minimum exposure duration, below which no visual processing occurs. The second is processing capacity </w:t>
      </w:r>
      <w:r>
        <w:rPr>
          <w:rFonts w:ascii="Times New Roman" w:eastAsia="Calibri" w:hAnsi="Times New Roman" w:cs="Times New Roman"/>
          <w:i/>
          <w:sz w:val="24"/>
          <w:lang w:bidi="ar-SA"/>
        </w:rPr>
        <w:t>C</w:t>
      </w:r>
      <w:r>
        <w:rPr>
          <w:rFonts w:ascii="Times New Roman" w:eastAsia="Calibri" w:hAnsi="Times New Roman" w:cs="Times New Roman"/>
          <w:sz w:val="24"/>
          <w:lang w:bidi="ar-SA"/>
        </w:rPr>
        <w:t xml:space="preserve">, a speed parameter </w:t>
      </w:r>
      <w:proofErr w:type="gramStart"/>
      <w:r>
        <w:rPr>
          <w:rFonts w:ascii="Times New Roman" w:eastAsia="Calibri" w:hAnsi="Times New Roman" w:cs="Times New Roman"/>
          <w:sz w:val="24"/>
          <w:lang w:bidi="ar-SA"/>
        </w:rPr>
        <w:t>which</w:t>
      </w:r>
      <w:proofErr w:type="gramEnd"/>
      <w:r>
        <w:rPr>
          <w:rFonts w:ascii="Times New Roman" w:eastAsia="Calibri" w:hAnsi="Times New Roman" w:cs="Times New Roman"/>
          <w:sz w:val="24"/>
          <w:lang w:bidi="ar-SA"/>
        </w:rPr>
        <w:t xml:space="preserve"> refers to the overall rate of information uptake in objects per second, defined as the total processing rate </w:t>
      </w:r>
      <w:r>
        <w:rPr>
          <w:rFonts w:ascii="Times New Roman" w:eastAsia="Calibri" w:hAnsi="Times New Roman" w:cs="Times New Roman"/>
          <w:i/>
          <w:sz w:val="24"/>
          <w:lang w:bidi="ar-SA"/>
        </w:rPr>
        <w:t xml:space="preserve">v </w:t>
      </w:r>
      <w:r>
        <w:rPr>
          <w:rFonts w:ascii="Times New Roman" w:eastAsia="Calibri" w:hAnsi="Times New Roman" w:cs="Times New Roman"/>
          <w:sz w:val="24"/>
          <w:lang w:bidi="ar-SA"/>
        </w:rPr>
        <w:t xml:space="preserve">across all objects in the field. The third and mathematically independent parameter is vSTM storage capacity </w:t>
      </w:r>
      <w:r>
        <w:rPr>
          <w:rFonts w:ascii="Times New Roman" w:eastAsia="Calibri" w:hAnsi="Times New Roman" w:cs="Times New Roman"/>
          <w:i/>
          <w:sz w:val="24"/>
          <w:lang w:bidi="ar-SA"/>
        </w:rPr>
        <w:t>K</w:t>
      </w:r>
      <w:r>
        <w:rPr>
          <w:rFonts w:ascii="Times New Roman" w:eastAsia="Calibri" w:hAnsi="Times New Roman" w:cs="Times New Roman"/>
          <w:sz w:val="24"/>
          <w:lang w:bidi="ar-SA"/>
        </w:rPr>
        <w:t xml:space="preserve">, indicating how many objects </w:t>
      </w:r>
      <w:proofErr w:type="gramStart"/>
      <w:r>
        <w:rPr>
          <w:rFonts w:ascii="Times New Roman" w:eastAsia="Calibri" w:hAnsi="Times New Roman" w:cs="Times New Roman"/>
          <w:sz w:val="24"/>
          <w:lang w:bidi="ar-SA"/>
        </w:rPr>
        <w:t>can be held</w:t>
      </w:r>
      <w:proofErr w:type="gramEnd"/>
      <w:r>
        <w:rPr>
          <w:rFonts w:ascii="Times New Roman" w:eastAsia="Calibri" w:hAnsi="Times New Roman" w:cs="Times New Roman"/>
          <w:sz w:val="24"/>
          <w:lang w:bidi="ar-SA"/>
        </w:rPr>
        <w:t xml:space="preserve"> in parallel. Objects compete for processing based on their </w:t>
      </w:r>
      <w:r w:rsidRPr="004E7D7C">
        <w:rPr>
          <w:rFonts w:ascii="Times New Roman" w:eastAsia="Calibri" w:hAnsi="Times New Roman" w:cs="Times New Roman"/>
          <w:i/>
          <w:sz w:val="24"/>
          <w:lang w:bidi="ar-SA"/>
        </w:rPr>
        <w:t>v</w:t>
      </w:r>
      <w:r>
        <w:rPr>
          <w:rFonts w:ascii="Times New Roman" w:eastAsia="Calibri" w:hAnsi="Times New Roman" w:cs="Times New Roman"/>
          <w:sz w:val="24"/>
          <w:lang w:bidi="ar-SA"/>
        </w:rPr>
        <w:t xml:space="preserve"> values, with the first </w:t>
      </w:r>
      <w:r w:rsidRPr="004E7D7C">
        <w:rPr>
          <w:rFonts w:ascii="Times New Roman" w:eastAsia="Calibri" w:hAnsi="Times New Roman" w:cs="Times New Roman"/>
          <w:i/>
          <w:sz w:val="24"/>
          <w:lang w:bidi="ar-SA"/>
        </w:rPr>
        <w:t>K</w:t>
      </w:r>
      <w:r>
        <w:rPr>
          <w:rFonts w:ascii="Times New Roman" w:eastAsia="Calibri" w:hAnsi="Times New Roman" w:cs="Times New Roman"/>
          <w:sz w:val="24"/>
          <w:lang w:bidi="ar-SA"/>
        </w:rPr>
        <w:t xml:space="preserve"> objects entering vSTM while the rest are lost and unavailable for reporting. </w:t>
      </w:r>
    </w:p>
    <w:p w:rsidR="006C58DF" w:rsidRPr="006C58DF" w:rsidRDefault="006C58DF" w:rsidP="006C58DF">
      <w:pPr>
        <w:spacing w:before="120"/>
        <w:ind w:firstLine="0"/>
        <w:rPr>
          <w:rFonts w:ascii="Times New Roman" w:eastAsia="Calibri" w:hAnsi="Times New Roman" w:cs="Times New Roman"/>
          <w:sz w:val="24"/>
          <w:lang w:bidi="ar-SA"/>
        </w:rPr>
      </w:pPr>
      <w:r>
        <w:rPr>
          <w:rFonts w:ascii="Times New Roman" w:eastAsia="Calibri" w:hAnsi="Times New Roman" w:cs="Times New Roman"/>
          <w:sz w:val="24"/>
          <w:lang w:bidi="ar-SA"/>
        </w:rPr>
        <w:t xml:space="preserve">In the computational framework of TVA, the two basic attentional parameters </w:t>
      </w:r>
      <w:proofErr w:type="gramStart"/>
      <w:r>
        <w:rPr>
          <w:rFonts w:ascii="Times New Roman" w:eastAsia="Calibri" w:hAnsi="Times New Roman" w:cs="Times New Roman"/>
          <w:sz w:val="24"/>
          <w:lang w:bidi="ar-SA"/>
        </w:rPr>
        <w:t>can be derived</w:t>
      </w:r>
      <w:proofErr w:type="gramEnd"/>
      <w:r>
        <w:rPr>
          <w:rFonts w:ascii="Times New Roman" w:eastAsia="Calibri" w:hAnsi="Times New Roman" w:cs="Times New Roman"/>
          <w:sz w:val="24"/>
          <w:lang w:bidi="ar-SA"/>
        </w:rPr>
        <w:t xml:space="preserve"> from a participant’s performance in a whole-report task. </w:t>
      </w:r>
      <w:r w:rsidRPr="004E7D7C">
        <w:rPr>
          <w:rFonts w:ascii="Times New Roman" w:eastAsia="Calibri" w:hAnsi="Times New Roman" w:cs="Times New Roman"/>
          <w:sz w:val="24"/>
          <w:lang w:bidi="ar-SA"/>
        </w:rPr>
        <w:t xml:space="preserve">In this task, participants </w:t>
      </w:r>
      <w:proofErr w:type="gramStart"/>
      <w:r>
        <w:rPr>
          <w:rFonts w:ascii="Times New Roman" w:eastAsia="Calibri" w:hAnsi="Times New Roman" w:cs="Times New Roman"/>
          <w:sz w:val="24"/>
          <w:lang w:bidi="ar-SA"/>
        </w:rPr>
        <w:t xml:space="preserve">are </w:t>
      </w:r>
      <w:r w:rsidRPr="004E7D7C">
        <w:rPr>
          <w:rFonts w:ascii="Times New Roman" w:eastAsia="Calibri" w:hAnsi="Times New Roman" w:cs="Times New Roman"/>
          <w:sz w:val="24"/>
          <w:lang w:bidi="ar-SA"/>
        </w:rPr>
        <w:t xml:space="preserve">briefly </w:t>
      </w:r>
      <w:r>
        <w:rPr>
          <w:rFonts w:ascii="Times New Roman" w:eastAsia="Calibri" w:hAnsi="Times New Roman" w:cs="Times New Roman"/>
          <w:sz w:val="24"/>
          <w:lang w:bidi="ar-SA"/>
        </w:rPr>
        <w:t>presented</w:t>
      </w:r>
      <w:proofErr w:type="gramEnd"/>
      <w:r w:rsidRPr="004E7D7C">
        <w:rPr>
          <w:rFonts w:ascii="Times New Roman" w:eastAsia="Calibri" w:hAnsi="Times New Roman" w:cs="Times New Roman"/>
          <w:sz w:val="24"/>
          <w:lang w:bidi="ar-SA"/>
        </w:rPr>
        <w:t xml:space="preserve"> letter arrays, and their ability to </w:t>
      </w:r>
      <w:r>
        <w:rPr>
          <w:rFonts w:ascii="Times New Roman" w:eastAsia="Calibri" w:hAnsi="Times New Roman" w:cs="Times New Roman"/>
          <w:sz w:val="24"/>
          <w:lang w:bidi="ar-SA"/>
        </w:rPr>
        <w:t>report</w:t>
      </w:r>
      <w:r w:rsidRPr="004E7D7C">
        <w:rPr>
          <w:rFonts w:ascii="Times New Roman" w:eastAsia="Calibri" w:hAnsi="Times New Roman" w:cs="Times New Roman"/>
          <w:sz w:val="24"/>
          <w:lang w:bidi="ar-SA"/>
        </w:rPr>
        <w:t xml:space="preserve"> multiple letters is measured as a function of </w:t>
      </w:r>
      <w:r>
        <w:rPr>
          <w:rFonts w:ascii="Times New Roman" w:eastAsia="Calibri" w:hAnsi="Times New Roman" w:cs="Times New Roman"/>
          <w:sz w:val="24"/>
          <w:lang w:bidi="ar-SA"/>
        </w:rPr>
        <w:t xml:space="preserve">array exposure duration. Identification probability </w:t>
      </w:r>
      <w:proofErr w:type="gramStart"/>
      <w:r>
        <w:rPr>
          <w:rFonts w:ascii="Times New Roman" w:eastAsia="Calibri" w:hAnsi="Times New Roman" w:cs="Times New Roman"/>
          <w:sz w:val="24"/>
          <w:lang w:bidi="ar-SA"/>
        </w:rPr>
        <w:t>is modelled</w:t>
      </w:r>
      <w:proofErr w:type="gramEnd"/>
      <w:r>
        <w:rPr>
          <w:rFonts w:ascii="Times New Roman" w:eastAsia="Calibri" w:hAnsi="Times New Roman" w:cs="Times New Roman"/>
          <w:sz w:val="24"/>
          <w:lang w:bidi="ar-SA"/>
        </w:rPr>
        <w:t xml:space="preserve"> by an exponential growth function, in which the origin represents the visual threshold </w:t>
      </w:r>
      <w:r w:rsidRPr="00855626">
        <w:rPr>
          <w:rFonts w:ascii="Times New Roman" w:eastAsia="Calibri" w:hAnsi="Times New Roman" w:cs="Times New Roman"/>
          <w:i/>
          <w:sz w:val="24"/>
          <w:lang w:bidi="ar-SA"/>
        </w:rPr>
        <w:t>t</w:t>
      </w:r>
      <w:r w:rsidRPr="00855626">
        <w:rPr>
          <w:rFonts w:ascii="Times New Roman" w:eastAsia="Calibri" w:hAnsi="Times New Roman" w:cs="Times New Roman"/>
          <w:i/>
          <w:sz w:val="24"/>
          <w:vertAlign w:val="subscript"/>
          <w:lang w:bidi="ar-SA"/>
        </w:rPr>
        <w:t>0</w:t>
      </w:r>
      <w:r>
        <w:rPr>
          <w:rFonts w:ascii="Times New Roman" w:eastAsia="Calibri" w:hAnsi="Times New Roman" w:cs="Times New Roman"/>
          <w:sz w:val="24"/>
          <w:lang w:bidi="ar-SA"/>
        </w:rPr>
        <w:t>,</w:t>
      </w:r>
      <w:r>
        <w:rPr>
          <w:rFonts w:ascii="Times New Roman" w:eastAsia="Calibri" w:hAnsi="Times New Roman" w:cs="Times New Roman"/>
          <w:i/>
          <w:sz w:val="24"/>
          <w:lang w:bidi="ar-SA"/>
        </w:rPr>
        <w:t xml:space="preserve"> </w:t>
      </w:r>
      <w:r>
        <w:rPr>
          <w:rFonts w:ascii="Times New Roman" w:eastAsia="Calibri" w:hAnsi="Times New Roman" w:cs="Times New Roman"/>
          <w:sz w:val="24"/>
          <w:lang w:bidi="ar-SA"/>
        </w:rPr>
        <w:t xml:space="preserve">the growth parameter corresponds to processing speed </w:t>
      </w:r>
      <w:r>
        <w:rPr>
          <w:rFonts w:ascii="Times New Roman" w:eastAsia="Calibri" w:hAnsi="Times New Roman" w:cs="Times New Roman"/>
          <w:i/>
          <w:sz w:val="24"/>
          <w:lang w:bidi="ar-SA"/>
        </w:rPr>
        <w:t>C</w:t>
      </w:r>
      <w:r>
        <w:rPr>
          <w:rFonts w:ascii="Times New Roman" w:eastAsia="Calibri" w:hAnsi="Times New Roman" w:cs="Times New Roman"/>
          <w:sz w:val="24"/>
          <w:lang w:bidi="ar-SA"/>
        </w:rPr>
        <w:t xml:space="preserve">, and the asymptote indicates the maximum number of objects that can be stored in parallel (storage capacity </w:t>
      </w:r>
      <w:r>
        <w:rPr>
          <w:rFonts w:ascii="Times New Roman" w:eastAsia="Calibri" w:hAnsi="Times New Roman" w:cs="Times New Roman"/>
          <w:i/>
          <w:sz w:val="24"/>
          <w:lang w:bidi="ar-SA"/>
        </w:rPr>
        <w:t>K</w:t>
      </w:r>
      <w:r>
        <w:rPr>
          <w:rFonts w:ascii="Times New Roman" w:eastAsia="Calibri" w:hAnsi="Times New Roman" w:cs="Times New Roman"/>
          <w:sz w:val="24"/>
          <w:lang w:bidi="ar-SA"/>
        </w:rPr>
        <w:t>).</w:t>
      </w:r>
    </w:p>
    <w:p w:rsidR="00BD360B" w:rsidRPr="00EE48E6" w:rsidRDefault="00BD360B" w:rsidP="00BD360B">
      <w:pPr>
        <w:spacing w:before="120"/>
        <w:ind w:firstLine="708"/>
        <w:rPr>
          <w:rFonts w:ascii="Times New Roman" w:eastAsia="Calibri" w:hAnsi="Times New Roman" w:cs="Times New Roman"/>
          <w:b/>
          <w:sz w:val="28"/>
          <w:lang w:bidi="ar-SA"/>
        </w:rPr>
      </w:pPr>
      <w:r w:rsidRPr="00EE48E6">
        <w:rPr>
          <w:rFonts w:ascii="Times New Roman" w:eastAsia="Calibri" w:hAnsi="Times New Roman" w:cs="Times New Roman"/>
          <w:b/>
          <w:sz w:val="28"/>
          <w:lang w:bidi="ar-SA"/>
        </w:rPr>
        <w:t xml:space="preserve">Supplementary </w:t>
      </w:r>
      <w:r w:rsidR="004F79BB">
        <w:rPr>
          <w:rFonts w:ascii="Times New Roman" w:eastAsia="Calibri" w:hAnsi="Times New Roman" w:cs="Times New Roman"/>
          <w:b/>
          <w:sz w:val="28"/>
          <w:lang w:bidi="ar-SA"/>
        </w:rPr>
        <w:t>Material</w:t>
      </w:r>
      <w:r w:rsidRPr="00EE48E6">
        <w:rPr>
          <w:rFonts w:ascii="Times New Roman" w:eastAsia="Calibri" w:hAnsi="Times New Roman" w:cs="Times New Roman"/>
          <w:b/>
          <w:sz w:val="28"/>
          <w:lang w:bidi="ar-SA"/>
        </w:rPr>
        <w:t xml:space="preserve"> </w:t>
      </w:r>
      <w:r w:rsidR="006C58DF">
        <w:rPr>
          <w:rFonts w:ascii="Times New Roman" w:eastAsia="Calibri" w:hAnsi="Times New Roman" w:cs="Times New Roman"/>
          <w:b/>
          <w:sz w:val="28"/>
          <w:lang w:bidi="ar-SA"/>
        </w:rPr>
        <w:t>2</w:t>
      </w:r>
      <w:r w:rsidRPr="00EE48E6">
        <w:rPr>
          <w:rFonts w:ascii="Times New Roman" w:eastAsia="Calibri" w:hAnsi="Times New Roman" w:cs="Times New Roman"/>
          <w:b/>
          <w:sz w:val="28"/>
          <w:lang w:bidi="ar-SA"/>
        </w:rPr>
        <w:t xml:space="preserve"> - TVA whole report assessment</w:t>
      </w:r>
    </w:p>
    <w:p w:rsidR="00BD360B" w:rsidRDefault="00BD360B" w:rsidP="00BD360B">
      <w:pPr>
        <w:spacing w:before="120"/>
        <w:ind w:firstLine="0"/>
        <w:rPr>
          <w:rFonts w:ascii="Times New Roman" w:eastAsia="Calibri" w:hAnsi="Times New Roman" w:cs="Times New Roman"/>
          <w:sz w:val="24"/>
          <w:lang w:bidi="ar-SA"/>
        </w:rPr>
      </w:pPr>
      <w:r>
        <w:rPr>
          <w:rFonts w:ascii="Times New Roman" w:eastAsia="Calibri" w:hAnsi="Times New Roman" w:cs="Times New Roman"/>
          <w:sz w:val="24"/>
          <w:lang w:bidi="ar-SA"/>
        </w:rPr>
        <w:t xml:space="preserve">This task is computer-based and </w:t>
      </w:r>
      <w:proofErr w:type="gramStart"/>
      <w:r>
        <w:rPr>
          <w:rFonts w:ascii="Times New Roman" w:eastAsia="Calibri" w:hAnsi="Times New Roman" w:cs="Times New Roman"/>
          <w:sz w:val="24"/>
          <w:lang w:bidi="ar-SA"/>
        </w:rPr>
        <w:t>was conducted</w:t>
      </w:r>
      <w:proofErr w:type="gramEnd"/>
      <w:r>
        <w:rPr>
          <w:rFonts w:ascii="Times New Roman" w:eastAsia="Calibri" w:hAnsi="Times New Roman" w:cs="Times New Roman"/>
          <w:sz w:val="24"/>
          <w:lang w:bidi="ar-SA"/>
        </w:rPr>
        <w:t xml:space="preserve"> in a dimly lit room. To account for visual limitations, all participants first completed the MARS contrast sensitivity test, with no one falling below the cut-off value for their age group.</w:t>
      </w:r>
    </w:p>
    <w:p w:rsidR="00BD360B" w:rsidRPr="006C58DF" w:rsidRDefault="00BD360B" w:rsidP="00BD360B">
      <w:pPr>
        <w:spacing w:before="120"/>
        <w:ind w:firstLine="0"/>
        <w:rPr>
          <w:rFonts w:ascii="Times New Roman" w:eastAsia="Calibri" w:hAnsi="Times New Roman" w:cs="Times New Roman"/>
          <w:sz w:val="24"/>
          <w:lang w:bidi="ar-SA"/>
        </w:rPr>
      </w:pPr>
      <w:proofErr w:type="gramStart"/>
      <w:r>
        <w:rPr>
          <w:rFonts w:ascii="Times New Roman" w:eastAsia="Calibri" w:hAnsi="Times New Roman" w:cs="Times New Roman"/>
          <w:sz w:val="24"/>
          <w:lang w:bidi="ar-SA"/>
        </w:rPr>
        <w:lastRenderedPageBreak/>
        <w:t xml:space="preserve">In the TVA-based whole-report </w:t>
      </w:r>
      <w:r w:rsidRPr="0073573F">
        <w:rPr>
          <w:rFonts w:ascii="Times New Roman" w:eastAsia="Calibri" w:hAnsi="Times New Roman" w:cs="Times New Roman"/>
          <w:sz w:val="24"/>
          <w:lang w:bidi="ar-SA"/>
        </w:rPr>
        <w:t>task, stimuli were blue or red capital letters (0.88° wide × 1.06° high, or 1.0 cm wide × 1.2 cm high, each), randomly chosen from the set {A, B, C, D, E, F, G, H, J, K, L, M, N, O, P, R, S, T, U, V, W, X, Z}, and shown on a black background, with colors matched by luminosity.</w:t>
      </w:r>
      <w:proofErr w:type="gramEnd"/>
      <w:r w:rsidRPr="0073573F">
        <w:rPr>
          <w:rFonts w:ascii="Times New Roman" w:eastAsia="Calibri" w:hAnsi="Times New Roman" w:cs="Times New Roman"/>
          <w:sz w:val="24"/>
          <w:lang w:bidi="ar-SA"/>
        </w:rPr>
        <w:t xml:space="preserve"> Stimuli </w:t>
      </w:r>
      <w:proofErr w:type="gramStart"/>
      <w:r w:rsidRPr="0073573F">
        <w:rPr>
          <w:rFonts w:ascii="Times New Roman" w:eastAsia="Calibri" w:hAnsi="Times New Roman" w:cs="Times New Roman"/>
          <w:sz w:val="24"/>
          <w:lang w:bidi="ar-SA"/>
        </w:rPr>
        <w:t>were presented</w:t>
      </w:r>
      <w:proofErr w:type="gramEnd"/>
      <w:r w:rsidRPr="0073573F">
        <w:rPr>
          <w:rFonts w:ascii="Times New Roman" w:eastAsia="Calibri" w:hAnsi="Times New Roman" w:cs="Times New Roman"/>
          <w:sz w:val="24"/>
          <w:lang w:bidi="ar-SA"/>
        </w:rPr>
        <w:t xml:space="preserve"> on an ASUS 24-inch monitor, 1980 × 1080 pixel screen resolution, and 100-Hz refresh rate. The approximate distance of the subjects to the monitor was 60cm, which </w:t>
      </w:r>
      <w:proofErr w:type="gramStart"/>
      <w:r w:rsidRPr="0073573F">
        <w:rPr>
          <w:rFonts w:ascii="Times New Roman" w:eastAsia="Calibri" w:hAnsi="Times New Roman" w:cs="Times New Roman"/>
          <w:sz w:val="24"/>
          <w:lang w:bidi="ar-SA"/>
        </w:rPr>
        <w:t>was controlled</w:t>
      </w:r>
      <w:proofErr w:type="gramEnd"/>
      <w:r w:rsidRPr="0073573F">
        <w:rPr>
          <w:rFonts w:ascii="Times New Roman" w:eastAsia="Calibri" w:hAnsi="Times New Roman" w:cs="Times New Roman"/>
          <w:sz w:val="24"/>
          <w:lang w:bidi="ar-SA"/>
        </w:rPr>
        <w:t xml:space="preserve"> by the use of a chin rest. The test took place in a dimly lit room with the experimenter sitting behind the participant and lasted approximately 40 minutes. Participants had </w:t>
      </w:r>
      <w:proofErr w:type="gramStart"/>
      <w:r w:rsidRPr="0073573F">
        <w:rPr>
          <w:rFonts w:ascii="Times New Roman" w:eastAsia="Calibri" w:hAnsi="Times New Roman" w:cs="Times New Roman"/>
          <w:sz w:val="24"/>
          <w:lang w:bidi="ar-SA"/>
        </w:rPr>
        <w:t>to verbally report</w:t>
      </w:r>
      <w:proofErr w:type="gramEnd"/>
      <w:r w:rsidRPr="0073573F">
        <w:rPr>
          <w:rFonts w:ascii="Times New Roman" w:eastAsia="Calibri" w:hAnsi="Times New Roman" w:cs="Times New Roman"/>
          <w:sz w:val="24"/>
          <w:lang w:bidi="ar-SA"/>
        </w:rPr>
        <w:t xml:space="preserve"> as many letters as they could recognize from a display that briefly presented six letters in an imaginary circle (5.64° or 6.4-cm radius). Participants were asked to fixate on the point (0.79° × 0.79° or 0.9 cm × 0.9 cm) at the center of the display at all times. After an 800-ms fixation period, letters </w:t>
      </w:r>
      <w:proofErr w:type="gramStart"/>
      <w:r w:rsidRPr="0073573F">
        <w:rPr>
          <w:rFonts w:ascii="Times New Roman" w:eastAsia="Calibri" w:hAnsi="Times New Roman" w:cs="Times New Roman"/>
          <w:sz w:val="24"/>
          <w:lang w:bidi="ar-SA"/>
        </w:rPr>
        <w:t>were shown</w:t>
      </w:r>
      <w:proofErr w:type="gramEnd"/>
      <w:r w:rsidRPr="0073573F">
        <w:rPr>
          <w:rFonts w:ascii="Times New Roman" w:eastAsia="Calibri" w:hAnsi="Times New Roman" w:cs="Times New Roman"/>
          <w:sz w:val="24"/>
          <w:lang w:bidi="ar-SA"/>
        </w:rPr>
        <w:t xml:space="preserve"> in either blue or red in a single trial. Participants did four blocks of 12 trials each to practice the task. Based on these blocks, an individual minimum exposure duration (ED) was d</w:t>
      </w:r>
      <w:r>
        <w:rPr>
          <w:rFonts w:ascii="Times New Roman" w:eastAsia="Calibri" w:hAnsi="Times New Roman" w:cs="Times New Roman"/>
          <w:sz w:val="24"/>
          <w:lang w:bidi="ar-SA"/>
        </w:rPr>
        <w:t>etermined for each participant</w:t>
      </w:r>
      <w:r w:rsidRPr="0073573F">
        <w:rPr>
          <w:rFonts w:ascii="Times New Roman" w:eastAsia="Calibri" w:hAnsi="Times New Roman" w:cs="Times New Roman"/>
          <w:sz w:val="24"/>
          <w:lang w:bidi="ar-SA"/>
        </w:rPr>
        <w:t xml:space="preserve">. Four additional higher ED values </w:t>
      </w:r>
      <w:proofErr w:type="gramStart"/>
      <w:r w:rsidRPr="0073573F">
        <w:rPr>
          <w:rFonts w:ascii="Times New Roman" w:eastAsia="Calibri" w:hAnsi="Times New Roman" w:cs="Times New Roman"/>
          <w:sz w:val="24"/>
          <w:lang w:bidi="ar-SA"/>
        </w:rPr>
        <w:t>were obtained</w:t>
      </w:r>
      <w:proofErr w:type="gramEnd"/>
      <w:r w:rsidRPr="0073573F">
        <w:rPr>
          <w:rFonts w:ascii="Times New Roman" w:eastAsia="Calibri" w:hAnsi="Times New Roman" w:cs="Times New Roman"/>
          <w:sz w:val="24"/>
          <w:lang w:bidi="ar-SA"/>
        </w:rPr>
        <w:t xml:space="preserve"> from a set predefined in the task, based on the individual minimum ED. The task included 336 trials, presented in four blocks of 84 trials each. The letters were displayed either with or without a mask (240 trials masked, 96 unmasked).</w:t>
      </w:r>
      <w:r>
        <w:rPr>
          <w:rFonts w:ascii="Times New Roman" w:eastAsia="Calibri" w:hAnsi="Times New Roman" w:cs="Times New Roman"/>
          <w:sz w:val="24"/>
          <w:lang w:bidi="ar-SA"/>
        </w:rPr>
        <w:t xml:space="preserve"> </w:t>
      </w:r>
      <w:r w:rsidRPr="00EC0750">
        <w:rPr>
          <w:rFonts w:ascii="Times New Roman" w:eastAsia="Calibri" w:hAnsi="Times New Roman" w:cs="Times New Roman"/>
          <w:sz w:val="24"/>
          <w:lang w:bidi="ar-SA"/>
        </w:rPr>
        <w:t xml:space="preserve">In unmasked conditions, ‘iconic’ memory allows the letters to </w:t>
      </w:r>
      <w:proofErr w:type="gramStart"/>
      <w:r w:rsidRPr="00EC0750">
        <w:rPr>
          <w:rFonts w:ascii="Times New Roman" w:eastAsia="Calibri" w:hAnsi="Times New Roman" w:cs="Times New Roman"/>
          <w:sz w:val="24"/>
          <w:lang w:bidi="ar-SA"/>
        </w:rPr>
        <w:t xml:space="preserve">be </w:t>
      </w:r>
      <w:r>
        <w:rPr>
          <w:rFonts w:ascii="Times New Roman" w:eastAsia="Calibri" w:hAnsi="Times New Roman" w:cs="Times New Roman"/>
          <w:sz w:val="24"/>
          <w:lang w:bidi="ar-SA"/>
        </w:rPr>
        <w:t>encoded</w:t>
      </w:r>
      <w:proofErr w:type="gramEnd"/>
      <w:r>
        <w:rPr>
          <w:rFonts w:ascii="Times New Roman" w:eastAsia="Calibri" w:hAnsi="Times New Roman" w:cs="Times New Roman"/>
          <w:sz w:val="24"/>
          <w:lang w:bidi="ar-SA"/>
        </w:rPr>
        <w:t xml:space="preserve"> </w:t>
      </w:r>
      <w:r w:rsidRPr="00EC0750">
        <w:rPr>
          <w:rFonts w:ascii="Times New Roman" w:eastAsia="Calibri" w:hAnsi="Times New Roman" w:cs="Times New Roman"/>
          <w:sz w:val="24"/>
          <w:lang w:bidi="ar-SA"/>
        </w:rPr>
        <w:t xml:space="preserve">for a few hundred milliseconds longer (Sperling, 1960). Pattern masks </w:t>
      </w:r>
      <w:r>
        <w:rPr>
          <w:rFonts w:ascii="Times New Roman" w:eastAsia="Calibri" w:hAnsi="Times New Roman" w:cs="Times New Roman"/>
          <w:sz w:val="24"/>
          <w:lang w:bidi="ar-SA"/>
        </w:rPr>
        <w:t xml:space="preserve">disrupt this memory effect. </w:t>
      </w:r>
      <w:r w:rsidRPr="00EC0750">
        <w:rPr>
          <w:rFonts w:ascii="Times New Roman" w:eastAsia="Calibri" w:hAnsi="Times New Roman" w:cs="Times New Roman"/>
          <w:sz w:val="24"/>
          <w:lang w:bidi="ar-SA"/>
        </w:rPr>
        <w:t xml:space="preserve">In half of the trials, an auditory cue (80 dB tone, either with a frequency of 500 Hz or 900 Hz) </w:t>
      </w:r>
      <w:proofErr w:type="gramStart"/>
      <w:r w:rsidRPr="00EC0750">
        <w:rPr>
          <w:rFonts w:ascii="Times New Roman" w:eastAsia="Calibri" w:hAnsi="Times New Roman" w:cs="Times New Roman"/>
          <w:sz w:val="24"/>
          <w:lang w:bidi="ar-SA"/>
        </w:rPr>
        <w:t>was administered</w:t>
      </w:r>
      <w:proofErr w:type="gramEnd"/>
      <w:r w:rsidRPr="00EC0750">
        <w:rPr>
          <w:rFonts w:ascii="Times New Roman" w:eastAsia="Calibri" w:hAnsi="Times New Roman" w:cs="Times New Roman"/>
          <w:sz w:val="24"/>
          <w:lang w:bidi="ar-SA"/>
        </w:rPr>
        <w:t xml:space="preserve"> through a loudspe</w:t>
      </w:r>
      <w:r>
        <w:rPr>
          <w:rFonts w:ascii="Times New Roman" w:eastAsia="Calibri" w:hAnsi="Times New Roman" w:cs="Times New Roman"/>
          <w:sz w:val="24"/>
          <w:lang w:bidi="ar-SA"/>
        </w:rPr>
        <w:t>aker 200 ms before letter onset</w:t>
      </w:r>
      <w:r w:rsidRPr="0073573F">
        <w:rPr>
          <w:rFonts w:ascii="Times New Roman" w:eastAsia="Calibri" w:hAnsi="Times New Roman" w:cs="Times New Roman"/>
          <w:sz w:val="24"/>
          <w:lang w:bidi="ar-SA"/>
        </w:rPr>
        <w:t>.</w:t>
      </w:r>
      <w:r>
        <w:rPr>
          <w:rFonts w:ascii="Times New Roman" w:eastAsia="Calibri" w:hAnsi="Times New Roman" w:cs="Times New Roman"/>
          <w:sz w:val="24"/>
          <w:lang w:bidi="ar-SA"/>
        </w:rPr>
        <w:t xml:space="preserve"> </w:t>
      </w:r>
      <w:r w:rsidRPr="008F77E0">
        <w:rPr>
          <w:rFonts w:ascii="Times New Roman" w:eastAsia="Calibri" w:hAnsi="Times New Roman" w:cs="Times New Roman"/>
          <w:sz w:val="24"/>
          <w:lang w:bidi="ar-SA"/>
        </w:rPr>
        <w:t>We used a TVA paradigm including auditory cues, as this is the version regularly used in studies of patients with mild cognitive impairment to study phasic alerting effects. We kept this paradigm in our study to allow comparability with those previous studies. We did not analyze cued vs. non-cued trials separately, as this was not of particular interest for our study.</w:t>
      </w:r>
      <w:r w:rsidRPr="008F77E0">
        <w:t xml:space="preserve"> </w:t>
      </w:r>
      <w:r w:rsidRPr="0073573F">
        <w:rPr>
          <w:rFonts w:ascii="Times New Roman" w:eastAsia="Calibri" w:hAnsi="Times New Roman" w:cs="Times New Roman"/>
          <w:sz w:val="24"/>
          <w:lang w:bidi="ar-SA"/>
        </w:rPr>
        <w:t xml:space="preserve">To facilitate the task for participants, they verbally reported the letters and the experimenter typed them. No emphasis </w:t>
      </w:r>
      <w:proofErr w:type="gramStart"/>
      <w:r w:rsidRPr="0073573F">
        <w:rPr>
          <w:rFonts w:ascii="Times New Roman" w:eastAsia="Calibri" w:hAnsi="Times New Roman" w:cs="Times New Roman"/>
          <w:sz w:val="24"/>
          <w:lang w:bidi="ar-SA"/>
        </w:rPr>
        <w:t>was placed</w:t>
      </w:r>
      <w:proofErr w:type="gramEnd"/>
      <w:r w:rsidRPr="0073573F">
        <w:rPr>
          <w:rFonts w:ascii="Times New Roman" w:eastAsia="Calibri" w:hAnsi="Times New Roman" w:cs="Times New Roman"/>
          <w:sz w:val="24"/>
          <w:lang w:bidi="ar-SA"/>
        </w:rPr>
        <w:t xml:space="preserve"> on the speed or order of the verbal report.</w:t>
      </w:r>
    </w:p>
    <w:p w:rsidR="00BD360B" w:rsidRPr="00EE48E6" w:rsidRDefault="00BD360B" w:rsidP="00BD360B">
      <w:pPr>
        <w:spacing w:before="120"/>
        <w:ind w:firstLine="708"/>
        <w:rPr>
          <w:rFonts w:ascii="Times New Roman" w:eastAsia="Calibri" w:hAnsi="Times New Roman" w:cs="Times New Roman"/>
          <w:b/>
          <w:sz w:val="28"/>
          <w:lang w:bidi="ar-SA"/>
        </w:rPr>
      </w:pPr>
      <w:r w:rsidRPr="00EE48E6">
        <w:rPr>
          <w:rFonts w:ascii="Times New Roman" w:eastAsia="Calibri" w:hAnsi="Times New Roman" w:cs="Times New Roman"/>
          <w:b/>
          <w:sz w:val="28"/>
          <w:lang w:bidi="ar-SA"/>
        </w:rPr>
        <w:lastRenderedPageBreak/>
        <w:t xml:space="preserve">Supplementary </w:t>
      </w:r>
      <w:r w:rsidR="004F79BB">
        <w:rPr>
          <w:rFonts w:ascii="Times New Roman" w:eastAsia="Calibri" w:hAnsi="Times New Roman" w:cs="Times New Roman"/>
          <w:b/>
          <w:sz w:val="28"/>
          <w:lang w:bidi="ar-SA"/>
        </w:rPr>
        <w:t>Material</w:t>
      </w:r>
      <w:r w:rsidRPr="00EE48E6">
        <w:rPr>
          <w:rFonts w:ascii="Times New Roman" w:eastAsia="Calibri" w:hAnsi="Times New Roman" w:cs="Times New Roman"/>
          <w:b/>
          <w:sz w:val="28"/>
          <w:lang w:bidi="ar-SA"/>
        </w:rPr>
        <w:t xml:space="preserve"> 3 - TVA partial report</w:t>
      </w:r>
    </w:p>
    <w:p w:rsidR="00BD360B" w:rsidRPr="00D61F6B" w:rsidRDefault="00BD360B" w:rsidP="00BD360B">
      <w:pPr>
        <w:spacing w:before="120"/>
        <w:ind w:firstLine="0"/>
        <w:rPr>
          <w:rFonts w:ascii="Times New Roman" w:eastAsia="Calibri" w:hAnsi="Times New Roman" w:cs="Times New Roman"/>
          <w:sz w:val="24"/>
          <w:lang w:bidi="ar-SA"/>
        </w:rPr>
      </w:pPr>
      <w:r w:rsidRPr="0043105D">
        <w:rPr>
          <w:rFonts w:ascii="Times New Roman" w:eastAsia="Calibri" w:hAnsi="Times New Roman" w:cs="Times New Roman"/>
          <w:sz w:val="24"/>
          <w:lang w:bidi="ar-SA"/>
        </w:rPr>
        <w:t xml:space="preserve">Administration of the TVA-based partial report task followed the whole report task. In this task, a (red) single target letter, a target plus a (blue) distractor letter, or two (red) targets appeared at the corners of an imaginary square located 7.5 cm around the fixation point on a black screen (0.88° wide × 1.06° high, or 1.0 cm wide × 1.2 cm high, each). All stimuli </w:t>
      </w:r>
      <w:proofErr w:type="gramStart"/>
      <w:r w:rsidRPr="0043105D">
        <w:rPr>
          <w:rFonts w:ascii="Times New Roman" w:eastAsia="Calibri" w:hAnsi="Times New Roman" w:cs="Times New Roman"/>
          <w:sz w:val="24"/>
          <w:lang w:bidi="ar-SA"/>
        </w:rPr>
        <w:t>were masked</w:t>
      </w:r>
      <w:proofErr w:type="gramEnd"/>
      <w:r w:rsidRPr="0043105D">
        <w:rPr>
          <w:rFonts w:ascii="Times New Roman" w:eastAsia="Calibri" w:hAnsi="Times New Roman" w:cs="Times New Roman"/>
          <w:sz w:val="24"/>
          <w:lang w:bidi="ar-SA"/>
        </w:rPr>
        <w:t xml:space="preserve"> and there were no auditory cues. Participants had to report the target letter while ignoring distractors. This task started with a pretest phase (2 blocks of 24 trials each) in which the individual exposure duration was determined and which was followed by six test blocks with 48 trials each (i.e., 288 trials in total). The partial report task allowed the estimation of the attentional-selectivity parameter top-down control </w:t>
      </w:r>
      <w:r w:rsidRPr="001900A9">
        <w:rPr>
          <w:rFonts w:ascii="Times New Roman" w:eastAsia="Calibri" w:hAnsi="Times New Roman" w:cs="Times New Roman"/>
          <w:i/>
          <w:sz w:val="24"/>
          <w:lang w:bidi="ar-SA"/>
        </w:rPr>
        <w:t>α</w:t>
      </w:r>
      <w:r w:rsidRPr="0043105D">
        <w:rPr>
          <w:rFonts w:ascii="Times New Roman" w:eastAsia="Calibri" w:hAnsi="Times New Roman" w:cs="Times New Roman"/>
          <w:sz w:val="24"/>
          <w:lang w:bidi="ar-SA"/>
        </w:rPr>
        <w:t xml:space="preserve"> (i.e., attentional weight allocated to distractors compared to that allocated to targets: </w:t>
      </w:r>
      <w:r w:rsidRPr="001900A9">
        <w:rPr>
          <w:rFonts w:ascii="Times New Roman" w:eastAsia="Calibri" w:hAnsi="Times New Roman" w:cs="Times New Roman"/>
          <w:i/>
          <w:sz w:val="24"/>
          <w:lang w:bidi="ar-SA"/>
        </w:rPr>
        <w:t>w</w:t>
      </w:r>
      <w:r w:rsidRPr="001900A9">
        <w:rPr>
          <w:rFonts w:ascii="Times New Roman" w:eastAsia="Calibri" w:hAnsi="Times New Roman" w:cs="Times New Roman"/>
          <w:sz w:val="24"/>
          <w:vertAlign w:val="subscript"/>
          <w:lang w:bidi="ar-SA"/>
        </w:rPr>
        <w:t>distractors</w:t>
      </w:r>
      <w:r w:rsidRPr="0043105D">
        <w:rPr>
          <w:rFonts w:ascii="Times New Roman" w:eastAsia="Calibri" w:hAnsi="Times New Roman" w:cs="Times New Roman"/>
          <w:sz w:val="24"/>
          <w:lang w:bidi="ar-SA"/>
        </w:rPr>
        <w:t>/</w:t>
      </w:r>
      <w:r w:rsidRPr="001900A9">
        <w:rPr>
          <w:rFonts w:ascii="Times New Roman" w:eastAsia="Calibri" w:hAnsi="Times New Roman" w:cs="Times New Roman"/>
          <w:i/>
          <w:sz w:val="24"/>
          <w:lang w:bidi="ar-SA"/>
        </w:rPr>
        <w:t>w</w:t>
      </w:r>
      <w:r w:rsidRPr="001900A9">
        <w:rPr>
          <w:rFonts w:ascii="Times New Roman" w:eastAsia="Calibri" w:hAnsi="Times New Roman" w:cs="Times New Roman"/>
          <w:sz w:val="24"/>
          <w:vertAlign w:val="subscript"/>
          <w:lang w:bidi="ar-SA"/>
        </w:rPr>
        <w:t>targets</w:t>
      </w:r>
      <w:r w:rsidRPr="0043105D">
        <w:rPr>
          <w:rFonts w:ascii="Times New Roman" w:eastAsia="Calibri" w:hAnsi="Times New Roman" w:cs="Times New Roman"/>
          <w:sz w:val="24"/>
          <w:lang w:bidi="ar-SA"/>
        </w:rPr>
        <w:t>). The task lasted 30min on average.</w:t>
      </w:r>
    </w:p>
    <w:p w:rsidR="00BD360B" w:rsidRPr="00EE48E6" w:rsidRDefault="00BD360B" w:rsidP="00BD360B">
      <w:pPr>
        <w:spacing w:before="120"/>
        <w:ind w:firstLine="708"/>
        <w:rPr>
          <w:rFonts w:ascii="Times New Roman" w:eastAsia="Calibri" w:hAnsi="Times New Roman" w:cs="Times New Roman"/>
          <w:b/>
          <w:sz w:val="28"/>
          <w:lang w:bidi="ar-SA"/>
        </w:rPr>
      </w:pPr>
      <w:r w:rsidRPr="00EE48E6">
        <w:rPr>
          <w:rFonts w:ascii="Times New Roman" w:eastAsia="Calibri" w:hAnsi="Times New Roman" w:cs="Times New Roman"/>
          <w:b/>
          <w:sz w:val="28"/>
          <w:lang w:bidi="ar-SA"/>
        </w:rPr>
        <w:t>Supplementary Table 2 - MRI specifications</w:t>
      </w:r>
    </w:p>
    <w:p w:rsidR="00BD360B" w:rsidRPr="003B3964" w:rsidRDefault="00BD360B" w:rsidP="00BD360B">
      <w:pPr>
        <w:spacing w:before="120"/>
        <w:ind w:firstLine="0"/>
        <w:rPr>
          <w:rFonts w:ascii="Times New Roman" w:eastAsia="Calibri" w:hAnsi="Times New Roman" w:cs="Times New Roman"/>
          <w:b/>
          <w:sz w:val="24"/>
          <w:lang w:bidi="ar-SA"/>
        </w:rPr>
      </w:pPr>
      <w:r w:rsidRPr="003B3964">
        <w:rPr>
          <w:rFonts w:ascii="Times New Roman" w:eastAsia="Calibri" w:hAnsi="Times New Roman" w:cs="Times New Roman"/>
          <w:b/>
          <w:sz w:val="24"/>
          <w:lang w:bidi="ar-SA"/>
        </w:rPr>
        <w:t>Table 2. Acquisition parameters of fMRI</w:t>
      </w:r>
    </w:p>
    <w:tbl>
      <w:tblPr>
        <w:tblStyle w:val="TableGridLight"/>
        <w:tblW w:w="0" w:type="auto"/>
        <w:tblLook w:val="04A0" w:firstRow="1" w:lastRow="0" w:firstColumn="1" w:lastColumn="0" w:noHBand="0" w:noVBand="1"/>
      </w:tblPr>
      <w:tblGrid>
        <w:gridCol w:w="4531"/>
        <w:gridCol w:w="4531"/>
      </w:tblGrid>
      <w:tr w:rsidR="00BD360B" w:rsidTr="007E6211">
        <w:tc>
          <w:tcPr>
            <w:tcW w:w="4531" w:type="dxa"/>
          </w:tcPr>
          <w:p w:rsidR="00BD360B" w:rsidRPr="00BE3225" w:rsidRDefault="00BD360B" w:rsidP="007E6211">
            <w:pPr>
              <w:spacing w:before="120"/>
              <w:ind w:firstLine="0"/>
              <w:rPr>
                <w:rFonts w:ascii="Times New Roman" w:eastAsia="Calibri" w:hAnsi="Times New Roman" w:cs="Times New Roman"/>
                <w:sz w:val="24"/>
                <w:lang w:bidi="ar-SA"/>
              </w:rPr>
            </w:pPr>
            <w:r w:rsidRPr="00BE3225">
              <w:rPr>
                <w:rFonts w:ascii="Times New Roman" w:eastAsia="Calibri" w:hAnsi="Times New Roman" w:cs="Times New Roman"/>
                <w:sz w:val="24"/>
                <w:lang w:bidi="ar-SA"/>
              </w:rPr>
              <w:t>MP-RAGE T1 sequence parameters</w:t>
            </w:r>
          </w:p>
        </w:tc>
        <w:tc>
          <w:tcPr>
            <w:tcW w:w="4531" w:type="dxa"/>
          </w:tcPr>
          <w:p w:rsidR="00BD360B" w:rsidRDefault="00BD360B" w:rsidP="007E6211">
            <w:pPr>
              <w:spacing w:before="120"/>
              <w:ind w:firstLine="0"/>
              <w:rPr>
                <w:rFonts w:ascii="Times New Roman" w:eastAsia="Calibri" w:hAnsi="Times New Roman" w:cs="Times New Roman"/>
                <w:sz w:val="24"/>
                <w:lang w:bidi="ar-SA"/>
              </w:rPr>
            </w:pPr>
            <w:r>
              <w:rPr>
                <w:rFonts w:ascii="Times New Roman" w:eastAsia="Calibri" w:hAnsi="Times New Roman" w:cs="Times New Roman"/>
                <w:sz w:val="24"/>
                <w:lang w:bidi="ar-SA"/>
              </w:rPr>
              <w:t>Resting-state fMRI sequence parameters</w:t>
            </w:r>
          </w:p>
        </w:tc>
      </w:tr>
      <w:tr w:rsidR="00BD360B" w:rsidTr="007E6211">
        <w:tc>
          <w:tcPr>
            <w:tcW w:w="4531" w:type="dxa"/>
          </w:tcPr>
          <w:p w:rsidR="00BD360B" w:rsidRPr="00E96D1E" w:rsidRDefault="00BD360B" w:rsidP="007E6211">
            <w:pPr>
              <w:spacing w:before="120"/>
              <w:ind w:firstLine="0"/>
              <w:rPr>
                <w:rFonts w:ascii="Times New Roman" w:eastAsia="Calibri" w:hAnsi="Times New Roman" w:cs="Times New Roman"/>
                <w:sz w:val="18"/>
                <w:lang w:bidi="ar-SA"/>
              </w:rPr>
            </w:pPr>
            <w:r w:rsidRPr="00E96D1E">
              <w:rPr>
                <w:rFonts w:ascii="Times New Roman" w:eastAsia="Calibri" w:hAnsi="Times New Roman" w:cs="Times New Roman"/>
                <w:sz w:val="18"/>
                <w:lang w:bidi="ar-SA"/>
              </w:rPr>
              <w:t>Repetition time (TR)</w:t>
            </w:r>
            <w:r w:rsidRPr="00E96D1E">
              <w:rPr>
                <w:rFonts w:ascii="Times New Roman" w:eastAsia="Calibri" w:hAnsi="Times New Roman" w:cs="Times New Roman"/>
                <w:sz w:val="18"/>
                <w:lang w:bidi="ar-SA"/>
              </w:rPr>
              <w:tab/>
            </w:r>
            <w:r w:rsidRPr="00E96D1E">
              <w:rPr>
                <w:rFonts w:ascii="Times New Roman" w:eastAsia="Calibri" w:hAnsi="Times New Roman" w:cs="Times New Roman"/>
                <w:sz w:val="18"/>
                <w:lang w:bidi="ar-SA"/>
              </w:rPr>
              <w:tab/>
              <w:t>2300ms</w:t>
            </w:r>
          </w:p>
          <w:p w:rsidR="00BD360B" w:rsidRPr="00E96D1E" w:rsidRDefault="00BD360B" w:rsidP="007E6211">
            <w:pPr>
              <w:spacing w:before="120"/>
              <w:ind w:firstLine="0"/>
              <w:rPr>
                <w:rFonts w:ascii="Times New Roman" w:eastAsia="Calibri" w:hAnsi="Times New Roman" w:cs="Times New Roman"/>
                <w:sz w:val="18"/>
                <w:lang w:bidi="ar-SA"/>
              </w:rPr>
            </w:pPr>
            <w:r w:rsidRPr="00E96D1E">
              <w:rPr>
                <w:rFonts w:ascii="Times New Roman" w:eastAsia="Calibri" w:hAnsi="Times New Roman" w:cs="Times New Roman"/>
                <w:sz w:val="18"/>
                <w:lang w:bidi="ar-SA"/>
              </w:rPr>
              <w:t>Echo time (TE)</w:t>
            </w:r>
            <w:r w:rsidRPr="00E96D1E">
              <w:rPr>
                <w:rFonts w:ascii="Times New Roman" w:eastAsia="Calibri" w:hAnsi="Times New Roman" w:cs="Times New Roman"/>
                <w:sz w:val="18"/>
                <w:lang w:bidi="ar-SA"/>
              </w:rPr>
              <w:tab/>
            </w:r>
            <w:r w:rsidRPr="00E96D1E">
              <w:rPr>
                <w:rFonts w:ascii="Times New Roman" w:eastAsia="Calibri" w:hAnsi="Times New Roman" w:cs="Times New Roman"/>
                <w:sz w:val="18"/>
                <w:lang w:bidi="ar-SA"/>
              </w:rPr>
              <w:tab/>
            </w:r>
            <w:r w:rsidRPr="00E96D1E">
              <w:rPr>
                <w:rFonts w:ascii="Times New Roman" w:eastAsia="Calibri" w:hAnsi="Times New Roman" w:cs="Times New Roman"/>
                <w:sz w:val="18"/>
                <w:lang w:bidi="ar-SA"/>
              </w:rPr>
              <w:tab/>
              <w:t>2.07ms</w:t>
            </w:r>
          </w:p>
          <w:p w:rsidR="00BD360B" w:rsidRPr="00E96D1E" w:rsidRDefault="00BD360B" w:rsidP="007E6211">
            <w:pPr>
              <w:spacing w:before="120"/>
              <w:ind w:firstLine="0"/>
              <w:rPr>
                <w:rFonts w:ascii="Times New Roman" w:eastAsia="Calibri" w:hAnsi="Times New Roman" w:cs="Times New Roman"/>
                <w:sz w:val="18"/>
                <w:lang w:bidi="ar-SA"/>
              </w:rPr>
            </w:pPr>
            <w:r w:rsidRPr="00E96D1E">
              <w:rPr>
                <w:rFonts w:ascii="Times New Roman" w:eastAsia="Calibri" w:hAnsi="Times New Roman" w:cs="Times New Roman"/>
                <w:sz w:val="18"/>
                <w:lang w:bidi="ar-SA"/>
              </w:rPr>
              <w:t>Flip angle (FA)</w:t>
            </w:r>
            <w:r w:rsidRPr="00E96D1E">
              <w:rPr>
                <w:rFonts w:ascii="Times New Roman" w:eastAsia="Calibri" w:hAnsi="Times New Roman" w:cs="Times New Roman"/>
                <w:sz w:val="18"/>
                <w:lang w:bidi="ar-SA"/>
              </w:rPr>
              <w:tab/>
            </w:r>
            <w:r w:rsidRPr="00E96D1E">
              <w:rPr>
                <w:rFonts w:ascii="Times New Roman" w:eastAsia="Calibri" w:hAnsi="Times New Roman" w:cs="Times New Roman"/>
                <w:sz w:val="18"/>
                <w:lang w:bidi="ar-SA"/>
              </w:rPr>
              <w:tab/>
            </w:r>
            <w:r w:rsidRPr="00E96D1E">
              <w:rPr>
                <w:rFonts w:ascii="Times New Roman" w:eastAsia="Calibri" w:hAnsi="Times New Roman" w:cs="Times New Roman"/>
                <w:sz w:val="18"/>
                <w:lang w:bidi="ar-SA"/>
              </w:rPr>
              <w:tab/>
              <w:t>alpha 9°</w:t>
            </w:r>
          </w:p>
          <w:p w:rsidR="00BD360B" w:rsidRPr="00E96D1E" w:rsidRDefault="00BD360B" w:rsidP="007E6211">
            <w:pPr>
              <w:spacing w:before="120"/>
              <w:ind w:firstLine="0"/>
              <w:rPr>
                <w:rFonts w:ascii="Times New Roman" w:eastAsia="Calibri" w:hAnsi="Times New Roman" w:cs="Times New Roman"/>
                <w:sz w:val="18"/>
                <w:vertAlign w:val="superscript"/>
                <w:lang w:bidi="ar-SA"/>
              </w:rPr>
            </w:pPr>
            <w:r w:rsidRPr="00E96D1E">
              <w:rPr>
                <w:rFonts w:ascii="Times New Roman" w:eastAsia="Calibri" w:hAnsi="Times New Roman" w:cs="Times New Roman"/>
                <w:sz w:val="18"/>
                <w:lang w:bidi="ar-SA"/>
              </w:rPr>
              <w:t>Voxel size</w:t>
            </w:r>
            <w:r w:rsidRPr="00E96D1E">
              <w:rPr>
                <w:rFonts w:ascii="Times New Roman" w:eastAsia="Calibri" w:hAnsi="Times New Roman" w:cs="Times New Roman"/>
                <w:sz w:val="18"/>
                <w:lang w:bidi="ar-SA"/>
              </w:rPr>
              <w:tab/>
            </w:r>
            <w:r w:rsidRPr="00E96D1E">
              <w:rPr>
                <w:rFonts w:ascii="Times New Roman" w:eastAsia="Calibri" w:hAnsi="Times New Roman" w:cs="Times New Roman"/>
                <w:sz w:val="18"/>
                <w:lang w:bidi="ar-SA"/>
              </w:rPr>
              <w:tab/>
            </w:r>
            <w:r w:rsidRPr="00E96D1E">
              <w:rPr>
                <w:rFonts w:ascii="Times New Roman" w:eastAsia="Calibri" w:hAnsi="Times New Roman" w:cs="Times New Roman"/>
                <w:sz w:val="18"/>
                <w:lang w:bidi="ar-SA"/>
              </w:rPr>
              <w:tab/>
              <w:t>1x1x1mm</w:t>
            </w:r>
            <w:r w:rsidRPr="00E96D1E">
              <w:rPr>
                <w:rFonts w:ascii="Times New Roman" w:eastAsia="Calibri" w:hAnsi="Times New Roman" w:cs="Times New Roman"/>
                <w:sz w:val="18"/>
                <w:vertAlign w:val="superscript"/>
                <w:lang w:bidi="ar-SA"/>
              </w:rPr>
              <w:t>3</w:t>
            </w:r>
          </w:p>
          <w:p w:rsidR="00BD360B" w:rsidRPr="00E96D1E" w:rsidRDefault="00BD360B" w:rsidP="007E6211">
            <w:pPr>
              <w:spacing w:before="120"/>
              <w:ind w:firstLine="0"/>
              <w:rPr>
                <w:rFonts w:ascii="Times New Roman" w:eastAsia="Calibri" w:hAnsi="Times New Roman" w:cs="Times New Roman"/>
                <w:sz w:val="18"/>
                <w:lang w:bidi="ar-SA"/>
              </w:rPr>
            </w:pPr>
            <w:r w:rsidRPr="00E96D1E">
              <w:rPr>
                <w:rFonts w:ascii="Times New Roman" w:eastAsia="Calibri" w:hAnsi="Times New Roman" w:cs="Times New Roman"/>
                <w:sz w:val="18"/>
                <w:lang w:bidi="ar-SA"/>
              </w:rPr>
              <w:t>In-plane field of view (FOV)</w:t>
            </w:r>
            <w:r w:rsidRPr="00E96D1E">
              <w:rPr>
                <w:rFonts w:ascii="Times New Roman" w:eastAsia="Calibri" w:hAnsi="Times New Roman" w:cs="Times New Roman"/>
                <w:sz w:val="18"/>
                <w:lang w:bidi="ar-SA"/>
              </w:rPr>
              <w:tab/>
            </w:r>
            <w:r>
              <w:rPr>
                <w:rFonts w:ascii="Times New Roman" w:eastAsia="Calibri" w:hAnsi="Times New Roman" w:cs="Times New Roman"/>
                <w:sz w:val="18"/>
                <w:lang w:bidi="ar-SA"/>
              </w:rPr>
              <w:tab/>
            </w:r>
            <w:r w:rsidRPr="00E96D1E">
              <w:rPr>
                <w:rFonts w:ascii="Times New Roman" w:eastAsia="Calibri" w:hAnsi="Times New Roman" w:cs="Times New Roman"/>
                <w:sz w:val="18"/>
                <w:lang w:bidi="ar-SA"/>
              </w:rPr>
              <w:t>256mm</w:t>
            </w:r>
          </w:p>
          <w:p w:rsidR="00BD360B" w:rsidRPr="00E96D1E" w:rsidRDefault="00BD360B" w:rsidP="007E6211">
            <w:pPr>
              <w:spacing w:before="120"/>
              <w:ind w:firstLine="0"/>
              <w:rPr>
                <w:rFonts w:ascii="Times New Roman" w:eastAsia="Calibri" w:hAnsi="Times New Roman" w:cs="Times New Roman"/>
                <w:sz w:val="18"/>
                <w:lang w:bidi="ar-SA"/>
              </w:rPr>
            </w:pPr>
            <w:r w:rsidRPr="00E96D1E">
              <w:rPr>
                <w:rFonts w:ascii="Times New Roman" w:eastAsia="Calibri" w:hAnsi="Times New Roman" w:cs="Times New Roman"/>
                <w:sz w:val="18"/>
                <w:lang w:bidi="ar-SA"/>
              </w:rPr>
              <w:t>Number of (contiguous axial) slices</w:t>
            </w:r>
            <w:r w:rsidRPr="00E96D1E">
              <w:rPr>
                <w:rFonts w:ascii="Times New Roman" w:eastAsia="Calibri" w:hAnsi="Times New Roman" w:cs="Times New Roman"/>
                <w:sz w:val="18"/>
                <w:lang w:bidi="ar-SA"/>
              </w:rPr>
              <w:tab/>
              <w:t>192</w:t>
            </w:r>
          </w:p>
          <w:p w:rsidR="00BD360B" w:rsidRDefault="00BD360B" w:rsidP="007E6211">
            <w:pPr>
              <w:spacing w:before="120"/>
              <w:ind w:firstLine="0"/>
              <w:rPr>
                <w:rFonts w:ascii="Times New Roman" w:eastAsia="Calibri" w:hAnsi="Times New Roman" w:cs="Times New Roman"/>
                <w:sz w:val="24"/>
                <w:lang w:bidi="ar-SA"/>
              </w:rPr>
            </w:pPr>
            <w:r w:rsidRPr="00E96D1E">
              <w:rPr>
                <w:rFonts w:ascii="Times New Roman" w:eastAsia="Calibri" w:hAnsi="Times New Roman" w:cs="Times New Roman"/>
                <w:sz w:val="18"/>
                <w:lang w:bidi="ar-SA"/>
              </w:rPr>
              <w:lastRenderedPageBreak/>
              <w:t>Acquisition time</w:t>
            </w:r>
            <w:r w:rsidRPr="00E96D1E">
              <w:rPr>
                <w:rFonts w:ascii="Times New Roman" w:eastAsia="Calibri" w:hAnsi="Times New Roman" w:cs="Times New Roman"/>
                <w:sz w:val="18"/>
                <w:lang w:bidi="ar-SA"/>
              </w:rPr>
              <w:tab/>
            </w:r>
            <w:r w:rsidRPr="00E96D1E">
              <w:rPr>
                <w:rFonts w:ascii="Times New Roman" w:eastAsia="Calibri" w:hAnsi="Times New Roman" w:cs="Times New Roman"/>
                <w:sz w:val="18"/>
                <w:lang w:bidi="ar-SA"/>
              </w:rPr>
              <w:tab/>
            </w:r>
            <w:r w:rsidRPr="00E96D1E">
              <w:rPr>
                <w:rFonts w:ascii="Times New Roman" w:eastAsia="Calibri" w:hAnsi="Times New Roman" w:cs="Times New Roman"/>
                <w:sz w:val="18"/>
                <w:lang w:bidi="ar-SA"/>
              </w:rPr>
              <w:tab/>
              <w:t>5:21min</w:t>
            </w:r>
          </w:p>
        </w:tc>
        <w:tc>
          <w:tcPr>
            <w:tcW w:w="4531" w:type="dxa"/>
          </w:tcPr>
          <w:p w:rsidR="00BD360B" w:rsidRPr="00E96D1E" w:rsidRDefault="00BD360B" w:rsidP="007E6211">
            <w:pPr>
              <w:spacing w:before="120"/>
              <w:ind w:firstLine="0"/>
              <w:rPr>
                <w:rFonts w:ascii="Times New Roman" w:eastAsia="Calibri" w:hAnsi="Times New Roman" w:cs="Times New Roman"/>
                <w:sz w:val="18"/>
                <w:lang w:bidi="ar-SA"/>
              </w:rPr>
            </w:pPr>
            <w:r w:rsidRPr="00E96D1E">
              <w:rPr>
                <w:rFonts w:ascii="Times New Roman" w:eastAsia="Calibri" w:hAnsi="Times New Roman" w:cs="Times New Roman"/>
                <w:sz w:val="18"/>
                <w:lang w:bidi="ar-SA"/>
              </w:rPr>
              <w:lastRenderedPageBreak/>
              <w:t>Repetition time (TR)</w:t>
            </w:r>
            <w:r>
              <w:rPr>
                <w:rFonts w:ascii="Times New Roman" w:eastAsia="Calibri" w:hAnsi="Times New Roman" w:cs="Times New Roman"/>
                <w:sz w:val="18"/>
                <w:lang w:bidi="ar-SA"/>
              </w:rPr>
              <w:tab/>
            </w:r>
            <w:r>
              <w:rPr>
                <w:rFonts w:ascii="Times New Roman" w:eastAsia="Calibri" w:hAnsi="Times New Roman" w:cs="Times New Roman"/>
                <w:sz w:val="18"/>
                <w:lang w:bidi="ar-SA"/>
              </w:rPr>
              <w:tab/>
              <w:t>1950ms</w:t>
            </w:r>
          </w:p>
          <w:p w:rsidR="00BD360B" w:rsidRPr="00E96D1E" w:rsidRDefault="00BD360B" w:rsidP="007E6211">
            <w:pPr>
              <w:spacing w:before="120"/>
              <w:ind w:firstLine="0"/>
              <w:rPr>
                <w:rFonts w:ascii="Times New Roman" w:eastAsia="Calibri" w:hAnsi="Times New Roman" w:cs="Times New Roman"/>
                <w:sz w:val="18"/>
                <w:lang w:bidi="ar-SA"/>
              </w:rPr>
            </w:pPr>
            <w:r w:rsidRPr="00E96D1E">
              <w:rPr>
                <w:rFonts w:ascii="Times New Roman" w:eastAsia="Calibri" w:hAnsi="Times New Roman" w:cs="Times New Roman"/>
                <w:sz w:val="18"/>
                <w:lang w:bidi="ar-SA"/>
              </w:rPr>
              <w:t>Echo time (TE)</w:t>
            </w:r>
            <w:r>
              <w:rPr>
                <w:rFonts w:ascii="Times New Roman" w:eastAsia="Calibri" w:hAnsi="Times New Roman" w:cs="Times New Roman"/>
                <w:sz w:val="18"/>
                <w:lang w:bidi="ar-SA"/>
              </w:rPr>
              <w:tab/>
            </w:r>
            <w:r>
              <w:rPr>
                <w:rFonts w:ascii="Times New Roman" w:eastAsia="Calibri" w:hAnsi="Times New Roman" w:cs="Times New Roman"/>
                <w:sz w:val="18"/>
                <w:lang w:bidi="ar-SA"/>
              </w:rPr>
              <w:tab/>
            </w:r>
            <w:r>
              <w:rPr>
                <w:rFonts w:ascii="Times New Roman" w:eastAsia="Calibri" w:hAnsi="Times New Roman" w:cs="Times New Roman"/>
                <w:sz w:val="18"/>
                <w:lang w:bidi="ar-SA"/>
              </w:rPr>
              <w:tab/>
              <w:t>33.60ms</w:t>
            </w:r>
          </w:p>
          <w:p w:rsidR="00BD360B" w:rsidRPr="00E96D1E" w:rsidRDefault="00BD360B" w:rsidP="007E6211">
            <w:pPr>
              <w:spacing w:before="120"/>
              <w:ind w:firstLine="0"/>
              <w:rPr>
                <w:rFonts w:ascii="Times New Roman" w:eastAsia="Calibri" w:hAnsi="Times New Roman" w:cs="Times New Roman"/>
                <w:sz w:val="18"/>
                <w:lang w:bidi="ar-SA"/>
              </w:rPr>
            </w:pPr>
            <w:r w:rsidRPr="00E96D1E">
              <w:rPr>
                <w:rFonts w:ascii="Times New Roman" w:eastAsia="Calibri" w:hAnsi="Times New Roman" w:cs="Times New Roman"/>
                <w:sz w:val="18"/>
                <w:lang w:bidi="ar-SA"/>
              </w:rPr>
              <w:t>Flip angle (FA)</w:t>
            </w:r>
            <w:r>
              <w:rPr>
                <w:rFonts w:ascii="Times New Roman" w:eastAsia="Calibri" w:hAnsi="Times New Roman" w:cs="Times New Roman"/>
                <w:sz w:val="18"/>
                <w:lang w:bidi="ar-SA"/>
              </w:rPr>
              <w:tab/>
            </w:r>
            <w:r>
              <w:rPr>
                <w:rFonts w:ascii="Times New Roman" w:eastAsia="Calibri" w:hAnsi="Times New Roman" w:cs="Times New Roman"/>
                <w:sz w:val="18"/>
                <w:lang w:bidi="ar-SA"/>
              </w:rPr>
              <w:tab/>
            </w:r>
            <w:r>
              <w:rPr>
                <w:rFonts w:ascii="Times New Roman" w:eastAsia="Calibri" w:hAnsi="Times New Roman" w:cs="Times New Roman"/>
                <w:sz w:val="18"/>
                <w:lang w:bidi="ar-SA"/>
              </w:rPr>
              <w:tab/>
              <w:t>90ms</w:t>
            </w:r>
          </w:p>
          <w:p w:rsidR="00BD360B" w:rsidRPr="00E96D1E" w:rsidRDefault="00BD360B" w:rsidP="007E6211">
            <w:pPr>
              <w:spacing w:before="120"/>
              <w:ind w:firstLine="0"/>
              <w:rPr>
                <w:rFonts w:ascii="Times New Roman" w:eastAsia="Calibri" w:hAnsi="Times New Roman" w:cs="Times New Roman"/>
                <w:sz w:val="18"/>
                <w:vertAlign w:val="superscript"/>
                <w:lang w:bidi="ar-SA"/>
              </w:rPr>
            </w:pPr>
            <w:r w:rsidRPr="00E96D1E">
              <w:rPr>
                <w:rFonts w:ascii="Times New Roman" w:eastAsia="Calibri" w:hAnsi="Times New Roman" w:cs="Times New Roman"/>
                <w:sz w:val="18"/>
                <w:lang w:bidi="ar-SA"/>
              </w:rPr>
              <w:t>Voxel size</w:t>
            </w:r>
            <w:r>
              <w:rPr>
                <w:rFonts w:ascii="Times New Roman" w:eastAsia="Calibri" w:hAnsi="Times New Roman" w:cs="Times New Roman"/>
                <w:sz w:val="18"/>
                <w:lang w:bidi="ar-SA"/>
              </w:rPr>
              <w:tab/>
            </w:r>
            <w:r>
              <w:rPr>
                <w:rFonts w:ascii="Times New Roman" w:eastAsia="Calibri" w:hAnsi="Times New Roman" w:cs="Times New Roman"/>
                <w:sz w:val="18"/>
                <w:lang w:bidi="ar-SA"/>
              </w:rPr>
              <w:tab/>
            </w:r>
            <w:r>
              <w:rPr>
                <w:rFonts w:ascii="Times New Roman" w:eastAsia="Calibri" w:hAnsi="Times New Roman" w:cs="Times New Roman"/>
                <w:sz w:val="18"/>
                <w:lang w:bidi="ar-SA"/>
              </w:rPr>
              <w:tab/>
              <w:t>1.4x1.4x1.4mm</w:t>
            </w:r>
            <w:r>
              <w:rPr>
                <w:rFonts w:ascii="Times New Roman" w:eastAsia="Calibri" w:hAnsi="Times New Roman" w:cs="Times New Roman"/>
                <w:sz w:val="18"/>
                <w:vertAlign w:val="superscript"/>
                <w:lang w:bidi="ar-SA"/>
              </w:rPr>
              <w:t>3</w:t>
            </w:r>
          </w:p>
          <w:p w:rsidR="00BD360B" w:rsidRPr="00E96D1E" w:rsidRDefault="00BD360B" w:rsidP="007E6211">
            <w:pPr>
              <w:spacing w:before="120"/>
              <w:ind w:firstLine="0"/>
              <w:rPr>
                <w:rFonts w:ascii="Times New Roman" w:eastAsia="Calibri" w:hAnsi="Times New Roman" w:cs="Times New Roman"/>
                <w:sz w:val="18"/>
                <w:lang w:bidi="ar-SA"/>
              </w:rPr>
            </w:pPr>
            <w:r w:rsidRPr="00E96D1E">
              <w:rPr>
                <w:rFonts w:ascii="Times New Roman" w:eastAsia="Calibri" w:hAnsi="Times New Roman" w:cs="Times New Roman"/>
                <w:sz w:val="18"/>
                <w:lang w:bidi="ar-SA"/>
              </w:rPr>
              <w:t>In-plane field of view (FOV)</w:t>
            </w:r>
            <w:r>
              <w:rPr>
                <w:rFonts w:ascii="Times New Roman" w:eastAsia="Calibri" w:hAnsi="Times New Roman" w:cs="Times New Roman"/>
                <w:sz w:val="18"/>
                <w:lang w:bidi="ar-SA"/>
              </w:rPr>
              <w:tab/>
            </w:r>
            <w:r>
              <w:rPr>
                <w:rFonts w:ascii="Times New Roman" w:eastAsia="Calibri" w:hAnsi="Times New Roman" w:cs="Times New Roman"/>
                <w:sz w:val="18"/>
                <w:lang w:bidi="ar-SA"/>
              </w:rPr>
              <w:tab/>
              <w:t>256mm</w:t>
            </w:r>
          </w:p>
          <w:p w:rsidR="00BD360B" w:rsidRPr="00E96D1E" w:rsidRDefault="00BD360B" w:rsidP="007E6211">
            <w:pPr>
              <w:spacing w:before="120"/>
              <w:ind w:firstLine="0"/>
              <w:rPr>
                <w:rFonts w:ascii="Times New Roman" w:eastAsia="Calibri" w:hAnsi="Times New Roman" w:cs="Times New Roman"/>
                <w:sz w:val="18"/>
                <w:lang w:bidi="ar-SA"/>
              </w:rPr>
            </w:pPr>
            <w:r w:rsidRPr="00E96D1E">
              <w:rPr>
                <w:rFonts w:ascii="Times New Roman" w:eastAsia="Calibri" w:hAnsi="Times New Roman" w:cs="Times New Roman"/>
                <w:sz w:val="18"/>
                <w:lang w:bidi="ar-SA"/>
              </w:rPr>
              <w:t>Number of slices</w:t>
            </w:r>
            <w:r>
              <w:rPr>
                <w:rFonts w:ascii="Times New Roman" w:eastAsia="Calibri" w:hAnsi="Times New Roman" w:cs="Times New Roman"/>
                <w:sz w:val="18"/>
                <w:lang w:bidi="ar-SA"/>
              </w:rPr>
              <w:tab/>
            </w:r>
            <w:r>
              <w:rPr>
                <w:rFonts w:ascii="Times New Roman" w:eastAsia="Calibri" w:hAnsi="Times New Roman" w:cs="Times New Roman"/>
                <w:sz w:val="18"/>
                <w:lang w:bidi="ar-SA"/>
              </w:rPr>
              <w:tab/>
            </w:r>
            <w:r>
              <w:rPr>
                <w:rFonts w:ascii="Times New Roman" w:eastAsia="Calibri" w:hAnsi="Times New Roman" w:cs="Times New Roman"/>
                <w:sz w:val="18"/>
                <w:lang w:bidi="ar-SA"/>
              </w:rPr>
              <w:tab/>
              <w:t>100</w:t>
            </w:r>
          </w:p>
          <w:p w:rsidR="00BD360B" w:rsidRPr="00E96D1E" w:rsidRDefault="00BD360B" w:rsidP="007E6211">
            <w:pPr>
              <w:spacing w:before="120"/>
              <w:ind w:firstLine="0"/>
              <w:rPr>
                <w:rFonts w:ascii="Times New Roman" w:eastAsia="Calibri" w:hAnsi="Times New Roman" w:cs="Times New Roman"/>
                <w:sz w:val="18"/>
                <w:lang w:bidi="ar-SA"/>
              </w:rPr>
            </w:pPr>
            <w:r w:rsidRPr="00E96D1E">
              <w:rPr>
                <w:rFonts w:ascii="Times New Roman" w:eastAsia="Calibri" w:hAnsi="Times New Roman" w:cs="Times New Roman"/>
                <w:sz w:val="18"/>
                <w:lang w:bidi="ar-SA"/>
              </w:rPr>
              <w:lastRenderedPageBreak/>
              <w:t>Acquisition time</w:t>
            </w:r>
            <w:r>
              <w:rPr>
                <w:rFonts w:ascii="Times New Roman" w:eastAsia="Calibri" w:hAnsi="Times New Roman" w:cs="Times New Roman"/>
                <w:sz w:val="18"/>
                <w:lang w:bidi="ar-SA"/>
              </w:rPr>
              <w:tab/>
            </w:r>
            <w:r>
              <w:rPr>
                <w:rFonts w:ascii="Times New Roman" w:eastAsia="Calibri" w:hAnsi="Times New Roman" w:cs="Times New Roman"/>
                <w:sz w:val="18"/>
                <w:lang w:bidi="ar-SA"/>
              </w:rPr>
              <w:tab/>
            </w:r>
            <w:r>
              <w:rPr>
                <w:rFonts w:ascii="Times New Roman" w:eastAsia="Calibri" w:hAnsi="Times New Roman" w:cs="Times New Roman"/>
                <w:sz w:val="18"/>
                <w:lang w:bidi="ar-SA"/>
              </w:rPr>
              <w:tab/>
              <w:t>9:28min</w:t>
            </w:r>
          </w:p>
          <w:p w:rsidR="00BD360B" w:rsidRDefault="00BD360B" w:rsidP="007E6211">
            <w:pPr>
              <w:spacing w:before="120"/>
              <w:ind w:firstLine="0"/>
              <w:rPr>
                <w:rFonts w:ascii="Times New Roman" w:eastAsia="Calibri" w:hAnsi="Times New Roman" w:cs="Times New Roman"/>
                <w:sz w:val="24"/>
                <w:lang w:bidi="ar-SA"/>
              </w:rPr>
            </w:pPr>
            <w:r w:rsidRPr="00E96D1E">
              <w:rPr>
                <w:rFonts w:ascii="Times New Roman" w:eastAsia="Calibri" w:hAnsi="Times New Roman" w:cs="Times New Roman"/>
                <w:sz w:val="18"/>
                <w:lang w:bidi="ar-SA"/>
              </w:rPr>
              <w:t>Multiband acceleration factor</w:t>
            </w:r>
            <w:r>
              <w:rPr>
                <w:rFonts w:ascii="Times New Roman" w:eastAsia="Calibri" w:hAnsi="Times New Roman" w:cs="Times New Roman"/>
                <w:sz w:val="18"/>
                <w:lang w:bidi="ar-SA"/>
              </w:rPr>
              <w:tab/>
              <w:t>4</w:t>
            </w:r>
          </w:p>
        </w:tc>
      </w:tr>
    </w:tbl>
    <w:p w:rsidR="00BD360B" w:rsidRDefault="00BD360B" w:rsidP="00BD360B">
      <w:pPr>
        <w:spacing w:before="120"/>
        <w:ind w:firstLine="0"/>
        <w:rPr>
          <w:rFonts w:ascii="Times New Roman" w:eastAsia="Calibri" w:hAnsi="Times New Roman" w:cs="Times New Roman"/>
          <w:sz w:val="24"/>
          <w:lang w:bidi="ar-SA"/>
        </w:rPr>
      </w:pPr>
    </w:p>
    <w:p w:rsidR="00BD360B" w:rsidRPr="00EE48E6" w:rsidRDefault="00BD360B" w:rsidP="00BD360B">
      <w:pPr>
        <w:spacing w:before="120"/>
        <w:ind w:left="708" w:firstLine="0"/>
        <w:rPr>
          <w:rFonts w:ascii="Times New Roman" w:eastAsia="Calibri" w:hAnsi="Times New Roman" w:cs="Times New Roman"/>
          <w:b/>
          <w:sz w:val="28"/>
          <w:lang w:bidi="ar-SA"/>
        </w:rPr>
      </w:pPr>
      <w:r w:rsidRPr="00EE48E6">
        <w:rPr>
          <w:rFonts w:ascii="Times New Roman" w:eastAsia="Calibri" w:hAnsi="Times New Roman" w:cs="Times New Roman"/>
          <w:b/>
          <w:sz w:val="28"/>
          <w:lang w:bidi="ar-SA"/>
        </w:rPr>
        <w:t>Supplementary Table 3 - Baseline characteristics of the MRI sub-sample</w:t>
      </w:r>
    </w:p>
    <w:p w:rsidR="00BD360B" w:rsidRPr="005149A0" w:rsidRDefault="00BD360B" w:rsidP="00BD360B">
      <w:pPr>
        <w:spacing w:before="120"/>
        <w:ind w:firstLine="0"/>
        <w:rPr>
          <w:rFonts w:ascii="Times New Roman" w:eastAsia="Calibri" w:hAnsi="Times New Roman" w:cs="Times New Roman"/>
          <w:sz w:val="24"/>
          <w:szCs w:val="24"/>
          <w:lang w:bidi="ar-SA"/>
        </w:rPr>
      </w:pPr>
      <w:r w:rsidRPr="005149A0">
        <w:rPr>
          <w:rFonts w:ascii="Times New Roman" w:hAnsi="Times New Roman" w:cs="Times New Roman"/>
          <w:b/>
          <w:sz w:val="24"/>
          <w:szCs w:val="24"/>
        </w:rPr>
        <w:t>T</w:t>
      </w:r>
      <w:r>
        <w:rPr>
          <w:rFonts w:ascii="Times New Roman" w:hAnsi="Times New Roman" w:cs="Times New Roman"/>
          <w:b/>
          <w:sz w:val="24"/>
          <w:szCs w:val="24"/>
        </w:rPr>
        <w:t>able 4</w:t>
      </w:r>
      <w:r w:rsidRPr="005149A0">
        <w:rPr>
          <w:rFonts w:ascii="Times New Roman" w:hAnsi="Times New Roman" w:cs="Times New Roman"/>
          <w:b/>
          <w:sz w:val="24"/>
          <w:szCs w:val="24"/>
        </w:rPr>
        <w:t>. Baseline characteristics of 69 brain imaging participants by group</w:t>
      </w:r>
    </w:p>
    <w:tbl>
      <w:tblPr>
        <w:tblStyle w:val="TabellemithellemGitternetz1"/>
        <w:tblW w:w="92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77"/>
        <w:gridCol w:w="1701"/>
        <w:gridCol w:w="2100"/>
        <w:gridCol w:w="1835"/>
        <w:gridCol w:w="601"/>
      </w:tblGrid>
      <w:tr w:rsidR="00BD360B" w:rsidTr="007E6211">
        <w:trPr>
          <w:trHeight w:val="496"/>
        </w:trPr>
        <w:tc>
          <w:tcPr>
            <w:tcW w:w="2977" w:type="dxa"/>
            <w:tcBorders>
              <w:top w:val="single" w:sz="4" w:space="0" w:color="auto"/>
              <w:bottom w:val="single" w:sz="18" w:space="0" w:color="auto"/>
            </w:tcBorders>
            <w:shd w:val="clear" w:color="auto" w:fill="E7E6E6" w:themeFill="background2"/>
          </w:tcPr>
          <w:p w:rsidR="00BD360B" w:rsidRDefault="00BD360B" w:rsidP="007E6211">
            <w:pPr>
              <w:rPr>
                <w:rFonts w:ascii="Times New Roman" w:hAnsi="Times New Roman" w:cs="Times New Roman"/>
              </w:rPr>
            </w:pPr>
          </w:p>
        </w:tc>
        <w:tc>
          <w:tcPr>
            <w:tcW w:w="1701" w:type="dxa"/>
            <w:tcBorders>
              <w:top w:val="single" w:sz="4" w:space="0" w:color="auto"/>
              <w:bottom w:val="single" w:sz="18" w:space="0" w:color="auto"/>
            </w:tcBorders>
            <w:shd w:val="clear" w:color="auto" w:fill="E7E6E6" w:themeFill="background2"/>
          </w:tcPr>
          <w:p w:rsidR="00BD360B" w:rsidRDefault="00BD360B" w:rsidP="007E6211">
            <w:pPr>
              <w:ind w:firstLine="0"/>
              <w:jc w:val="center"/>
              <w:rPr>
                <w:rFonts w:ascii="Times New Roman" w:hAnsi="Times New Roman" w:cs="Times New Roman"/>
              </w:rPr>
            </w:pPr>
            <w:r>
              <w:rPr>
                <w:rFonts w:ascii="Times New Roman" w:hAnsi="Times New Roman" w:cs="Times New Roman"/>
              </w:rPr>
              <w:t xml:space="preserve">Total    </w:t>
            </w:r>
          </w:p>
          <w:p w:rsidR="00BD360B" w:rsidRDefault="00BD360B" w:rsidP="007E6211">
            <w:pPr>
              <w:ind w:firstLine="0"/>
              <w:jc w:val="center"/>
              <w:rPr>
                <w:rFonts w:ascii="Times New Roman" w:hAnsi="Times New Roman" w:cs="Times New Roman"/>
              </w:rPr>
            </w:pPr>
            <w:r>
              <w:rPr>
                <w:rFonts w:ascii="Times New Roman" w:hAnsi="Times New Roman" w:cs="Times New Roman"/>
              </w:rPr>
              <w:t xml:space="preserve">  (N = 69)</w:t>
            </w:r>
          </w:p>
        </w:tc>
        <w:tc>
          <w:tcPr>
            <w:tcW w:w="2100" w:type="dxa"/>
            <w:tcBorders>
              <w:top w:val="single" w:sz="4" w:space="0" w:color="auto"/>
              <w:bottom w:val="single" w:sz="18" w:space="0" w:color="auto"/>
            </w:tcBorders>
            <w:shd w:val="clear" w:color="auto" w:fill="E7E6E6" w:themeFill="background2"/>
          </w:tcPr>
          <w:p w:rsidR="00BD360B" w:rsidRDefault="00BD360B" w:rsidP="007E6211">
            <w:pPr>
              <w:spacing w:line="240" w:lineRule="auto"/>
              <w:ind w:firstLine="0"/>
              <w:jc w:val="center"/>
              <w:rPr>
                <w:rFonts w:ascii="Times New Roman" w:hAnsi="Times New Roman" w:cs="Times New Roman"/>
              </w:rPr>
            </w:pPr>
            <w:r>
              <w:rPr>
                <w:rFonts w:ascii="Times New Roman" w:hAnsi="Times New Roman" w:cs="Times New Roman"/>
              </w:rPr>
              <w:t xml:space="preserve">Physical activity intervention group    </w:t>
            </w:r>
          </w:p>
          <w:p w:rsidR="00BD360B" w:rsidRDefault="00BD360B" w:rsidP="007E6211">
            <w:pPr>
              <w:spacing w:line="240" w:lineRule="auto"/>
              <w:ind w:firstLine="0"/>
              <w:jc w:val="center"/>
              <w:rPr>
                <w:rFonts w:ascii="Times New Roman" w:hAnsi="Times New Roman" w:cs="Times New Roman"/>
              </w:rPr>
            </w:pPr>
            <w:r>
              <w:rPr>
                <w:rFonts w:ascii="Times New Roman" w:hAnsi="Times New Roman" w:cs="Times New Roman"/>
              </w:rPr>
              <w:t>(n = 36)</w:t>
            </w:r>
          </w:p>
        </w:tc>
        <w:tc>
          <w:tcPr>
            <w:tcW w:w="1835" w:type="dxa"/>
            <w:tcBorders>
              <w:top w:val="single" w:sz="4" w:space="0" w:color="auto"/>
              <w:bottom w:val="single" w:sz="18" w:space="0" w:color="auto"/>
            </w:tcBorders>
            <w:shd w:val="clear" w:color="auto" w:fill="E7E6E6" w:themeFill="background2"/>
          </w:tcPr>
          <w:p w:rsidR="00BD360B" w:rsidRDefault="00BD360B" w:rsidP="007E6211">
            <w:pPr>
              <w:spacing w:line="240" w:lineRule="auto"/>
              <w:ind w:firstLine="0"/>
              <w:jc w:val="center"/>
              <w:rPr>
                <w:rFonts w:ascii="Times New Roman" w:hAnsi="Times New Roman" w:cs="Times New Roman"/>
              </w:rPr>
            </w:pPr>
            <w:r>
              <w:rPr>
                <w:rFonts w:ascii="Times New Roman" w:hAnsi="Times New Roman" w:cs="Times New Roman"/>
              </w:rPr>
              <w:t xml:space="preserve">Active control group   </w:t>
            </w:r>
          </w:p>
          <w:p w:rsidR="00BD360B" w:rsidRDefault="00BD360B" w:rsidP="007E6211">
            <w:pPr>
              <w:spacing w:line="240" w:lineRule="auto"/>
              <w:ind w:firstLine="0"/>
              <w:jc w:val="center"/>
              <w:rPr>
                <w:rFonts w:ascii="Times New Roman" w:hAnsi="Times New Roman" w:cs="Times New Roman"/>
              </w:rPr>
            </w:pPr>
            <w:r>
              <w:rPr>
                <w:rFonts w:ascii="Times New Roman" w:hAnsi="Times New Roman" w:cs="Times New Roman"/>
              </w:rPr>
              <w:t>(n = 33)</w:t>
            </w:r>
          </w:p>
        </w:tc>
        <w:tc>
          <w:tcPr>
            <w:tcW w:w="601" w:type="dxa"/>
            <w:tcBorders>
              <w:top w:val="single" w:sz="4" w:space="0" w:color="auto"/>
              <w:bottom w:val="single" w:sz="18" w:space="0" w:color="auto"/>
            </w:tcBorders>
            <w:shd w:val="clear" w:color="auto" w:fill="E7E6E6" w:themeFill="background2"/>
          </w:tcPr>
          <w:p w:rsidR="00BD360B" w:rsidRDefault="00BD360B" w:rsidP="007E6211">
            <w:pPr>
              <w:ind w:firstLine="0"/>
              <w:jc w:val="center"/>
              <w:rPr>
                <w:rFonts w:ascii="Times New Roman" w:hAnsi="Times New Roman" w:cs="Times New Roman"/>
                <w:vertAlign w:val="superscript"/>
              </w:rPr>
            </w:pPr>
            <w:r>
              <w:rPr>
                <w:rFonts w:ascii="Times New Roman" w:hAnsi="Times New Roman" w:cs="Times New Roman"/>
              </w:rPr>
              <w:t>p</w:t>
            </w:r>
            <w:r>
              <w:rPr>
                <w:rFonts w:ascii="Times New Roman" w:hAnsi="Times New Roman" w:cs="Times New Roman"/>
                <w:vertAlign w:val="superscript"/>
              </w:rPr>
              <w:t>1</w:t>
            </w:r>
          </w:p>
          <w:p w:rsidR="00BD360B" w:rsidRPr="00D23372" w:rsidRDefault="00BD360B" w:rsidP="007E6211">
            <w:pPr>
              <w:ind w:firstLine="0"/>
              <w:jc w:val="center"/>
              <w:rPr>
                <w:rFonts w:ascii="Times New Roman" w:hAnsi="Times New Roman" w:cs="Times New Roman"/>
                <w:vertAlign w:val="superscript"/>
              </w:rPr>
            </w:pPr>
          </w:p>
        </w:tc>
      </w:tr>
      <w:tr w:rsidR="00BD360B" w:rsidTr="007E6211">
        <w:trPr>
          <w:trHeight w:val="311"/>
        </w:trPr>
        <w:tc>
          <w:tcPr>
            <w:tcW w:w="2977" w:type="dxa"/>
            <w:tcBorders>
              <w:top w:val="single" w:sz="18" w:space="0" w:color="auto"/>
            </w:tcBorders>
            <w:shd w:val="clear" w:color="auto" w:fill="auto"/>
          </w:tcPr>
          <w:p w:rsidR="00BD360B" w:rsidRDefault="00BD360B" w:rsidP="007E6211">
            <w:pPr>
              <w:rPr>
                <w:rFonts w:ascii="Times New Roman" w:hAnsi="Times New Roman" w:cs="Times New Roman"/>
              </w:rPr>
            </w:pPr>
            <w:r>
              <w:rPr>
                <w:rFonts w:ascii="Times New Roman" w:hAnsi="Times New Roman" w:cs="Times New Roman"/>
              </w:rPr>
              <w:t>Age, mean (SD), y</w:t>
            </w:r>
          </w:p>
        </w:tc>
        <w:tc>
          <w:tcPr>
            <w:tcW w:w="1701" w:type="dxa"/>
            <w:tcBorders>
              <w:top w:val="single" w:sz="18" w:space="0" w:color="auto"/>
            </w:tcBorders>
            <w:shd w:val="clear" w:color="auto" w:fill="auto"/>
          </w:tcPr>
          <w:p w:rsidR="00BD360B" w:rsidRDefault="00BD360B" w:rsidP="007E6211">
            <w:pPr>
              <w:ind w:firstLine="0"/>
              <w:jc w:val="center"/>
              <w:rPr>
                <w:rFonts w:ascii="Times New Roman" w:hAnsi="Times New Roman" w:cs="Times New Roman"/>
              </w:rPr>
            </w:pPr>
            <w:r>
              <w:rPr>
                <w:rFonts w:ascii="Times New Roman" w:hAnsi="Times New Roman" w:cs="Times New Roman"/>
              </w:rPr>
              <w:t>66.25 (3.62)</w:t>
            </w:r>
          </w:p>
        </w:tc>
        <w:tc>
          <w:tcPr>
            <w:tcW w:w="2100" w:type="dxa"/>
            <w:tcBorders>
              <w:top w:val="single" w:sz="18" w:space="0" w:color="auto"/>
            </w:tcBorders>
            <w:shd w:val="clear" w:color="auto" w:fill="auto"/>
          </w:tcPr>
          <w:p w:rsidR="00BD360B" w:rsidRDefault="00BD360B" w:rsidP="007E6211">
            <w:pPr>
              <w:ind w:firstLine="0"/>
              <w:jc w:val="center"/>
              <w:rPr>
                <w:rFonts w:ascii="Times New Roman" w:hAnsi="Times New Roman" w:cs="Times New Roman"/>
              </w:rPr>
            </w:pPr>
            <w:r>
              <w:rPr>
                <w:rFonts w:ascii="Times New Roman" w:hAnsi="Times New Roman" w:cs="Times New Roman"/>
              </w:rPr>
              <w:t>66.08 (3.30)</w:t>
            </w:r>
          </w:p>
        </w:tc>
        <w:tc>
          <w:tcPr>
            <w:tcW w:w="1835" w:type="dxa"/>
            <w:tcBorders>
              <w:top w:val="single" w:sz="18" w:space="0" w:color="auto"/>
            </w:tcBorders>
            <w:shd w:val="clear" w:color="auto" w:fill="auto"/>
          </w:tcPr>
          <w:p w:rsidR="00BD360B" w:rsidRDefault="00BD360B" w:rsidP="007E6211">
            <w:pPr>
              <w:ind w:firstLine="0"/>
              <w:jc w:val="center"/>
              <w:rPr>
                <w:rFonts w:ascii="Times New Roman" w:hAnsi="Times New Roman" w:cs="Times New Roman"/>
              </w:rPr>
            </w:pPr>
            <w:r>
              <w:rPr>
                <w:rFonts w:ascii="Times New Roman" w:hAnsi="Times New Roman" w:cs="Times New Roman"/>
              </w:rPr>
              <w:t>66.42 (3.99)</w:t>
            </w:r>
          </w:p>
        </w:tc>
        <w:tc>
          <w:tcPr>
            <w:tcW w:w="601" w:type="dxa"/>
            <w:tcBorders>
              <w:top w:val="single" w:sz="18" w:space="0" w:color="auto"/>
            </w:tcBorders>
            <w:shd w:val="clear" w:color="auto" w:fill="auto"/>
          </w:tcPr>
          <w:p w:rsidR="00BD360B" w:rsidRDefault="00BD360B" w:rsidP="007E6211">
            <w:pPr>
              <w:ind w:firstLine="0"/>
              <w:jc w:val="center"/>
              <w:rPr>
                <w:rFonts w:ascii="Times New Roman" w:hAnsi="Times New Roman" w:cs="Times New Roman"/>
              </w:rPr>
            </w:pPr>
            <w:r>
              <w:rPr>
                <w:rFonts w:ascii="Times New Roman" w:hAnsi="Times New Roman" w:cs="Times New Roman"/>
              </w:rPr>
              <w:t>.70</w:t>
            </w:r>
          </w:p>
        </w:tc>
      </w:tr>
      <w:tr w:rsidR="00BD360B" w:rsidTr="007E6211">
        <w:trPr>
          <w:trHeight w:val="378"/>
        </w:trPr>
        <w:tc>
          <w:tcPr>
            <w:tcW w:w="2977" w:type="dxa"/>
            <w:shd w:val="clear" w:color="auto" w:fill="auto"/>
          </w:tcPr>
          <w:p w:rsidR="00BD360B" w:rsidRDefault="00BD360B" w:rsidP="007E6211">
            <w:pPr>
              <w:rPr>
                <w:rFonts w:ascii="Times New Roman" w:hAnsi="Times New Roman" w:cs="Times New Roman"/>
              </w:rPr>
            </w:pPr>
            <w:r>
              <w:rPr>
                <w:rFonts w:ascii="Times New Roman" w:hAnsi="Times New Roman" w:cs="Times New Roman"/>
              </w:rPr>
              <w:t>Female gender, No. (%)</w:t>
            </w:r>
          </w:p>
        </w:tc>
        <w:tc>
          <w:tcPr>
            <w:tcW w:w="1701" w:type="dxa"/>
            <w:shd w:val="clear" w:color="auto" w:fill="auto"/>
          </w:tcPr>
          <w:p w:rsidR="00BD360B" w:rsidRDefault="00BD360B" w:rsidP="007E6211">
            <w:pPr>
              <w:ind w:firstLine="0"/>
              <w:jc w:val="center"/>
              <w:rPr>
                <w:rFonts w:ascii="Times New Roman" w:hAnsi="Times New Roman" w:cs="Times New Roman"/>
              </w:rPr>
            </w:pPr>
            <w:r>
              <w:rPr>
                <w:rFonts w:ascii="Times New Roman" w:hAnsi="Times New Roman" w:cs="Times New Roman"/>
              </w:rPr>
              <w:t>46 (66.7%)</w:t>
            </w:r>
          </w:p>
        </w:tc>
        <w:tc>
          <w:tcPr>
            <w:tcW w:w="2100" w:type="dxa"/>
            <w:shd w:val="clear" w:color="auto" w:fill="auto"/>
          </w:tcPr>
          <w:p w:rsidR="00BD360B" w:rsidRDefault="00BD360B" w:rsidP="007E6211">
            <w:pPr>
              <w:ind w:firstLine="0"/>
              <w:jc w:val="center"/>
              <w:rPr>
                <w:rFonts w:ascii="Times New Roman" w:hAnsi="Times New Roman" w:cs="Times New Roman"/>
              </w:rPr>
            </w:pPr>
            <w:r>
              <w:rPr>
                <w:rFonts w:ascii="Times New Roman" w:hAnsi="Times New Roman" w:cs="Times New Roman"/>
              </w:rPr>
              <w:t>24 (66.7%)</w:t>
            </w:r>
          </w:p>
        </w:tc>
        <w:tc>
          <w:tcPr>
            <w:tcW w:w="1835" w:type="dxa"/>
            <w:shd w:val="clear" w:color="auto" w:fill="auto"/>
          </w:tcPr>
          <w:p w:rsidR="00BD360B" w:rsidRDefault="00BD360B" w:rsidP="007E6211">
            <w:pPr>
              <w:ind w:firstLine="0"/>
              <w:jc w:val="center"/>
              <w:rPr>
                <w:rFonts w:ascii="Times New Roman" w:hAnsi="Times New Roman" w:cs="Times New Roman"/>
              </w:rPr>
            </w:pPr>
            <w:r>
              <w:rPr>
                <w:rFonts w:ascii="Times New Roman" w:hAnsi="Times New Roman" w:cs="Times New Roman"/>
              </w:rPr>
              <w:t>22 (66.7%)</w:t>
            </w:r>
          </w:p>
        </w:tc>
        <w:tc>
          <w:tcPr>
            <w:tcW w:w="601" w:type="dxa"/>
            <w:shd w:val="clear" w:color="auto" w:fill="auto"/>
          </w:tcPr>
          <w:p w:rsidR="00BD360B" w:rsidRDefault="00BD360B" w:rsidP="007E6211">
            <w:pPr>
              <w:ind w:firstLine="0"/>
              <w:jc w:val="center"/>
              <w:rPr>
                <w:rFonts w:ascii="Times New Roman" w:hAnsi="Times New Roman" w:cs="Times New Roman"/>
              </w:rPr>
            </w:pPr>
            <w:r>
              <w:rPr>
                <w:rFonts w:ascii="Times New Roman" w:hAnsi="Times New Roman" w:cs="Times New Roman"/>
              </w:rPr>
              <w:t>1.00</w:t>
            </w:r>
          </w:p>
        </w:tc>
      </w:tr>
      <w:tr w:rsidR="00BD360B" w:rsidTr="007E6211">
        <w:trPr>
          <w:trHeight w:val="456"/>
        </w:trPr>
        <w:tc>
          <w:tcPr>
            <w:tcW w:w="2977" w:type="dxa"/>
            <w:shd w:val="clear" w:color="auto" w:fill="auto"/>
          </w:tcPr>
          <w:p w:rsidR="00BD360B" w:rsidRDefault="00BD360B" w:rsidP="007E6211">
            <w:pPr>
              <w:rPr>
                <w:rFonts w:ascii="Times New Roman" w:hAnsi="Times New Roman" w:cs="Times New Roman"/>
                <w:lang w:val="de-DE"/>
              </w:rPr>
            </w:pPr>
            <w:r>
              <w:rPr>
                <w:rFonts w:ascii="Times New Roman" w:hAnsi="Times New Roman" w:cs="Times New Roman"/>
                <w:lang w:val="de-DE"/>
              </w:rPr>
              <w:t>Education, mean (SD), y</w:t>
            </w:r>
          </w:p>
        </w:tc>
        <w:tc>
          <w:tcPr>
            <w:tcW w:w="1701" w:type="dxa"/>
            <w:shd w:val="clear" w:color="auto" w:fill="auto"/>
          </w:tcPr>
          <w:p w:rsidR="00BD360B" w:rsidRDefault="00BD360B" w:rsidP="007E6211">
            <w:pPr>
              <w:ind w:firstLine="0"/>
              <w:jc w:val="center"/>
              <w:rPr>
                <w:rFonts w:ascii="Times New Roman" w:hAnsi="Times New Roman" w:cs="Times New Roman"/>
              </w:rPr>
            </w:pPr>
            <w:r>
              <w:rPr>
                <w:rFonts w:ascii="Times New Roman" w:hAnsi="Times New Roman" w:cs="Times New Roman"/>
              </w:rPr>
              <w:t>16.43 (2.55)</w:t>
            </w:r>
          </w:p>
        </w:tc>
        <w:tc>
          <w:tcPr>
            <w:tcW w:w="2100" w:type="dxa"/>
            <w:shd w:val="clear" w:color="auto" w:fill="auto"/>
          </w:tcPr>
          <w:p w:rsidR="00BD360B" w:rsidRDefault="00BD360B" w:rsidP="007E6211">
            <w:pPr>
              <w:ind w:firstLine="0"/>
              <w:jc w:val="center"/>
              <w:rPr>
                <w:rFonts w:ascii="Times New Roman" w:hAnsi="Times New Roman" w:cs="Times New Roman"/>
              </w:rPr>
            </w:pPr>
            <w:r>
              <w:rPr>
                <w:rFonts w:ascii="Times New Roman" w:hAnsi="Times New Roman" w:cs="Times New Roman"/>
              </w:rPr>
              <w:t xml:space="preserve"> 16.72 (2.50)</w:t>
            </w:r>
          </w:p>
        </w:tc>
        <w:tc>
          <w:tcPr>
            <w:tcW w:w="1835" w:type="dxa"/>
            <w:shd w:val="clear" w:color="auto" w:fill="auto"/>
          </w:tcPr>
          <w:p w:rsidR="00BD360B" w:rsidRDefault="00BD360B" w:rsidP="007E6211">
            <w:pPr>
              <w:ind w:firstLine="0"/>
              <w:jc w:val="center"/>
              <w:rPr>
                <w:rFonts w:ascii="Times New Roman" w:hAnsi="Times New Roman" w:cs="Times New Roman"/>
              </w:rPr>
            </w:pPr>
            <w:r>
              <w:rPr>
                <w:rFonts w:ascii="Times New Roman" w:hAnsi="Times New Roman" w:cs="Times New Roman"/>
              </w:rPr>
              <w:t xml:space="preserve"> 16.12 (2.61)</w:t>
            </w:r>
          </w:p>
        </w:tc>
        <w:tc>
          <w:tcPr>
            <w:tcW w:w="601" w:type="dxa"/>
            <w:shd w:val="clear" w:color="auto" w:fill="auto"/>
          </w:tcPr>
          <w:p w:rsidR="00BD360B" w:rsidRDefault="00BD360B" w:rsidP="007E6211">
            <w:pPr>
              <w:ind w:firstLine="0"/>
              <w:jc w:val="center"/>
              <w:rPr>
                <w:rFonts w:ascii="Times New Roman" w:hAnsi="Times New Roman" w:cs="Times New Roman"/>
              </w:rPr>
            </w:pPr>
            <w:r>
              <w:rPr>
                <w:rFonts w:ascii="Times New Roman" w:hAnsi="Times New Roman" w:cs="Times New Roman"/>
              </w:rPr>
              <w:t>.33</w:t>
            </w:r>
          </w:p>
        </w:tc>
      </w:tr>
      <w:tr w:rsidR="00BD360B" w:rsidTr="007E6211">
        <w:trPr>
          <w:trHeight w:val="455"/>
        </w:trPr>
        <w:tc>
          <w:tcPr>
            <w:tcW w:w="2977" w:type="dxa"/>
            <w:tcBorders>
              <w:bottom w:val="single" w:sz="4" w:space="0" w:color="auto"/>
            </w:tcBorders>
            <w:shd w:val="clear" w:color="auto" w:fill="auto"/>
          </w:tcPr>
          <w:p w:rsidR="00BD360B" w:rsidRDefault="00BD360B" w:rsidP="007E6211">
            <w:pPr>
              <w:rPr>
                <w:rFonts w:ascii="Times New Roman" w:hAnsi="Times New Roman" w:cs="Times New Roman"/>
              </w:rPr>
            </w:pPr>
            <w:r>
              <w:rPr>
                <w:rFonts w:ascii="Times New Roman" w:hAnsi="Times New Roman" w:cs="Times New Roman"/>
              </w:rPr>
              <w:t>ACE-III, score, mean (SD)</w:t>
            </w:r>
          </w:p>
        </w:tc>
        <w:tc>
          <w:tcPr>
            <w:tcW w:w="1701" w:type="dxa"/>
            <w:tcBorders>
              <w:bottom w:val="single" w:sz="4" w:space="0" w:color="auto"/>
            </w:tcBorders>
            <w:shd w:val="clear" w:color="auto" w:fill="auto"/>
          </w:tcPr>
          <w:p w:rsidR="00BD360B" w:rsidRDefault="00BD360B" w:rsidP="007E6211">
            <w:pPr>
              <w:ind w:firstLine="0"/>
              <w:jc w:val="center"/>
              <w:rPr>
                <w:rFonts w:ascii="Times New Roman" w:hAnsi="Times New Roman" w:cs="Times New Roman"/>
              </w:rPr>
            </w:pPr>
            <w:r>
              <w:rPr>
                <w:rFonts w:ascii="Times New Roman" w:hAnsi="Times New Roman" w:cs="Times New Roman"/>
              </w:rPr>
              <w:t>94.30 (2.66)</w:t>
            </w:r>
          </w:p>
        </w:tc>
        <w:tc>
          <w:tcPr>
            <w:tcW w:w="2100" w:type="dxa"/>
            <w:tcBorders>
              <w:bottom w:val="single" w:sz="4" w:space="0" w:color="auto"/>
            </w:tcBorders>
            <w:shd w:val="clear" w:color="auto" w:fill="auto"/>
          </w:tcPr>
          <w:p w:rsidR="00BD360B" w:rsidRDefault="00BD360B" w:rsidP="007E6211">
            <w:pPr>
              <w:ind w:firstLine="0"/>
              <w:jc w:val="center"/>
              <w:rPr>
                <w:rFonts w:ascii="Times New Roman" w:hAnsi="Times New Roman" w:cs="Times New Roman"/>
              </w:rPr>
            </w:pPr>
            <w:r>
              <w:rPr>
                <w:rFonts w:ascii="Times New Roman" w:hAnsi="Times New Roman" w:cs="Times New Roman"/>
              </w:rPr>
              <w:t>94.42 (2.60)</w:t>
            </w:r>
          </w:p>
        </w:tc>
        <w:tc>
          <w:tcPr>
            <w:tcW w:w="1835" w:type="dxa"/>
            <w:tcBorders>
              <w:bottom w:val="single" w:sz="4" w:space="0" w:color="auto"/>
            </w:tcBorders>
            <w:shd w:val="clear" w:color="auto" w:fill="auto"/>
          </w:tcPr>
          <w:p w:rsidR="00BD360B" w:rsidRDefault="00BD360B" w:rsidP="007E6211">
            <w:pPr>
              <w:ind w:firstLine="0"/>
              <w:jc w:val="center"/>
              <w:rPr>
                <w:rFonts w:ascii="Times New Roman" w:hAnsi="Times New Roman" w:cs="Times New Roman"/>
              </w:rPr>
            </w:pPr>
            <w:r>
              <w:rPr>
                <w:rFonts w:ascii="Times New Roman" w:hAnsi="Times New Roman" w:cs="Times New Roman"/>
              </w:rPr>
              <w:t>94.18 (2.76)</w:t>
            </w:r>
          </w:p>
        </w:tc>
        <w:tc>
          <w:tcPr>
            <w:tcW w:w="601" w:type="dxa"/>
            <w:tcBorders>
              <w:bottom w:val="single" w:sz="4" w:space="0" w:color="auto"/>
            </w:tcBorders>
            <w:shd w:val="clear" w:color="auto" w:fill="auto"/>
          </w:tcPr>
          <w:p w:rsidR="00BD360B" w:rsidRDefault="00BD360B" w:rsidP="007E6211">
            <w:pPr>
              <w:ind w:firstLine="0"/>
              <w:jc w:val="center"/>
              <w:rPr>
                <w:rFonts w:ascii="Times New Roman" w:hAnsi="Times New Roman" w:cs="Times New Roman"/>
              </w:rPr>
            </w:pPr>
            <w:r>
              <w:rPr>
                <w:rFonts w:ascii="Times New Roman" w:hAnsi="Times New Roman" w:cs="Times New Roman"/>
              </w:rPr>
              <w:t>.72</w:t>
            </w:r>
          </w:p>
        </w:tc>
      </w:tr>
    </w:tbl>
    <w:p w:rsidR="00BD360B" w:rsidRDefault="00BD360B" w:rsidP="00BD360B">
      <w:pPr>
        <w:spacing w:before="120"/>
        <w:ind w:firstLine="0"/>
        <w:rPr>
          <w:rFonts w:ascii="Times New Roman" w:eastAsia="Calibri" w:hAnsi="Times New Roman" w:cs="Times New Roman"/>
          <w:sz w:val="24"/>
          <w:lang w:bidi="ar-SA"/>
        </w:rPr>
      </w:pPr>
      <w:r>
        <w:rPr>
          <w:rFonts w:ascii="Times New Roman" w:eastAsia="Calibri" w:hAnsi="Times New Roman" w:cs="Times New Roman"/>
          <w:sz w:val="24"/>
          <w:lang w:bidi="ar-SA"/>
        </w:rPr>
        <w:t xml:space="preserve">There were no differences between participants with and without an MRI assessment (all </w:t>
      </w:r>
      <w:r>
        <w:rPr>
          <w:rFonts w:ascii="Times New Roman" w:eastAsia="Calibri" w:hAnsi="Times New Roman" w:cs="Times New Roman"/>
          <w:i/>
          <w:sz w:val="24"/>
          <w:lang w:bidi="ar-SA"/>
        </w:rPr>
        <w:t>p</w:t>
      </w:r>
      <w:r>
        <w:rPr>
          <w:rFonts w:ascii="Times New Roman" w:eastAsia="Calibri" w:hAnsi="Times New Roman" w:cs="Times New Roman"/>
          <w:sz w:val="24"/>
          <w:lang w:bidi="ar-SA"/>
        </w:rPr>
        <w:t xml:space="preserve"> &gt; .217).</w:t>
      </w:r>
    </w:p>
    <w:p w:rsidR="004030EB" w:rsidRDefault="004030EB" w:rsidP="00BD360B">
      <w:pPr>
        <w:spacing w:before="120"/>
        <w:ind w:firstLine="708"/>
        <w:rPr>
          <w:rFonts w:ascii="Times New Roman" w:eastAsia="Calibri" w:hAnsi="Times New Roman" w:cs="Times New Roman"/>
          <w:b/>
          <w:sz w:val="28"/>
          <w:lang w:bidi="ar-SA"/>
        </w:rPr>
      </w:pPr>
    </w:p>
    <w:p w:rsidR="00BD360B" w:rsidRPr="0045170E" w:rsidRDefault="00BD360B" w:rsidP="00BD360B">
      <w:pPr>
        <w:spacing w:before="120"/>
        <w:ind w:firstLine="708"/>
        <w:rPr>
          <w:rFonts w:ascii="Times New Roman" w:eastAsia="Calibri" w:hAnsi="Times New Roman" w:cs="Times New Roman"/>
          <w:b/>
          <w:sz w:val="24"/>
          <w:lang w:bidi="ar-SA"/>
        </w:rPr>
      </w:pPr>
      <w:r w:rsidRPr="00EE48E6">
        <w:rPr>
          <w:rFonts w:ascii="Times New Roman" w:eastAsia="Calibri" w:hAnsi="Times New Roman" w:cs="Times New Roman"/>
          <w:b/>
          <w:sz w:val="28"/>
          <w:lang w:bidi="ar-SA"/>
        </w:rPr>
        <w:t>Supplementary Table 4 – Resting-state Functional Networks</w:t>
      </w:r>
    </w:p>
    <w:p w:rsidR="00BD360B" w:rsidRPr="003B3964" w:rsidRDefault="00BD360B" w:rsidP="00BD360B">
      <w:pPr>
        <w:spacing w:before="120"/>
        <w:ind w:firstLine="0"/>
        <w:rPr>
          <w:rFonts w:ascii="Times New Roman" w:eastAsia="Calibri" w:hAnsi="Times New Roman" w:cs="Times New Roman"/>
          <w:b/>
          <w:sz w:val="24"/>
          <w:lang w:bidi="ar-SA"/>
        </w:rPr>
      </w:pPr>
      <w:r>
        <w:rPr>
          <w:rFonts w:ascii="Times New Roman" w:eastAsia="Calibri" w:hAnsi="Times New Roman" w:cs="Times New Roman"/>
          <w:b/>
          <w:sz w:val="24"/>
          <w:lang w:bidi="ar-SA"/>
        </w:rPr>
        <w:t>Table 4</w:t>
      </w:r>
      <w:r w:rsidRPr="003B3964">
        <w:rPr>
          <w:rFonts w:ascii="Times New Roman" w:eastAsia="Calibri" w:hAnsi="Times New Roman" w:cs="Times New Roman"/>
          <w:b/>
          <w:sz w:val="24"/>
          <w:lang w:bidi="ar-SA"/>
        </w:rPr>
        <w:t>. Resting-state Functional Networks (Yeo 17N; Yeo et al., 2011) with Spatial Cortical Classification following Brodmann</w:t>
      </w:r>
      <w:r>
        <w:rPr>
          <w:rFonts w:ascii="Times New Roman" w:eastAsia="Calibri" w:hAnsi="Times New Roman" w:cs="Times New Roman"/>
          <w:b/>
          <w:sz w:val="24"/>
          <w:lang w:bidi="ar-SA"/>
        </w:rPr>
        <w:t xml:space="preserve"> (Garey, 2006)</w:t>
      </w:r>
      <w:r w:rsidRPr="003B3964">
        <w:rPr>
          <w:rFonts w:ascii="Times New Roman" w:eastAsia="Calibri" w:hAnsi="Times New Roman" w:cs="Times New Roman"/>
          <w:b/>
          <w:sz w:val="24"/>
          <w:lang w:bidi="ar-SA"/>
        </w:rPr>
        <w:t>.</w:t>
      </w:r>
    </w:p>
    <w:tbl>
      <w:tblPr>
        <w:tblStyle w:val="TableGridLight"/>
        <w:tblW w:w="0" w:type="auto"/>
        <w:tblLook w:val="04A0" w:firstRow="1" w:lastRow="0" w:firstColumn="1" w:lastColumn="0" w:noHBand="0" w:noVBand="1"/>
      </w:tblPr>
      <w:tblGrid>
        <w:gridCol w:w="1838"/>
        <w:gridCol w:w="4203"/>
        <w:gridCol w:w="3021"/>
      </w:tblGrid>
      <w:tr w:rsidR="00BD360B" w:rsidTr="007E6211">
        <w:tc>
          <w:tcPr>
            <w:tcW w:w="1838" w:type="dxa"/>
          </w:tcPr>
          <w:p w:rsidR="00BD360B" w:rsidRDefault="00BD360B" w:rsidP="007E6211">
            <w:pPr>
              <w:spacing w:before="120"/>
              <w:ind w:firstLine="0"/>
              <w:rPr>
                <w:rFonts w:ascii="Times New Roman" w:eastAsia="Calibri" w:hAnsi="Times New Roman" w:cs="Times New Roman"/>
                <w:sz w:val="24"/>
                <w:lang w:bidi="ar-SA"/>
              </w:rPr>
            </w:pPr>
            <w:r>
              <w:rPr>
                <w:rFonts w:ascii="Times New Roman" w:eastAsia="Calibri" w:hAnsi="Times New Roman" w:cs="Times New Roman"/>
                <w:sz w:val="24"/>
                <w:lang w:bidi="ar-SA"/>
              </w:rPr>
              <w:lastRenderedPageBreak/>
              <w:t>Domain</w:t>
            </w:r>
          </w:p>
        </w:tc>
        <w:tc>
          <w:tcPr>
            <w:tcW w:w="4203" w:type="dxa"/>
          </w:tcPr>
          <w:p w:rsidR="00BD360B" w:rsidRDefault="00BD360B" w:rsidP="007E6211">
            <w:pPr>
              <w:spacing w:before="120"/>
              <w:ind w:firstLine="0"/>
              <w:rPr>
                <w:rFonts w:ascii="Times New Roman" w:eastAsia="Calibri" w:hAnsi="Times New Roman" w:cs="Times New Roman"/>
                <w:sz w:val="24"/>
                <w:lang w:bidi="ar-SA"/>
              </w:rPr>
            </w:pPr>
            <w:r>
              <w:rPr>
                <w:rFonts w:ascii="Times New Roman" w:eastAsia="Calibri" w:hAnsi="Times New Roman" w:cs="Times New Roman"/>
                <w:sz w:val="24"/>
                <w:lang w:bidi="ar-SA"/>
              </w:rPr>
              <w:t>Yeo 17N</w:t>
            </w:r>
          </w:p>
        </w:tc>
        <w:tc>
          <w:tcPr>
            <w:tcW w:w="3021" w:type="dxa"/>
          </w:tcPr>
          <w:p w:rsidR="00BD360B" w:rsidRPr="00E96D1E" w:rsidRDefault="00BD360B" w:rsidP="007E6211">
            <w:pPr>
              <w:spacing w:before="120"/>
              <w:ind w:firstLine="0"/>
              <w:rPr>
                <w:rFonts w:ascii="Times New Roman" w:eastAsia="Calibri" w:hAnsi="Times New Roman" w:cs="Times New Roman"/>
                <w:sz w:val="24"/>
                <w:vertAlign w:val="superscript"/>
                <w:lang w:bidi="ar-SA"/>
              </w:rPr>
            </w:pPr>
            <w:r>
              <w:rPr>
                <w:rFonts w:ascii="Times New Roman" w:eastAsia="Calibri" w:hAnsi="Times New Roman" w:cs="Times New Roman"/>
                <w:sz w:val="24"/>
                <w:lang w:bidi="ar-SA"/>
              </w:rPr>
              <w:t>Brodmann-Area</w:t>
            </w:r>
            <w:r>
              <w:rPr>
                <w:rFonts w:ascii="Times New Roman" w:eastAsia="Calibri" w:hAnsi="Times New Roman" w:cs="Times New Roman"/>
                <w:sz w:val="24"/>
                <w:vertAlign w:val="superscript"/>
                <w:lang w:bidi="ar-SA"/>
              </w:rPr>
              <w:t>1</w:t>
            </w:r>
          </w:p>
        </w:tc>
      </w:tr>
      <w:tr w:rsidR="00BD360B" w:rsidTr="007E6211">
        <w:tc>
          <w:tcPr>
            <w:tcW w:w="1838" w:type="dxa"/>
          </w:tcPr>
          <w:p w:rsidR="00BD360B" w:rsidRDefault="00BD360B" w:rsidP="007E6211">
            <w:pPr>
              <w:spacing w:before="120" w:line="240" w:lineRule="auto"/>
              <w:ind w:firstLine="0"/>
              <w:rPr>
                <w:rFonts w:ascii="Times New Roman" w:eastAsia="Calibri" w:hAnsi="Times New Roman" w:cs="Times New Roman"/>
                <w:sz w:val="24"/>
                <w:lang w:bidi="ar-SA"/>
              </w:rPr>
            </w:pPr>
            <w:r>
              <w:rPr>
                <w:rFonts w:ascii="Times New Roman" w:eastAsia="Calibri" w:hAnsi="Times New Roman" w:cs="Times New Roman"/>
                <w:sz w:val="24"/>
                <w:lang w:bidi="ar-SA"/>
              </w:rPr>
              <w:t>Visual</w:t>
            </w:r>
          </w:p>
        </w:tc>
        <w:tc>
          <w:tcPr>
            <w:tcW w:w="4203" w:type="dxa"/>
          </w:tcPr>
          <w:p w:rsidR="00BD360B" w:rsidRDefault="00BD360B" w:rsidP="007E6211">
            <w:pPr>
              <w:spacing w:before="120" w:line="240" w:lineRule="auto"/>
              <w:ind w:firstLine="0"/>
              <w:rPr>
                <w:rFonts w:ascii="Times New Roman" w:eastAsia="Calibri" w:hAnsi="Times New Roman" w:cs="Times New Roman"/>
                <w:sz w:val="24"/>
                <w:lang w:bidi="ar-SA"/>
              </w:rPr>
            </w:pPr>
            <w:r>
              <w:rPr>
                <w:rFonts w:ascii="Times New Roman" w:eastAsia="Calibri" w:hAnsi="Times New Roman" w:cs="Times New Roman"/>
                <w:sz w:val="24"/>
                <w:lang w:bidi="ar-SA"/>
              </w:rPr>
              <w:t>Visual 1 (VIS 1)</w:t>
            </w:r>
          </w:p>
          <w:p w:rsidR="00BD360B" w:rsidRDefault="00BD360B" w:rsidP="007E6211">
            <w:pPr>
              <w:spacing w:before="120" w:line="240" w:lineRule="auto"/>
              <w:ind w:firstLine="0"/>
              <w:rPr>
                <w:rFonts w:ascii="Times New Roman" w:eastAsia="Calibri" w:hAnsi="Times New Roman" w:cs="Times New Roman"/>
                <w:sz w:val="24"/>
                <w:lang w:bidi="ar-SA"/>
              </w:rPr>
            </w:pPr>
            <w:r>
              <w:rPr>
                <w:rFonts w:ascii="Times New Roman" w:eastAsia="Calibri" w:hAnsi="Times New Roman" w:cs="Times New Roman"/>
                <w:sz w:val="24"/>
                <w:lang w:bidi="ar-SA"/>
              </w:rPr>
              <w:t>Visual 2 (VIS 2)</w:t>
            </w:r>
          </w:p>
        </w:tc>
        <w:tc>
          <w:tcPr>
            <w:tcW w:w="3021" w:type="dxa"/>
          </w:tcPr>
          <w:p w:rsidR="00BD360B" w:rsidRDefault="00BD360B" w:rsidP="007E6211">
            <w:pPr>
              <w:spacing w:before="120" w:line="240" w:lineRule="auto"/>
              <w:ind w:firstLine="0"/>
              <w:rPr>
                <w:rFonts w:ascii="Times New Roman" w:eastAsia="Calibri" w:hAnsi="Times New Roman" w:cs="Times New Roman"/>
                <w:sz w:val="24"/>
                <w:lang w:bidi="ar-SA"/>
              </w:rPr>
            </w:pPr>
            <w:r>
              <w:rPr>
                <w:rFonts w:ascii="Times New Roman" w:eastAsia="Calibri" w:hAnsi="Times New Roman" w:cs="Times New Roman"/>
                <w:sz w:val="24"/>
                <w:lang w:bidi="ar-SA"/>
              </w:rPr>
              <w:t>18, 19</w:t>
            </w:r>
          </w:p>
          <w:p w:rsidR="00BD360B" w:rsidRDefault="00BD360B" w:rsidP="007E6211">
            <w:pPr>
              <w:spacing w:before="120" w:line="240" w:lineRule="auto"/>
              <w:ind w:firstLine="0"/>
              <w:rPr>
                <w:rFonts w:ascii="Times New Roman" w:eastAsia="Calibri" w:hAnsi="Times New Roman" w:cs="Times New Roman"/>
                <w:sz w:val="24"/>
                <w:lang w:bidi="ar-SA"/>
              </w:rPr>
            </w:pPr>
            <w:r>
              <w:rPr>
                <w:rFonts w:ascii="Times New Roman" w:eastAsia="Calibri" w:hAnsi="Times New Roman" w:cs="Times New Roman"/>
                <w:sz w:val="24"/>
                <w:lang w:bidi="ar-SA"/>
              </w:rPr>
              <w:t>17</w:t>
            </w:r>
          </w:p>
        </w:tc>
      </w:tr>
      <w:tr w:rsidR="00BD360B" w:rsidTr="007E6211">
        <w:tc>
          <w:tcPr>
            <w:tcW w:w="1838" w:type="dxa"/>
          </w:tcPr>
          <w:p w:rsidR="00BD360B" w:rsidRDefault="00BD360B" w:rsidP="007E6211">
            <w:pPr>
              <w:spacing w:before="120" w:line="240" w:lineRule="auto"/>
              <w:ind w:firstLine="0"/>
              <w:rPr>
                <w:rFonts w:ascii="Times New Roman" w:eastAsia="Calibri" w:hAnsi="Times New Roman" w:cs="Times New Roman"/>
                <w:sz w:val="24"/>
                <w:lang w:bidi="ar-SA"/>
              </w:rPr>
            </w:pPr>
            <w:r>
              <w:rPr>
                <w:rFonts w:ascii="Times New Roman" w:eastAsia="Calibri" w:hAnsi="Times New Roman" w:cs="Times New Roman"/>
                <w:sz w:val="24"/>
                <w:lang w:bidi="ar-SA"/>
              </w:rPr>
              <w:t>Attention</w:t>
            </w:r>
          </w:p>
        </w:tc>
        <w:tc>
          <w:tcPr>
            <w:tcW w:w="4203" w:type="dxa"/>
          </w:tcPr>
          <w:p w:rsidR="00BD360B" w:rsidRDefault="00BD360B" w:rsidP="007E6211">
            <w:pPr>
              <w:spacing w:before="120" w:line="240" w:lineRule="auto"/>
              <w:ind w:firstLine="0"/>
              <w:rPr>
                <w:rFonts w:ascii="Times New Roman" w:eastAsia="Calibri" w:hAnsi="Times New Roman" w:cs="Times New Roman"/>
                <w:sz w:val="24"/>
                <w:lang w:bidi="ar-SA"/>
              </w:rPr>
            </w:pPr>
            <w:r>
              <w:rPr>
                <w:rFonts w:ascii="Times New Roman" w:eastAsia="Calibri" w:hAnsi="Times New Roman" w:cs="Times New Roman"/>
                <w:sz w:val="24"/>
                <w:lang w:bidi="ar-SA"/>
              </w:rPr>
              <w:t>Dorsal attention network 1 (DAN1)</w:t>
            </w:r>
          </w:p>
          <w:p w:rsidR="00BD360B" w:rsidRDefault="00BD360B" w:rsidP="007E6211">
            <w:pPr>
              <w:spacing w:before="120" w:line="240" w:lineRule="auto"/>
              <w:ind w:firstLine="0"/>
              <w:rPr>
                <w:rFonts w:ascii="Times New Roman" w:eastAsia="Calibri" w:hAnsi="Times New Roman" w:cs="Times New Roman"/>
                <w:sz w:val="24"/>
                <w:lang w:bidi="ar-SA"/>
              </w:rPr>
            </w:pPr>
            <w:r>
              <w:rPr>
                <w:rFonts w:ascii="Times New Roman" w:eastAsia="Calibri" w:hAnsi="Times New Roman" w:cs="Times New Roman"/>
                <w:sz w:val="24"/>
                <w:lang w:bidi="ar-SA"/>
              </w:rPr>
              <w:t>Dorsal attention network 2 (DAN2)</w:t>
            </w:r>
          </w:p>
          <w:p w:rsidR="00BD360B" w:rsidRDefault="00BD360B" w:rsidP="007E6211">
            <w:pPr>
              <w:spacing w:before="120" w:line="240" w:lineRule="auto"/>
              <w:ind w:firstLine="0"/>
              <w:rPr>
                <w:rFonts w:ascii="Times New Roman" w:eastAsia="Calibri" w:hAnsi="Times New Roman" w:cs="Times New Roman"/>
                <w:sz w:val="24"/>
                <w:lang w:bidi="ar-SA"/>
              </w:rPr>
            </w:pPr>
            <w:r>
              <w:rPr>
                <w:rFonts w:ascii="Times New Roman" w:eastAsia="Calibri" w:hAnsi="Times New Roman" w:cs="Times New Roman"/>
                <w:sz w:val="24"/>
                <w:lang w:bidi="ar-SA"/>
              </w:rPr>
              <w:t>Including FEF and IPS</w:t>
            </w:r>
          </w:p>
        </w:tc>
        <w:tc>
          <w:tcPr>
            <w:tcW w:w="3021" w:type="dxa"/>
          </w:tcPr>
          <w:p w:rsidR="00BD360B" w:rsidRDefault="00BD360B" w:rsidP="007E6211">
            <w:pPr>
              <w:spacing w:before="120" w:line="240" w:lineRule="auto"/>
              <w:ind w:firstLine="0"/>
              <w:rPr>
                <w:rFonts w:ascii="Times New Roman" w:eastAsia="Calibri" w:hAnsi="Times New Roman" w:cs="Times New Roman"/>
                <w:sz w:val="24"/>
                <w:lang w:bidi="ar-SA"/>
              </w:rPr>
            </w:pPr>
            <w:r>
              <w:rPr>
                <w:rFonts w:ascii="Times New Roman" w:eastAsia="Calibri" w:hAnsi="Times New Roman" w:cs="Times New Roman"/>
                <w:sz w:val="24"/>
                <w:lang w:bidi="ar-SA"/>
              </w:rPr>
              <w:t>6, 7</w:t>
            </w:r>
          </w:p>
          <w:p w:rsidR="00BD360B" w:rsidRDefault="00BD360B" w:rsidP="007E6211">
            <w:pPr>
              <w:spacing w:before="120" w:line="240" w:lineRule="auto"/>
              <w:ind w:firstLine="0"/>
              <w:rPr>
                <w:rFonts w:ascii="Times New Roman" w:eastAsia="Calibri" w:hAnsi="Times New Roman" w:cs="Times New Roman"/>
                <w:sz w:val="24"/>
                <w:lang w:bidi="ar-SA"/>
              </w:rPr>
            </w:pPr>
            <w:r>
              <w:rPr>
                <w:rFonts w:ascii="Times New Roman" w:eastAsia="Calibri" w:hAnsi="Times New Roman" w:cs="Times New Roman"/>
                <w:sz w:val="24"/>
                <w:lang w:bidi="ar-SA"/>
              </w:rPr>
              <w:t>37, 39</w:t>
            </w:r>
          </w:p>
        </w:tc>
      </w:tr>
      <w:tr w:rsidR="00BD360B" w:rsidTr="007E6211">
        <w:tc>
          <w:tcPr>
            <w:tcW w:w="1838" w:type="dxa"/>
          </w:tcPr>
          <w:p w:rsidR="00BD360B" w:rsidRDefault="00BD360B" w:rsidP="007E6211">
            <w:pPr>
              <w:spacing w:before="120" w:line="240" w:lineRule="auto"/>
              <w:ind w:firstLine="0"/>
              <w:rPr>
                <w:rFonts w:ascii="Times New Roman" w:eastAsia="Calibri" w:hAnsi="Times New Roman" w:cs="Times New Roman"/>
                <w:sz w:val="24"/>
                <w:lang w:bidi="ar-SA"/>
              </w:rPr>
            </w:pPr>
            <w:r>
              <w:rPr>
                <w:rFonts w:ascii="Times New Roman" w:eastAsia="Calibri" w:hAnsi="Times New Roman" w:cs="Times New Roman"/>
                <w:sz w:val="24"/>
                <w:lang w:bidi="ar-SA"/>
              </w:rPr>
              <w:t>Salience</w:t>
            </w:r>
          </w:p>
        </w:tc>
        <w:tc>
          <w:tcPr>
            <w:tcW w:w="4203" w:type="dxa"/>
          </w:tcPr>
          <w:p w:rsidR="00BD360B" w:rsidRDefault="00BD360B" w:rsidP="007E6211">
            <w:pPr>
              <w:spacing w:before="120" w:line="240" w:lineRule="auto"/>
              <w:ind w:firstLine="0"/>
              <w:rPr>
                <w:rFonts w:ascii="Times New Roman" w:eastAsia="Calibri" w:hAnsi="Times New Roman" w:cs="Times New Roman"/>
                <w:sz w:val="24"/>
                <w:lang w:bidi="ar-SA"/>
              </w:rPr>
            </w:pPr>
            <w:r>
              <w:rPr>
                <w:rFonts w:ascii="Times New Roman" w:eastAsia="Calibri" w:hAnsi="Times New Roman" w:cs="Times New Roman"/>
                <w:sz w:val="24"/>
                <w:lang w:bidi="ar-SA"/>
              </w:rPr>
              <w:t>Ventral attention network 1 (VAN1)</w:t>
            </w:r>
          </w:p>
          <w:p w:rsidR="00BD360B" w:rsidRDefault="00BD360B" w:rsidP="007E6211">
            <w:pPr>
              <w:spacing w:before="120" w:line="240" w:lineRule="auto"/>
              <w:ind w:firstLine="0"/>
              <w:rPr>
                <w:rFonts w:ascii="Times New Roman" w:eastAsia="Calibri" w:hAnsi="Times New Roman" w:cs="Times New Roman"/>
                <w:sz w:val="24"/>
                <w:lang w:bidi="ar-SA"/>
              </w:rPr>
            </w:pPr>
            <w:r>
              <w:rPr>
                <w:rFonts w:ascii="Times New Roman" w:eastAsia="Calibri" w:hAnsi="Times New Roman" w:cs="Times New Roman"/>
                <w:sz w:val="24"/>
                <w:lang w:bidi="ar-SA"/>
              </w:rPr>
              <w:t>Partly including DLPFC</w:t>
            </w:r>
          </w:p>
        </w:tc>
        <w:tc>
          <w:tcPr>
            <w:tcW w:w="3021" w:type="dxa"/>
          </w:tcPr>
          <w:p w:rsidR="00BD360B" w:rsidRDefault="00BD360B" w:rsidP="007E6211">
            <w:pPr>
              <w:spacing w:before="120" w:line="240" w:lineRule="auto"/>
              <w:ind w:firstLine="0"/>
              <w:rPr>
                <w:rFonts w:ascii="Times New Roman" w:eastAsia="Calibri" w:hAnsi="Times New Roman" w:cs="Times New Roman"/>
                <w:sz w:val="24"/>
                <w:lang w:bidi="ar-SA"/>
              </w:rPr>
            </w:pPr>
            <w:r>
              <w:rPr>
                <w:rFonts w:ascii="Times New Roman" w:eastAsia="Calibri" w:hAnsi="Times New Roman" w:cs="Times New Roman"/>
                <w:sz w:val="24"/>
                <w:lang w:bidi="ar-SA"/>
              </w:rPr>
              <w:t>13, 24, 32, 39, 40</w:t>
            </w:r>
          </w:p>
        </w:tc>
      </w:tr>
      <w:tr w:rsidR="00BD360B" w:rsidTr="007E6211">
        <w:tc>
          <w:tcPr>
            <w:tcW w:w="1838" w:type="dxa"/>
          </w:tcPr>
          <w:p w:rsidR="00BD360B" w:rsidRDefault="00BD360B" w:rsidP="007E6211">
            <w:pPr>
              <w:spacing w:before="120" w:line="240" w:lineRule="auto"/>
              <w:ind w:firstLine="0"/>
              <w:rPr>
                <w:rFonts w:ascii="Times New Roman" w:eastAsia="Calibri" w:hAnsi="Times New Roman" w:cs="Times New Roman"/>
                <w:sz w:val="24"/>
                <w:lang w:bidi="ar-SA"/>
              </w:rPr>
            </w:pPr>
            <w:r>
              <w:rPr>
                <w:rFonts w:ascii="Times New Roman" w:eastAsia="Calibri" w:hAnsi="Times New Roman" w:cs="Times New Roman"/>
                <w:sz w:val="24"/>
                <w:lang w:bidi="ar-SA"/>
              </w:rPr>
              <w:t>Control</w:t>
            </w:r>
          </w:p>
        </w:tc>
        <w:tc>
          <w:tcPr>
            <w:tcW w:w="4203" w:type="dxa"/>
          </w:tcPr>
          <w:p w:rsidR="00BD360B" w:rsidRDefault="00BD360B" w:rsidP="007E6211">
            <w:pPr>
              <w:spacing w:before="120" w:line="240" w:lineRule="auto"/>
              <w:ind w:firstLine="0"/>
              <w:rPr>
                <w:rFonts w:ascii="Times New Roman" w:eastAsia="Calibri" w:hAnsi="Times New Roman" w:cs="Times New Roman"/>
                <w:sz w:val="24"/>
                <w:lang w:bidi="ar-SA"/>
              </w:rPr>
            </w:pPr>
            <w:r>
              <w:rPr>
                <w:rFonts w:ascii="Times New Roman" w:eastAsia="Calibri" w:hAnsi="Times New Roman" w:cs="Times New Roman"/>
                <w:sz w:val="24"/>
                <w:lang w:bidi="ar-SA"/>
              </w:rPr>
              <w:t>Frontoparietal network 1 (FP1)</w:t>
            </w:r>
          </w:p>
          <w:p w:rsidR="00BD360B" w:rsidRDefault="00BD360B" w:rsidP="007E6211">
            <w:pPr>
              <w:spacing w:before="120" w:line="240" w:lineRule="auto"/>
              <w:ind w:firstLine="0"/>
              <w:rPr>
                <w:rFonts w:ascii="Times New Roman" w:eastAsia="Calibri" w:hAnsi="Times New Roman" w:cs="Times New Roman"/>
                <w:sz w:val="24"/>
                <w:lang w:bidi="ar-SA"/>
              </w:rPr>
            </w:pPr>
            <w:r>
              <w:rPr>
                <w:rFonts w:ascii="Times New Roman" w:eastAsia="Calibri" w:hAnsi="Times New Roman" w:cs="Times New Roman"/>
                <w:sz w:val="24"/>
                <w:lang w:bidi="ar-SA"/>
              </w:rPr>
              <w:t>Frontoparietal network 2 (FP2)</w:t>
            </w:r>
          </w:p>
          <w:p w:rsidR="00BD360B" w:rsidRDefault="00BD360B" w:rsidP="007E6211">
            <w:pPr>
              <w:spacing w:before="120" w:line="240" w:lineRule="auto"/>
              <w:ind w:firstLine="0"/>
              <w:rPr>
                <w:rFonts w:ascii="Times New Roman" w:eastAsia="Calibri" w:hAnsi="Times New Roman" w:cs="Times New Roman"/>
                <w:sz w:val="24"/>
                <w:lang w:bidi="ar-SA"/>
              </w:rPr>
            </w:pPr>
            <w:r>
              <w:rPr>
                <w:rFonts w:ascii="Times New Roman" w:eastAsia="Calibri" w:hAnsi="Times New Roman" w:cs="Times New Roman"/>
                <w:sz w:val="24"/>
                <w:lang w:bidi="ar-SA"/>
              </w:rPr>
              <w:t>Frontoparietal network 3 (FP3)</w:t>
            </w:r>
          </w:p>
          <w:p w:rsidR="00BD360B" w:rsidRDefault="00BD360B" w:rsidP="007E6211">
            <w:pPr>
              <w:spacing w:before="120" w:line="240" w:lineRule="auto"/>
              <w:ind w:firstLine="0"/>
              <w:rPr>
                <w:rFonts w:ascii="Times New Roman" w:eastAsia="Calibri" w:hAnsi="Times New Roman" w:cs="Times New Roman"/>
                <w:sz w:val="24"/>
                <w:lang w:bidi="ar-SA"/>
              </w:rPr>
            </w:pPr>
            <w:r>
              <w:rPr>
                <w:rFonts w:ascii="Times New Roman" w:eastAsia="Calibri" w:hAnsi="Times New Roman" w:cs="Times New Roman"/>
                <w:sz w:val="24"/>
                <w:lang w:bidi="ar-SA"/>
              </w:rPr>
              <w:t>Frontoparietal network 4 (FP4)</w:t>
            </w:r>
          </w:p>
          <w:p w:rsidR="00BD360B" w:rsidRDefault="00BD360B" w:rsidP="007E6211">
            <w:pPr>
              <w:spacing w:before="120" w:line="240" w:lineRule="auto"/>
              <w:ind w:firstLine="0"/>
              <w:rPr>
                <w:rFonts w:ascii="Times New Roman" w:eastAsia="Calibri" w:hAnsi="Times New Roman" w:cs="Times New Roman"/>
                <w:sz w:val="24"/>
                <w:lang w:bidi="ar-SA"/>
              </w:rPr>
            </w:pPr>
            <w:r>
              <w:rPr>
                <w:rFonts w:ascii="Times New Roman" w:eastAsia="Calibri" w:hAnsi="Times New Roman" w:cs="Times New Roman"/>
                <w:sz w:val="24"/>
                <w:lang w:bidi="ar-SA"/>
              </w:rPr>
              <w:t>Including DLPFC (BA8, 9, 46)</w:t>
            </w:r>
          </w:p>
        </w:tc>
        <w:tc>
          <w:tcPr>
            <w:tcW w:w="3021" w:type="dxa"/>
          </w:tcPr>
          <w:p w:rsidR="00BD360B" w:rsidRDefault="00BD360B" w:rsidP="007E6211">
            <w:pPr>
              <w:spacing w:before="120" w:line="240" w:lineRule="auto"/>
              <w:ind w:firstLine="0"/>
              <w:rPr>
                <w:rFonts w:ascii="Times New Roman" w:eastAsia="Calibri" w:hAnsi="Times New Roman" w:cs="Times New Roman"/>
                <w:sz w:val="24"/>
                <w:lang w:bidi="ar-SA"/>
              </w:rPr>
            </w:pPr>
            <w:r>
              <w:rPr>
                <w:rFonts w:ascii="Times New Roman" w:eastAsia="Calibri" w:hAnsi="Times New Roman" w:cs="Times New Roman"/>
                <w:sz w:val="24"/>
                <w:lang w:bidi="ar-SA"/>
              </w:rPr>
              <w:t>9, 10, 24, 32</w:t>
            </w:r>
          </w:p>
          <w:p w:rsidR="00BD360B" w:rsidRDefault="00BD360B" w:rsidP="007E6211">
            <w:pPr>
              <w:spacing w:before="120" w:line="240" w:lineRule="auto"/>
              <w:ind w:firstLine="0"/>
              <w:rPr>
                <w:rFonts w:ascii="Times New Roman" w:eastAsia="Calibri" w:hAnsi="Times New Roman" w:cs="Times New Roman"/>
                <w:sz w:val="24"/>
                <w:lang w:bidi="ar-SA"/>
              </w:rPr>
            </w:pPr>
            <w:r>
              <w:rPr>
                <w:rFonts w:ascii="Times New Roman" w:eastAsia="Calibri" w:hAnsi="Times New Roman" w:cs="Times New Roman"/>
                <w:sz w:val="24"/>
                <w:lang w:bidi="ar-SA"/>
              </w:rPr>
              <w:t>8, 9, 10, 11, 21, 32, 46</w:t>
            </w:r>
          </w:p>
          <w:p w:rsidR="00BD360B" w:rsidRDefault="00BD360B" w:rsidP="007E6211">
            <w:pPr>
              <w:spacing w:before="120" w:line="240" w:lineRule="auto"/>
              <w:ind w:firstLine="0"/>
              <w:rPr>
                <w:rFonts w:ascii="Times New Roman" w:eastAsia="Calibri" w:hAnsi="Times New Roman" w:cs="Times New Roman"/>
                <w:sz w:val="24"/>
                <w:lang w:bidi="ar-SA"/>
              </w:rPr>
            </w:pPr>
            <w:r>
              <w:rPr>
                <w:rFonts w:ascii="Times New Roman" w:eastAsia="Calibri" w:hAnsi="Times New Roman" w:cs="Times New Roman"/>
                <w:sz w:val="24"/>
                <w:lang w:bidi="ar-SA"/>
              </w:rPr>
              <w:t>40, 44, 45, 46</w:t>
            </w:r>
          </w:p>
          <w:p w:rsidR="00BD360B" w:rsidRDefault="00BD360B" w:rsidP="007E6211">
            <w:pPr>
              <w:spacing w:before="120" w:line="240" w:lineRule="auto"/>
              <w:ind w:firstLine="0"/>
              <w:rPr>
                <w:rFonts w:ascii="Times New Roman" w:eastAsia="Calibri" w:hAnsi="Times New Roman" w:cs="Times New Roman"/>
                <w:sz w:val="24"/>
                <w:lang w:bidi="ar-SA"/>
              </w:rPr>
            </w:pPr>
            <w:r>
              <w:rPr>
                <w:rFonts w:ascii="Times New Roman" w:eastAsia="Calibri" w:hAnsi="Times New Roman" w:cs="Times New Roman"/>
                <w:sz w:val="24"/>
                <w:lang w:bidi="ar-SA"/>
              </w:rPr>
              <w:t>8, 9, 44, 46</w:t>
            </w:r>
          </w:p>
        </w:tc>
      </w:tr>
    </w:tbl>
    <w:p w:rsidR="00BD360B" w:rsidRDefault="00BD360B" w:rsidP="00BD360B">
      <w:pPr>
        <w:spacing w:before="120"/>
        <w:ind w:firstLine="0"/>
        <w:rPr>
          <w:rFonts w:ascii="Times New Roman" w:eastAsia="Calibri" w:hAnsi="Times New Roman" w:cs="Times New Roman"/>
          <w:sz w:val="24"/>
          <w:lang w:bidi="ar-SA"/>
        </w:rPr>
      </w:pPr>
      <w:r>
        <w:rPr>
          <w:rFonts w:ascii="Times New Roman" w:eastAsia="Calibri" w:hAnsi="Times New Roman" w:cs="Times New Roman"/>
          <w:sz w:val="24"/>
          <w:lang w:bidi="ar-SA"/>
        </w:rPr>
        <w:t xml:space="preserve">FEF = frontal eye field, IPS = intraparietal sulcus, DLPFC = dorsolateral prefrontal cortex. </w:t>
      </w:r>
      <w:r>
        <w:rPr>
          <w:rFonts w:ascii="Times New Roman" w:eastAsia="Calibri" w:hAnsi="Times New Roman" w:cs="Times New Roman"/>
          <w:sz w:val="24"/>
          <w:vertAlign w:val="superscript"/>
          <w:lang w:bidi="ar-SA"/>
        </w:rPr>
        <w:t>1</w:t>
      </w:r>
      <w:r>
        <w:rPr>
          <w:rFonts w:ascii="Times New Roman" w:eastAsia="Calibri" w:hAnsi="Times New Roman" w:cs="Times New Roman"/>
          <w:sz w:val="24"/>
          <w:lang w:bidi="ar-SA"/>
        </w:rPr>
        <w:t>Overlap of Brodmann-Areas between networks since different areas share functions, and all areas show multiple domains of activity.</w:t>
      </w:r>
    </w:p>
    <w:p w:rsidR="00BD360B" w:rsidRPr="00D61F6B" w:rsidRDefault="00BD360B" w:rsidP="00BD360B">
      <w:pPr>
        <w:spacing w:before="120"/>
        <w:ind w:firstLine="708"/>
        <w:rPr>
          <w:rFonts w:ascii="Times New Roman" w:eastAsia="Calibri" w:hAnsi="Times New Roman" w:cs="Times New Roman"/>
          <w:b/>
          <w:sz w:val="28"/>
          <w:lang w:bidi="ar-SA"/>
        </w:rPr>
      </w:pPr>
      <w:r>
        <w:rPr>
          <w:rFonts w:ascii="Times New Roman" w:eastAsia="Calibri" w:hAnsi="Times New Roman" w:cs="Times New Roman"/>
          <w:b/>
          <w:sz w:val="28"/>
          <w:lang w:bidi="ar-SA"/>
        </w:rPr>
        <w:t xml:space="preserve">Supplementary </w:t>
      </w:r>
      <w:r w:rsidR="004F79BB">
        <w:rPr>
          <w:rFonts w:ascii="Times New Roman" w:eastAsia="Calibri" w:hAnsi="Times New Roman" w:cs="Times New Roman"/>
          <w:b/>
          <w:sz w:val="28"/>
          <w:lang w:bidi="ar-SA"/>
        </w:rPr>
        <w:t>Material</w:t>
      </w:r>
      <w:r>
        <w:rPr>
          <w:rFonts w:ascii="Times New Roman" w:eastAsia="Calibri" w:hAnsi="Times New Roman" w:cs="Times New Roman"/>
          <w:b/>
          <w:sz w:val="28"/>
          <w:lang w:bidi="ar-SA"/>
        </w:rPr>
        <w:t xml:space="preserve"> </w:t>
      </w:r>
      <w:proofErr w:type="gramStart"/>
      <w:r>
        <w:rPr>
          <w:rFonts w:ascii="Times New Roman" w:eastAsia="Calibri" w:hAnsi="Times New Roman" w:cs="Times New Roman"/>
          <w:b/>
          <w:sz w:val="28"/>
          <w:lang w:bidi="ar-SA"/>
        </w:rPr>
        <w:t>4</w:t>
      </w:r>
      <w:proofErr w:type="gramEnd"/>
      <w:r w:rsidRPr="00EE48E6">
        <w:rPr>
          <w:rFonts w:ascii="Times New Roman" w:eastAsia="Calibri" w:hAnsi="Times New Roman" w:cs="Times New Roman"/>
          <w:b/>
          <w:sz w:val="28"/>
          <w:lang w:bidi="ar-SA"/>
        </w:rPr>
        <w:t xml:space="preserve"> </w:t>
      </w:r>
      <w:r>
        <w:rPr>
          <w:rFonts w:ascii="Times New Roman" w:eastAsia="Calibri" w:hAnsi="Times New Roman" w:cs="Times New Roman"/>
          <w:b/>
          <w:sz w:val="28"/>
          <w:lang w:bidi="ar-SA"/>
        </w:rPr>
        <w:t>–</w:t>
      </w:r>
      <w:r w:rsidRPr="00EE48E6">
        <w:rPr>
          <w:rFonts w:ascii="Times New Roman" w:eastAsia="Calibri" w:hAnsi="Times New Roman" w:cs="Times New Roman"/>
          <w:b/>
          <w:sz w:val="28"/>
          <w:lang w:bidi="ar-SA"/>
        </w:rPr>
        <w:t xml:space="preserve"> </w:t>
      </w:r>
      <w:r>
        <w:rPr>
          <w:rFonts w:ascii="Times New Roman" w:eastAsia="Calibri" w:hAnsi="Times New Roman" w:cs="Times New Roman"/>
          <w:b/>
          <w:sz w:val="28"/>
          <w:lang w:bidi="ar-SA"/>
        </w:rPr>
        <w:t>Extraction and analyses of the stool samples</w:t>
      </w:r>
    </w:p>
    <w:p w:rsidR="00BD360B" w:rsidRDefault="00BD360B" w:rsidP="00BD360B">
      <w:pPr>
        <w:spacing w:before="120"/>
        <w:ind w:firstLine="708"/>
        <w:rPr>
          <w:rFonts w:ascii="Times New Roman" w:eastAsia="Calibri" w:hAnsi="Times New Roman" w:cs="Times New Roman"/>
          <w:i/>
          <w:sz w:val="24"/>
          <w:lang w:bidi="ar-SA"/>
        </w:rPr>
      </w:pPr>
      <w:r>
        <w:rPr>
          <w:rFonts w:ascii="Times New Roman" w:eastAsia="Calibri" w:hAnsi="Times New Roman" w:cs="Times New Roman"/>
          <w:i/>
          <w:sz w:val="24"/>
          <w:lang w:bidi="ar-SA"/>
        </w:rPr>
        <w:t>DNA extraction from stool samples</w:t>
      </w:r>
    </w:p>
    <w:p w:rsidR="00BD360B" w:rsidRDefault="00BD360B" w:rsidP="00BD360B">
      <w:pPr>
        <w:spacing w:before="120"/>
        <w:ind w:firstLine="0"/>
        <w:rPr>
          <w:rFonts w:ascii="Times New Roman" w:eastAsia="Calibri" w:hAnsi="Times New Roman" w:cs="Times New Roman"/>
          <w:sz w:val="24"/>
          <w:lang w:bidi="ar-SA"/>
        </w:rPr>
      </w:pPr>
      <w:r w:rsidRPr="00837726">
        <w:rPr>
          <w:rFonts w:ascii="Times New Roman" w:eastAsia="Calibri" w:hAnsi="Times New Roman" w:cs="Times New Roman"/>
          <w:sz w:val="24"/>
          <w:lang w:bidi="ar-SA"/>
        </w:rPr>
        <w:t xml:space="preserve">DNA was isolated from fecal material at the Competence Centre for Genomic Analysis (Kiel, Germany) using the </w:t>
      </w:r>
      <w:proofErr w:type="spellStart"/>
      <w:r w:rsidRPr="00837726">
        <w:rPr>
          <w:rFonts w:ascii="Times New Roman" w:eastAsia="Calibri" w:hAnsi="Times New Roman" w:cs="Times New Roman"/>
          <w:sz w:val="24"/>
          <w:lang w:bidi="ar-SA"/>
        </w:rPr>
        <w:t>QIAamp</w:t>
      </w:r>
      <w:proofErr w:type="spellEnd"/>
      <w:r w:rsidRPr="00837726">
        <w:rPr>
          <w:rFonts w:ascii="Times New Roman" w:eastAsia="Calibri" w:hAnsi="Times New Roman" w:cs="Times New Roman"/>
          <w:sz w:val="24"/>
          <w:lang w:bidi="ar-SA"/>
        </w:rPr>
        <w:t xml:space="preserve"> DNA fast stool mini kit automated on the </w:t>
      </w:r>
      <w:proofErr w:type="spellStart"/>
      <w:r w:rsidRPr="00837726">
        <w:rPr>
          <w:rFonts w:ascii="Times New Roman" w:eastAsia="Calibri" w:hAnsi="Times New Roman" w:cs="Times New Roman"/>
          <w:sz w:val="24"/>
          <w:lang w:bidi="ar-SA"/>
        </w:rPr>
        <w:t>QIAcube</w:t>
      </w:r>
      <w:proofErr w:type="spellEnd"/>
      <w:r w:rsidRPr="00837726">
        <w:rPr>
          <w:rFonts w:ascii="Times New Roman" w:eastAsia="Calibri" w:hAnsi="Times New Roman" w:cs="Times New Roman"/>
          <w:sz w:val="24"/>
          <w:lang w:bidi="ar-SA"/>
        </w:rPr>
        <w:t xml:space="preserve"> (</w:t>
      </w:r>
      <w:proofErr w:type="spellStart"/>
      <w:r w:rsidRPr="00837726">
        <w:rPr>
          <w:rFonts w:ascii="Times New Roman" w:eastAsia="Calibri" w:hAnsi="Times New Roman" w:cs="Times New Roman"/>
          <w:sz w:val="24"/>
          <w:lang w:bidi="ar-SA"/>
        </w:rPr>
        <w:t>Qiagen</w:t>
      </w:r>
      <w:proofErr w:type="spellEnd"/>
      <w:r w:rsidRPr="00837726">
        <w:rPr>
          <w:rFonts w:ascii="Times New Roman" w:eastAsia="Calibri" w:hAnsi="Times New Roman" w:cs="Times New Roman"/>
          <w:sz w:val="24"/>
          <w:lang w:bidi="ar-SA"/>
        </w:rPr>
        <w:t>, Hilden, Germany</w:t>
      </w:r>
      <w:r>
        <w:rPr>
          <w:rFonts w:ascii="Times New Roman" w:eastAsia="Calibri" w:hAnsi="Times New Roman" w:cs="Times New Roman"/>
          <w:sz w:val="24"/>
          <w:lang w:bidi="ar-SA"/>
        </w:rPr>
        <w:t>) as previously described in [63]</w:t>
      </w:r>
      <w:r w:rsidRPr="00837726">
        <w:rPr>
          <w:rFonts w:ascii="Times New Roman" w:eastAsia="Calibri" w:hAnsi="Times New Roman" w:cs="Times New Roman"/>
          <w:sz w:val="24"/>
          <w:lang w:bidi="ar-SA"/>
        </w:rPr>
        <w:t xml:space="preserve">. Amplification of the V3-V4 hypervariable region of the bacterial 16S </w:t>
      </w:r>
      <w:proofErr w:type="spellStart"/>
      <w:r w:rsidRPr="00837726">
        <w:rPr>
          <w:rFonts w:ascii="Times New Roman" w:eastAsia="Calibri" w:hAnsi="Times New Roman" w:cs="Times New Roman"/>
          <w:sz w:val="24"/>
          <w:lang w:bidi="ar-SA"/>
        </w:rPr>
        <w:t>rRNA</w:t>
      </w:r>
      <w:proofErr w:type="spellEnd"/>
      <w:r w:rsidRPr="00837726">
        <w:rPr>
          <w:rFonts w:ascii="Times New Roman" w:eastAsia="Calibri" w:hAnsi="Times New Roman" w:cs="Times New Roman"/>
          <w:sz w:val="24"/>
          <w:lang w:bidi="ar-SA"/>
        </w:rPr>
        <w:t xml:space="preserve"> gene </w:t>
      </w:r>
      <w:proofErr w:type="gramStart"/>
      <w:r w:rsidRPr="00837726">
        <w:rPr>
          <w:rFonts w:ascii="Times New Roman" w:eastAsia="Calibri" w:hAnsi="Times New Roman" w:cs="Times New Roman"/>
          <w:sz w:val="24"/>
          <w:lang w:bidi="ar-SA"/>
        </w:rPr>
        <w:t>was performed</w:t>
      </w:r>
      <w:proofErr w:type="gramEnd"/>
      <w:r w:rsidRPr="00837726">
        <w:rPr>
          <w:rFonts w:ascii="Times New Roman" w:eastAsia="Calibri" w:hAnsi="Times New Roman" w:cs="Times New Roman"/>
          <w:sz w:val="24"/>
          <w:lang w:bidi="ar-SA"/>
        </w:rPr>
        <w:t xml:space="preserve"> via one‐step polymerase chain reaction </w:t>
      </w:r>
      <w:r w:rsidRPr="00837726">
        <w:rPr>
          <w:rFonts w:ascii="Times New Roman" w:eastAsia="Calibri" w:hAnsi="Times New Roman" w:cs="Times New Roman"/>
          <w:sz w:val="24"/>
          <w:lang w:bidi="ar-SA"/>
        </w:rPr>
        <w:lastRenderedPageBreak/>
        <w:t>(PCR) using barcoded primers. Primers 341F (ACT CCT ACG GGA GGC AGC AG) and 806R (GGA CTA CHV GGG TWT CTA AT) were used for the amplification of the V3V4 region. A no‐template control and a MOCK community DNA standard (</w:t>
      </w:r>
      <w:proofErr w:type="spellStart"/>
      <w:r w:rsidRPr="00837726">
        <w:rPr>
          <w:rFonts w:ascii="Times New Roman" w:eastAsia="Calibri" w:hAnsi="Times New Roman" w:cs="Times New Roman"/>
          <w:sz w:val="24"/>
          <w:lang w:bidi="ar-SA"/>
        </w:rPr>
        <w:t>Zymo</w:t>
      </w:r>
      <w:proofErr w:type="spellEnd"/>
      <w:r w:rsidRPr="00837726">
        <w:rPr>
          <w:rFonts w:ascii="Times New Roman" w:eastAsia="Calibri" w:hAnsi="Times New Roman" w:cs="Times New Roman"/>
          <w:sz w:val="24"/>
          <w:lang w:bidi="ar-SA"/>
        </w:rPr>
        <w:t xml:space="preserve"> Research Europe GmbH) with predetermined bacterial species were included. The reactions were performed using a mixture (15 µl) containing 0.15 µl </w:t>
      </w:r>
      <w:proofErr w:type="spellStart"/>
      <w:r w:rsidRPr="00837726">
        <w:rPr>
          <w:rFonts w:ascii="Times New Roman" w:eastAsia="Calibri" w:hAnsi="Times New Roman" w:cs="Times New Roman"/>
          <w:sz w:val="24"/>
          <w:lang w:bidi="ar-SA"/>
        </w:rPr>
        <w:t>Phusion</w:t>
      </w:r>
      <w:proofErr w:type="spellEnd"/>
      <w:r w:rsidRPr="00837726">
        <w:rPr>
          <w:rFonts w:ascii="Times New Roman" w:eastAsia="Calibri" w:hAnsi="Times New Roman" w:cs="Times New Roman"/>
          <w:sz w:val="24"/>
          <w:lang w:bidi="ar-SA"/>
        </w:rPr>
        <w:t xml:space="preserve"> Hot Start II Polymerase </w:t>
      </w:r>
      <w:proofErr w:type="gramStart"/>
      <w:r w:rsidRPr="00837726">
        <w:rPr>
          <w:rFonts w:ascii="Times New Roman" w:eastAsia="Calibri" w:hAnsi="Times New Roman" w:cs="Times New Roman"/>
          <w:sz w:val="24"/>
          <w:lang w:bidi="ar-SA"/>
        </w:rPr>
        <w:t>(2</w:t>
      </w:r>
      <w:proofErr w:type="gramEnd"/>
      <w:r w:rsidRPr="00837726">
        <w:rPr>
          <w:rFonts w:ascii="Times New Roman" w:eastAsia="Calibri" w:hAnsi="Times New Roman" w:cs="Times New Roman"/>
          <w:sz w:val="24"/>
          <w:lang w:bidi="ar-SA"/>
        </w:rPr>
        <w:t> U/µl) with 3 µl reaction buffer (</w:t>
      </w:r>
      <w:proofErr w:type="spellStart"/>
      <w:r w:rsidRPr="00837726">
        <w:rPr>
          <w:rFonts w:ascii="Times New Roman" w:eastAsia="Calibri" w:hAnsi="Times New Roman" w:cs="Times New Roman"/>
          <w:sz w:val="24"/>
          <w:lang w:bidi="ar-SA"/>
        </w:rPr>
        <w:t>Thermo</w:t>
      </w:r>
      <w:proofErr w:type="spellEnd"/>
      <w:r w:rsidRPr="00837726">
        <w:rPr>
          <w:rFonts w:ascii="Times New Roman" w:eastAsia="Calibri" w:hAnsi="Times New Roman" w:cs="Times New Roman"/>
          <w:sz w:val="24"/>
          <w:lang w:bidi="ar-SA"/>
        </w:rPr>
        <w:t xml:space="preserve"> Fisher Scientific), 10 </w:t>
      </w:r>
      <w:proofErr w:type="spellStart"/>
      <w:r w:rsidRPr="00837726">
        <w:rPr>
          <w:rFonts w:ascii="Times New Roman" w:eastAsia="Calibri" w:hAnsi="Times New Roman" w:cs="Times New Roman"/>
          <w:sz w:val="24"/>
          <w:lang w:bidi="ar-SA"/>
        </w:rPr>
        <w:t>mM</w:t>
      </w:r>
      <w:proofErr w:type="spellEnd"/>
      <w:r w:rsidRPr="00837726">
        <w:rPr>
          <w:rFonts w:ascii="Times New Roman" w:eastAsia="Calibri" w:hAnsi="Times New Roman" w:cs="Times New Roman"/>
          <w:sz w:val="24"/>
          <w:lang w:bidi="ar-SA"/>
        </w:rPr>
        <w:t xml:space="preserve"> </w:t>
      </w:r>
      <w:proofErr w:type="spellStart"/>
      <w:r w:rsidRPr="00837726">
        <w:rPr>
          <w:rFonts w:ascii="Times New Roman" w:eastAsia="Calibri" w:hAnsi="Times New Roman" w:cs="Times New Roman"/>
          <w:sz w:val="24"/>
          <w:lang w:bidi="ar-SA"/>
        </w:rPr>
        <w:t>dNTP</w:t>
      </w:r>
      <w:proofErr w:type="spellEnd"/>
      <w:r w:rsidRPr="00837726">
        <w:rPr>
          <w:rFonts w:ascii="Times New Roman" w:eastAsia="Calibri" w:hAnsi="Times New Roman" w:cs="Times New Roman"/>
          <w:sz w:val="24"/>
          <w:lang w:bidi="ar-SA"/>
        </w:rPr>
        <w:t xml:space="preserve"> mix, 10 µM of each primer, 8.95 µl H2O (Invitrogen, </w:t>
      </w:r>
      <w:proofErr w:type="spellStart"/>
      <w:r w:rsidRPr="00837726">
        <w:rPr>
          <w:rFonts w:ascii="Times New Roman" w:eastAsia="Calibri" w:hAnsi="Times New Roman" w:cs="Times New Roman"/>
          <w:sz w:val="24"/>
          <w:lang w:bidi="ar-SA"/>
        </w:rPr>
        <w:t>Thermo</w:t>
      </w:r>
      <w:proofErr w:type="spellEnd"/>
      <w:r w:rsidRPr="00837726">
        <w:rPr>
          <w:rFonts w:ascii="Times New Roman" w:eastAsia="Calibri" w:hAnsi="Times New Roman" w:cs="Times New Roman"/>
          <w:sz w:val="24"/>
          <w:lang w:bidi="ar-SA"/>
        </w:rPr>
        <w:t xml:space="preserve"> Fisher Scientific), and 2 µl of template DNA. </w:t>
      </w:r>
      <w:proofErr w:type="gramStart"/>
      <w:r w:rsidRPr="00837726">
        <w:rPr>
          <w:rFonts w:ascii="Times New Roman" w:eastAsia="Calibri" w:hAnsi="Times New Roman" w:cs="Times New Roman"/>
          <w:sz w:val="24"/>
          <w:lang w:bidi="ar-SA"/>
        </w:rPr>
        <w:t xml:space="preserve">Amplification steps consisted of the following: an initial denaturing step of 98°C for 3 min, which was followed by 30 cycles of 98°C for 9 s, 50°C for 1 min, 72°C for 1 min, and an elongation step for 72°C for 10 min. PCR products were then purified and normalized with the </w:t>
      </w:r>
      <w:proofErr w:type="spellStart"/>
      <w:r w:rsidRPr="00837726">
        <w:rPr>
          <w:rFonts w:ascii="Times New Roman" w:eastAsia="Calibri" w:hAnsi="Times New Roman" w:cs="Times New Roman"/>
          <w:sz w:val="24"/>
          <w:lang w:bidi="ar-SA"/>
        </w:rPr>
        <w:t>SequalPrep</w:t>
      </w:r>
      <w:proofErr w:type="spellEnd"/>
      <w:r w:rsidRPr="00837726">
        <w:rPr>
          <w:rFonts w:ascii="Times New Roman" w:eastAsia="Calibri" w:hAnsi="Times New Roman" w:cs="Times New Roman"/>
          <w:sz w:val="24"/>
          <w:lang w:bidi="ar-SA"/>
        </w:rPr>
        <w:t xml:space="preserve"> Normalization Plate kit (</w:t>
      </w:r>
      <w:proofErr w:type="spellStart"/>
      <w:r w:rsidRPr="00837726">
        <w:rPr>
          <w:rFonts w:ascii="Times New Roman" w:eastAsia="Calibri" w:hAnsi="Times New Roman" w:cs="Times New Roman"/>
          <w:sz w:val="24"/>
          <w:lang w:bidi="ar-SA"/>
        </w:rPr>
        <w:t>Thermo</w:t>
      </w:r>
      <w:proofErr w:type="spellEnd"/>
      <w:r w:rsidRPr="00837726">
        <w:rPr>
          <w:rFonts w:ascii="Times New Roman" w:eastAsia="Calibri" w:hAnsi="Times New Roman" w:cs="Times New Roman"/>
          <w:sz w:val="24"/>
          <w:lang w:bidi="ar-SA"/>
        </w:rPr>
        <w:t xml:space="preserve"> Fisher Scientific) according to the manufacturer's guidelines.</w:t>
      </w:r>
      <w:proofErr w:type="gramEnd"/>
      <w:r w:rsidRPr="00837726">
        <w:rPr>
          <w:rFonts w:ascii="Times New Roman" w:eastAsia="Calibri" w:hAnsi="Times New Roman" w:cs="Times New Roman"/>
          <w:sz w:val="24"/>
          <w:lang w:bidi="ar-SA"/>
        </w:rPr>
        <w:t xml:space="preserve"> Final </w:t>
      </w:r>
      <w:proofErr w:type="spellStart"/>
      <w:r w:rsidRPr="00837726">
        <w:rPr>
          <w:rFonts w:ascii="Times New Roman" w:eastAsia="Calibri" w:hAnsi="Times New Roman" w:cs="Times New Roman"/>
          <w:sz w:val="24"/>
          <w:lang w:bidi="ar-SA"/>
        </w:rPr>
        <w:t>equimolar</w:t>
      </w:r>
      <w:proofErr w:type="spellEnd"/>
      <w:r w:rsidRPr="00837726">
        <w:rPr>
          <w:rFonts w:ascii="Times New Roman" w:eastAsia="Calibri" w:hAnsi="Times New Roman" w:cs="Times New Roman"/>
          <w:sz w:val="24"/>
          <w:lang w:bidi="ar-SA"/>
        </w:rPr>
        <w:t xml:space="preserve"> libraries were sequenced using the paired‐end </w:t>
      </w:r>
      <w:proofErr w:type="spellStart"/>
      <w:r w:rsidRPr="00837726">
        <w:rPr>
          <w:rFonts w:ascii="Times New Roman" w:eastAsia="Calibri" w:hAnsi="Times New Roman" w:cs="Times New Roman"/>
          <w:sz w:val="24"/>
          <w:lang w:bidi="ar-SA"/>
        </w:rPr>
        <w:t>MiSeq</w:t>
      </w:r>
      <w:proofErr w:type="spellEnd"/>
      <w:r w:rsidRPr="00837726">
        <w:rPr>
          <w:rFonts w:ascii="Times New Roman" w:eastAsia="Calibri" w:hAnsi="Times New Roman" w:cs="Times New Roman"/>
          <w:sz w:val="24"/>
          <w:lang w:bidi="ar-SA"/>
        </w:rPr>
        <w:t xml:space="preserve"> reagent kit v3 (2 × 300 </w:t>
      </w:r>
      <w:proofErr w:type="spellStart"/>
      <w:r w:rsidRPr="00837726">
        <w:rPr>
          <w:rFonts w:ascii="Times New Roman" w:eastAsia="Calibri" w:hAnsi="Times New Roman" w:cs="Times New Roman"/>
          <w:sz w:val="24"/>
          <w:lang w:bidi="ar-SA"/>
        </w:rPr>
        <w:t>bp</w:t>
      </w:r>
      <w:proofErr w:type="spellEnd"/>
      <w:r w:rsidRPr="00837726">
        <w:rPr>
          <w:rFonts w:ascii="Times New Roman" w:eastAsia="Calibri" w:hAnsi="Times New Roman" w:cs="Times New Roman"/>
          <w:sz w:val="24"/>
          <w:lang w:bidi="ar-SA"/>
        </w:rPr>
        <w:t xml:space="preserve">) on the </w:t>
      </w:r>
      <w:proofErr w:type="spellStart"/>
      <w:r w:rsidRPr="00837726">
        <w:rPr>
          <w:rFonts w:ascii="Times New Roman" w:eastAsia="Calibri" w:hAnsi="Times New Roman" w:cs="Times New Roman"/>
          <w:sz w:val="24"/>
          <w:lang w:bidi="ar-SA"/>
        </w:rPr>
        <w:t>MiSeq</w:t>
      </w:r>
      <w:proofErr w:type="spellEnd"/>
      <w:r w:rsidRPr="00837726">
        <w:rPr>
          <w:rFonts w:ascii="Times New Roman" w:eastAsia="Calibri" w:hAnsi="Times New Roman" w:cs="Times New Roman"/>
          <w:sz w:val="24"/>
          <w:lang w:bidi="ar-SA"/>
        </w:rPr>
        <w:t xml:space="preserve"> platform (Illumina Inc.).</w:t>
      </w:r>
    </w:p>
    <w:p w:rsidR="00BD360B" w:rsidRDefault="00BD360B" w:rsidP="00BD360B">
      <w:pPr>
        <w:spacing w:before="120"/>
        <w:ind w:firstLine="708"/>
        <w:rPr>
          <w:rFonts w:ascii="Times New Roman" w:eastAsia="Calibri" w:hAnsi="Times New Roman" w:cs="Times New Roman"/>
          <w:i/>
          <w:sz w:val="24"/>
          <w:lang w:bidi="ar-SA"/>
        </w:rPr>
      </w:pPr>
      <w:proofErr w:type="spellStart"/>
      <w:r>
        <w:rPr>
          <w:rFonts w:ascii="Times New Roman" w:eastAsia="Calibri" w:hAnsi="Times New Roman" w:cs="Times New Roman"/>
          <w:i/>
          <w:sz w:val="24"/>
          <w:lang w:bidi="ar-SA"/>
        </w:rPr>
        <w:t>Bioinformatic</w:t>
      </w:r>
      <w:proofErr w:type="spellEnd"/>
      <w:r>
        <w:rPr>
          <w:rFonts w:ascii="Times New Roman" w:eastAsia="Calibri" w:hAnsi="Times New Roman" w:cs="Times New Roman"/>
          <w:i/>
          <w:sz w:val="24"/>
          <w:lang w:bidi="ar-SA"/>
        </w:rPr>
        <w:t xml:space="preserve"> processing of raw read data</w:t>
      </w:r>
    </w:p>
    <w:p w:rsidR="00BD360B" w:rsidRDefault="00BD360B" w:rsidP="00BD360B">
      <w:pPr>
        <w:spacing w:before="120"/>
        <w:ind w:firstLine="0"/>
        <w:rPr>
          <w:rFonts w:ascii="Times New Roman" w:eastAsia="Calibri" w:hAnsi="Times New Roman" w:cs="Times New Roman"/>
          <w:sz w:val="24"/>
          <w:lang w:bidi="ar-SA"/>
        </w:rPr>
      </w:pPr>
      <w:r>
        <w:rPr>
          <w:rFonts w:ascii="Times New Roman" w:eastAsia="Calibri" w:hAnsi="Times New Roman" w:cs="Times New Roman"/>
          <w:sz w:val="24"/>
          <w:lang w:bidi="ar-SA"/>
        </w:rPr>
        <w:t xml:space="preserve">Paired end 16S reads </w:t>
      </w:r>
      <w:proofErr w:type="gramStart"/>
      <w:r>
        <w:rPr>
          <w:rFonts w:ascii="Times New Roman" w:eastAsia="Calibri" w:hAnsi="Times New Roman" w:cs="Times New Roman"/>
          <w:sz w:val="24"/>
          <w:lang w:bidi="ar-SA"/>
        </w:rPr>
        <w:t>were stitched</w:t>
      </w:r>
      <w:proofErr w:type="gramEnd"/>
      <w:r>
        <w:rPr>
          <w:rFonts w:ascii="Times New Roman" w:eastAsia="Calibri" w:hAnsi="Times New Roman" w:cs="Times New Roman"/>
          <w:sz w:val="24"/>
          <w:lang w:bidi="ar-SA"/>
        </w:rPr>
        <w:t xml:space="preserve"> together using FLASH (version 1.2.11) with minimum and maximum sequence overlap of 10 and 300 </w:t>
      </w:r>
      <w:proofErr w:type="spellStart"/>
      <w:r>
        <w:rPr>
          <w:rFonts w:ascii="Times New Roman" w:eastAsia="Calibri" w:hAnsi="Times New Roman" w:cs="Times New Roman"/>
          <w:sz w:val="24"/>
          <w:lang w:bidi="ar-SA"/>
        </w:rPr>
        <w:t>bp</w:t>
      </w:r>
      <w:proofErr w:type="spellEnd"/>
      <w:r>
        <w:rPr>
          <w:rFonts w:ascii="Times New Roman" w:eastAsia="Calibri" w:hAnsi="Times New Roman" w:cs="Times New Roman"/>
          <w:sz w:val="24"/>
          <w:lang w:bidi="ar-SA"/>
        </w:rPr>
        <w:t xml:space="preserve"> respectively. Quality of the merged reads </w:t>
      </w:r>
      <w:proofErr w:type="gramStart"/>
      <w:r>
        <w:rPr>
          <w:rFonts w:ascii="Times New Roman" w:eastAsia="Calibri" w:hAnsi="Times New Roman" w:cs="Times New Roman"/>
          <w:sz w:val="24"/>
          <w:lang w:bidi="ar-SA"/>
        </w:rPr>
        <w:t>was filtered</w:t>
      </w:r>
      <w:proofErr w:type="gramEnd"/>
      <w:r>
        <w:rPr>
          <w:rFonts w:ascii="Times New Roman" w:eastAsia="Calibri" w:hAnsi="Times New Roman" w:cs="Times New Roman"/>
          <w:sz w:val="24"/>
          <w:lang w:bidi="ar-SA"/>
        </w:rPr>
        <w:t xml:space="preserve"> for a </w:t>
      </w:r>
      <w:proofErr w:type="spellStart"/>
      <w:r>
        <w:rPr>
          <w:rFonts w:ascii="Times New Roman" w:eastAsia="Calibri" w:hAnsi="Times New Roman" w:cs="Times New Roman"/>
          <w:sz w:val="24"/>
          <w:lang w:bidi="ar-SA"/>
        </w:rPr>
        <w:t>phred</w:t>
      </w:r>
      <w:proofErr w:type="spellEnd"/>
      <w:r>
        <w:rPr>
          <w:rFonts w:ascii="Times New Roman" w:eastAsia="Calibri" w:hAnsi="Times New Roman" w:cs="Times New Roman"/>
          <w:sz w:val="24"/>
          <w:lang w:bidi="ar-SA"/>
        </w:rPr>
        <w:t xml:space="preserve">-score </w:t>
      </w:r>
      <w:r>
        <w:rPr>
          <w:rFonts w:ascii="Liberation Serif" w:eastAsia="Liberation Serif" w:hAnsi="Liberation Serif" w:cs="Liberation Serif"/>
          <w:sz w:val="24"/>
          <w:lang w:bidi="ar-SA"/>
        </w:rPr>
        <w:t>≥</w:t>
      </w:r>
      <w:r>
        <w:rPr>
          <w:rFonts w:ascii="Times New Roman" w:eastAsia="Calibri" w:hAnsi="Times New Roman" w:cs="Times New Roman"/>
          <w:sz w:val="24"/>
          <w:lang w:bidi="ar-SA"/>
        </w:rPr>
        <w:t xml:space="preserve"> 30 in at least 95% of bases with FASTX toolkit (version 0.0.14). Potential contamination of reads with Illumina’s small RNA 3' adapter (TGG AAT TCT CGG) was removed using </w:t>
      </w:r>
      <w:proofErr w:type="spellStart"/>
      <w:r>
        <w:rPr>
          <w:rFonts w:ascii="Times New Roman" w:eastAsia="Calibri" w:hAnsi="Times New Roman" w:cs="Times New Roman"/>
          <w:sz w:val="24"/>
          <w:lang w:bidi="ar-SA"/>
        </w:rPr>
        <w:t>cutadapt</w:t>
      </w:r>
      <w:proofErr w:type="spellEnd"/>
      <w:r>
        <w:rPr>
          <w:rFonts w:ascii="Times New Roman" w:eastAsia="Calibri" w:hAnsi="Times New Roman" w:cs="Times New Roman"/>
          <w:sz w:val="24"/>
          <w:lang w:bidi="ar-SA"/>
        </w:rPr>
        <w:t xml:space="preserve"> (version 4.2) with at least 3 </w:t>
      </w:r>
      <w:proofErr w:type="spellStart"/>
      <w:r>
        <w:rPr>
          <w:rFonts w:ascii="Times New Roman" w:eastAsia="Calibri" w:hAnsi="Times New Roman" w:cs="Times New Roman"/>
          <w:sz w:val="24"/>
          <w:lang w:bidi="ar-SA"/>
        </w:rPr>
        <w:t>bp</w:t>
      </w:r>
      <w:proofErr w:type="spellEnd"/>
      <w:r>
        <w:rPr>
          <w:rFonts w:ascii="Times New Roman" w:eastAsia="Calibri" w:hAnsi="Times New Roman" w:cs="Times New Roman"/>
          <w:sz w:val="24"/>
          <w:lang w:bidi="ar-SA"/>
        </w:rPr>
        <w:t xml:space="preserve"> overlap and at most 10% mismatches, combined with quality-trimming of bases at the 3’ end below a </w:t>
      </w:r>
      <w:proofErr w:type="spellStart"/>
      <w:r>
        <w:rPr>
          <w:rFonts w:ascii="Times New Roman" w:eastAsia="Calibri" w:hAnsi="Times New Roman" w:cs="Times New Roman"/>
          <w:sz w:val="24"/>
          <w:lang w:bidi="ar-SA"/>
        </w:rPr>
        <w:t>phred</w:t>
      </w:r>
      <w:proofErr w:type="spellEnd"/>
      <w:r>
        <w:rPr>
          <w:rFonts w:ascii="Times New Roman" w:eastAsia="Calibri" w:hAnsi="Times New Roman" w:cs="Times New Roman"/>
          <w:sz w:val="24"/>
          <w:lang w:bidi="ar-SA"/>
        </w:rPr>
        <w:t xml:space="preserve">-score of 30. Processed reads </w:t>
      </w:r>
      <w:proofErr w:type="gramStart"/>
      <w:r>
        <w:rPr>
          <w:rFonts w:ascii="Times New Roman" w:eastAsia="Calibri" w:hAnsi="Times New Roman" w:cs="Times New Roman"/>
          <w:sz w:val="24"/>
          <w:lang w:bidi="ar-SA"/>
        </w:rPr>
        <w:t>were aligned</w:t>
      </w:r>
      <w:proofErr w:type="gramEnd"/>
      <w:r>
        <w:rPr>
          <w:rFonts w:ascii="Times New Roman" w:eastAsia="Calibri" w:hAnsi="Times New Roman" w:cs="Times New Roman"/>
          <w:sz w:val="24"/>
          <w:lang w:bidi="ar-SA"/>
        </w:rPr>
        <w:t xml:space="preserve"> against the variable region V3-V4 of the SILVA database (version 132) via </w:t>
      </w:r>
      <w:proofErr w:type="spellStart"/>
      <w:r>
        <w:rPr>
          <w:rFonts w:ascii="Times New Roman" w:eastAsia="Calibri" w:hAnsi="Times New Roman" w:cs="Times New Roman"/>
          <w:sz w:val="24"/>
          <w:lang w:bidi="ar-SA"/>
        </w:rPr>
        <w:t>Mothur</w:t>
      </w:r>
      <w:proofErr w:type="spellEnd"/>
      <w:r>
        <w:rPr>
          <w:rFonts w:ascii="Times New Roman" w:eastAsia="Calibri" w:hAnsi="Times New Roman" w:cs="Times New Roman"/>
          <w:sz w:val="24"/>
          <w:lang w:bidi="ar-SA"/>
        </w:rPr>
        <w:t xml:space="preserve"> (version 1.48.0). Zero‐radius operational taxonomic units (</w:t>
      </w:r>
      <w:proofErr w:type="spellStart"/>
      <w:r>
        <w:rPr>
          <w:rFonts w:ascii="Times New Roman" w:eastAsia="Calibri" w:hAnsi="Times New Roman" w:cs="Times New Roman"/>
          <w:sz w:val="24"/>
          <w:lang w:bidi="ar-SA"/>
        </w:rPr>
        <w:t>zOTU</w:t>
      </w:r>
      <w:proofErr w:type="spellEnd"/>
      <w:r>
        <w:rPr>
          <w:rFonts w:ascii="Times New Roman" w:eastAsia="Calibri" w:hAnsi="Times New Roman" w:cs="Times New Roman"/>
          <w:sz w:val="24"/>
          <w:lang w:bidi="ar-SA"/>
        </w:rPr>
        <w:t xml:space="preserve">) for the full cohort </w:t>
      </w:r>
      <w:proofErr w:type="gramStart"/>
      <w:r>
        <w:rPr>
          <w:rFonts w:ascii="Times New Roman" w:eastAsia="Calibri" w:hAnsi="Times New Roman" w:cs="Times New Roman"/>
          <w:sz w:val="24"/>
          <w:lang w:bidi="ar-SA"/>
        </w:rPr>
        <w:t>were created</w:t>
      </w:r>
      <w:proofErr w:type="gramEnd"/>
      <w:r>
        <w:rPr>
          <w:rFonts w:ascii="Times New Roman" w:eastAsia="Calibri" w:hAnsi="Times New Roman" w:cs="Times New Roman"/>
          <w:sz w:val="24"/>
          <w:lang w:bidi="ar-SA"/>
        </w:rPr>
        <w:t xml:space="preserve"> by </w:t>
      </w:r>
      <w:proofErr w:type="spellStart"/>
      <w:r>
        <w:rPr>
          <w:rFonts w:ascii="Times New Roman" w:eastAsia="Calibri" w:hAnsi="Times New Roman" w:cs="Times New Roman"/>
          <w:sz w:val="24"/>
          <w:lang w:bidi="ar-SA"/>
        </w:rPr>
        <w:t>dereplication</w:t>
      </w:r>
      <w:proofErr w:type="spellEnd"/>
      <w:r>
        <w:rPr>
          <w:rFonts w:ascii="Times New Roman" w:eastAsia="Calibri" w:hAnsi="Times New Roman" w:cs="Times New Roman"/>
          <w:sz w:val="24"/>
          <w:lang w:bidi="ar-SA"/>
        </w:rPr>
        <w:t xml:space="preserve">, clustering with </w:t>
      </w:r>
      <w:proofErr w:type="spellStart"/>
      <w:r>
        <w:rPr>
          <w:rFonts w:ascii="Times New Roman" w:eastAsia="Calibri" w:hAnsi="Times New Roman" w:cs="Times New Roman"/>
          <w:sz w:val="24"/>
          <w:lang w:bidi="ar-SA"/>
        </w:rPr>
        <w:t>denoising</w:t>
      </w:r>
      <w:proofErr w:type="spellEnd"/>
      <w:r>
        <w:rPr>
          <w:rFonts w:ascii="Times New Roman" w:eastAsia="Calibri" w:hAnsi="Times New Roman" w:cs="Times New Roman"/>
          <w:sz w:val="24"/>
          <w:lang w:bidi="ar-SA"/>
        </w:rPr>
        <w:t xml:space="preserve"> and chimera removal using the </w:t>
      </w:r>
      <w:proofErr w:type="spellStart"/>
      <w:r>
        <w:rPr>
          <w:rFonts w:ascii="Times New Roman" w:eastAsia="Calibri" w:hAnsi="Times New Roman" w:cs="Times New Roman"/>
          <w:sz w:val="24"/>
          <w:lang w:bidi="ar-SA"/>
        </w:rPr>
        <w:t>vsearch</w:t>
      </w:r>
      <w:proofErr w:type="spellEnd"/>
      <w:r>
        <w:rPr>
          <w:rFonts w:ascii="Times New Roman" w:eastAsia="Calibri" w:hAnsi="Times New Roman" w:cs="Times New Roman"/>
          <w:sz w:val="24"/>
          <w:lang w:bidi="ar-SA"/>
        </w:rPr>
        <w:t xml:space="preserve"> software (version 2.14.2). Processed reads from each sample </w:t>
      </w:r>
      <w:proofErr w:type="gramStart"/>
      <w:r>
        <w:rPr>
          <w:rFonts w:ascii="Times New Roman" w:eastAsia="Calibri" w:hAnsi="Times New Roman" w:cs="Times New Roman"/>
          <w:sz w:val="24"/>
          <w:lang w:bidi="ar-SA"/>
        </w:rPr>
        <w:t>were matched</w:t>
      </w:r>
      <w:proofErr w:type="gramEnd"/>
      <w:r>
        <w:rPr>
          <w:rFonts w:ascii="Times New Roman" w:eastAsia="Calibri" w:hAnsi="Times New Roman" w:cs="Times New Roman"/>
          <w:sz w:val="24"/>
          <w:lang w:bidi="ar-SA"/>
        </w:rPr>
        <w:t xml:space="preserve"> against those representative </w:t>
      </w:r>
      <w:proofErr w:type="spellStart"/>
      <w:r>
        <w:rPr>
          <w:rFonts w:ascii="Times New Roman" w:eastAsia="Calibri" w:hAnsi="Times New Roman" w:cs="Times New Roman"/>
          <w:sz w:val="24"/>
          <w:lang w:bidi="ar-SA"/>
        </w:rPr>
        <w:t>zOTUs</w:t>
      </w:r>
      <w:proofErr w:type="spellEnd"/>
      <w:r>
        <w:rPr>
          <w:rFonts w:ascii="Times New Roman" w:eastAsia="Calibri" w:hAnsi="Times New Roman" w:cs="Times New Roman"/>
          <w:sz w:val="24"/>
          <w:lang w:bidi="ar-SA"/>
        </w:rPr>
        <w:t xml:space="preserve"> using the </w:t>
      </w:r>
      <w:proofErr w:type="spellStart"/>
      <w:r>
        <w:rPr>
          <w:rFonts w:ascii="Times New Roman" w:eastAsia="Calibri" w:hAnsi="Times New Roman" w:cs="Times New Roman"/>
          <w:sz w:val="24"/>
          <w:lang w:bidi="ar-SA"/>
        </w:rPr>
        <w:t>usearch</w:t>
      </w:r>
      <w:proofErr w:type="spellEnd"/>
      <w:r>
        <w:rPr>
          <w:rFonts w:ascii="Times New Roman" w:eastAsia="Calibri" w:hAnsi="Times New Roman" w:cs="Times New Roman"/>
          <w:sz w:val="24"/>
          <w:lang w:bidi="ar-SA"/>
        </w:rPr>
        <w:t xml:space="preserve"> algorithm with global </w:t>
      </w:r>
      <w:r>
        <w:rPr>
          <w:rFonts w:ascii="Times New Roman" w:eastAsia="Calibri" w:hAnsi="Times New Roman" w:cs="Times New Roman"/>
          <w:sz w:val="24"/>
          <w:lang w:bidi="ar-SA"/>
        </w:rPr>
        <w:lastRenderedPageBreak/>
        <w:t xml:space="preserve">alignment aiming for a sequence identity of at least 97 % as implemented in the </w:t>
      </w:r>
      <w:proofErr w:type="spellStart"/>
      <w:r>
        <w:rPr>
          <w:rFonts w:ascii="Times New Roman" w:eastAsia="Calibri" w:hAnsi="Times New Roman" w:cs="Times New Roman"/>
          <w:sz w:val="24"/>
          <w:lang w:bidi="ar-SA"/>
        </w:rPr>
        <w:t>vsearch</w:t>
      </w:r>
      <w:proofErr w:type="spellEnd"/>
      <w:r>
        <w:rPr>
          <w:rFonts w:ascii="Times New Roman" w:eastAsia="Calibri" w:hAnsi="Times New Roman" w:cs="Times New Roman"/>
          <w:sz w:val="24"/>
          <w:lang w:bidi="ar-SA"/>
        </w:rPr>
        <w:t xml:space="preserve"> software (version 2.14.2), obtaining sample-wise </w:t>
      </w:r>
      <w:proofErr w:type="spellStart"/>
      <w:r>
        <w:rPr>
          <w:rFonts w:ascii="Times New Roman" w:eastAsia="Calibri" w:hAnsi="Times New Roman" w:cs="Times New Roman"/>
          <w:sz w:val="24"/>
          <w:lang w:bidi="ar-SA"/>
        </w:rPr>
        <w:t>zOTU</w:t>
      </w:r>
      <w:proofErr w:type="spellEnd"/>
      <w:r>
        <w:rPr>
          <w:rFonts w:ascii="Times New Roman" w:eastAsia="Calibri" w:hAnsi="Times New Roman" w:cs="Times New Roman"/>
          <w:sz w:val="24"/>
          <w:lang w:bidi="ar-SA"/>
        </w:rPr>
        <w:t xml:space="preserve"> abundance profiles. Taxonomic annotation </w:t>
      </w:r>
      <w:proofErr w:type="gramStart"/>
      <w:r>
        <w:rPr>
          <w:rFonts w:ascii="Times New Roman" w:eastAsia="Calibri" w:hAnsi="Times New Roman" w:cs="Times New Roman"/>
          <w:sz w:val="24"/>
          <w:lang w:bidi="ar-SA"/>
        </w:rPr>
        <w:t>was obtained</w:t>
      </w:r>
      <w:proofErr w:type="gramEnd"/>
      <w:r>
        <w:rPr>
          <w:rFonts w:ascii="Times New Roman" w:eastAsia="Calibri" w:hAnsi="Times New Roman" w:cs="Times New Roman"/>
          <w:sz w:val="24"/>
          <w:lang w:bidi="ar-SA"/>
        </w:rPr>
        <w:t xml:space="preserve"> from alignment of </w:t>
      </w:r>
      <w:proofErr w:type="spellStart"/>
      <w:r>
        <w:rPr>
          <w:rFonts w:ascii="Times New Roman" w:eastAsia="Calibri" w:hAnsi="Times New Roman" w:cs="Times New Roman"/>
          <w:sz w:val="24"/>
          <w:lang w:bidi="ar-SA"/>
        </w:rPr>
        <w:t>zOTU</w:t>
      </w:r>
      <w:proofErr w:type="spellEnd"/>
      <w:r>
        <w:rPr>
          <w:rFonts w:ascii="Times New Roman" w:eastAsia="Calibri" w:hAnsi="Times New Roman" w:cs="Times New Roman"/>
          <w:sz w:val="24"/>
          <w:lang w:bidi="ar-SA"/>
        </w:rPr>
        <w:t xml:space="preserve"> sequences against the variable region V3-V4 of the SILVA database (version 132) via </w:t>
      </w:r>
      <w:proofErr w:type="spellStart"/>
      <w:r>
        <w:rPr>
          <w:rFonts w:ascii="Times New Roman" w:eastAsia="Calibri" w:hAnsi="Times New Roman" w:cs="Times New Roman"/>
          <w:sz w:val="24"/>
          <w:lang w:bidi="ar-SA"/>
        </w:rPr>
        <w:t>Mothur</w:t>
      </w:r>
      <w:proofErr w:type="spellEnd"/>
      <w:r>
        <w:rPr>
          <w:rFonts w:ascii="Times New Roman" w:eastAsia="Calibri" w:hAnsi="Times New Roman" w:cs="Times New Roman"/>
          <w:sz w:val="24"/>
          <w:lang w:bidi="ar-SA"/>
        </w:rPr>
        <w:t xml:space="preserve"> (version 1.48.0). Microbiome samples </w:t>
      </w:r>
      <w:proofErr w:type="gramStart"/>
      <w:r>
        <w:rPr>
          <w:rFonts w:ascii="Times New Roman" w:eastAsia="Calibri" w:hAnsi="Times New Roman" w:cs="Times New Roman"/>
          <w:sz w:val="24"/>
          <w:lang w:bidi="ar-SA"/>
        </w:rPr>
        <w:t>were excluded</w:t>
      </w:r>
      <w:proofErr w:type="gramEnd"/>
      <w:r>
        <w:rPr>
          <w:rFonts w:ascii="Times New Roman" w:eastAsia="Calibri" w:hAnsi="Times New Roman" w:cs="Times New Roman"/>
          <w:sz w:val="24"/>
          <w:lang w:bidi="ar-SA"/>
        </w:rPr>
        <w:t xml:space="preserve"> from analysis if the donors fulfilled any of the following criteria shortly before stool sampling: use of antibiotics, travel to another continent, contracted an infectious disease, had colonoscopy or known diagnosis of inflammatory bowel disease. Additionally one pair of samples could no longer be discerned between baseline- and post-intervention, leaving us with </w:t>
      </w:r>
      <w:proofErr w:type="gramStart"/>
      <w:r>
        <w:rPr>
          <w:rFonts w:ascii="Times New Roman" w:eastAsia="Calibri" w:hAnsi="Times New Roman" w:cs="Times New Roman"/>
          <w:sz w:val="24"/>
          <w:lang w:bidi="ar-SA"/>
        </w:rPr>
        <w:t>a total of 167</w:t>
      </w:r>
      <w:proofErr w:type="gramEnd"/>
      <w:r>
        <w:rPr>
          <w:rFonts w:ascii="Times New Roman" w:eastAsia="Calibri" w:hAnsi="Times New Roman" w:cs="Times New Roman"/>
          <w:sz w:val="24"/>
          <w:lang w:bidi="ar-SA"/>
        </w:rPr>
        <w:t xml:space="preserve"> samples from 87 donors. In order to control for environmental factors potentially impacting microbiome composition, an additional metadata parameter was introduced in the downstream analysis accounting for the season of the year in which the stool sample was collected (Spring: March – May, Summer: June – August, Autumn: September – November, Winter: December – February).</w:t>
      </w:r>
      <w:r>
        <w:rPr>
          <w:rFonts w:ascii="Times New Roman" w:eastAsia="Calibri" w:hAnsi="Times New Roman" w:cs="Times New Roman"/>
          <w:sz w:val="24"/>
          <w:lang w:bidi="ar-SA"/>
        </w:rPr>
        <w:br/>
        <w:t xml:space="preserve">Taxonomic assignment of the </w:t>
      </w:r>
      <w:proofErr w:type="spellStart"/>
      <w:r>
        <w:rPr>
          <w:rFonts w:ascii="Times New Roman" w:eastAsia="Calibri" w:hAnsi="Times New Roman" w:cs="Times New Roman"/>
          <w:sz w:val="24"/>
          <w:lang w:bidi="ar-SA"/>
        </w:rPr>
        <w:t>zOTUs</w:t>
      </w:r>
      <w:proofErr w:type="spellEnd"/>
      <w:r>
        <w:rPr>
          <w:rFonts w:ascii="Times New Roman" w:eastAsia="Calibri" w:hAnsi="Times New Roman" w:cs="Times New Roman"/>
          <w:sz w:val="24"/>
          <w:lang w:bidi="ar-SA"/>
        </w:rPr>
        <w:t xml:space="preserve"> to genus level was based on sequence similarity &gt;= 94.5, while </w:t>
      </w:r>
      <w:proofErr w:type="spellStart"/>
      <w:r>
        <w:rPr>
          <w:rFonts w:ascii="Times New Roman" w:eastAsia="Calibri" w:hAnsi="Times New Roman" w:cs="Times New Roman"/>
          <w:sz w:val="24"/>
          <w:lang w:bidi="ar-SA"/>
        </w:rPr>
        <w:t>zOTUs</w:t>
      </w:r>
      <w:proofErr w:type="spellEnd"/>
      <w:r>
        <w:rPr>
          <w:rFonts w:ascii="Times New Roman" w:eastAsia="Calibri" w:hAnsi="Times New Roman" w:cs="Times New Roman"/>
          <w:sz w:val="24"/>
          <w:lang w:bidi="ar-SA"/>
        </w:rPr>
        <w:t xml:space="preserve"> below that threshold were either assigned to their taxonomic family, in case of a sequence similarity &gt;= 86.5 (e.g. “f__</w:t>
      </w:r>
      <w:proofErr w:type="spellStart"/>
      <w:r>
        <w:rPr>
          <w:rFonts w:ascii="Times New Roman" w:eastAsia="Calibri" w:hAnsi="Times New Roman" w:cs="Times New Roman"/>
          <w:sz w:val="24"/>
          <w:lang w:bidi="ar-SA"/>
        </w:rPr>
        <w:t>Bacteroidacea|g</w:t>
      </w:r>
      <w:proofErr w:type="spellEnd"/>
      <w:r>
        <w:rPr>
          <w:rFonts w:ascii="Times New Roman" w:eastAsia="Calibri" w:hAnsi="Times New Roman" w:cs="Times New Roman"/>
          <w:sz w:val="24"/>
          <w:lang w:bidi="ar-SA"/>
        </w:rPr>
        <w:t>__unknown”), or else summed under “</w:t>
      </w:r>
      <w:proofErr w:type="spellStart"/>
      <w:r>
        <w:rPr>
          <w:rFonts w:ascii="Times New Roman" w:eastAsia="Calibri" w:hAnsi="Times New Roman" w:cs="Times New Roman"/>
          <w:sz w:val="24"/>
          <w:lang w:bidi="ar-SA"/>
        </w:rPr>
        <w:t>unknown_genus</w:t>
      </w:r>
      <w:proofErr w:type="spellEnd"/>
      <w:r>
        <w:rPr>
          <w:rFonts w:ascii="Times New Roman" w:eastAsia="Calibri" w:hAnsi="Times New Roman" w:cs="Times New Roman"/>
          <w:sz w:val="24"/>
          <w:lang w:bidi="ar-SA"/>
        </w:rPr>
        <w:t xml:space="preserve">”. All statistical analysis of microbiome composition </w:t>
      </w:r>
      <w:proofErr w:type="gramStart"/>
      <w:r>
        <w:rPr>
          <w:rFonts w:ascii="Times New Roman" w:eastAsia="Calibri" w:hAnsi="Times New Roman" w:cs="Times New Roman"/>
          <w:sz w:val="24"/>
          <w:lang w:bidi="ar-SA"/>
        </w:rPr>
        <w:t>were then performed</w:t>
      </w:r>
      <w:proofErr w:type="gramEnd"/>
      <w:r>
        <w:rPr>
          <w:rFonts w:ascii="Times New Roman" w:eastAsia="Calibri" w:hAnsi="Times New Roman" w:cs="Times New Roman"/>
          <w:sz w:val="24"/>
          <w:lang w:bidi="ar-SA"/>
        </w:rPr>
        <w:t xml:space="preserve"> on this combined “</w:t>
      </w:r>
      <w:proofErr w:type="spellStart"/>
      <w:r>
        <w:rPr>
          <w:rFonts w:ascii="Times New Roman" w:eastAsia="Calibri" w:hAnsi="Times New Roman" w:cs="Times New Roman"/>
          <w:sz w:val="24"/>
          <w:lang w:bidi="ar-SA"/>
        </w:rPr>
        <w:t>family|genus</w:t>
      </w:r>
      <w:proofErr w:type="spellEnd"/>
      <w:r>
        <w:rPr>
          <w:rFonts w:ascii="Times New Roman" w:eastAsia="Calibri" w:hAnsi="Times New Roman" w:cs="Times New Roman"/>
          <w:sz w:val="24"/>
          <w:lang w:bidi="ar-SA"/>
        </w:rPr>
        <w:t xml:space="preserve">” taxonomic level in R (version 4.3.3). Features with near zero variance </w:t>
      </w:r>
      <w:proofErr w:type="gramStart"/>
      <w:r>
        <w:rPr>
          <w:rFonts w:ascii="Times New Roman" w:eastAsia="Calibri" w:hAnsi="Times New Roman" w:cs="Times New Roman"/>
          <w:sz w:val="24"/>
          <w:lang w:bidi="ar-SA"/>
        </w:rPr>
        <w:t>were removed</w:t>
      </w:r>
      <w:proofErr w:type="gramEnd"/>
      <w:r>
        <w:rPr>
          <w:rFonts w:ascii="Times New Roman" w:eastAsia="Calibri" w:hAnsi="Times New Roman" w:cs="Times New Roman"/>
          <w:sz w:val="24"/>
          <w:lang w:bidi="ar-SA"/>
        </w:rPr>
        <w:t xml:space="preserve"> from the resulting count matrix with function </w:t>
      </w:r>
      <w:proofErr w:type="spellStart"/>
      <w:r>
        <w:rPr>
          <w:rFonts w:ascii="Times New Roman" w:eastAsia="Calibri" w:hAnsi="Times New Roman" w:cs="Times New Roman"/>
          <w:color w:val="000000"/>
          <w:sz w:val="24"/>
          <w:lang w:bidi="ar-SA"/>
        </w:rPr>
        <w:t>nearZeroVar</w:t>
      </w:r>
      <w:proofErr w:type="spellEnd"/>
      <w:r>
        <w:rPr>
          <w:rFonts w:ascii="Times New Roman" w:eastAsia="Calibri" w:hAnsi="Times New Roman" w:cs="Times New Roman"/>
          <w:color w:val="000000"/>
          <w:sz w:val="24"/>
          <w:lang w:bidi="ar-SA"/>
        </w:rPr>
        <w:t xml:space="preserve"> from R-package</w:t>
      </w:r>
      <w:r>
        <w:rPr>
          <w:rFonts w:ascii="Times New Roman" w:eastAsia="Calibri" w:hAnsi="Times New Roman" w:cs="Times New Roman"/>
          <w:sz w:val="24"/>
          <w:lang w:bidi="ar-SA"/>
        </w:rPr>
        <w:t xml:space="preserve"> caret (version 6.0.94). </w:t>
      </w:r>
    </w:p>
    <w:p w:rsidR="00BD360B" w:rsidRDefault="00BD360B" w:rsidP="00BD360B">
      <w:pPr>
        <w:spacing w:before="120"/>
        <w:ind w:firstLine="708"/>
        <w:rPr>
          <w:rFonts w:ascii="Times New Roman" w:eastAsia="Calibri" w:hAnsi="Times New Roman" w:cs="Times New Roman"/>
          <w:i/>
          <w:sz w:val="24"/>
          <w:lang w:bidi="ar-SA"/>
        </w:rPr>
      </w:pPr>
      <w:r>
        <w:rPr>
          <w:rFonts w:ascii="Times New Roman" w:eastAsia="Calibri" w:hAnsi="Times New Roman" w:cs="Times New Roman"/>
          <w:i/>
          <w:sz w:val="24"/>
          <w:lang w:bidi="ar-SA"/>
        </w:rPr>
        <w:t>Taxonomic analysis of microbiome profiles</w:t>
      </w:r>
    </w:p>
    <w:p w:rsidR="00BD360B" w:rsidRDefault="00BD360B" w:rsidP="00BD360B">
      <w:pPr>
        <w:spacing w:before="120"/>
        <w:ind w:firstLine="0"/>
      </w:pPr>
      <w:r>
        <w:rPr>
          <w:rFonts w:ascii="Times New Roman" w:eastAsia="Calibri" w:hAnsi="Times New Roman" w:cs="Times New Roman"/>
          <w:sz w:val="24"/>
          <w:lang w:bidi="ar-SA"/>
        </w:rPr>
        <w:t xml:space="preserve">Taxonomic count data </w:t>
      </w:r>
      <w:proofErr w:type="gramStart"/>
      <w:r>
        <w:rPr>
          <w:rFonts w:ascii="Times New Roman" w:eastAsia="Calibri" w:hAnsi="Times New Roman" w:cs="Times New Roman"/>
          <w:sz w:val="24"/>
          <w:lang w:bidi="ar-SA"/>
        </w:rPr>
        <w:t>was normalized</w:t>
      </w:r>
      <w:proofErr w:type="gramEnd"/>
      <w:r>
        <w:rPr>
          <w:rFonts w:ascii="Times New Roman" w:eastAsia="Calibri" w:hAnsi="Times New Roman" w:cs="Times New Roman"/>
          <w:sz w:val="24"/>
          <w:lang w:bidi="ar-SA"/>
        </w:rPr>
        <w:t xml:space="preserve"> by sample in order to obtain relative abundances. We then investigated the potential relationship of each different cognitive measure with the abundance of each genus via linear modeling. Therefore, for each genus ‘g’ and each cognitive parameter ‘c’ we built a linear model with the cognitive measure post-intervention </w:t>
      </w:r>
      <w:r>
        <w:rPr>
          <w:rFonts w:ascii="Times New Roman" w:eastAsia="Calibri" w:hAnsi="Times New Roman" w:cs="Times New Roman"/>
          <w:sz w:val="24"/>
          <w:lang w:bidi="ar-SA"/>
        </w:rPr>
        <w:lastRenderedPageBreak/>
        <w:t>as dependent variable, while controlling for the same cognitive measure baseline-intervention as well as for gender, age, and IQ at baseline and genus abundance (e.g. “</w:t>
      </w:r>
      <w:proofErr w:type="spellStart"/>
      <w:r>
        <w:rPr>
          <w:rFonts w:ascii="Times New Roman" w:eastAsia="Calibri" w:hAnsi="Times New Roman" w:cs="Times New Roman"/>
          <w:sz w:val="24"/>
          <w:lang w:bidi="ar-SA"/>
        </w:rPr>
        <w:t>c_post</w:t>
      </w:r>
      <w:proofErr w:type="spellEnd"/>
      <w:r>
        <w:rPr>
          <w:rFonts w:ascii="Times New Roman" w:eastAsia="Calibri" w:hAnsi="Times New Roman" w:cs="Times New Roman"/>
          <w:sz w:val="24"/>
          <w:lang w:bidi="ar-SA"/>
        </w:rPr>
        <w:t xml:space="preserve"> ~ </w:t>
      </w:r>
      <w:proofErr w:type="spellStart"/>
      <w:r>
        <w:rPr>
          <w:rFonts w:ascii="Times New Roman" w:eastAsia="Calibri" w:hAnsi="Times New Roman" w:cs="Times New Roman"/>
          <w:sz w:val="24"/>
          <w:lang w:bidi="ar-SA"/>
        </w:rPr>
        <w:t>c_pre</w:t>
      </w:r>
      <w:proofErr w:type="spellEnd"/>
      <w:r>
        <w:rPr>
          <w:rFonts w:ascii="Times New Roman" w:eastAsia="Calibri" w:hAnsi="Times New Roman" w:cs="Times New Roman"/>
          <w:sz w:val="24"/>
          <w:lang w:bidi="ar-SA"/>
        </w:rPr>
        <w:t xml:space="preserve"> + gender + age + IQ + g”). Across all linear models, the p-values for the independent variable genus </w:t>
      </w:r>
      <w:proofErr w:type="gramStart"/>
      <w:r>
        <w:rPr>
          <w:rFonts w:ascii="Times New Roman" w:eastAsia="Calibri" w:hAnsi="Times New Roman" w:cs="Times New Roman"/>
          <w:sz w:val="24"/>
          <w:lang w:bidi="ar-SA"/>
        </w:rPr>
        <w:t>were collated and adjusted for multiple testing via the Benjamini-Hochberg method</w:t>
      </w:r>
      <w:proofErr w:type="gramEnd"/>
      <w:r>
        <w:rPr>
          <w:rFonts w:ascii="Times New Roman" w:eastAsia="Calibri" w:hAnsi="Times New Roman" w:cs="Times New Roman"/>
          <w:sz w:val="24"/>
          <w:lang w:bidi="ar-SA"/>
        </w:rPr>
        <w:t>.</w:t>
      </w:r>
    </w:p>
    <w:p w:rsidR="00BD360B" w:rsidRDefault="00BD360B" w:rsidP="00BD360B">
      <w:pPr>
        <w:spacing w:before="120"/>
        <w:ind w:firstLine="0"/>
        <w:rPr>
          <w:rFonts w:ascii="Times New Roman" w:eastAsia="Calibri" w:hAnsi="Times New Roman" w:cs="Times New Roman"/>
          <w:sz w:val="24"/>
          <w:lang w:bidi="ar-SA"/>
        </w:rPr>
      </w:pPr>
      <w:r>
        <w:rPr>
          <w:rFonts w:ascii="Times New Roman" w:eastAsia="Calibri" w:hAnsi="Times New Roman" w:cs="Times New Roman"/>
          <w:sz w:val="24"/>
          <w:lang w:bidi="ar-SA"/>
        </w:rPr>
        <w:t xml:space="preserve">In an independent analysis we checked for differentially abundant taxa between treatment groups and time points with the R-package ANCOMBC (version 2.4.0). Un-normalized counts </w:t>
      </w:r>
      <w:proofErr w:type="gramStart"/>
      <w:r>
        <w:rPr>
          <w:rFonts w:ascii="Times New Roman" w:eastAsia="Calibri" w:hAnsi="Times New Roman" w:cs="Times New Roman"/>
          <w:sz w:val="24"/>
          <w:lang w:bidi="ar-SA"/>
        </w:rPr>
        <w:t>were used</w:t>
      </w:r>
      <w:proofErr w:type="gramEnd"/>
      <w:r>
        <w:rPr>
          <w:rFonts w:ascii="Times New Roman" w:eastAsia="Calibri" w:hAnsi="Times New Roman" w:cs="Times New Roman"/>
          <w:sz w:val="24"/>
          <w:lang w:bidi="ar-SA"/>
        </w:rPr>
        <w:t xml:space="preserve"> with the function ancombc2 and the following parameters: </w:t>
      </w:r>
      <w:proofErr w:type="spellStart"/>
      <w:r>
        <w:rPr>
          <w:rFonts w:ascii="Times New Roman" w:eastAsia="Calibri" w:hAnsi="Times New Roman" w:cs="Times New Roman"/>
          <w:sz w:val="24"/>
          <w:lang w:bidi="ar-SA"/>
        </w:rPr>
        <w:t>fix_formula</w:t>
      </w:r>
      <w:proofErr w:type="spellEnd"/>
      <w:r>
        <w:rPr>
          <w:rFonts w:ascii="Times New Roman" w:eastAsia="Calibri" w:hAnsi="Times New Roman" w:cs="Times New Roman"/>
          <w:sz w:val="24"/>
          <w:lang w:bidi="ar-SA"/>
        </w:rPr>
        <w:t xml:space="preserve"> = "</w:t>
      </w:r>
      <w:proofErr w:type="spellStart"/>
      <w:r>
        <w:rPr>
          <w:rFonts w:ascii="Times New Roman" w:eastAsia="Calibri" w:hAnsi="Times New Roman" w:cs="Times New Roman"/>
          <w:sz w:val="24"/>
          <w:lang w:bidi="ar-SA"/>
        </w:rPr>
        <w:t>TpTr</w:t>
      </w:r>
      <w:proofErr w:type="spellEnd"/>
      <w:r>
        <w:rPr>
          <w:rFonts w:ascii="Times New Roman" w:eastAsia="Calibri" w:hAnsi="Times New Roman" w:cs="Times New Roman"/>
          <w:sz w:val="24"/>
          <w:lang w:bidi="ar-SA"/>
        </w:rPr>
        <w:t xml:space="preserve"> + gender + season", </w:t>
      </w:r>
      <w:proofErr w:type="spellStart"/>
      <w:r>
        <w:rPr>
          <w:rFonts w:ascii="Times New Roman" w:eastAsia="Calibri" w:hAnsi="Times New Roman" w:cs="Times New Roman"/>
          <w:sz w:val="24"/>
          <w:lang w:bidi="ar-SA"/>
        </w:rPr>
        <w:t>rand_formula</w:t>
      </w:r>
      <w:proofErr w:type="spellEnd"/>
      <w:r>
        <w:rPr>
          <w:rFonts w:ascii="Times New Roman" w:eastAsia="Calibri" w:hAnsi="Times New Roman" w:cs="Times New Roman"/>
          <w:sz w:val="24"/>
          <w:lang w:bidi="ar-SA"/>
        </w:rPr>
        <w:t xml:space="preserve"> = "(1|ParticipantID)", pairwise = TRUE, group = "</w:t>
      </w:r>
      <w:proofErr w:type="spellStart"/>
      <w:r>
        <w:rPr>
          <w:rFonts w:ascii="Times New Roman" w:eastAsia="Calibri" w:hAnsi="Times New Roman" w:cs="Times New Roman"/>
          <w:sz w:val="24"/>
          <w:lang w:bidi="ar-SA"/>
        </w:rPr>
        <w:t>TpTr</w:t>
      </w:r>
      <w:proofErr w:type="spellEnd"/>
      <w:r>
        <w:rPr>
          <w:rFonts w:ascii="Times New Roman" w:eastAsia="Calibri" w:hAnsi="Times New Roman" w:cs="Times New Roman"/>
          <w:sz w:val="24"/>
          <w:lang w:bidi="ar-SA"/>
        </w:rPr>
        <w:t xml:space="preserve">", where </w:t>
      </w:r>
      <w:proofErr w:type="spellStart"/>
      <w:r>
        <w:rPr>
          <w:rFonts w:ascii="Times New Roman" w:eastAsia="Calibri" w:hAnsi="Times New Roman" w:cs="Times New Roman"/>
          <w:sz w:val="24"/>
          <w:lang w:bidi="ar-SA"/>
        </w:rPr>
        <w:t>TpTr</w:t>
      </w:r>
      <w:proofErr w:type="spellEnd"/>
      <w:r>
        <w:rPr>
          <w:rFonts w:ascii="Times New Roman" w:eastAsia="Calibri" w:hAnsi="Times New Roman" w:cs="Times New Roman"/>
          <w:sz w:val="24"/>
          <w:lang w:bidi="ar-SA"/>
        </w:rPr>
        <w:t xml:space="preserve"> is a combined factor variable of treatment group and time point.</w:t>
      </w:r>
    </w:p>
    <w:p w:rsidR="00BD360B" w:rsidRDefault="00BD360B" w:rsidP="00BD360B">
      <w:pPr>
        <w:spacing w:before="120"/>
        <w:ind w:firstLine="708"/>
        <w:rPr>
          <w:rFonts w:ascii="Times New Roman" w:eastAsia="Calibri" w:hAnsi="Times New Roman" w:cs="Times New Roman"/>
          <w:i/>
          <w:sz w:val="24"/>
          <w:lang w:bidi="ar-SA"/>
        </w:rPr>
      </w:pPr>
      <w:r>
        <w:rPr>
          <w:rFonts w:ascii="Times New Roman" w:eastAsia="Calibri" w:hAnsi="Times New Roman" w:cs="Times New Roman"/>
          <w:i/>
          <w:sz w:val="24"/>
          <w:lang w:bidi="ar-SA"/>
        </w:rPr>
        <w:t>Ecological diversity indices</w:t>
      </w:r>
    </w:p>
    <w:p w:rsidR="00BD360B" w:rsidRDefault="00BD360B" w:rsidP="00BD360B">
      <w:pPr>
        <w:spacing w:before="120"/>
        <w:ind w:firstLine="0"/>
        <w:rPr>
          <w:rFonts w:ascii="Times New Roman" w:eastAsia="Calibri" w:hAnsi="Times New Roman" w:cs="Times New Roman"/>
          <w:sz w:val="24"/>
          <w:lang w:bidi="ar-SA"/>
        </w:rPr>
      </w:pPr>
      <w:r>
        <w:rPr>
          <w:rFonts w:ascii="Times New Roman" w:eastAsia="Calibri" w:hAnsi="Times New Roman" w:cs="Times New Roman"/>
          <w:sz w:val="24"/>
          <w:lang w:bidi="ar-SA"/>
        </w:rPr>
        <w:t xml:space="preserve">Alpha- and beta-diversity indices </w:t>
      </w:r>
      <w:proofErr w:type="gramStart"/>
      <w:r>
        <w:rPr>
          <w:rFonts w:ascii="Times New Roman" w:eastAsia="Calibri" w:hAnsi="Times New Roman" w:cs="Times New Roman"/>
          <w:sz w:val="24"/>
          <w:lang w:bidi="ar-SA"/>
        </w:rPr>
        <w:t>were calculated</w:t>
      </w:r>
      <w:proofErr w:type="gramEnd"/>
      <w:r>
        <w:rPr>
          <w:rFonts w:ascii="Times New Roman" w:eastAsia="Calibri" w:hAnsi="Times New Roman" w:cs="Times New Roman"/>
          <w:sz w:val="24"/>
          <w:lang w:bidi="ar-SA"/>
        </w:rPr>
        <w:t xml:space="preserve"> based on genus-level abundances via the R-package </w:t>
      </w:r>
      <w:proofErr w:type="spellStart"/>
      <w:r>
        <w:rPr>
          <w:rFonts w:ascii="Times New Roman" w:eastAsia="Calibri" w:hAnsi="Times New Roman" w:cs="Times New Roman"/>
          <w:sz w:val="24"/>
          <w:lang w:bidi="ar-SA"/>
        </w:rPr>
        <w:t>phyloseq</w:t>
      </w:r>
      <w:proofErr w:type="spellEnd"/>
      <w:r>
        <w:rPr>
          <w:rFonts w:ascii="Times New Roman" w:eastAsia="Calibri" w:hAnsi="Times New Roman" w:cs="Times New Roman"/>
          <w:sz w:val="24"/>
          <w:lang w:bidi="ar-SA"/>
        </w:rPr>
        <w:t xml:space="preserve"> (version 1.46.0). For both diversity indices un-normalized genus counts </w:t>
      </w:r>
      <w:proofErr w:type="gramStart"/>
      <w:r>
        <w:rPr>
          <w:rFonts w:ascii="Times New Roman" w:eastAsia="Calibri" w:hAnsi="Times New Roman" w:cs="Times New Roman"/>
          <w:sz w:val="24"/>
          <w:lang w:bidi="ar-SA"/>
        </w:rPr>
        <w:t>were randomly sub-sampled</w:t>
      </w:r>
      <w:proofErr w:type="gramEnd"/>
      <w:r>
        <w:rPr>
          <w:rFonts w:ascii="Times New Roman" w:eastAsia="Calibri" w:hAnsi="Times New Roman" w:cs="Times New Roman"/>
          <w:sz w:val="24"/>
          <w:lang w:bidi="ar-SA"/>
        </w:rPr>
        <w:t xml:space="preserve"> to a common read coverage of 3281 reads per sample via the </w:t>
      </w:r>
      <w:proofErr w:type="spellStart"/>
      <w:r>
        <w:rPr>
          <w:rFonts w:ascii="Times New Roman" w:eastAsia="Calibri" w:hAnsi="Times New Roman" w:cs="Times New Roman"/>
          <w:sz w:val="24"/>
          <w:lang w:bidi="ar-SA"/>
        </w:rPr>
        <w:t>rraefy</w:t>
      </w:r>
      <w:proofErr w:type="spellEnd"/>
      <w:r>
        <w:rPr>
          <w:rFonts w:ascii="Times New Roman" w:eastAsia="Calibri" w:hAnsi="Times New Roman" w:cs="Times New Roman"/>
          <w:sz w:val="24"/>
          <w:lang w:bidi="ar-SA"/>
        </w:rPr>
        <w:t xml:space="preserve"> function. Random sampling </w:t>
      </w:r>
      <w:proofErr w:type="gramStart"/>
      <w:r>
        <w:rPr>
          <w:rFonts w:ascii="Times New Roman" w:eastAsia="Calibri" w:hAnsi="Times New Roman" w:cs="Times New Roman"/>
          <w:sz w:val="24"/>
          <w:lang w:bidi="ar-SA"/>
        </w:rPr>
        <w:t>was repeated</w:t>
      </w:r>
      <w:proofErr w:type="gramEnd"/>
      <w:r>
        <w:rPr>
          <w:rFonts w:ascii="Times New Roman" w:eastAsia="Calibri" w:hAnsi="Times New Roman" w:cs="Times New Roman"/>
          <w:sz w:val="24"/>
          <w:lang w:bidi="ar-SA"/>
        </w:rPr>
        <w:t xml:space="preserve"> 500 times and then the average abundance was used for calculation of the Shannon index alpha-diversity (function diversity) and the Bray-Curtis dissimilarity index (function </w:t>
      </w:r>
      <w:proofErr w:type="spellStart"/>
      <w:r>
        <w:rPr>
          <w:rFonts w:ascii="Times New Roman" w:eastAsia="Calibri" w:hAnsi="Times New Roman" w:cs="Times New Roman"/>
          <w:sz w:val="24"/>
          <w:lang w:bidi="ar-SA"/>
        </w:rPr>
        <w:t>vegdist</w:t>
      </w:r>
      <w:proofErr w:type="spellEnd"/>
      <w:r>
        <w:rPr>
          <w:rFonts w:ascii="Times New Roman" w:eastAsia="Calibri" w:hAnsi="Times New Roman" w:cs="Times New Roman"/>
          <w:sz w:val="24"/>
          <w:lang w:bidi="ar-SA"/>
        </w:rPr>
        <w:t>) for beta-diversity.</w:t>
      </w:r>
    </w:p>
    <w:p w:rsidR="00BD360B" w:rsidRPr="001B3FCE" w:rsidRDefault="00BD360B" w:rsidP="00BD360B">
      <w:pPr>
        <w:spacing w:before="120"/>
        <w:ind w:firstLine="0"/>
        <w:rPr>
          <w:rFonts w:ascii="Times New Roman" w:eastAsia="Calibri" w:hAnsi="Times New Roman" w:cs="Times New Roman"/>
          <w:b/>
          <w:sz w:val="24"/>
          <w:lang w:bidi="ar-SA"/>
        </w:rPr>
      </w:pPr>
      <w:r w:rsidRPr="001B3FCE">
        <w:rPr>
          <w:rFonts w:ascii="Times New Roman" w:eastAsia="Calibri" w:hAnsi="Times New Roman" w:cs="Times New Roman"/>
          <w:b/>
          <w:sz w:val="24"/>
          <w:lang w:bidi="ar-SA"/>
        </w:rPr>
        <w:t>References</w:t>
      </w:r>
    </w:p>
    <w:p w:rsidR="00BD360B" w:rsidRDefault="00BD360B" w:rsidP="00BD360B">
      <w:pPr>
        <w:spacing w:before="120"/>
        <w:ind w:firstLine="0"/>
        <w:rPr>
          <w:rFonts w:ascii="Times New Roman" w:eastAsia="Calibri" w:hAnsi="Times New Roman" w:cs="Times New Roman"/>
          <w:sz w:val="24"/>
          <w:lang w:bidi="ar-SA"/>
        </w:rPr>
      </w:pPr>
      <w:r w:rsidRPr="001B3FCE">
        <w:rPr>
          <w:rFonts w:ascii="Times New Roman" w:eastAsia="Calibri" w:hAnsi="Times New Roman" w:cs="Times New Roman"/>
          <w:sz w:val="24"/>
          <w:lang w:bidi="ar-SA"/>
        </w:rPr>
        <w:t xml:space="preserve">Garey, L. J. (Ed.). (1999). </w:t>
      </w:r>
      <w:proofErr w:type="spellStart"/>
      <w:r w:rsidRPr="001B3FCE">
        <w:rPr>
          <w:rFonts w:ascii="Times New Roman" w:eastAsia="Calibri" w:hAnsi="Times New Roman" w:cs="Times New Roman"/>
          <w:i/>
          <w:sz w:val="24"/>
          <w:lang w:bidi="ar-SA"/>
        </w:rPr>
        <w:t>Brodmann's</w:t>
      </w:r>
      <w:proofErr w:type="spellEnd"/>
      <w:r w:rsidRPr="001B3FCE">
        <w:rPr>
          <w:rFonts w:ascii="Times New Roman" w:eastAsia="Calibri" w:hAnsi="Times New Roman" w:cs="Times New Roman"/>
          <w:i/>
          <w:sz w:val="24"/>
          <w:lang w:bidi="ar-SA"/>
        </w:rPr>
        <w:t xml:space="preserve">' </w:t>
      </w:r>
      <w:proofErr w:type="spellStart"/>
      <w:r w:rsidRPr="001B3FCE">
        <w:rPr>
          <w:rFonts w:ascii="Times New Roman" w:eastAsia="Calibri" w:hAnsi="Times New Roman" w:cs="Times New Roman"/>
          <w:i/>
          <w:sz w:val="24"/>
          <w:lang w:bidi="ar-SA"/>
        </w:rPr>
        <w:t>localisation</w:t>
      </w:r>
      <w:proofErr w:type="spellEnd"/>
      <w:r w:rsidRPr="001B3FCE">
        <w:rPr>
          <w:rFonts w:ascii="Times New Roman" w:eastAsia="Calibri" w:hAnsi="Times New Roman" w:cs="Times New Roman"/>
          <w:i/>
          <w:sz w:val="24"/>
          <w:lang w:bidi="ar-SA"/>
        </w:rPr>
        <w:t xml:space="preserve"> in the cerebral cortex'</w:t>
      </w:r>
      <w:r w:rsidRPr="001B3FCE">
        <w:rPr>
          <w:rFonts w:ascii="Times New Roman" w:eastAsia="Calibri" w:hAnsi="Times New Roman" w:cs="Times New Roman"/>
          <w:sz w:val="24"/>
          <w:lang w:bidi="ar-SA"/>
        </w:rPr>
        <w:t>. World Scientific.</w:t>
      </w:r>
    </w:p>
    <w:p w:rsidR="00BD360B" w:rsidRPr="00E96D1E" w:rsidRDefault="00BD360B" w:rsidP="00BD360B">
      <w:pPr>
        <w:spacing w:before="120"/>
        <w:ind w:firstLine="0"/>
        <w:rPr>
          <w:rFonts w:ascii="Times New Roman" w:eastAsia="Calibri" w:hAnsi="Times New Roman" w:cs="Times New Roman"/>
          <w:sz w:val="24"/>
          <w:lang w:bidi="ar-SA"/>
        </w:rPr>
      </w:pPr>
      <w:r w:rsidRPr="00EC0750">
        <w:rPr>
          <w:rFonts w:ascii="Times New Roman" w:eastAsia="Calibri" w:hAnsi="Times New Roman" w:cs="Times New Roman"/>
          <w:sz w:val="24"/>
          <w:lang w:bidi="ar-SA"/>
        </w:rPr>
        <w:t xml:space="preserve">Sperling, G. (1960). The information available in brief visual presentations. </w:t>
      </w:r>
      <w:r w:rsidRPr="00EC0750">
        <w:rPr>
          <w:rFonts w:ascii="Times New Roman" w:eastAsia="Calibri" w:hAnsi="Times New Roman" w:cs="Times New Roman"/>
          <w:i/>
          <w:sz w:val="24"/>
          <w:lang w:bidi="ar-SA"/>
        </w:rPr>
        <w:t xml:space="preserve">Psychol. </w:t>
      </w:r>
      <w:proofErr w:type="spellStart"/>
      <w:r w:rsidRPr="00EC0750">
        <w:rPr>
          <w:rFonts w:ascii="Times New Roman" w:eastAsia="Calibri" w:hAnsi="Times New Roman" w:cs="Times New Roman"/>
          <w:i/>
          <w:sz w:val="24"/>
          <w:lang w:bidi="ar-SA"/>
        </w:rPr>
        <w:t>Monogr</w:t>
      </w:r>
      <w:proofErr w:type="spellEnd"/>
      <w:r w:rsidRPr="00EC0750">
        <w:rPr>
          <w:rFonts w:ascii="Times New Roman" w:eastAsia="Calibri" w:hAnsi="Times New Roman" w:cs="Times New Roman"/>
          <w:sz w:val="24"/>
          <w:lang w:bidi="ar-SA"/>
        </w:rPr>
        <w:t xml:space="preserve">. </w:t>
      </w:r>
      <w:r w:rsidRPr="00EC0750">
        <w:rPr>
          <w:rFonts w:ascii="Times New Roman" w:eastAsia="Calibri" w:hAnsi="Times New Roman" w:cs="Times New Roman"/>
          <w:i/>
          <w:sz w:val="24"/>
          <w:lang w:bidi="ar-SA"/>
        </w:rPr>
        <w:t>Gen. Appl</w:t>
      </w:r>
      <w:r w:rsidRPr="00EC0750">
        <w:rPr>
          <w:rFonts w:ascii="Times New Roman" w:eastAsia="Calibri" w:hAnsi="Times New Roman" w:cs="Times New Roman"/>
          <w:sz w:val="24"/>
          <w:lang w:bidi="ar-SA"/>
        </w:rPr>
        <w:t>. 74, 1–29.</w:t>
      </w:r>
    </w:p>
    <w:p w:rsidR="00D3757A" w:rsidRDefault="00BD360B" w:rsidP="004030EB">
      <w:pPr>
        <w:spacing w:before="120"/>
        <w:ind w:firstLine="0"/>
      </w:pPr>
      <w:r>
        <w:rPr>
          <w:rFonts w:ascii="Times New Roman" w:eastAsia="Calibri" w:hAnsi="Times New Roman" w:cs="Times New Roman"/>
          <w:sz w:val="24"/>
          <w:lang w:bidi="ar-SA"/>
        </w:rPr>
        <w:t xml:space="preserve">Yeo, B. T., </w:t>
      </w:r>
      <w:proofErr w:type="spellStart"/>
      <w:r>
        <w:rPr>
          <w:rFonts w:ascii="Times New Roman" w:eastAsia="Calibri" w:hAnsi="Times New Roman" w:cs="Times New Roman"/>
          <w:sz w:val="24"/>
          <w:lang w:bidi="ar-SA"/>
        </w:rPr>
        <w:t>Krienen</w:t>
      </w:r>
      <w:proofErr w:type="spellEnd"/>
      <w:r>
        <w:rPr>
          <w:rFonts w:ascii="Times New Roman" w:eastAsia="Calibri" w:hAnsi="Times New Roman" w:cs="Times New Roman"/>
          <w:sz w:val="24"/>
          <w:lang w:bidi="ar-SA"/>
        </w:rPr>
        <w:t xml:space="preserve">, F. M., </w:t>
      </w:r>
      <w:proofErr w:type="spellStart"/>
      <w:r>
        <w:rPr>
          <w:rFonts w:ascii="Times New Roman" w:eastAsia="Calibri" w:hAnsi="Times New Roman" w:cs="Times New Roman"/>
          <w:sz w:val="24"/>
          <w:lang w:bidi="ar-SA"/>
        </w:rPr>
        <w:t>Sepulcre</w:t>
      </w:r>
      <w:proofErr w:type="spellEnd"/>
      <w:r>
        <w:rPr>
          <w:rFonts w:ascii="Times New Roman" w:eastAsia="Calibri" w:hAnsi="Times New Roman" w:cs="Times New Roman"/>
          <w:sz w:val="24"/>
          <w:lang w:bidi="ar-SA"/>
        </w:rPr>
        <w:t xml:space="preserve">, J., </w:t>
      </w:r>
      <w:proofErr w:type="spellStart"/>
      <w:r>
        <w:rPr>
          <w:rFonts w:ascii="Times New Roman" w:eastAsia="Calibri" w:hAnsi="Times New Roman" w:cs="Times New Roman"/>
          <w:sz w:val="24"/>
          <w:lang w:bidi="ar-SA"/>
        </w:rPr>
        <w:t>Sabuncu</w:t>
      </w:r>
      <w:proofErr w:type="spellEnd"/>
      <w:r>
        <w:rPr>
          <w:rFonts w:ascii="Times New Roman" w:eastAsia="Calibri" w:hAnsi="Times New Roman" w:cs="Times New Roman"/>
          <w:sz w:val="24"/>
          <w:lang w:bidi="ar-SA"/>
        </w:rPr>
        <w:t xml:space="preserve">, M. R., </w:t>
      </w:r>
      <w:proofErr w:type="spellStart"/>
      <w:r>
        <w:rPr>
          <w:rFonts w:ascii="Times New Roman" w:eastAsia="Calibri" w:hAnsi="Times New Roman" w:cs="Times New Roman"/>
          <w:sz w:val="24"/>
          <w:lang w:bidi="ar-SA"/>
        </w:rPr>
        <w:t>Lashkari</w:t>
      </w:r>
      <w:proofErr w:type="spellEnd"/>
      <w:r>
        <w:rPr>
          <w:rFonts w:ascii="Times New Roman" w:eastAsia="Calibri" w:hAnsi="Times New Roman" w:cs="Times New Roman"/>
          <w:sz w:val="24"/>
          <w:lang w:bidi="ar-SA"/>
        </w:rPr>
        <w:t xml:space="preserve">, D., </w:t>
      </w:r>
      <w:proofErr w:type="spellStart"/>
      <w:r>
        <w:rPr>
          <w:rFonts w:ascii="Times New Roman" w:eastAsia="Calibri" w:hAnsi="Times New Roman" w:cs="Times New Roman"/>
          <w:sz w:val="24"/>
          <w:lang w:bidi="ar-SA"/>
        </w:rPr>
        <w:t>Hollinshead</w:t>
      </w:r>
      <w:proofErr w:type="spellEnd"/>
      <w:r>
        <w:rPr>
          <w:rFonts w:ascii="Times New Roman" w:eastAsia="Calibri" w:hAnsi="Times New Roman" w:cs="Times New Roman"/>
          <w:sz w:val="24"/>
          <w:lang w:bidi="ar-SA"/>
        </w:rPr>
        <w:t>, M</w:t>
      </w:r>
      <w:proofErr w:type="gramStart"/>
      <w:r>
        <w:rPr>
          <w:rFonts w:ascii="Times New Roman" w:eastAsia="Calibri" w:hAnsi="Times New Roman" w:cs="Times New Roman"/>
          <w:sz w:val="24"/>
          <w:lang w:bidi="ar-SA"/>
        </w:rPr>
        <w:t>., ...</w:t>
      </w:r>
      <w:proofErr w:type="gramEnd"/>
      <w:r>
        <w:rPr>
          <w:rFonts w:ascii="Times New Roman" w:eastAsia="Calibri" w:hAnsi="Times New Roman" w:cs="Times New Roman"/>
          <w:sz w:val="24"/>
          <w:lang w:bidi="ar-SA"/>
        </w:rPr>
        <w:t xml:space="preserve"> &amp; Buckner, R. L. (2011). The organization of the human cerebral cortex estimated by intrinsic functional connectivity. </w:t>
      </w:r>
      <w:r>
        <w:rPr>
          <w:rFonts w:ascii="Times New Roman" w:eastAsia="Calibri" w:hAnsi="Times New Roman" w:cs="Times New Roman"/>
          <w:i/>
          <w:sz w:val="24"/>
          <w:lang w:bidi="ar-SA"/>
        </w:rPr>
        <w:t>Journal of neurophysiology</w:t>
      </w:r>
      <w:r>
        <w:rPr>
          <w:rFonts w:ascii="Times New Roman" w:eastAsia="Calibri" w:hAnsi="Times New Roman" w:cs="Times New Roman"/>
          <w:sz w:val="24"/>
          <w:lang w:bidi="ar-SA"/>
        </w:rPr>
        <w:t>.</w:t>
      </w:r>
    </w:p>
    <w:sectPr w:rsidR="00D3757A">
      <w:footerReference w:type="default" r:id="rId6"/>
      <w:pgSz w:w="11906" w:h="16838"/>
      <w:pgMar w:top="1417" w:right="1417" w:bottom="1134" w:left="1417"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75E75" w:rsidRDefault="004F79BB">
      <w:pPr>
        <w:spacing w:after="0" w:line="240" w:lineRule="auto"/>
      </w:pPr>
      <w:r>
        <w:separator/>
      </w:r>
    </w:p>
  </w:endnote>
  <w:endnote w:type="continuationSeparator" w:id="0">
    <w:p w:rsidR="00075E75" w:rsidRDefault="004F79B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Liberation Serif">
    <w:altName w:val="Times New Roman"/>
    <w:charset w:val="01"/>
    <w:family w:val="roman"/>
    <w:pitch w:val="default"/>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678954294"/>
      <w:docPartObj>
        <w:docPartGallery w:val="Page Numbers (Bottom of Page)"/>
        <w:docPartUnique/>
      </w:docPartObj>
    </w:sdtPr>
    <w:sdtEndPr/>
    <w:sdtContent>
      <w:p w:rsidR="00655D13" w:rsidRDefault="00BD360B">
        <w:pPr>
          <w:pStyle w:val="Fuzeile"/>
          <w:jc w:val="right"/>
        </w:pPr>
        <w:r>
          <w:fldChar w:fldCharType="begin"/>
        </w:r>
        <w:r>
          <w:instrText>PAGE   \* MERGEFORMAT</w:instrText>
        </w:r>
        <w:r>
          <w:fldChar w:fldCharType="separate"/>
        </w:r>
        <w:r w:rsidR="00A534C0" w:rsidRPr="00A534C0">
          <w:rPr>
            <w:noProof/>
            <w:lang w:val="de-DE"/>
          </w:rPr>
          <w:t>2</w:t>
        </w:r>
        <w:r>
          <w:fldChar w:fldCharType="end"/>
        </w:r>
      </w:p>
    </w:sdtContent>
  </w:sdt>
  <w:p w:rsidR="00655D13" w:rsidRDefault="00A534C0">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75E75" w:rsidRDefault="004F79BB">
      <w:pPr>
        <w:spacing w:after="0" w:line="240" w:lineRule="auto"/>
      </w:pPr>
      <w:r>
        <w:separator/>
      </w:r>
    </w:p>
  </w:footnote>
  <w:footnote w:type="continuationSeparator" w:id="0">
    <w:p w:rsidR="00075E75" w:rsidRDefault="004F79BB">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6"/>
  <w:displayBackgroundShape/>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a2sLAwNTM3NjEzMzA0M7BQ0lEKTi0uzszPAykwqQUADwX4GCwAAAA="/>
  </w:docVars>
  <w:rsids>
    <w:rsidRoot w:val="00BD360B"/>
    <w:rsid w:val="00075E75"/>
    <w:rsid w:val="004030EB"/>
    <w:rsid w:val="004F79BB"/>
    <w:rsid w:val="006C58DF"/>
    <w:rsid w:val="00A534C0"/>
    <w:rsid w:val="00AF0A8D"/>
    <w:rsid w:val="00BD360B"/>
    <w:rsid w:val="00D3757A"/>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A20DC6"/>
  <w15:chartTrackingRefBased/>
  <w15:docId w15:val="{0D514E04-8833-4A97-9ABF-729B3B1741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BD360B"/>
    <w:pPr>
      <w:spacing w:after="240" w:line="480" w:lineRule="auto"/>
      <w:ind w:firstLine="360"/>
    </w:pPr>
    <w:rPr>
      <w:lang w:val="en-US" w:bidi="en-US"/>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Fuzeile">
    <w:name w:val="footer"/>
    <w:basedOn w:val="Standard"/>
    <w:link w:val="FuzeileZchn"/>
    <w:uiPriority w:val="99"/>
    <w:unhideWhenUsed/>
    <w:rsid w:val="00BD360B"/>
    <w:pPr>
      <w:tabs>
        <w:tab w:val="center" w:pos="7143"/>
        <w:tab w:val="right" w:pos="14287"/>
      </w:tabs>
      <w:spacing w:after="0" w:line="240" w:lineRule="auto"/>
    </w:pPr>
  </w:style>
  <w:style w:type="character" w:customStyle="1" w:styleId="FuzeileZchn">
    <w:name w:val="Fußzeile Zchn"/>
    <w:basedOn w:val="Absatz-Standardschriftart"/>
    <w:link w:val="Fuzeile"/>
    <w:uiPriority w:val="99"/>
    <w:rsid w:val="00BD360B"/>
    <w:rPr>
      <w:lang w:val="en-US" w:bidi="en-US"/>
    </w:rPr>
  </w:style>
  <w:style w:type="table" w:customStyle="1" w:styleId="TableGridLight">
    <w:name w:val="Table Grid Light"/>
    <w:basedOn w:val="NormaleTabelle"/>
    <w:uiPriority w:val="59"/>
    <w:rsid w:val="00BD360B"/>
    <w:pPr>
      <w:spacing w:after="0" w:line="240" w:lineRule="auto"/>
    </w:pPr>
    <w:rPr>
      <w14:ligatures w14:val="standardContextual"/>
    </w:r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customStyle="1" w:styleId="TabellemithellemGitternetz1">
    <w:name w:val="Tabelle mit hellem Gitternetz1"/>
    <w:basedOn w:val="NormaleTabelle"/>
    <w:uiPriority w:val="40"/>
    <w:rsid w:val="00BD360B"/>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EinfacheTabelle21">
    <w:name w:val="Einfache Tabelle 21"/>
    <w:basedOn w:val="NormaleTabelle"/>
    <w:uiPriority w:val="42"/>
    <w:rsid w:val="00BD360B"/>
    <w:pPr>
      <w:spacing w:after="0" w:line="240" w:lineRule="auto"/>
    </w:pPr>
    <w:rPr>
      <w14:ligatures w14:val="standardContextual"/>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10</Pages>
  <Words>2185</Words>
  <Characters>13768</Characters>
  <Application>Microsoft Office Word</Application>
  <DocSecurity>0</DocSecurity>
  <Lines>114</Lines>
  <Paragraphs>31</Paragraphs>
  <ScaleCrop>false</ScaleCrop>
  <HeadingPairs>
    <vt:vector size="2" baseType="variant">
      <vt:variant>
        <vt:lpstr>Titel</vt:lpstr>
      </vt:variant>
      <vt:variant>
        <vt:i4>1</vt:i4>
      </vt:variant>
    </vt:vector>
  </HeadingPairs>
  <TitlesOfParts>
    <vt:vector size="1" baseType="lpstr">
      <vt:lpstr/>
    </vt:vector>
  </TitlesOfParts>
  <Company>Universitätsklinikum Jena</Company>
  <LinksUpToDate>false</LinksUpToDate>
  <CharactersWithSpaces>15922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Schrenk, Simon</dc:creator>
  <cp:keywords/>
  <dc:description/>
  <cp:lastModifiedBy>Schrenk, Simon</cp:lastModifiedBy>
  <cp:revision>5</cp:revision>
  <dcterms:created xsi:type="dcterms:W3CDTF">2025-03-07T11:59:00Z</dcterms:created>
  <dcterms:modified xsi:type="dcterms:W3CDTF">2025-04-29T08:12:00Z</dcterms:modified>
</cp:coreProperties>
</file>