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246A" w14:textId="77777777" w:rsidR="00D86DC0" w:rsidRPr="00D86DC0" w:rsidRDefault="00D86DC0" w:rsidP="00D86DC0">
      <w:pPr>
        <w:pStyle w:val="Heading1"/>
        <w:rPr>
          <w:rFonts w:ascii="Times New Roman" w:hAnsi="Times New Roman" w:cs="Times New Roman"/>
          <w:b/>
          <w:bCs/>
          <w:sz w:val="24"/>
          <w:szCs w:val="24"/>
        </w:rPr>
      </w:pPr>
      <w:r w:rsidRPr="00D86DC0">
        <w:rPr>
          <w:rFonts w:ascii="Times New Roman" w:hAnsi="Times New Roman" w:cs="Times New Roman"/>
          <w:b/>
          <w:bCs/>
          <w:sz w:val="24"/>
          <w:szCs w:val="24"/>
        </w:rPr>
        <w:t>Supplemental Tables</w:t>
      </w:r>
    </w:p>
    <w:p w14:paraId="5521E22E" w14:textId="77777777" w:rsidR="00D86DC0" w:rsidRPr="00A52818" w:rsidRDefault="00D86DC0" w:rsidP="00D86DC0">
      <w:pPr>
        <w:shd w:val="clear" w:color="auto" w:fill="FFFFFF"/>
        <w:rPr>
          <w:color w:val="1C1D1E"/>
        </w:rPr>
      </w:pPr>
    </w:p>
    <w:tbl>
      <w:tblPr>
        <w:tblStyle w:val="PlainTable2"/>
        <w:tblW w:w="0" w:type="auto"/>
        <w:tblLook w:val="04A0" w:firstRow="1" w:lastRow="0" w:firstColumn="1" w:lastColumn="0" w:noHBand="0" w:noVBand="1"/>
      </w:tblPr>
      <w:tblGrid>
        <w:gridCol w:w="7753"/>
        <w:gridCol w:w="1607"/>
      </w:tblGrid>
      <w:tr w:rsidR="00D86DC0" w:rsidRPr="00A52818" w14:paraId="5913299A" w14:textId="77777777" w:rsidTr="005B0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FEED94D" w14:textId="77777777" w:rsidR="00D86DC0" w:rsidRPr="00A52818" w:rsidRDefault="00D86DC0" w:rsidP="005B0079">
            <w:pPr>
              <w:rPr>
                <w:b w:val="0"/>
                <w:bCs w:val="0"/>
              </w:rPr>
            </w:pPr>
            <w:r w:rsidRPr="00A52818">
              <w:rPr>
                <w:b w:val="0"/>
                <w:bCs w:val="0"/>
              </w:rPr>
              <w:t>Supplemental Table 1: Primary etiologic diagnoses in amyloid-negative, tau-positive decedents (N = 579)</w:t>
            </w:r>
          </w:p>
        </w:tc>
      </w:tr>
      <w:tr w:rsidR="00D86DC0" w:rsidRPr="00A52818" w14:paraId="0DDC3E81"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2FCF7D" w14:textId="77777777" w:rsidR="00D86DC0" w:rsidRPr="00A52818" w:rsidRDefault="00D86DC0" w:rsidP="005B0079">
            <w:pPr>
              <w:jc w:val="center"/>
              <w:rPr>
                <w:b w:val="0"/>
                <w:bCs w:val="0"/>
              </w:rPr>
            </w:pPr>
            <w:r w:rsidRPr="00A52818">
              <w:rPr>
                <w:b w:val="0"/>
                <w:bCs w:val="0"/>
              </w:rPr>
              <w:t>Etiologic Diagnosis</w:t>
            </w:r>
          </w:p>
        </w:tc>
        <w:tc>
          <w:tcPr>
            <w:tcW w:w="0" w:type="auto"/>
            <w:hideMark/>
          </w:tcPr>
          <w:p w14:paraId="7837C061" w14:textId="77777777" w:rsidR="00D86DC0" w:rsidRPr="009660B5"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9660B5">
              <w:t>n (%)</w:t>
            </w:r>
          </w:p>
        </w:tc>
      </w:tr>
      <w:tr w:rsidR="00D86DC0" w:rsidRPr="00A52818" w14:paraId="15BE9F19"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555698AE" w14:textId="77777777" w:rsidR="00D86DC0" w:rsidRPr="00A52818" w:rsidRDefault="00D86DC0" w:rsidP="005B0079">
            <w:pPr>
              <w:rPr>
                <w:b w:val="0"/>
                <w:bCs w:val="0"/>
              </w:rPr>
            </w:pPr>
            <w:r w:rsidRPr="00A52818">
              <w:rPr>
                <w:b w:val="0"/>
                <w:bCs w:val="0"/>
              </w:rPr>
              <w:t>Alzheimer’s disease (AD)</w:t>
            </w:r>
          </w:p>
        </w:tc>
        <w:tc>
          <w:tcPr>
            <w:tcW w:w="0" w:type="auto"/>
            <w:hideMark/>
          </w:tcPr>
          <w:p w14:paraId="762C1F6D"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226 (39.0)</w:t>
            </w:r>
          </w:p>
        </w:tc>
      </w:tr>
      <w:tr w:rsidR="00D86DC0" w:rsidRPr="00A52818" w14:paraId="3A8E1A87"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A375B" w14:textId="77777777" w:rsidR="00D86DC0" w:rsidRPr="00A52818" w:rsidRDefault="00D86DC0" w:rsidP="005B0079">
            <w:pPr>
              <w:rPr>
                <w:b w:val="0"/>
                <w:bCs w:val="0"/>
              </w:rPr>
            </w:pPr>
            <w:r w:rsidRPr="00A52818">
              <w:rPr>
                <w:b w:val="0"/>
                <w:bCs w:val="0"/>
              </w:rPr>
              <w:t>Lewy body disease (LBD)</w:t>
            </w:r>
          </w:p>
        </w:tc>
        <w:tc>
          <w:tcPr>
            <w:tcW w:w="0" w:type="auto"/>
            <w:hideMark/>
          </w:tcPr>
          <w:p w14:paraId="505A7D84"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78 (13.5)</w:t>
            </w:r>
          </w:p>
        </w:tc>
      </w:tr>
      <w:tr w:rsidR="00D86DC0" w:rsidRPr="00A52818" w14:paraId="114CD439"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789C8442" w14:textId="77777777" w:rsidR="00D86DC0" w:rsidRPr="00A52818" w:rsidRDefault="00D86DC0" w:rsidP="005B0079">
            <w:pPr>
              <w:rPr>
                <w:b w:val="0"/>
                <w:bCs w:val="0"/>
              </w:rPr>
            </w:pPr>
            <w:r w:rsidRPr="00A52818">
              <w:rPr>
                <w:b w:val="0"/>
                <w:bCs w:val="0"/>
              </w:rPr>
              <w:t>Progressive supranuclear palsy (PSP)</w:t>
            </w:r>
          </w:p>
        </w:tc>
        <w:tc>
          <w:tcPr>
            <w:tcW w:w="0" w:type="auto"/>
            <w:hideMark/>
          </w:tcPr>
          <w:p w14:paraId="278AC24D"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1 (0.2)</w:t>
            </w:r>
          </w:p>
        </w:tc>
      </w:tr>
      <w:tr w:rsidR="00D86DC0" w:rsidRPr="00A52818" w14:paraId="263FF6B6"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656CA" w14:textId="77777777" w:rsidR="00D86DC0" w:rsidRPr="00A52818" w:rsidRDefault="00D86DC0" w:rsidP="005B0079">
            <w:pPr>
              <w:rPr>
                <w:b w:val="0"/>
                <w:bCs w:val="0"/>
              </w:rPr>
            </w:pPr>
            <w:r w:rsidRPr="00A52818">
              <w:rPr>
                <w:b w:val="0"/>
                <w:bCs w:val="0"/>
              </w:rPr>
              <w:t>Corticobasal degeneration (CBD)</w:t>
            </w:r>
          </w:p>
        </w:tc>
        <w:tc>
          <w:tcPr>
            <w:tcW w:w="0" w:type="auto"/>
            <w:hideMark/>
          </w:tcPr>
          <w:p w14:paraId="15EC532F"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2 (0.3)</w:t>
            </w:r>
          </w:p>
        </w:tc>
      </w:tr>
      <w:tr w:rsidR="00D86DC0" w:rsidRPr="00A52818" w14:paraId="433D9DCA"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7EE86646" w14:textId="77777777" w:rsidR="00D86DC0" w:rsidRPr="00A52818" w:rsidRDefault="00D86DC0" w:rsidP="005B0079">
            <w:pPr>
              <w:rPr>
                <w:b w:val="0"/>
                <w:bCs w:val="0"/>
              </w:rPr>
            </w:pPr>
            <w:r w:rsidRPr="00A52818">
              <w:rPr>
                <w:b w:val="0"/>
                <w:bCs w:val="0"/>
              </w:rPr>
              <w:t>Frontotemporal lobar degeneration, other (FTLD-other)</w:t>
            </w:r>
          </w:p>
        </w:tc>
        <w:tc>
          <w:tcPr>
            <w:tcW w:w="0" w:type="auto"/>
            <w:hideMark/>
          </w:tcPr>
          <w:p w14:paraId="34A89A8B"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2 (0.3)</w:t>
            </w:r>
          </w:p>
        </w:tc>
      </w:tr>
      <w:tr w:rsidR="00D86DC0" w:rsidRPr="00A52818" w14:paraId="0A63E664"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DB1950" w14:textId="77777777" w:rsidR="00D86DC0" w:rsidRPr="00A52818" w:rsidRDefault="00D86DC0" w:rsidP="005B0079">
            <w:pPr>
              <w:rPr>
                <w:b w:val="0"/>
                <w:bCs w:val="0"/>
              </w:rPr>
            </w:pPr>
            <w:r w:rsidRPr="00A52818">
              <w:rPr>
                <w:b w:val="0"/>
                <w:bCs w:val="0"/>
              </w:rPr>
              <w:t>Vascular brain injury or vascular dementia (including stroke)</w:t>
            </w:r>
          </w:p>
        </w:tc>
        <w:tc>
          <w:tcPr>
            <w:tcW w:w="0" w:type="auto"/>
            <w:hideMark/>
          </w:tcPr>
          <w:p w14:paraId="4966DE1D"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35 (6.0)</w:t>
            </w:r>
          </w:p>
        </w:tc>
      </w:tr>
      <w:tr w:rsidR="00D86DC0" w:rsidRPr="00A52818" w14:paraId="4B0A0B64"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358A345D" w14:textId="77777777" w:rsidR="00D86DC0" w:rsidRPr="00A52818" w:rsidRDefault="00D86DC0" w:rsidP="005B0079">
            <w:pPr>
              <w:rPr>
                <w:b w:val="0"/>
                <w:bCs w:val="0"/>
              </w:rPr>
            </w:pPr>
            <w:r w:rsidRPr="00A52818">
              <w:rPr>
                <w:b w:val="0"/>
                <w:bCs w:val="0"/>
              </w:rPr>
              <w:t>Traumatic brain injury (TBI)</w:t>
            </w:r>
          </w:p>
        </w:tc>
        <w:tc>
          <w:tcPr>
            <w:tcW w:w="0" w:type="auto"/>
            <w:hideMark/>
          </w:tcPr>
          <w:p w14:paraId="1207A9CE"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1 (0.2)</w:t>
            </w:r>
          </w:p>
        </w:tc>
      </w:tr>
      <w:tr w:rsidR="00D86DC0" w:rsidRPr="00A52818" w14:paraId="21698682"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3E713" w14:textId="77777777" w:rsidR="00D86DC0" w:rsidRPr="00A52818" w:rsidRDefault="00D86DC0" w:rsidP="005B0079">
            <w:pPr>
              <w:rPr>
                <w:b w:val="0"/>
                <w:bCs w:val="0"/>
              </w:rPr>
            </w:pPr>
            <w:r w:rsidRPr="00A52818">
              <w:rPr>
                <w:b w:val="0"/>
                <w:bCs w:val="0"/>
              </w:rPr>
              <w:t>Normal-pressure hydrocephalus (NPH)</w:t>
            </w:r>
          </w:p>
        </w:tc>
        <w:tc>
          <w:tcPr>
            <w:tcW w:w="0" w:type="auto"/>
            <w:hideMark/>
          </w:tcPr>
          <w:p w14:paraId="22A4A563"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2 (0.3)</w:t>
            </w:r>
          </w:p>
        </w:tc>
      </w:tr>
      <w:tr w:rsidR="00D86DC0" w:rsidRPr="00A52818" w14:paraId="2F065874"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6859DDE6" w14:textId="77777777" w:rsidR="00D86DC0" w:rsidRPr="00A52818" w:rsidRDefault="00D86DC0" w:rsidP="005B0079">
            <w:pPr>
              <w:rPr>
                <w:b w:val="0"/>
                <w:bCs w:val="0"/>
              </w:rPr>
            </w:pPr>
            <w:r w:rsidRPr="00A52818">
              <w:rPr>
                <w:b w:val="0"/>
                <w:bCs w:val="0"/>
              </w:rPr>
              <w:t>Other neurologic, genetic, or infectious condition</w:t>
            </w:r>
          </w:p>
        </w:tc>
        <w:tc>
          <w:tcPr>
            <w:tcW w:w="0" w:type="auto"/>
            <w:hideMark/>
          </w:tcPr>
          <w:p w14:paraId="5AA2B4FE"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4 (0.7)</w:t>
            </w:r>
          </w:p>
        </w:tc>
      </w:tr>
      <w:tr w:rsidR="00D86DC0" w:rsidRPr="00A52818" w14:paraId="335DA626"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C2E5D" w14:textId="77777777" w:rsidR="00D86DC0" w:rsidRPr="00A52818" w:rsidRDefault="00D86DC0" w:rsidP="005B0079">
            <w:pPr>
              <w:rPr>
                <w:b w:val="0"/>
                <w:bCs w:val="0"/>
              </w:rPr>
            </w:pPr>
            <w:r w:rsidRPr="00A52818">
              <w:rPr>
                <w:b w:val="0"/>
                <w:bCs w:val="0"/>
              </w:rPr>
              <w:t>Depression</w:t>
            </w:r>
          </w:p>
        </w:tc>
        <w:tc>
          <w:tcPr>
            <w:tcW w:w="0" w:type="auto"/>
            <w:hideMark/>
          </w:tcPr>
          <w:p w14:paraId="340B5F8E"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1 (0.2)</w:t>
            </w:r>
          </w:p>
        </w:tc>
      </w:tr>
      <w:tr w:rsidR="00D86DC0" w:rsidRPr="00A52818" w14:paraId="6D28CE64"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2ABBD84C" w14:textId="77777777" w:rsidR="00D86DC0" w:rsidRPr="00A52818" w:rsidRDefault="00D86DC0" w:rsidP="005B0079">
            <w:pPr>
              <w:rPr>
                <w:b w:val="0"/>
                <w:bCs w:val="0"/>
              </w:rPr>
            </w:pPr>
            <w:r w:rsidRPr="00A52818">
              <w:rPr>
                <w:b w:val="0"/>
                <w:bCs w:val="0"/>
              </w:rPr>
              <w:t>Schizophrenia or other psychosis</w:t>
            </w:r>
          </w:p>
        </w:tc>
        <w:tc>
          <w:tcPr>
            <w:tcW w:w="0" w:type="auto"/>
            <w:hideMark/>
          </w:tcPr>
          <w:p w14:paraId="0365A2F2"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1 (0.2)</w:t>
            </w:r>
          </w:p>
        </w:tc>
      </w:tr>
      <w:tr w:rsidR="00D86DC0" w:rsidRPr="00A52818" w14:paraId="1D0EEA72"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2C02C" w14:textId="77777777" w:rsidR="00D86DC0" w:rsidRPr="00A52818" w:rsidRDefault="00D86DC0" w:rsidP="005B0079">
            <w:pPr>
              <w:rPr>
                <w:b w:val="0"/>
                <w:bCs w:val="0"/>
              </w:rPr>
            </w:pPr>
            <w:r w:rsidRPr="00A52818">
              <w:rPr>
                <w:b w:val="0"/>
                <w:bCs w:val="0"/>
              </w:rPr>
              <w:t>Cognitive impairment due to alcohol abuse</w:t>
            </w:r>
          </w:p>
        </w:tc>
        <w:tc>
          <w:tcPr>
            <w:tcW w:w="0" w:type="auto"/>
            <w:hideMark/>
          </w:tcPr>
          <w:p w14:paraId="20133CC4"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2 (0.3)</w:t>
            </w:r>
          </w:p>
        </w:tc>
      </w:tr>
      <w:tr w:rsidR="00D86DC0" w:rsidRPr="00A52818" w14:paraId="3CA6B4D5"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6044D694" w14:textId="77777777" w:rsidR="00D86DC0" w:rsidRPr="00A52818" w:rsidRDefault="00D86DC0" w:rsidP="005B0079">
            <w:pPr>
              <w:rPr>
                <w:b w:val="0"/>
                <w:bCs w:val="0"/>
              </w:rPr>
            </w:pPr>
            <w:r w:rsidRPr="00A52818">
              <w:rPr>
                <w:b w:val="0"/>
                <w:bCs w:val="0"/>
              </w:rPr>
              <w:t>Cognitive impairment due to other substance abuse</w:t>
            </w:r>
          </w:p>
        </w:tc>
        <w:tc>
          <w:tcPr>
            <w:tcW w:w="0" w:type="auto"/>
            <w:hideMark/>
          </w:tcPr>
          <w:p w14:paraId="4BE8CA53"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1 (0.2)</w:t>
            </w:r>
          </w:p>
        </w:tc>
      </w:tr>
      <w:tr w:rsidR="00D86DC0" w:rsidRPr="00A52818" w14:paraId="6B53FF7C"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7431AF" w14:textId="77777777" w:rsidR="00D86DC0" w:rsidRPr="00A52818" w:rsidRDefault="00D86DC0" w:rsidP="005B0079">
            <w:pPr>
              <w:rPr>
                <w:b w:val="0"/>
                <w:bCs w:val="0"/>
              </w:rPr>
            </w:pPr>
            <w:r w:rsidRPr="00A52818">
              <w:rPr>
                <w:b w:val="0"/>
                <w:bCs w:val="0"/>
              </w:rPr>
              <w:t>Cognitive impairment due to systemic disease or medical illness</w:t>
            </w:r>
          </w:p>
        </w:tc>
        <w:tc>
          <w:tcPr>
            <w:tcW w:w="0" w:type="auto"/>
            <w:hideMark/>
          </w:tcPr>
          <w:p w14:paraId="1EA2EC67"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7 (1.2)</w:t>
            </w:r>
          </w:p>
        </w:tc>
      </w:tr>
      <w:tr w:rsidR="00D86DC0" w:rsidRPr="00A52818" w14:paraId="0261A627"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107D309C" w14:textId="77777777" w:rsidR="00D86DC0" w:rsidRPr="00A52818" w:rsidRDefault="00D86DC0" w:rsidP="005B0079">
            <w:pPr>
              <w:rPr>
                <w:b w:val="0"/>
                <w:bCs w:val="0"/>
              </w:rPr>
            </w:pPr>
            <w:r w:rsidRPr="00A52818">
              <w:rPr>
                <w:b w:val="0"/>
                <w:bCs w:val="0"/>
              </w:rPr>
              <w:t>Cognitive impairment for other specified reasons (e.g., written-in diagnoses)</w:t>
            </w:r>
          </w:p>
        </w:tc>
        <w:tc>
          <w:tcPr>
            <w:tcW w:w="0" w:type="auto"/>
            <w:hideMark/>
          </w:tcPr>
          <w:p w14:paraId="2DBE8E30"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10 (1.7)</w:t>
            </w:r>
          </w:p>
        </w:tc>
      </w:tr>
      <w:tr w:rsidR="00D86DC0" w:rsidRPr="00A52818" w14:paraId="3FFA4E18"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2FCA0E" w14:textId="77777777" w:rsidR="00D86DC0" w:rsidRPr="00A52818" w:rsidRDefault="00D86DC0" w:rsidP="005B0079">
            <w:pPr>
              <w:rPr>
                <w:b w:val="0"/>
                <w:bCs w:val="0"/>
              </w:rPr>
            </w:pPr>
            <w:r w:rsidRPr="00A52818">
              <w:rPr>
                <w:b w:val="0"/>
                <w:bCs w:val="0"/>
              </w:rPr>
              <w:t>Not cognitively impaired</w:t>
            </w:r>
          </w:p>
        </w:tc>
        <w:tc>
          <w:tcPr>
            <w:tcW w:w="0" w:type="auto"/>
            <w:hideMark/>
          </w:tcPr>
          <w:p w14:paraId="7F677B83"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185 (32.0)</w:t>
            </w:r>
          </w:p>
        </w:tc>
      </w:tr>
      <w:tr w:rsidR="00D86DC0" w:rsidRPr="00A52818" w14:paraId="380B8A28" w14:textId="77777777" w:rsidTr="005B0079">
        <w:tc>
          <w:tcPr>
            <w:cnfStyle w:val="001000000000" w:firstRow="0" w:lastRow="0" w:firstColumn="1" w:lastColumn="0" w:oddVBand="0" w:evenVBand="0" w:oddHBand="0" w:evenHBand="0" w:firstRowFirstColumn="0" w:firstRowLastColumn="0" w:lastRowFirstColumn="0" w:lastRowLastColumn="0"/>
            <w:tcW w:w="0" w:type="auto"/>
            <w:hideMark/>
          </w:tcPr>
          <w:p w14:paraId="0092D227" w14:textId="77777777" w:rsidR="00D86DC0" w:rsidRPr="00A52818" w:rsidRDefault="00D86DC0" w:rsidP="005B0079">
            <w:pPr>
              <w:rPr>
                <w:b w:val="0"/>
                <w:bCs w:val="0"/>
              </w:rPr>
            </w:pPr>
            <w:r w:rsidRPr="00A52818">
              <w:rPr>
                <w:b w:val="0"/>
                <w:bCs w:val="0"/>
              </w:rPr>
              <w:t>Missing or unknown</w:t>
            </w:r>
          </w:p>
        </w:tc>
        <w:tc>
          <w:tcPr>
            <w:tcW w:w="0" w:type="auto"/>
            <w:hideMark/>
          </w:tcPr>
          <w:p w14:paraId="1B94D712"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21 (3.6)</w:t>
            </w:r>
          </w:p>
        </w:tc>
      </w:tr>
      <w:tr w:rsidR="00D86DC0" w:rsidRPr="00A52818" w14:paraId="3A607FDD"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DC003DA" w14:textId="77777777" w:rsidR="00D86DC0" w:rsidRPr="00A52818" w:rsidRDefault="00D86DC0" w:rsidP="005B0079">
            <w:pPr>
              <w:rPr>
                <w:b w:val="0"/>
                <w:bCs w:val="0"/>
              </w:rPr>
            </w:pPr>
            <w:r w:rsidRPr="00A52818">
              <w:rPr>
                <w:b w:val="0"/>
                <w:bCs w:val="0"/>
              </w:rPr>
              <w:t>Diagnoses reflect the most recent adjudicated primary etiologic diagnosis recorded in NACCETPR variable. Participants classified as “Not cognitively impaired” were judged to have normal cognition; "Missing or unknown" indicates no recorded diagnosis.</w:t>
            </w:r>
          </w:p>
        </w:tc>
      </w:tr>
    </w:tbl>
    <w:p w14:paraId="23160792" w14:textId="77777777" w:rsidR="00D86DC0" w:rsidRPr="00A52818" w:rsidRDefault="00D86DC0" w:rsidP="00D86DC0">
      <w:pPr>
        <w:shd w:val="clear" w:color="auto" w:fill="FFFFFF"/>
        <w:rPr>
          <w:color w:val="1C1D1E"/>
        </w:rPr>
      </w:pPr>
    </w:p>
    <w:p w14:paraId="1F2D2E0E" w14:textId="77777777" w:rsidR="00D86DC0" w:rsidRPr="00A52818" w:rsidRDefault="00D86DC0" w:rsidP="00D86DC0">
      <w:pPr>
        <w:shd w:val="clear" w:color="auto" w:fill="FFFFFF"/>
        <w:rPr>
          <w:color w:val="1C1D1E"/>
        </w:rPr>
      </w:pPr>
    </w:p>
    <w:p w14:paraId="234C838A" w14:textId="77777777" w:rsidR="00D86DC0" w:rsidRPr="00A52818" w:rsidRDefault="00D86DC0" w:rsidP="00D86DC0">
      <w:pPr>
        <w:shd w:val="clear" w:color="auto" w:fill="FFFFFF"/>
      </w:pPr>
    </w:p>
    <w:p w14:paraId="495EFE4E" w14:textId="77777777" w:rsidR="00D86DC0" w:rsidRPr="00A52818" w:rsidRDefault="00D86DC0" w:rsidP="00D86DC0">
      <w:pPr>
        <w:shd w:val="clear" w:color="auto" w:fill="FFFFFF"/>
      </w:pPr>
    </w:p>
    <w:p w14:paraId="5C4EC083" w14:textId="77777777" w:rsidR="00D86DC0" w:rsidRPr="00A52818" w:rsidRDefault="00D86DC0" w:rsidP="00D86DC0">
      <w:pPr>
        <w:shd w:val="clear" w:color="auto" w:fill="FFFFFF"/>
      </w:pPr>
    </w:p>
    <w:p w14:paraId="543C5B0C" w14:textId="77777777" w:rsidR="00D86DC0" w:rsidRPr="00A52818" w:rsidRDefault="00D86DC0" w:rsidP="00D86DC0">
      <w:pPr>
        <w:shd w:val="clear" w:color="auto" w:fill="FFFFFF"/>
      </w:pPr>
    </w:p>
    <w:p w14:paraId="2A7DC60F" w14:textId="77777777" w:rsidR="00D86DC0" w:rsidRPr="00A52818" w:rsidRDefault="00D86DC0" w:rsidP="00D86DC0">
      <w:pPr>
        <w:shd w:val="clear" w:color="auto" w:fill="FFFFFF"/>
      </w:pPr>
    </w:p>
    <w:p w14:paraId="3623FA1A" w14:textId="77777777" w:rsidR="00D86DC0" w:rsidRPr="00A52818" w:rsidRDefault="00D86DC0" w:rsidP="00D86DC0">
      <w:pPr>
        <w:shd w:val="clear" w:color="auto" w:fill="FFFFFF"/>
      </w:pPr>
    </w:p>
    <w:p w14:paraId="1D3E8A52" w14:textId="77777777" w:rsidR="00D86DC0" w:rsidRPr="00A52818" w:rsidRDefault="00D86DC0" w:rsidP="00D86DC0">
      <w:pPr>
        <w:shd w:val="clear" w:color="auto" w:fill="FFFFFF"/>
      </w:pPr>
    </w:p>
    <w:p w14:paraId="034D1B39" w14:textId="77777777" w:rsidR="00D86DC0" w:rsidRPr="00A52818" w:rsidRDefault="00D86DC0" w:rsidP="00D86DC0">
      <w:pPr>
        <w:shd w:val="clear" w:color="auto" w:fill="FFFFFF"/>
      </w:pPr>
    </w:p>
    <w:p w14:paraId="401A0C5C" w14:textId="77777777" w:rsidR="00D86DC0" w:rsidRPr="00A52818" w:rsidRDefault="00D86DC0" w:rsidP="00D86DC0">
      <w:pPr>
        <w:shd w:val="clear" w:color="auto" w:fill="FFFFFF"/>
      </w:pPr>
    </w:p>
    <w:p w14:paraId="4258F72C" w14:textId="77777777" w:rsidR="00D86DC0" w:rsidRPr="00A52818" w:rsidRDefault="00D86DC0" w:rsidP="00D86DC0">
      <w:pPr>
        <w:shd w:val="clear" w:color="auto" w:fill="FFFFFF"/>
      </w:pPr>
    </w:p>
    <w:p w14:paraId="6A0F23FB" w14:textId="77777777" w:rsidR="00D86DC0" w:rsidRPr="00A52818" w:rsidRDefault="00D86DC0" w:rsidP="00D86DC0">
      <w:pPr>
        <w:shd w:val="clear" w:color="auto" w:fill="FFFFFF"/>
      </w:pPr>
    </w:p>
    <w:p w14:paraId="61E43B95" w14:textId="77777777" w:rsidR="00D86DC0" w:rsidRPr="00A52818" w:rsidRDefault="00D86DC0" w:rsidP="00D86DC0">
      <w:pPr>
        <w:shd w:val="clear" w:color="auto" w:fill="FFFFFF"/>
      </w:pPr>
    </w:p>
    <w:p w14:paraId="0BCEB672" w14:textId="77777777" w:rsidR="00D86DC0" w:rsidRPr="00A52818" w:rsidRDefault="00D86DC0" w:rsidP="00D86DC0">
      <w:pPr>
        <w:shd w:val="clear" w:color="auto" w:fill="FFFFFF"/>
      </w:pPr>
    </w:p>
    <w:p w14:paraId="1439FBCC" w14:textId="77777777" w:rsidR="00D86DC0" w:rsidRPr="00A52818" w:rsidRDefault="00D86DC0" w:rsidP="00D86DC0">
      <w:pPr>
        <w:shd w:val="clear" w:color="auto" w:fill="FFFFFF"/>
      </w:pPr>
    </w:p>
    <w:p w14:paraId="0F7D866C" w14:textId="77777777" w:rsidR="00D86DC0" w:rsidRPr="00A52818" w:rsidRDefault="00D86DC0" w:rsidP="00D86DC0">
      <w:pPr>
        <w:shd w:val="clear" w:color="auto" w:fill="FFFFFF"/>
      </w:pPr>
    </w:p>
    <w:p w14:paraId="5D9A9162" w14:textId="77777777" w:rsidR="00D86DC0" w:rsidRPr="00A52818" w:rsidRDefault="00D86DC0" w:rsidP="00D86DC0">
      <w:pPr>
        <w:shd w:val="clear" w:color="auto" w:fill="FFFFFF"/>
      </w:pPr>
    </w:p>
    <w:p w14:paraId="0DC846A1" w14:textId="77777777" w:rsidR="00D86DC0" w:rsidRPr="00A52818" w:rsidRDefault="00D86DC0" w:rsidP="00D86DC0">
      <w:pPr>
        <w:shd w:val="clear" w:color="auto" w:fill="FFFFFF"/>
      </w:pPr>
    </w:p>
    <w:p w14:paraId="574A42CA" w14:textId="77777777" w:rsidR="00D86DC0" w:rsidRPr="00A52818" w:rsidRDefault="00D86DC0" w:rsidP="00D86DC0">
      <w:pPr>
        <w:shd w:val="clear" w:color="auto" w:fill="FFFFFF"/>
      </w:pPr>
    </w:p>
    <w:p w14:paraId="56F110FB" w14:textId="77777777" w:rsidR="00D86DC0" w:rsidRPr="00A52818" w:rsidRDefault="00D86DC0" w:rsidP="00D86DC0">
      <w:pPr>
        <w:shd w:val="clear" w:color="auto" w:fill="FFFFFF"/>
      </w:pPr>
    </w:p>
    <w:p w14:paraId="79253F9A" w14:textId="77777777" w:rsidR="00D86DC0" w:rsidRPr="00A52818" w:rsidRDefault="00D86DC0" w:rsidP="00D86DC0">
      <w:pPr>
        <w:shd w:val="clear" w:color="auto" w:fill="FFFFFF"/>
        <w:rPr>
          <w:color w:val="1C1D1E"/>
        </w:rPr>
      </w:pPr>
    </w:p>
    <w:tbl>
      <w:tblPr>
        <w:tblStyle w:val="PlainTable2"/>
        <w:tblW w:w="9796" w:type="dxa"/>
        <w:tblLayout w:type="fixed"/>
        <w:tblLook w:val="0400" w:firstRow="0" w:lastRow="0" w:firstColumn="0" w:lastColumn="0" w:noHBand="0" w:noVBand="1"/>
      </w:tblPr>
      <w:tblGrid>
        <w:gridCol w:w="1901"/>
        <w:gridCol w:w="1462"/>
        <w:gridCol w:w="510"/>
        <w:gridCol w:w="1429"/>
        <w:gridCol w:w="613"/>
        <w:gridCol w:w="1429"/>
        <w:gridCol w:w="511"/>
        <w:gridCol w:w="1429"/>
        <w:gridCol w:w="512"/>
      </w:tblGrid>
      <w:tr w:rsidR="00D86DC0" w:rsidRPr="00A52818" w14:paraId="6FC7CB7B" w14:textId="77777777" w:rsidTr="005B0079">
        <w:trPr>
          <w:cnfStyle w:val="000000100000" w:firstRow="0" w:lastRow="0" w:firstColumn="0" w:lastColumn="0" w:oddVBand="0" w:evenVBand="0" w:oddHBand="1" w:evenHBand="0" w:firstRowFirstColumn="0" w:firstRowLastColumn="0" w:lastRowFirstColumn="0" w:lastRowLastColumn="0"/>
          <w:trHeight w:val="317"/>
        </w:trPr>
        <w:tc>
          <w:tcPr>
            <w:tcW w:w="9796" w:type="dxa"/>
            <w:gridSpan w:val="9"/>
          </w:tcPr>
          <w:p w14:paraId="2505EFA8" w14:textId="77777777" w:rsidR="00D86DC0" w:rsidRPr="00A52818" w:rsidRDefault="00D86DC0" w:rsidP="005B0079">
            <w:pPr>
              <w:rPr>
                <w:i/>
                <w:iCs/>
              </w:rPr>
            </w:pPr>
            <w:r w:rsidRPr="00A52818">
              <w:rPr>
                <w:color w:val="1C1D1E"/>
              </w:rPr>
              <w:t>Supplementary Table 2: Association between vascular neuropathologies and cross-sectional cognitive domain and dementia scores proximal to death controlling for harmonized cardiovascular disease risk</w:t>
            </w:r>
          </w:p>
        </w:tc>
      </w:tr>
      <w:tr w:rsidR="00D86DC0" w:rsidRPr="00A52818" w14:paraId="0CA7615F" w14:textId="77777777" w:rsidTr="005B0079">
        <w:trPr>
          <w:trHeight w:val="71"/>
        </w:trPr>
        <w:tc>
          <w:tcPr>
            <w:tcW w:w="1901" w:type="dxa"/>
          </w:tcPr>
          <w:p w14:paraId="5ED62A83" w14:textId="77777777" w:rsidR="00D86DC0" w:rsidRPr="00A52818" w:rsidRDefault="00D86DC0" w:rsidP="005B0079">
            <w:pPr>
              <w:rPr>
                <w:i/>
              </w:rPr>
            </w:pPr>
          </w:p>
        </w:tc>
        <w:tc>
          <w:tcPr>
            <w:tcW w:w="1972" w:type="dxa"/>
            <w:gridSpan w:val="2"/>
          </w:tcPr>
          <w:p w14:paraId="5929D4F5" w14:textId="77777777" w:rsidR="00D86DC0" w:rsidRPr="00A52818" w:rsidRDefault="00D86DC0" w:rsidP="005B0079">
            <w:pPr>
              <w:rPr>
                <w:i/>
              </w:rPr>
            </w:pPr>
            <w:r w:rsidRPr="00A52818">
              <w:rPr>
                <w:i/>
              </w:rPr>
              <w:t>Memory</w:t>
            </w:r>
          </w:p>
        </w:tc>
        <w:tc>
          <w:tcPr>
            <w:tcW w:w="2042" w:type="dxa"/>
            <w:gridSpan w:val="2"/>
          </w:tcPr>
          <w:p w14:paraId="34DB8E07" w14:textId="243EE47F" w:rsidR="00D86DC0" w:rsidRPr="00A52818" w:rsidRDefault="009660B5" w:rsidP="005B0079">
            <w:pPr>
              <w:rPr>
                <w:i/>
              </w:rPr>
            </w:pPr>
            <w:r>
              <w:rPr>
                <w:i/>
              </w:rPr>
              <w:t>Executive Function</w:t>
            </w:r>
          </w:p>
        </w:tc>
        <w:tc>
          <w:tcPr>
            <w:tcW w:w="1940" w:type="dxa"/>
            <w:gridSpan w:val="2"/>
          </w:tcPr>
          <w:p w14:paraId="65E45FE8" w14:textId="77777777" w:rsidR="00D86DC0" w:rsidRPr="00A52818" w:rsidRDefault="00D86DC0" w:rsidP="005B0079">
            <w:pPr>
              <w:rPr>
                <w:i/>
              </w:rPr>
            </w:pPr>
            <w:r w:rsidRPr="00A52818">
              <w:rPr>
                <w:i/>
              </w:rPr>
              <w:t>Language</w:t>
            </w:r>
          </w:p>
        </w:tc>
        <w:tc>
          <w:tcPr>
            <w:tcW w:w="1941" w:type="dxa"/>
            <w:gridSpan w:val="2"/>
          </w:tcPr>
          <w:p w14:paraId="05403E6C" w14:textId="77777777" w:rsidR="00D86DC0" w:rsidRPr="00A52818" w:rsidRDefault="00D86DC0" w:rsidP="005B0079">
            <w:pPr>
              <w:rPr>
                <w:i/>
              </w:rPr>
            </w:pPr>
            <w:r w:rsidRPr="00A52818">
              <w:rPr>
                <w:i/>
              </w:rPr>
              <w:t>CDR Sum of Boxes</w:t>
            </w:r>
          </w:p>
        </w:tc>
      </w:tr>
      <w:tr w:rsidR="00D86DC0" w:rsidRPr="00A52818" w14:paraId="02802FCB" w14:textId="77777777" w:rsidTr="005B0079">
        <w:trPr>
          <w:cnfStyle w:val="000000100000" w:firstRow="0" w:lastRow="0" w:firstColumn="0" w:lastColumn="0" w:oddVBand="0" w:evenVBand="0" w:oddHBand="1" w:evenHBand="0" w:firstRowFirstColumn="0" w:firstRowLastColumn="0" w:lastRowFirstColumn="0" w:lastRowLastColumn="0"/>
          <w:trHeight w:val="107"/>
        </w:trPr>
        <w:tc>
          <w:tcPr>
            <w:tcW w:w="1901" w:type="dxa"/>
          </w:tcPr>
          <w:p w14:paraId="0C4F2C77" w14:textId="77777777" w:rsidR="00D86DC0" w:rsidRPr="00A52818" w:rsidRDefault="00D86DC0" w:rsidP="005B0079">
            <w:pPr>
              <w:rPr>
                <w:i/>
              </w:rPr>
            </w:pPr>
            <w:r w:rsidRPr="00A52818">
              <w:rPr>
                <w:i/>
              </w:rPr>
              <w:t>Predictor</w:t>
            </w:r>
          </w:p>
        </w:tc>
        <w:tc>
          <w:tcPr>
            <w:tcW w:w="1462" w:type="dxa"/>
          </w:tcPr>
          <w:p w14:paraId="5469987D" w14:textId="77777777" w:rsidR="00D86DC0" w:rsidRPr="00A52818" w:rsidRDefault="00D86DC0" w:rsidP="005B0079">
            <w:pPr>
              <w:rPr>
                <w:i/>
              </w:rPr>
            </w:pPr>
            <w:r w:rsidRPr="00A52818">
              <w:rPr>
                <w:i/>
              </w:rPr>
              <w:t>β (95% CI)</w:t>
            </w:r>
          </w:p>
        </w:tc>
        <w:tc>
          <w:tcPr>
            <w:tcW w:w="510" w:type="dxa"/>
          </w:tcPr>
          <w:p w14:paraId="720BC348" w14:textId="77777777" w:rsidR="00D86DC0" w:rsidRPr="00A52818" w:rsidRDefault="00D86DC0" w:rsidP="005B0079">
            <w:pPr>
              <w:rPr>
                <w:i/>
              </w:rPr>
            </w:pPr>
            <w:r w:rsidRPr="00A52818">
              <w:rPr>
                <w:i/>
              </w:rPr>
              <w:t>p</w:t>
            </w:r>
          </w:p>
        </w:tc>
        <w:tc>
          <w:tcPr>
            <w:tcW w:w="1429" w:type="dxa"/>
          </w:tcPr>
          <w:p w14:paraId="484F931F" w14:textId="77777777" w:rsidR="00D86DC0" w:rsidRPr="00A52818" w:rsidRDefault="00D86DC0" w:rsidP="005B0079">
            <w:pPr>
              <w:rPr>
                <w:i/>
              </w:rPr>
            </w:pPr>
            <w:r w:rsidRPr="00A52818">
              <w:rPr>
                <w:i/>
              </w:rPr>
              <w:t>β (95% CI)</w:t>
            </w:r>
          </w:p>
        </w:tc>
        <w:tc>
          <w:tcPr>
            <w:tcW w:w="613" w:type="dxa"/>
          </w:tcPr>
          <w:p w14:paraId="2FCBF0BE" w14:textId="77777777" w:rsidR="00D86DC0" w:rsidRPr="00A52818" w:rsidRDefault="00D86DC0" w:rsidP="005B0079">
            <w:pPr>
              <w:rPr>
                <w:i/>
              </w:rPr>
            </w:pPr>
            <w:r w:rsidRPr="00A52818">
              <w:rPr>
                <w:i/>
              </w:rPr>
              <w:t>p</w:t>
            </w:r>
          </w:p>
        </w:tc>
        <w:tc>
          <w:tcPr>
            <w:tcW w:w="1429" w:type="dxa"/>
          </w:tcPr>
          <w:p w14:paraId="3DDF72C1" w14:textId="77777777" w:rsidR="00D86DC0" w:rsidRPr="00A52818" w:rsidRDefault="00D86DC0" w:rsidP="005B0079">
            <w:pPr>
              <w:rPr>
                <w:i/>
              </w:rPr>
            </w:pPr>
            <w:r w:rsidRPr="00A52818">
              <w:rPr>
                <w:i/>
              </w:rPr>
              <w:t>β (95% CI)</w:t>
            </w:r>
          </w:p>
        </w:tc>
        <w:tc>
          <w:tcPr>
            <w:tcW w:w="511" w:type="dxa"/>
          </w:tcPr>
          <w:p w14:paraId="404225C3" w14:textId="77777777" w:rsidR="00D86DC0" w:rsidRPr="00A52818" w:rsidRDefault="00D86DC0" w:rsidP="005B0079">
            <w:pPr>
              <w:rPr>
                <w:i/>
              </w:rPr>
            </w:pPr>
            <w:r w:rsidRPr="00A52818">
              <w:rPr>
                <w:i/>
              </w:rPr>
              <w:t>p</w:t>
            </w:r>
          </w:p>
        </w:tc>
        <w:tc>
          <w:tcPr>
            <w:tcW w:w="1429" w:type="dxa"/>
          </w:tcPr>
          <w:p w14:paraId="44AF86E7" w14:textId="77777777" w:rsidR="00D86DC0" w:rsidRPr="00A52818" w:rsidRDefault="00D86DC0" w:rsidP="005B0079">
            <w:pPr>
              <w:rPr>
                <w:i/>
              </w:rPr>
            </w:pPr>
            <w:r w:rsidRPr="00A52818">
              <w:rPr>
                <w:i/>
              </w:rPr>
              <w:t>β (95% CI)</w:t>
            </w:r>
          </w:p>
        </w:tc>
        <w:tc>
          <w:tcPr>
            <w:tcW w:w="512" w:type="dxa"/>
          </w:tcPr>
          <w:p w14:paraId="1CD71653" w14:textId="77777777" w:rsidR="00D86DC0" w:rsidRPr="00A52818" w:rsidRDefault="00D86DC0" w:rsidP="005B0079">
            <w:pPr>
              <w:rPr>
                <w:i/>
              </w:rPr>
            </w:pPr>
            <w:r w:rsidRPr="00A52818">
              <w:rPr>
                <w:i/>
              </w:rPr>
              <w:t>p</w:t>
            </w:r>
          </w:p>
        </w:tc>
      </w:tr>
      <w:tr w:rsidR="00D86DC0" w:rsidRPr="00A52818" w14:paraId="3614D12D" w14:textId="77777777" w:rsidTr="005B0079">
        <w:trPr>
          <w:trHeight w:val="135"/>
        </w:trPr>
        <w:tc>
          <w:tcPr>
            <w:tcW w:w="1901" w:type="dxa"/>
          </w:tcPr>
          <w:p w14:paraId="0AB636B9" w14:textId="77777777" w:rsidR="00D86DC0" w:rsidRPr="00A52818" w:rsidRDefault="00D86DC0" w:rsidP="005B0079">
            <w:r w:rsidRPr="00A52818">
              <w:t xml:space="preserve">Arteriolosclerosis </w:t>
            </w:r>
          </w:p>
        </w:tc>
        <w:tc>
          <w:tcPr>
            <w:tcW w:w="1462" w:type="dxa"/>
          </w:tcPr>
          <w:p w14:paraId="0B5DFEA0" w14:textId="77777777" w:rsidR="00D86DC0" w:rsidRPr="00A52818" w:rsidRDefault="00D86DC0" w:rsidP="005B0079">
            <w:pPr>
              <w:jc w:val="both"/>
            </w:pPr>
            <w:r w:rsidRPr="00A52818">
              <w:t xml:space="preserve">-0.12 (-0.34 – 0.10) </w:t>
            </w:r>
          </w:p>
        </w:tc>
        <w:tc>
          <w:tcPr>
            <w:tcW w:w="510" w:type="dxa"/>
          </w:tcPr>
          <w:p w14:paraId="2FFDF910" w14:textId="77777777" w:rsidR="00D86DC0" w:rsidRPr="00A52818" w:rsidRDefault="00D86DC0" w:rsidP="005B0079">
            <w:r w:rsidRPr="00A52818">
              <w:t>0.27</w:t>
            </w:r>
          </w:p>
        </w:tc>
        <w:tc>
          <w:tcPr>
            <w:tcW w:w="1429" w:type="dxa"/>
          </w:tcPr>
          <w:p w14:paraId="3D48A731" w14:textId="77777777" w:rsidR="00D86DC0" w:rsidRPr="00A52818" w:rsidRDefault="00D86DC0" w:rsidP="005B0079">
            <w:pPr>
              <w:jc w:val="both"/>
            </w:pPr>
            <w:r w:rsidRPr="00A52818">
              <w:t>-0.11 (-0.29 – 0.08)</w:t>
            </w:r>
          </w:p>
        </w:tc>
        <w:tc>
          <w:tcPr>
            <w:tcW w:w="613" w:type="dxa"/>
          </w:tcPr>
          <w:p w14:paraId="2742E795" w14:textId="77777777" w:rsidR="00D86DC0" w:rsidRPr="00A52818" w:rsidRDefault="00D86DC0" w:rsidP="005B0079">
            <w:r w:rsidRPr="00A52818">
              <w:t>0.26</w:t>
            </w:r>
          </w:p>
        </w:tc>
        <w:tc>
          <w:tcPr>
            <w:tcW w:w="1429" w:type="dxa"/>
          </w:tcPr>
          <w:p w14:paraId="4CBAFE5E" w14:textId="77777777" w:rsidR="00D86DC0" w:rsidRPr="00A52818" w:rsidRDefault="00D86DC0" w:rsidP="005B0079">
            <w:pPr>
              <w:jc w:val="both"/>
              <w:rPr>
                <w:b/>
              </w:rPr>
            </w:pPr>
            <w:r w:rsidRPr="00A52818">
              <w:rPr>
                <w:b/>
              </w:rPr>
              <w:t>-0.17 (-0.32 – -0.01)</w:t>
            </w:r>
          </w:p>
        </w:tc>
        <w:tc>
          <w:tcPr>
            <w:tcW w:w="511" w:type="dxa"/>
          </w:tcPr>
          <w:p w14:paraId="3CBD41AD" w14:textId="77777777" w:rsidR="00D86DC0" w:rsidRPr="00A52818" w:rsidRDefault="00D86DC0" w:rsidP="005B0079">
            <w:pPr>
              <w:jc w:val="both"/>
              <w:rPr>
                <w:b/>
              </w:rPr>
            </w:pPr>
            <w:r w:rsidRPr="00A52818">
              <w:rPr>
                <w:b/>
              </w:rPr>
              <w:t>0.03</w:t>
            </w:r>
          </w:p>
        </w:tc>
        <w:tc>
          <w:tcPr>
            <w:tcW w:w="1429" w:type="dxa"/>
          </w:tcPr>
          <w:p w14:paraId="438D6868" w14:textId="77777777" w:rsidR="00D86DC0" w:rsidRPr="00A52818" w:rsidRDefault="00D86DC0" w:rsidP="005B0079">
            <w:pPr>
              <w:jc w:val="both"/>
            </w:pPr>
            <w:r w:rsidRPr="00A52818">
              <w:t>0.04 (-0.92 – 1.00)</w:t>
            </w:r>
          </w:p>
        </w:tc>
        <w:tc>
          <w:tcPr>
            <w:tcW w:w="512" w:type="dxa"/>
          </w:tcPr>
          <w:p w14:paraId="22EB4077" w14:textId="77777777" w:rsidR="00D86DC0" w:rsidRPr="00A52818" w:rsidRDefault="00D86DC0" w:rsidP="005B0079">
            <w:pPr>
              <w:jc w:val="both"/>
            </w:pPr>
            <w:r w:rsidRPr="00A52818">
              <w:t>0.94</w:t>
            </w:r>
          </w:p>
        </w:tc>
      </w:tr>
      <w:tr w:rsidR="00D86DC0" w:rsidRPr="00A52818" w14:paraId="28708D24" w14:textId="77777777" w:rsidTr="005B0079">
        <w:trPr>
          <w:cnfStyle w:val="000000100000" w:firstRow="0" w:lastRow="0" w:firstColumn="0" w:lastColumn="0" w:oddVBand="0" w:evenVBand="0" w:oddHBand="1" w:evenHBand="0" w:firstRowFirstColumn="0" w:firstRowLastColumn="0" w:lastRowFirstColumn="0" w:lastRowLastColumn="0"/>
          <w:trHeight w:val="98"/>
        </w:trPr>
        <w:tc>
          <w:tcPr>
            <w:tcW w:w="1901" w:type="dxa"/>
          </w:tcPr>
          <w:p w14:paraId="57A96AD0" w14:textId="77777777" w:rsidR="00D86DC0" w:rsidRPr="00A52818" w:rsidRDefault="00D86DC0" w:rsidP="005B0079">
            <w:r w:rsidRPr="00A52818">
              <w:t>Atherosclerosis</w:t>
            </w:r>
          </w:p>
        </w:tc>
        <w:tc>
          <w:tcPr>
            <w:tcW w:w="1462" w:type="dxa"/>
          </w:tcPr>
          <w:p w14:paraId="197381A2" w14:textId="77777777" w:rsidR="00D86DC0" w:rsidRPr="00A52818" w:rsidRDefault="00D86DC0" w:rsidP="005B0079">
            <w:pPr>
              <w:jc w:val="both"/>
            </w:pPr>
            <w:r w:rsidRPr="00A52818">
              <w:t xml:space="preserve">-0.07 (-0.30 – 0.17) </w:t>
            </w:r>
          </w:p>
        </w:tc>
        <w:tc>
          <w:tcPr>
            <w:tcW w:w="510" w:type="dxa"/>
          </w:tcPr>
          <w:p w14:paraId="7F40F60B" w14:textId="77777777" w:rsidR="00D86DC0" w:rsidRPr="00A52818" w:rsidRDefault="00D86DC0" w:rsidP="005B0079">
            <w:r w:rsidRPr="00A52818">
              <w:t>0.57</w:t>
            </w:r>
          </w:p>
        </w:tc>
        <w:tc>
          <w:tcPr>
            <w:tcW w:w="1429" w:type="dxa"/>
          </w:tcPr>
          <w:p w14:paraId="7A2C0E29" w14:textId="77777777" w:rsidR="00D86DC0" w:rsidRPr="00A52818" w:rsidRDefault="00D86DC0" w:rsidP="005B0079">
            <w:pPr>
              <w:jc w:val="both"/>
            </w:pPr>
            <w:r w:rsidRPr="00A52818">
              <w:t xml:space="preserve">-0.03 (-0.22 – 0.16) </w:t>
            </w:r>
          </w:p>
        </w:tc>
        <w:tc>
          <w:tcPr>
            <w:tcW w:w="613" w:type="dxa"/>
          </w:tcPr>
          <w:p w14:paraId="07283901" w14:textId="77777777" w:rsidR="00D86DC0" w:rsidRPr="00A52818" w:rsidRDefault="00D86DC0" w:rsidP="005B0079">
            <w:r w:rsidRPr="00A52818">
              <w:t>0.73</w:t>
            </w:r>
          </w:p>
        </w:tc>
        <w:tc>
          <w:tcPr>
            <w:tcW w:w="1429" w:type="dxa"/>
          </w:tcPr>
          <w:p w14:paraId="2D1F8374" w14:textId="77777777" w:rsidR="00D86DC0" w:rsidRPr="00A52818" w:rsidRDefault="00D86DC0" w:rsidP="005B0079">
            <w:pPr>
              <w:jc w:val="both"/>
            </w:pPr>
            <w:r w:rsidRPr="00A52818">
              <w:t xml:space="preserve">0.09 (-0.08 – 0.26) </w:t>
            </w:r>
          </w:p>
        </w:tc>
        <w:tc>
          <w:tcPr>
            <w:tcW w:w="511" w:type="dxa"/>
          </w:tcPr>
          <w:p w14:paraId="2D02B370" w14:textId="77777777" w:rsidR="00D86DC0" w:rsidRPr="00A52818" w:rsidRDefault="00D86DC0" w:rsidP="005B0079">
            <w:pPr>
              <w:jc w:val="both"/>
            </w:pPr>
            <w:r w:rsidRPr="00A52818">
              <w:t>0.30</w:t>
            </w:r>
          </w:p>
        </w:tc>
        <w:tc>
          <w:tcPr>
            <w:tcW w:w="1429" w:type="dxa"/>
          </w:tcPr>
          <w:p w14:paraId="5BAA8F4D" w14:textId="77777777" w:rsidR="00D86DC0" w:rsidRPr="00A52818" w:rsidRDefault="00D86DC0" w:rsidP="005B0079">
            <w:pPr>
              <w:jc w:val="both"/>
            </w:pPr>
            <w:r w:rsidRPr="00A52818">
              <w:t>-0.05 (-1.08 – 0.97)</w:t>
            </w:r>
          </w:p>
        </w:tc>
        <w:tc>
          <w:tcPr>
            <w:tcW w:w="512" w:type="dxa"/>
          </w:tcPr>
          <w:p w14:paraId="39485EFB" w14:textId="77777777" w:rsidR="00D86DC0" w:rsidRPr="00A52818" w:rsidRDefault="00D86DC0" w:rsidP="005B0079">
            <w:pPr>
              <w:jc w:val="both"/>
            </w:pPr>
            <w:r w:rsidRPr="00A52818">
              <w:t>0.92</w:t>
            </w:r>
          </w:p>
        </w:tc>
      </w:tr>
      <w:tr w:rsidR="00D86DC0" w:rsidRPr="00A52818" w14:paraId="7584EEC0" w14:textId="77777777" w:rsidTr="005B0079">
        <w:trPr>
          <w:trHeight w:val="35"/>
        </w:trPr>
        <w:tc>
          <w:tcPr>
            <w:tcW w:w="1901" w:type="dxa"/>
          </w:tcPr>
          <w:p w14:paraId="00E35C46" w14:textId="77777777" w:rsidR="00D86DC0" w:rsidRPr="00A52818" w:rsidRDefault="00D86DC0" w:rsidP="005B0079">
            <w:r w:rsidRPr="00A52818">
              <w:t>CAA</w:t>
            </w:r>
          </w:p>
        </w:tc>
        <w:tc>
          <w:tcPr>
            <w:tcW w:w="1462" w:type="dxa"/>
          </w:tcPr>
          <w:p w14:paraId="2D5793C4" w14:textId="77777777" w:rsidR="00D86DC0" w:rsidRPr="00A52818" w:rsidRDefault="00D86DC0" w:rsidP="005B0079">
            <w:pPr>
              <w:jc w:val="both"/>
            </w:pPr>
            <w:r w:rsidRPr="00A52818">
              <w:t xml:space="preserve">    -0.15 (-0.44 – 0.14)</w:t>
            </w:r>
          </w:p>
        </w:tc>
        <w:tc>
          <w:tcPr>
            <w:tcW w:w="510" w:type="dxa"/>
          </w:tcPr>
          <w:p w14:paraId="13CC91BC" w14:textId="77777777" w:rsidR="00D86DC0" w:rsidRPr="00A52818" w:rsidRDefault="00D86DC0" w:rsidP="005B0079">
            <w:r w:rsidRPr="00A52818">
              <w:t xml:space="preserve">    0.30</w:t>
            </w:r>
          </w:p>
        </w:tc>
        <w:tc>
          <w:tcPr>
            <w:tcW w:w="1429" w:type="dxa"/>
          </w:tcPr>
          <w:p w14:paraId="29FF9BDF" w14:textId="77777777" w:rsidR="00D86DC0" w:rsidRPr="00A52818" w:rsidRDefault="00D86DC0" w:rsidP="005B0079">
            <w:pPr>
              <w:jc w:val="both"/>
            </w:pPr>
            <w:r w:rsidRPr="00A52818">
              <w:t xml:space="preserve">    -0.05 (-0.29 – 0.19)</w:t>
            </w:r>
          </w:p>
        </w:tc>
        <w:tc>
          <w:tcPr>
            <w:tcW w:w="613" w:type="dxa"/>
          </w:tcPr>
          <w:p w14:paraId="4E0B8F8B" w14:textId="77777777" w:rsidR="00D86DC0" w:rsidRPr="00A52818" w:rsidRDefault="00D86DC0" w:rsidP="005B0079">
            <w:r w:rsidRPr="00A52818">
              <w:t xml:space="preserve">    0.69</w:t>
            </w:r>
          </w:p>
        </w:tc>
        <w:tc>
          <w:tcPr>
            <w:tcW w:w="1429" w:type="dxa"/>
          </w:tcPr>
          <w:p w14:paraId="2C8E9B4E" w14:textId="77777777" w:rsidR="00D86DC0" w:rsidRPr="00A52818" w:rsidRDefault="00D86DC0" w:rsidP="005B0079">
            <w:pPr>
              <w:jc w:val="both"/>
            </w:pPr>
            <w:r w:rsidRPr="00A52818">
              <w:t>-0.01 (-0.22 – 0.20)</w:t>
            </w:r>
          </w:p>
        </w:tc>
        <w:tc>
          <w:tcPr>
            <w:tcW w:w="511" w:type="dxa"/>
          </w:tcPr>
          <w:p w14:paraId="75E8CC5C" w14:textId="77777777" w:rsidR="00D86DC0" w:rsidRPr="00A52818" w:rsidRDefault="00D86DC0" w:rsidP="005B0079">
            <w:r w:rsidRPr="00A52818">
              <w:t xml:space="preserve">    0.91</w:t>
            </w:r>
          </w:p>
        </w:tc>
        <w:tc>
          <w:tcPr>
            <w:tcW w:w="1429" w:type="dxa"/>
          </w:tcPr>
          <w:p w14:paraId="7EF4DB21" w14:textId="77777777" w:rsidR="00D86DC0" w:rsidRPr="00A52818" w:rsidRDefault="00D86DC0" w:rsidP="005B0079">
            <w:pPr>
              <w:jc w:val="both"/>
            </w:pPr>
            <w:r w:rsidRPr="00A52818">
              <w:t xml:space="preserve">     0.79 (-0.45 – 2.03)</w:t>
            </w:r>
          </w:p>
        </w:tc>
        <w:tc>
          <w:tcPr>
            <w:tcW w:w="512" w:type="dxa"/>
          </w:tcPr>
          <w:p w14:paraId="12878EFB" w14:textId="77777777" w:rsidR="00D86DC0" w:rsidRPr="00A52818" w:rsidRDefault="00D86DC0" w:rsidP="005B0079">
            <w:pPr>
              <w:jc w:val="both"/>
            </w:pPr>
            <w:r w:rsidRPr="00A52818">
              <w:t>0.21</w:t>
            </w:r>
          </w:p>
        </w:tc>
      </w:tr>
      <w:tr w:rsidR="00D86DC0" w:rsidRPr="00A52818" w14:paraId="07662E06" w14:textId="77777777" w:rsidTr="005B0079">
        <w:trPr>
          <w:cnfStyle w:val="000000100000" w:firstRow="0" w:lastRow="0" w:firstColumn="0" w:lastColumn="0" w:oddVBand="0" w:evenVBand="0" w:oddHBand="1" w:evenHBand="0" w:firstRowFirstColumn="0" w:firstRowLastColumn="0" w:lastRowFirstColumn="0" w:lastRowLastColumn="0"/>
          <w:trHeight w:val="126"/>
        </w:trPr>
        <w:tc>
          <w:tcPr>
            <w:tcW w:w="1901" w:type="dxa"/>
          </w:tcPr>
          <w:p w14:paraId="07C8251A" w14:textId="77777777" w:rsidR="00D86DC0" w:rsidRPr="00A52818" w:rsidRDefault="00D86DC0" w:rsidP="005B0079">
            <w:r w:rsidRPr="00A52818">
              <w:t>Gross Infarcts</w:t>
            </w:r>
          </w:p>
        </w:tc>
        <w:tc>
          <w:tcPr>
            <w:tcW w:w="1462" w:type="dxa"/>
          </w:tcPr>
          <w:p w14:paraId="244418C2" w14:textId="77777777" w:rsidR="00D86DC0" w:rsidRPr="00A52818" w:rsidRDefault="00D86DC0" w:rsidP="005B0079">
            <w:pPr>
              <w:jc w:val="both"/>
            </w:pPr>
            <w:r w:rsidRPr="00A52818">
              <w:t xml:space="preserve">-0.18 (-0.46 – 0.10) </w:t>
            </w:r>
          </w:p>
        </w:tc>
        <w:tc>
          <w:tcPr>
            <w:tcW w:w="510" w:type="dxa"/>
          </w:tcPr>
          <w:p w14:paraId="63769ACC" w14:textId="77777777" w:rsidR="00D86DC0" w:rsidRPr="00A52818" w:rsidRDefault="00D86DC0" w:rsidP="005B0079">
            <w:r w:rsidRPr="00A52818">
              <w:t>0.21</w:t>
            </w:r>
          </w:p>
        </w:tc>
        <w:tc>
          <w:tcPr>
            <w:tcW w:w="1429" w:type="dxa"/>
          </w:tcPr>
          <w:p w14:paraId="581D7985" w14:textId="77777777" w:rsidR="00D86DC0" w:rsidRPr="00A52818" w:rsidRDefault="00D86DC0" w:rsidP="005B0079">
            <w:pPr>
              <w:jc w:val="both"/>
            </w:pPr>
            <w:r w:rsidRPr="00A52818">
              <w:t xml:space="preserve">-0.10 (-0.33 – 0.13) </w:t>
            </w:r>
          </w:p>
        </w:tc>
        <w:tc>
          <w:tcPr>
            <w:tcW w:w="613" w:type="dxa"/>
          </w:tcPr>
          <w:p w14:paraId="7DCBD55B" w14:textId="77777777" w:rsidR="00D86DC0" w:rsidRPr="00A52818" w:rsidRDefault="00D86DC0" w:rsidP="005B0079">
            <w:r w:rsidRPr="00A52818">
              <w:t>0.40</w:t>
            </w:r>
          </w:p>
        </w:tc>
        <w:tc>
          <w:tcPr>
            <w:tcW w:w="1429" w:type="dxa"/>
          </w:tcPr>
          <w:p w14:paraId="0FC4EF6F" w14:textId="77777777" w:rsidR="00D86DC0" w:rsidRPr="00A52818" w:rsidRDefault="00D86DC0" w:rsidP="005B0079">
            <w:pPr>
              <w:jc w:val="both"/>
            </w:pPr>
            <w:r w:rsidRPr="00A52818">
              <w:t>-0.18 (-0.39 – 0.02)</w:t>
            </w:r>
          </w:p>
        </w:tc>
        <w:tc>
          <w:tcPr>
            <w:tcW w:w="511" w:type="dxa"/>
          </w:tcPr>
          <w:p w14:paraId="1122340B" w14:textId="77777777" w:rsidR="00D86DC0" w:rsidRPr="00A52818" w:rsidRDefault="00D86DC0" w:rsidP="005B0079">
            <w:pPr>
              <w:jc w:val="both"/>
            </w:pPr>
            <w:r w:rsidRPr="00A52818">
              <w:t>0.08</w:t>
            </w:r>
          </w:p>
        </w:tc>
        <w:tc>
          <w:tcPr>
            <w:tcW w:w="1429" w:type="dxa"/>
          </w:tcPr>
          <w:p w14:paraId="68333EBE" w14:textId="77777777" w:rsidR="00D86DC0" w:rsidRPr="00A52818" w:rsidRDefault="00D86DC0" w:rsidP="005B0079">
            <w:pPr>
              <w:jc w:val="both"/>
              <w:rPr>
                <w:b/>
              </w:rPr>
            </w:pPr>
            <w:r w:rsidRPr="00A52818">
              <w:t>1.58 (0.37 – 2.79)</w:t>
            </w:r>
          </w:p>
        </w:tc>
        <w:tc>
          <w:tcPr>
            <w:tcW w:w="512" w:type="dxa"/>
          </w:tcPr>
          <w:p w14:paraId="10FAFA6F" w14:textId="77777777" w:rsidR="00D86DC0" w:rsidRPr="00A52818" w:rsidRDefault="00D86DC0" w:rsidP="005B0079">
            <w:pPr>
              <w:jc w:val="both"/>
            </w:pPr>
            <w:r w:rsidRPr="00A52818">
              <w:t>0.01</w:t>
            </w:r>
          </w:p>
        </w:tc>
      </w:tr>
      <w:tr w:rsidR="00D86DC0" w:rsidRPr="00A52818" w14:paraId="34333EAE" w14:textId="77777777" w:rsidTr="005B0079">
        <w:trPr>
          <w:trHeight w:val="153"/>
        </w:trPr>
        <w:tc>
          <w:tcPr>
            <w:tcW w:w="1901" w:type="dxa"/>
          </w:tcPr>
          <w:p w14:paraId="76004A68" w14:textId="77777777" w:rsidR="00D86DC0" w:rsidRPr="00A52818" w:rsidRDefault="00D86DC0" w:rsidP="005B0079">
            <w:r w:rsidRPr="00A52818">
              <w:t>Microinfarcts</w:t>
            </w:r>
          </w:p>
        </w:tc>
        <w:tc>
          <w:tcPr>
            <w:tcW w:w="1462" w:type="dxa"/>
          </w:tcPr>
          <w:p w14:paraId="04337AC3" w14:textId="77777777" w:rsidR="00D86DC0" w:rsidRPr="00A52818" w:rsidRDefault="00D86DC0" w:rsidP="005B0079">
            <w:pPr>
              <w:jc w:val="both"/>
              <w:rPr>
                <w:b/>
              </w:rPr>
            </w:pPr>
            <w:r w:rsidRPr="00A52818">
              <w:rPr>
                <w:b/>
              </w:rPr>
              <w:t xml:space="preserve">-0.25 (-0.49 – -0.01) </w:t>
            </w:r>
          </w:p>
        </w:tc>
        <w:tc>
          <w:tcPr>
            <w:tcW w:w="510" w:type="dxa"/>
          </w:tcPr>
          <w:p w14:paraId="45F92B6F" w14:textId="77777777" w:rsidR="00D86DC0" w:rsidRPr="00A52818" w:rsidRDefault="00D86DC0" w:rsidP="005B0079">
            <w:pPr>
              <w:rPr>
                <w:b/>
              </w:rPr>
            </w:pPr>
            <w:r w:rsidRPr="00A52818">
              <w:rPr>
                <w:b/>
              </w:rPr>
              <w:t>0.04</w:t>
            </w:r>
          </w:p>
        </w:tc>
        <w:tc>
          <w:tcPr>
            <w:tcW w:w="1429" w:type="dxa"/>
          </w:tcPr>
          <w:p w14:paraId="03041BB1" w14:textId="77777777" w:rsidR="00D86DC0" w:rsidRPr="00A52818" w:rsidRDefault="00D86DC0" w:rsidP="005B0079">
            <w:pPr>
              <w:jc w:val="both"/>
              <w:rPr>
                <w:b/>
              </w:rPr>
            </w:pPr>
            <w:r w:rsidRPr="00A52818">
              <w:rPr>
                <w:b/>
              </w:rPr>
              <w:t xml:space="preserve">-0.25 (-0.45 – -0.04) </w:t>
            </w:r>
          </w:p>
        </w:tc>
        <w:tc>
          <w:tcPr>
            <w:tcW w:w="613" w:type="dxa"/>
          </w:tcPr>
          <w:p w14:paraId="4FA70B06" w14:textId="77777777" w:rsidR="00D86DC0" w:rsidRPr="00A52818" w:rsidRDefault="00D86DC0" w:rsidP="005B0079">
            <w:pPr>
              <w:rPr>
                <w:b/>
              </w:rPr>
            </w:pPr>
            <w:r w:rsidRPr="00A52818">
              <w:rPr>
                <w:b/>
              </w:rPr>
              <w:t>0.02</w:t>
            </w:r>
          </w:p>
        </w:tc>
        <w:tc>
          <w:tcPr>
            <w:tcW w:w="1429" w:type="dxa"/>
          </w:tcPr>
          <w:p w14:paraId="565EC816" w14:textId="77777777" w:rsidR="00D86DC0" w:rsidRPr="00A52818" w:rsidRDefault="00D86DC0" w:rsidP="005B0079">
            <w:pPr>
              <w:jc w:val="both"/>
              <w:rPr>
                <w:b/>
              </w:rPr>
            </w:pPr>
            <w:r w:rsidRPr="00A52818">
              <w:rPr>
                <w:b/>
              </w:rPr>
              <w:t xml:space="preserve">-0.21 (-0.39 – -0.04) </w:t>
            </w:r>
          </w:p>
        </w:tc>
        <w:tc>
          <w:tcPr>
            <w:tcW w:w="511" w:type="dxa"/>
          </w:tcPr>
          <w:p w14:paraId="0D2EDBD9" w14:textId="77777777" w:rsidR="00D86DC0" w:rsidRPr="00A52818" w:rsidRDefault="00D86DC0" w:rsidP="005B0079">
            <w:pPr>
              <w:jc w:val="both"/>
              <w:rPr>
                <w:b/>
              </w:rPr>
            </w:pPr>
            <w:r w:rsidRPr="00A52818">
              <w:rPr>
                <w:b/>
              </w:rPr>
              <w:t>0.02</w:t>
            </w:r>
          </w:p>
        </w:tc>
        <w:tc>
          <w:tcPr>
            <w:tcW w:w="1429" w:type="dxa"/>
          </w:tcPr>
          <w:p w14:paraId="59B4BDDE" w14:textId="77777777" w:rsidR="00D86DC0" w:rsidRPr="00A52818" w:rsidRDefault="00D86DC0" w:rsidP="005B0079">
            <w:pPr>
              <w:jc w:val="both"/>
            </w:pPr>
            <w:r w:rsidRPr="00A52818">
              <w:t>0.64 (-0.45 – 1.72)</w:t>
            </w:r>
          </w:p>
        </w:tc>
        <w:tc>
          <w:tcPr>
            <w:tcW w:w="512" w:type="dxa"/>
          </w:tcPr>
          <w:p w14:paraId="05E4C3AC" w14:textId="77777777" w:rsidR="00D86DC0" w:rsidRPr="00A52818" w:rsidRDefault="00D86DC0" w:rsidP="005B0079">
            <w:pPr>
              <w:jc w:val="both"/>
            </w:pPr>
            <w:r w:rsidRPr="00A52818">
              <w:t>0.25</w:t>
            </w:r>
          </w:p>
        </w:tc>
      </w:tr>
      <w:tr w:rsidR="00D86DC0" w:rsidRPr="00A52818" w14:paraId="4F51CEB3" w14:textId="77777777" w:rsidTr="005B0079">
        <w:trPr>
          <w:cnfStyle w:val="000000100000" w:firstRow="0" w:lastRow="0" w:firstColumn="0" w:lastColumn="0" w:oddVBand="0" w:evenVBand="0" w:oddHBand="1" w:evenHBand="0" w:firstRowFirstColumn="0" w:firstRowLastColumn="0" w:lastRowFirstColumn="0" w:lastRowLastColumn="0"/>
          <w:trHeight w:val="153"/>
        </w:trPr>
        <w:tc>
          <w:tcPr>
            <w:tcW w:w="9796" w:type="dxa"/>
            <w:gridSpan w:val="9"/>
          </w:tcPr>
          <w:p w14:paraId="2CF85E99" w14:textId="77777777" w:rsidR="00D86DC0" w:rsidRPr="00A52818" w:rsidRDefault="00D86DC0" w:rsidP="005B0079">
            <w:pPr>
              <w:jc w:val="both"/>
            </w:pPr>
            <w:r w:rsidRPr="00A52818">
              <w:t>This table presents the results of linear regression analyses assessing the associations between vascular neuropathologies and cognitive domain scores (memory, executive function, and language), as well as global dementia severity measured by the Clinical Dementia Rating (CDR) Sum of Boxes, controlling for harmonized cardiovascular disease risk. Beta coefficients (β) with 95% confidence intervals (CI) and corresponding p-values are reported for each vascular pathology, including arteriolosclerosis, atherosclerosis, cerebral amyloid angiopathy (CAA), gross infarcts, and microinfarcts. Negative β values indicate worse cognitive performance associated with the presence of the pathology, while positive β values for the CDR Sum of Boxes reflect greater dementia severity. Statistical significance was defined as p &lt; 0.05.</w:t>
            </w:r>
          </w:p>
        </w:tc>
      </w:tr>
    </w:tbl>
    <w:p w14:paraId="10738EEF" w14:textId="77777777" w:rsidR="00D86DC0" w:rsidRPr="00A52818" w:rsidRDefault="00D86DC0" w:rsidP="00D86DC0">
      <w:pPr>
        <w:shd w:val="clear" w:color="auto" w:fill="FFFFFF"/>
        <w:rPr>
          <w:color w:val="1C1D1E"/>
        </w:rPr>
      </w:pPr>
    </w:p>
    <w:p w14:paraId="3C3F1B80" w14:textId="77777777" w:rsidR="00D86DC0" w:rsidRPr="00A52818" w:rsidRDefault="00D86DC0" w:rsidP="00D86DC0">
      <w:pPr>
        <w:shd w:val="clear" w:color="auto" w:fill="FFFFFF"/>
        <w:rPr>
          <w:color w:val="1C1D1E"/>
        </w:rPr>
      </w:pPr>
    </w:p>
    <w:p w14:paraId="5C0ECB93" w14:textId="77777777" w:rsidR="00D86DC0" w:rsidRPr="00A52818" w:rsidRDefault="00D86DC0" w:rsidP="00D86DC0">
      <w:pPr>
        <w:shd w:val="clear" w:color="auto" w:fill="FFFFFF"/>
        <w:rPr>
          <w:color w:val="1C1D1E"/>
        </w:rPr>
      </w:pPr>
    </w:p>
    <w:p w14:paraId="3EA4AA95" w14:textId="77777777" w:rsidR="00D86DC0" w:rsidRPr="00A52818" w:rsidRDefault="00D86DC0" w:rsidP="00D86DC0">
      <w:pPr>
        <w:shd w:val="clear" w:color="auto" w:fill="FFFFFF"/>
        <w:rPr>
          <w:color w:val="1C1D1E"/>
        </w:rPr>
      </w:pPr>
    </w:p>
    <w:p w14:paraId="4E30EA59" w14:textId="77777777" w:rsidR="00D86DC0" w:rsidRDefault="00D86DC0" w:rsidP="00D86DC0">
      <w:pPr>
        <w:shd w:val="clear" w:color="auto" w:fill="FFFFFF"/>
        <w:rPr>
          <w:color w:val="1C1D1E"/>
        </w:rPr>
      </w:pPr>
    </w:p>
    <w:p w14:paraId="459B3877" w14:textId="77777777" w:rsidR="00D86DC0" w:rsidRDefault="00D86DC0" w:rsidP="00D86DC0">
      <w:pPr>
        <w:shd w:val="clear" w:color="auto" w:fill="FFFFFF"/>
        <w:rPr>
          <w:color w:val="1C1D1E"/>
        </w:rPr>
      </w:pPr>
    </w:p>
    <w:p w14:paraId="6ED208CA" w14:textId="77777777" w:rsidR="00D86DC0" w:rsidRDefault="00D86DC0" w:rsidP="00D86DC0">
      <w:pPr>
        <w:shd w:val="clear" w:color="auto" w:fill="FFFFFF"/>
        <w:rPr>
          <w:color w:val="1C1D1E"/>
        </w:rPr>
      </w:pPr>
    </w:p>
    <w:p w14:paraId="0AA82C3D" w14:textId="77777777" w:rsidR="00D86DC0" w:rsidRDefault="00D86DC0" w:rsidP="00D86DC0">
      <w:pPr>
        <w:shd w:val="clear" w:color="auto" w:fill="FFFFFF"/>
        <w:rPr>
          <w:color w:val="1C1D1E"/>
        </w:rPr>
      </w:pPr>
    </w:p>
    <w:p w14:paraId="70B5E790" w14:textId="77777777" w:rsidR="00D86DC0" w:rsidRDefault="00D86DC0" w:rsidP="00D86DC0">
      <w:pPr>
        <w:shd w:val="clear" w:color="auto" w:fill="FFFFFF"/>
        <w:rPr>
          <w:color w:val="1C1D1E"/>
        </w:rPr>
      </w:pPr>
    </w:p>
    <w:p w14:paraId="0D81837D" w14:textId="77777777" w:rsidR="00D86DC0" w:rsidRDefault="00D86DC0" w:rsidP="00D86DC0">
      <w:pPr>
        <w:shd w:val="clear" w:color="auto" w:fill="FFFFFF"/>
        <w:rPr>
          <w:color w:val="1C1D1E"/>
        </w:rPr>
      </w:pPr>
    </w:p>
    <w:p w14:paraId="3C9E15C5" w14:textId="77777777" w:rsidR="00D86DC0" w:rsidRDefault="00D86DC0" w:rsidP="00D86DC0">
      <w:pPr>
        <w:shd w:val="clear" w:color="auto" w:fill="FFFFFF"/>
        <w:rPr>
          <w:color w:val="1C1D1E"/>
        </w:rPr>
      </w:pPr>
    </w:p>
    <w:p w14:paraId="17B60BB9" w14:textId="77777777" w:rsidR="00D86DC0" w:rsidRDefault="00D86DC0" w:rsidP="00D86DC0">
      <w:pPr>
        <w:shd w:val="clear" w:color="auto" w:fill="FFFFFF"/>
        <w:rPr>
          <w:color w:val="1C1D1E"/>
        </w:rPr>
      </w:pPr>
    </w:p>
    <w:p w14:paraId="3DEC73ED" w14:textId="77777777" w:rsidR="00D86DC0" w:rsidRDefault="00D86DC0" w:rsidP="00D86DC0">
      <w:pPr>
        <w:shd w:val="clear" w:color="auto" w:fill="FFFFFF"/>
        <w:rPr>
          <w:color w:val="1C1D1E"/>
        </w:rPr>
      </w:pPr>
    </w:p>
    <w:p w14:paraId="33281C05" w14:textId="77777777" w:rsidR="00D86DC0" w:rsidRDefault="00D86DC0" w:rsidP="00D86DC0">
      <w:pPr>
        <w:shd w:val="clear" w:color="auto" w:fill="FFFFFF"/>
        <w:rPr>
          <w:color w:val="1C1D1E"/>
        </w:rPr>
      </w:pPr>
    </w:p>
    <w:p w14:paraId="24C7CC40" w14:textId="77777777" w:rsidR="00D86DC0" w:rsidRDefault="00D86DC0" w:rsidP="00D86DC0">
      <w:pPr>
        <w:shd w:val="clear" w:color="auto" w:fill="FFFFFF"/>
        <w:rPr>
          <w:color w:val="1C1D1E"/>
        </w:rPr>
      </w:pPr>
    </w:p>
    <w:p w14:paraId="1FF38453" w14:textId="77777777" w:rsidR="00D86DC0" w:rsidRPr="00A52818" w:rsidRDefault="00D86DC0" w:rsidP="00D86DC0">
      <w:pPr>
        <w:shd w:val="clear" w:color="auto" w:fill="FFFFFF"/>
        <w:rPr>
          <w:color w:val="1C1D1E"/>
        </w:rPr>
      </w:pPr>
    </w:p>
    <w:p w14:paraId="5C282C28" w14:textId="77777777" w:rsidR="00D86DC0" w:rsidRPr="00A52818" w:rsidRDefault="00D86DC0" w:rsidP="00D86DC0">
      <w:pPr>
        <w:shd w:val="clear" w:color="auto" w:fill="FFFFFF"/>
        <w:rPr>
          <w:color w:val="1C1D1E"/>
        </w:rPr>
      </w:pPr>
    </w:p>
    <w:tbl>
      <w:tblPr>
        <w:tblStyle w:val="PlainTable2"/>
        <w:tblW w:w="9657" w:type="dxa"/>
        <w:tblLayout w:type="fixed"/>
        <w:tblLook w:val="0400" w:firstRow="0" w:lastRow="0" w:firstColumn="0" w:lastColumn="0" w:noHBand="0" w:noVBand="1"/>
      </w:tblPr>
      <w:tblGrid>
        <w:gridCol w:w="1797"/>
        <w:gridCol w:w="1173"/>
        <w:gridCol w:w="583"/>
        <w:gridCol w:w="1562"/>
        <w:gridCol w:w="483"/>
        <w:gridCol w:w="1352"/>
        <w:gridCol w:w="483"/>
        <w:gridCol w:w="1546"/>
        <w:gridCol w:w="678"/>
      </w:tblGrid>
      <w:tr w:rsidR="00D86DC0" w:rsidRPr="00A52818" w14:paraId="183D4D54" w14:textId="77777777" w:rsidTr="005B0079">
        <w:trPr>
          <w:cnfStyle w:val="000000100000" w:firstRow="0" w:lastRow="0" w:firstColumn="0" w:lastColumn="0" w:oddVBand="0" w:evenVBand="0" w:oddHBand="1" w:evenHBand="0" w:firstRowFirstColumn="0" w:firstRowLastColumn="0" w:lastRowFirstColumn="0" w:lastRowLastColumn="0"/>
          <w:trHeight w:val="169"/>
        </w:trPr>
        <w:tc>
          <w:tcPr>
            <w:tcW w:w="9657" w:type="dxa"/>
            <w:gridSpan w:val="9"/>
          </w:tcPr>
          <w:p w14:paraId="0C32E9BA" w14:textId="77777777" w:rsidR="00D86DC0" w:rsidRPr="00A52818" w:rsidRDefault="00D86DC0" w:rsidP="005B0079">
            <w:pPr>
              <w:rPr>
                <w:i/>
                <w:iCs/>
              </w:rPr>
            </w:pPr>
            <w:r w:rsidRPr="00A52818">
              <w:rPr>
                <w:color w:val="1C1D1E"/>
              </w:rPr>
              <w:lastRenderedPageBreak/>
              <w:t>Supplementary Table 3:</w:t>
            </w:r>
            <w:r w:rsidRPr="00A52818">
              <w:rPr>
                <w:b/>
                <w:bCs/>
                <w:color w:val="1C1D1E"/>
              </w:rPr>
              <w:t xml:space="preserve"> </w:t>
            </w:r>
            <w:r w:rsidRPr="00A52818">
              <w:rPr>
                <w:color w:val="1C1D1E"/>
              </w:rPr>
              <w:t xml:space="preserve">Association between vascular neuropathologies and cross-sectional cognitive domain scores &amp; dementia approximate to death </w:t>
            </w:r>
            <w:r>
              <w:rPr>
                <w:color w:val="1C1D1E"/>
              </w:rPr>
              <w:t>in those without</w:t>
            </w:r>
            <w:r w:rsidRPr="00A52818">
              <w:rPr>
                <w:color w:val="1C1D1E"/>
              </w:rPr>
              <w:t xml:space="preserve"> low neuritic plaques</w:t>
            </w:r>
          </w:p>
        </w:tc>
      </w:tr>
      <w:tr w:rsidR="00D86DC0" w:rsidRPr="00A52818" w14:paraId="50C2FFD3" w14:textId="77777777" w:rsidTr="005B0079">
        <w:trPr>
          <w:trHeight w:val="284"/>
        </w:trPr>
        <w:tc>
          <w:tcPr>
            <w:tcW w:w="1797" w:type="dxa"/>
          </w:tcPr>
          <w:p w14:paraId="02CC514F" w14:textId="77777777" w:rsidR="00D86DC0" w:rsidRPr="00A52818" w:rsidRDefault="00D86DC0" w:rsidP="005B0079">
            <w:pPr>
              <w:rPr>
                <w:i/>
              </w:rPr>
            </w:pPr>
          </w:p>
        </w:tc>
        <w:tc>
          <w:tcPr>
            <w:tcW w:w="1756" w:type="dxa"/>
            <w:gridSpan w:val="2"/>
          </w:tcPr>
          <w:p w14:paraId="7357E33E" w14:textId="77777777" w:rsidR="00D86DC0" w:rsidRPr="00A52818" w:rsidRDefault="00D86DC0" w:rsidP="005B0079">
            <w:pPr>
              <w:rPr>
                <w:i/>
              </w:rPr>
            </w:pPr>
            <w:r w:rsidRPr="00A52818">
              <w:rPr>
                <w:i/>
              </w:rPr>
              <w:t>Memory</w:t>
            </w:r>
          </w:p>
        </w:tc>
        <w:tc>
          <w:tcPr>
            <w:tcW w:w="2045" w:type="dxa"/>
            <w:gridSpan w:val="2"/>
          </w:tcPr>
          <w:p w14:paraId="0DB5AD6D" w14:textId="77777777" w:rsidR="00D86DC0" w:rsidRPr="00A52818" w:rsidRDefault="00D86DC0" w:rsidP="005B0079">
            <w:pPr>
              <w:rPr>
                <w:i/>
              </w:rPr>
            </w:pPr>
            <w:r w:rsidRPr="00A52818">
              <w:rPr>
                <w:i/>
              </w:rPr>
              <w:t>Executive Function</w:t>
            </w:r>
          </w:p>
        </w:tc>
        <w:tc>
          <w:tcPr>
            <w:tcW w:w="1835" w:type="dxa"/>
            <w:gridSpan w:val="2"/>
          </w:tcPr>
          <w:p w14:paraId="0DCAE839" w14:textId="77777777" w:rsidR="00D86DC0" w:rsidRPr="00A52818" w:rsidRDefault="00D86DC0" w:rsidP="005B0079">
            <w:pPr>
              <w:rPr>
                <w:i/>
              </w:rPr>
            </w:pPr>
            <w:r w:rsidRPr="00A52818">
              <w:rPr>
                <w:i/>
              </w:rPr>
              <w:t>Language</w:t>
            </w:r>
          </w:p>
        </w:tc>
        <w:tc>
          <w:tcPr>
            <w:tcW w:w="2224" w:type="dxa"/>
            <w:gridSpan w:val="2"/>
          </w:tcPr>
          <w:p w14:paraId="3C3B79F8" w14:textId="77777777" w:rsidR="00D86DC0" w:rsidRPr="00A52818" w:rsidRDefault="00D86DC0" w:rsidP="005B0079">
            <w:pPr>
              <w:rPr>
                <w:i/>
              </w:rPr>
            </w:pPr>
            <w:r w:rsidRPr="00A52818">
              <w:rPr>
                <w:i/>
              </w:rPr>
              <w:t>CDR Sum of Boxes</w:t>
            </w:r>
          </w:p>
        </w:tc>
      </w:tr>
      <w:tr w:rsidR="00D86DC0" w:rsidRPr="00A52818" w14:paraId="4C423E6E" w14:textId="77777777" w:rsidTr="005B0079">
        <w:trPr>
          <w:cnfStyle w:val="000000100000" w:firstRow="0" w:lastRow="0" w:firstColumn="0" w:lastColumn="0" w:oddVBand="0" w:evenVBand="0" w:oddHBand="1" w:evenHBand="0" w:firstRowFirstColumn="0" w:firstRowLastColumn="0" w:lastRowFirstColumn="0" w:lastRowLastColumn="0"/>
          <w:trHeight w:val="189"/>
        </w:trPr>
        <w:tc>
          <w:tcPr>
            <w:tcW w:w="1797" w:type="dxa"/>
          </w:tcPr>
          <w:p w14:paraId="63DD2E99" w14:textId="77777777" w:rsidR="00D86DC0" w:rsidRPr="00A52818" w:rsidRDefault="00D86DC0" w:rsidP="005B0079">
            <w:pPr>
              <w:rPr>
                <w:i/>
              </w:rPr>
            </w:pPr>
            <w:r w:rsidRPr="00A52818">
              <w:rPr>
                <w:i/>
              </w:rPr>
              <w:t>Predictor</w:t>
            </w:r>
          </w:p>
        </w:tc>
        <w:tc>
          <w:tcPr>
            <w:tcW w:w="1173" w:type="dxa"/>
          </w:tcPr>
          <w:p w14:paraId="37518178" w14:textId="77777777" w:rsidR="00D86DC0" w:rsidRPr="00A52818" w:rsidRDefault="00D86DC0" w:rsidP="005B0079">
            <w:pPr>
              <w:rPr>
                <w:i/>
              </w:rPr>
            </w:pPr>
            <w:r w:rsidRPr="00A52818">
              <w:rPr>
                <w:i/>
              </w:rPr>
              <w:t>β (95% CI)</w:t>
            </w:r>
          </w:p>
        </w:tc>
        <w:tc>
          <w:tcPr>
            <w:tcW w:w="583" w:type="dxa"/>
          </w:tcPr>
          <w:p w14:paraId="4CE0A2EC" w14:textId="77777777" w:rsidR="00D86DC0" w:rsidRPr="00A52818" w:rsidRDefault="00D86DC0" w:rsidP="005B0079">
            <w:pPr>
              <w:rPr>
                <w:i/>
              </w:rPr>
            </w:pPr>
            <w:r w:rsidRPr="00A52818">
              <w:rPr>
                <w:i/>
              </w:rPr>
              <w:t>p</w:t>
            </w:r>
          </w:p>
        </w:tc>
        <w:tc>
          <w:tcPr>
            <w:tcW w:w="1562" w:type="dxa"/>
          </w:tcPr>
          <w:p w14:paraId="60D718C4" w14:textId="77777777" w:rsidR="00D86DC0" w:rsidRPr="00A52818" w:rsidRDefault="00D86DC0" w:rsidP="005B0079">
            <w:pPr>
              <w:rPr>
                <w:i/>
              </w:rPr>
            </w:pPr>
            <w:r w:rsidRPr="00A52818">
              <w:rPr>
                <w:i/>
              </w:rPr>
              <w:t>β (95% CI)</w:t>
            </w:r>
          </w:p>
        </w:tc>
        <w:tc>
          <w:tcPr>
            <w:tcW w:w="483" w:type="dxa"/>
          </w:tcPr>
          <w:p w14:paraId="36DDF9A9" w14:textId="77777777" w:rsidR="00D86DC0" w:rsidRPr="00A52818" w:rsidRDefault="00D86DC0" w:rsidP="005B0079">
            <w:pPr>
              <w:rPr>
                <w:i/>
              </w:rPr>
            </w:pPr>
            <w:r w:rsidRPr="00A52818">
              <w:rPr>
                <w:i/>
              </w:rPr>
              <w:t>p</w:t>
            </w:r>
          </w:p>
        </w:tc>
        <w:tc>
          <w:tcPr>
            <w:tcW w:w="1352" w:type="dxa"/>
          </w:tcPr>
          <w:p w14:paraId="7CBF95CB" w14:textId="77777777" w:rsidR="00D86DC0" w:rsidRPr="00A52818" w:rsidRDefault="00D86DC0" w:rsidP="005B0079">
            <w:pPr>
              <w:rPr>
                <w:i/>
              </w:rPr>
            </w:pPr>
            <w:r w:rsidRPr="00A52818">
              <w:rPr>
                <w:i/>
              </w:rPr>
              <w:t>β (95% CI)</w:t>
            </w:r>
          </w:p>
        </w:tc>
        <w:tc>
          <w:tcPr>
            <w:tcW w:w="483" w:type="dxa"/>
          </w:tcPr>
          <w:p w14:paraId="5CE27EEF" w14:textId="77777777" w:rsidR="00D86DC0" w:rsidRPr="00A52818" w:rsidRDefault="00D86DC0" w:rsidP="005B0079">
            <w:pPr>
              <w:rPr>
                <w:i/>
              </w:rPr>
            </w:pPr>
            <w:r w:rsidRPr="00A52818">
              <w:rPr>
                <w:i/>
              </w:rPr>
              <w:t>p</w:t>
            </w:r>
          </w:p>
        </w:tc>
        <w:tc>
          <w:tcPr>
            <w:tcW w:w="1546" w:type="dxa"/>
          </w:tcPr>
          <w:p w14:paraId="782C9021" w14:textId="77777777" w:rsidR="00D86DC0" w:rsidRPr="00A52818" w:rsidRDefault="00D86DC0" w:rsidP="005B0079">
            <w:pPr>
              <w:rPr>
                <w:i/>
              </w:rPr>
            </w:pPr>
            <w:r w:rsidRPr="00A52818">
              <w:rPr>
                <w:i/>
              </w:rPr>
              <w:t>β (95% CI)</w:t>
            </w:r>
          </w:p>
        </w:tc>
        <w:tc>
          <w:tcPr>
            <w:tcW w:w="678" w:type="dxa"/>
          </w:tcPr>
          <w:p w14:paraId="60A2451C" w14:textId="77777777" w:rsidR="00D86DC0" w:rsidRPr="00A52818" w:rsidRDefault="00D86DC0" w:rsidP="005B0079">
            <w:pPr>
              <w:rPr>
                <w:i/>
              </w:rPr>
            </w:pPr>
            <w:r w:rsidRPr="00A52818">
              <w:rPr>
                <w:i/>
              </w:rPr>
              <w:t>p</w:t>
            </w:r>
          </w:p>
        </w:tc>
      </w:tr>
      <w:tr w:rsidR="00D86DC0" w:rsidRPr="00A52818" w14:paraId="0F881ACF" w14:textId="77777777" w:rsidTr="005B0079">
        <w:trPr>
          <w:trHeight w:val="193"/>
        </w:trPr>
        <w:tc>
          <w:tcPr>
            <w:tcW w:w="1797" w:type="dxa"/>
          </w:tcPr>
          <w:p w14:paraId="2461D416" w14:textId="77777777" w:rsidR="00D86DC0" w:rsidRPr="00A52818" w:rsidRDefault="00D86DC0" w:rsidP="005B0079">
            <w:r w:rsidRPr="00A52818">
              <w:t xml:space="preserve">Arteriolosclerosis </w:t>
            </w:r>
          </w:p>
        </w:tc>
        <w:tc>
          <w:tcPr>
            <w:tcW w:w="1173" w:type="dxa"/>
          </w:tcPr>
          <w:p w14:paraId="58120677" w14:textId="77777777" w:rsidR="00D86DC0" w:rsidRPr="00A52818" w:rsidRDefault="00D86DC0" w:rsidP="005B0079">
            <w:r w:rsidRPr="00A52818">
              <w:t>-0.12 (-0.42 – 0.17)</w:t>
            </w:r>
          </w:p>
        </w:tc>
        <w:tc>
          <w:tcPr>
            <w:tcW w:w="583" w:type="dxa"/>
          </w:tcPr>
          <w:p w14:paraId="468EDF18" w14:textId="77777777" w:rsidR="00D86DC0" w:rsidRPr="00A52818" w:rsidRDefault="00D86DC0" w:rsidP="005B0079">
            <w:pPr>
              <w:jc w:val="center"/>
            </w:pPr>
            <w:r w:rsidRPr="00A52818">
              <w:t>0.41</w:t>
            </w:r>
          </w:p>
        </w:tc>
        <w:tc>
          <w:tcPr>
            <w:tcW w:w="1562" w:type="dxa"/>
          </w:tcPr>
          <w:p w14:paraId="721169B7" w14:textId="77777777" w:rsidR="00D86DC0" w:rsidRPr="00A52818" w:rsidRDefault="00D86DC0" w:rsidP="005B0079">
            <w:r w:rsidRPr="00A52818">
              <w:t>-0.19 (-0.48 – 0.09)</w:t>
            </w:r>
          </w:p>
        </w:tc>
        <w:tc>
          <w:tcPr>
            <w:tcW w:w="483" w:type="dxa"/>
          </w:tcPr>
          <w:p w14:paraId="2111950F" w14:textId="77777777" w:rsidR="00D86DC0" w:rsidRPr="00A52818" w:rsidRDefault="00D86DC0" w:rsidP="005B0079">
            <w:r w:rsidRPr="00A52818">
              <w:t>0.19</w:t>
            </w:r>
          </w:p>
        </w:tc>
        <w:tc>
          <w:tcPr>
            <w:tcW w:w="1352" w:type="dxa"/>
          </w:tcPr>
          <w:p w14:paraId="3A90126D" w14:textId="77777777" w:rsidR="00D86DC0" w:rsidRPr="00A52818" w:rsidRDefault="00D86DC0" w:rsidP="005B0079">
            <w:r w:rsidRPr="00A52818">
              <w:t>-0.05 (-0.29 – 0.19)</w:t>
            </w:r>
          </w:p>
        </w:tc>
        <w:tc>
          <w:tcPr>
            <w:tcW w:w="483" w:type="dxa"/>
          </w:tcPr>
          <w:p w14:paraId="441FBF5B" w14:textId="77777777" w:rsidR="00D86DC0" w:rsidRPr="00A52818" w:rsidRDefault="00D86DC0" w:rsidP="005B0079">
            <w:r w:rsidRPr="00A52818">
              <w:t>0.67</w:t>
            </w:r>
          </w:p>
        </w:tc>
        <w:tc>
          <w:tcPr>
            <w:tcW w:w="1546" w:type="dxa"/>
          </w:tcPr>
          <w:p w14:paraId="10FCE525" w14:textId="77777777" w:rsidR="00D86DC0" w:rsidRPr="00A52818" w:rsidRDefault="00D86DC0" w:rsidP="005B0079">
            <w:r w:rsidRPr="00A52818">
              <w:t>0.53 (-0.77 – 1.82)</w:t>
            </w:r>
          </w:p>
        </w:tc>
        <w:tc>
          <w:tcPr>
            <w:tcW w:w="678" w:type="dxa"/>
          </w:tcPr>
          <w:p w14:paraId="50EF832C" w14:textId="77777777" w:rsidR="00D86DC0" w:rsidRPr="00A52818" w:rsidRDefault="00D86DC0" w:rsidP="005B0079">
            <w:r w:rsidRPr="00A52818">
              <w:t>0.42</w:t>
            </w:r>
          </w:p>
        </w:tc>
      </w:tr>
      <w:tr w:rsidR="00D86DC0" w:rsidRPr="00A52818" w14:paraId="794A50C6" w14:textId="77777777" w:rsidTr="005B0079">
        <w:trPr>
          <w:cnfStyle w:val="000000100000" w:firstRow="0" w:lastRow="0" w:firstColumn="0" w:lastColumn="0" w:oddVBand="0" w:evenVBand="0" w:oddHBand="1" w:evenHBand="0" w:firstRowFirstColumn="0" w:firstRowLastColumn="0" w:lastRowFirstColumn="0" w:lastRowLastColumn="0"/>
          <w:trHeight w:val="189"/>
        </w:trPr>
        <w:tc>
          <w:tcPr>
            <w:tcW w:w="1797" w:type="dxa"/>
          </w:tcPr>
          <w:p w14:paraId="73793948" w14:textId="77777777" w:rsidR="00D86DC0" w:rsidRPr="00A52818" w:rsidRDefault="00D86DC0" w:rsidP="005B0079">
            <w:r w:rsidRPr="00A52818">
              <w:t>Atherosclerosis</w:t>
            </w:r>
          </w:p>
        </w:tc>
        <w:tc>
          <w:tcPr>
            <w:tcW w:w="1173" w:type="dxa"/>
          </w:tcPr>
          <w:p w14:paraId="0C97874E" w14:textId="77777777" w:rsidR="00D86DC0" w:rsidRPr="00A52818" w:rsidRDefault="00D86DC0" w:rsidP="005B0079">
            <w:r w:rsidRPr="00A52818">
              <w:t>-0.19 (-0.49 – 0.11)</w:t>
            </w:r>
          </w:p>
        </w:tc>
        <w:tc>
          <w:tcPr>
            <w:tcW w:w="583" w:type="dxa"/>
          </w:tcPr>
          <w:p w14:paraId="2C2E7076" w14:textId="77777777" w:rsidR="00D86DC0" w:rsidRPr="00A52818" w:rsidRDefault="00D86DC0" w:rsidP="005B0079">
            <w:pPr>
              <w:jc w:val="center"/>
            </w:pPr>
            <w:r w:rsidRPr="00A52818">
              <w:t>0.22</w:t>
            </w:r>
          </w:p>
        </w:tc>
        <w:tc>
          <w:tcPr>
            <w:tcW w:w="1562" w:type="dxa"/>
          </w:tcPr>
          <w:p w14:paraId="0C9D3065" w14:textId="77777777" w:rsidR="00D86DC0" w:rsidRPr="00A52818" w:rsidRDefault="00D86DC0" w:rsidP="005B0079">
            <w:r w:rsidRPr="00A52818">
              <w:t>-0.17 (-0.46 – 0.12)</w:t>
            </w:r>
          </w:p>
        </w:tc>
        <w:tc>
          <w:tcPr>
            <w:tcW w:w="483" w:type="dxa"/>
          </w:tcPr>
          <w:p w14:paraId="055637C9" w14:textId="77777777" w:rsidR="00D86DC0" w:rsidRPr="00A52818" w:rsidRDefault="00D86DC0" w:rsidP="005B0079">
            <w:r w:rsidRPr="00A52818">
              <w:t>0.24</w:t>
            </w:r>
          </w:p>
        </w:tc>
        <w:tc>
          <w:tcPr>
            <w:tcW w:w="1352" w:type="dxa"/>
          </w:tcPr>
          <w:p w14:paraId="57A6CA1F" w14:textId="77777777" w:rsidR="00D86DC0" w:rsidRPr="00A52818" w:rsidRDefault="00D86DC0" w:rsidP="005B0079">
            <w:r w:rsidRPr="00A52818">
              <w:t>0.12 (-0.12 – 0.36)</w:t>
            </w:r>
          </w:p>
        </w:tc>
        <w:tc>
          <w:tcPr>
            <w:tcW w:w="483" w:type="dxa"/>
          </w:tcPr>
          <w:p w14:paraId="34A4F8A1" w14:textId="77777777" w:rsidR="00D86DC0" w:rsidRPr="00A52818" w:rsidRDefault="00D86DC0" w:rsidP="005B0079">
            <w:r w:rsidRPr="00A52818">
              <w:t>0.32</w:t>
            </w:r>
          </w:p>
        </w:tc>
        <w:tc>
          <w:tcPr>
            <w:tcW w:w="1546" w:type="dxa"/>
          </w:tcPr>
          <w:p w14:paraId="37E30B82" w14:textId="77777777" w:rsidR="00D86DC0" w:rsidRPr="00A52818" w:rsidRDefault="00D86DC0" w:rsidP="005B0079">
            <w:r w:rsidRPr="00A52818">
              <w:t>-0.28 (-1.60 – 1.04)</w:t>
            </w:r>
          </w:p>
        </w:tc>
        <w:tc>
          <w:tcPr>
            <w:tcW w:w="678" w:type="dxa"/>
          </w:tcPr>
          <w:p w14:paraId="1C3D5DF5" w14:textId="77777777" w:rsidR="00D86DC0" w:rsidRPr="00A52818" w:rsidRDefault="00D86DC0" w:rsidP="005B0079">
            <w:r w:rsidRPr="00A52818">
              <w:t>0.67</w:t>
            </w:r>
          </w:p>
        </w:tc>
      </w:tr>
      <w:tr w:rsidR="00D86DC0" w:rsidRPr="00A52818" w14:paraId="040E50B1" w14:textId="77777777" w:rsidTr="005B0079">
        <w:trPr>
          <w:trHeight w:val="189"/>
        </w:trPr>
        <w:tc>
          <w:tcPr>
            <w:tcW w:w="1797" w:type="dxa"/>
          </w:tcPr>
          <w:p w14:paraId="3309B4CA" w14:textId="77777777" w:rsidR="00D86DC0" w:rsidRPr="00A52818" w:rsidRDefault="00D86DC0" w:rsidP="005B0079">
            <w:r w:rsidRPr="00A52818">
              <w:t>CAA</w:t>
            </w:r>
          </w:p>
        </w:tc>
        <w:tc>
          <w:tcPr>
            <w:tcW w:w="1173" w:type="dxa"/>
          </w:tcPr>
          <w:p w14:paraId="166982C6" w14:textId="77777777" w:rsidR="00D86DC0" w:rsidRPr="00A52818" w:rsidRDefault="00D86DC0" w:rsidP="005B0079">
            <w:r w:rsidRPr="00A52818">
              <w:t>-0.22 (-0.74 – 0.30)</w:t>
            </w:r>
          </w:p>
        </w:tc>
        <w:tc>
          <w:tcPr>
            <w:tcW w:w="583" w:type="dxa"/>
          </w:tcPr>
          <w:p w14:paraId="68CAB427" w14:textId="77777777" w:rsidR="00D86DC0" w:rsidRPr="00A52818" w:rsidRDefault="00D86DC0" w:rsidP="005B0079">
            <w:pPr>
              <w:jc w:val="center"/>
            </w:pPr>
            <w:r w:rsidRPr="00A52818">
              <w:t>0.40</w:t>
            </w:r>
          </w:p>
        </w:tc>
        <w:tc>
          <w:tcPr>
            <w:tcW w:w="1562" w:type="dxa"/>
          </w:tcPr>
          <w:p w14:paraId="436E2E49" w14:textId="77777777" w:rsidR="00D86DC0" w:rsidRPr="00A52818" w:rsidRDefault="00D86DC0" w:rsidP="005B0079">
            <w:r w:rsidRPr="00A52818">
              <w:t>-0.16 (-0.64 – 0.32)</w:t>
            </w:r>
          </w:p>
        </w:tc>
        <w:tc>
          <w:tcPr>
            <w:tcW w:w="483" w:type="dxa"/>
          </w:tcPr>
          <w:p w14:paraId="74F2727E" w14:textId="77777777" w:rsidR="00D86DC0" w:rsidRPr="00A52818" w:rsidRDefault="00D86DC0" w:rsidP="005B0079">
            <w:r w:rsidRPr="00A52818">
              <w:t>0.51</w:t>
            </w:r>
          </w:p>
        </w:tc>
        <w:tc>
          <w:tcPr>
            <w:tcW w:w="1352" w:type="dxa"/>
          </w:tcPr>
          <w:p w14:paraId="141F5306" w14:textId="77777777" w:rsidR="00D86DC0" w:rsidRPr="00A52818" w:rsidRDefault="00D86DC0" w:rsidP="005B0079">
            <w:r w:rsidRPr="00A52818">
              <w:t>0.27 (-0.16 – 0.71)</w:t>
            </w:r>
          </w:p>
        </w:tc>
        <w:tc>
          <w:tcPr>
            <w:tcW w:w="483" w:type="dxa"/>
          </w:tcPr>
          <w:p w14:paraId="10C0BB6A" w14:textId="77777777" w:rsidR="00D86DC0" w:rsidRPr="00A52818" w:rsidRDefault="00D86DC0" w:rsidP="005B0079">
            <w:r w:rsidRPr="00A52818">
              <w:t>0.22</w:t>
            </w:r>
          </w:p>
        </w:tc>
        <w:tc>
          <w:tcPr>
            <w:tcW w:w="1546" w:type="dxa"/>
          </w:tcPr>
          <w:p w14:paraId="4CE287C1" w14:textId="77777777" w:rsidR="00D86DC0" w:rsidRPr="00A52818" w:rsidRDefault="00D86DC0" w:rsidP="005B0079">
            <w:r w:rsidRPr="00A52818">
              <w:t>0.27 (-1.96 – 2.49)</w:t>
            </w:r>
          </w:p>
        </w:tc>
        <w:tc>
          <w:tcPr>
            <w:tcW w:w="678" w:type="dxa"/>
          </w:tcPr>
          <w:p w14:paraId="297EE46F" w14:textId="77777777" w:rsidR="00D86DC0" w:rsidRPr="00A52818" w:rsidRDefault="00D86DC0" w:rsidP="005B0079">
            <w:r w:rsidRPr="00A52818">
              <w:t>0.81</w:t>
            </w:r>
          </w:p>
        </w:tc>
      </w:tr>
      <w:tr w:rsidR="00D86DC0" w:rsidRPr="00A52818" w14:paraId="54953058" w14:textId="77777777" w:rsidTr="005B0079">
        <w:trPr>
          <w:cnfStyle w:val="000000100000" w:firstRow="0" w:lastRow="0" w:firstColumn="0" w:lastColumn="0" w:oddVBand="0" w:evenVBand="0" w:oddHBand="1" w:evenHBand="0" w:firstRowFirstColumn="0" w:firstRowLastColumn="0" w:lastRowFirstColumn="0" w:lastRowLastColumn="0"/>
          <w:trHeight w:val="177"/>
        </w:trPr>
        <w:tc>
          <w:tcPr>
            <w:tcW w:w="1797" w:type="dxa"/>
          </w:tcPr>
          <w:p w14:paraId="343A4C07" w14:textId="77777777" w:rsidR="00D86DC0" w:rsidRPr="00A52818" w:rsidRDefault="00D86DC0" w:rsidP="005B0079">
            <w:r w:rsidRPr="00A52818">
              <w:t>Gross Infarcts</w:t>
            </w:r>
          </w:p>
        </w:tc>
        <w:tc>
          <w:tcPr>
            <w:tcW w:w="1173" w:type="dxa"/>
          </w:tcPr>
          <w:p w14:paraId="3B836516" w14:textId="77777777" w:rsidR="00D86DC0" w:rsidRPr="003C65E7" w:rsidRDefault="00D86DC0" w:rsidP="005B0079">
            <w:pPr>
              <w:rPr>
                <w:b/>
                <w:bCs/>
              </w:rPr>
            </w:pPr>
            <w:r w:rsidRPr="003C65E7">
              <w:rPr>
                <w:b/>
                <w:bCs/>
              </w:rPr>
              <w:t>-0.38 (-0.75 – -0.01)</w:t>
            </w:r>
          </w:p>
        </w:tc>
        <w:tc>
          <w:tcPr>
            <w:tcW w:w="583" w:type="dxa"/>
          </w:tcPr>
          <w:p w14:paraId="3AC9CDD7" w14:textId="77777777" w:rsidR="00D86DC0" w:rsidRPr="00A52818" w:rsidRDefault="00D86DC0" w:rsidP="005B0079">
            <w:pPr>
              <w:jc w:val="center"/>
            </w:pPr>
            <w:r w:rsidRPr="00A52818">
              <w:rPr>
                <w:b/>
              </w:rPr>
              <w:t>0.04</w:t>
            </w:r>
          </w:p>
        </w:tc>
        <w:tc>
          <w:tcPr>
            <w:tcW w:w="1562" w:type="dxa"/>
          </w:tcPr>
          <w:p w14:paraId="6AEA8A91" w14:textId="77777777" w:rsidR="00D86DC0" w:rsidRPr="00A52818" w:rsidRDefault="00D86DC0" w:rsidP="005B0079">
            <w:r w:rsidRPr="00A52818">
              <w:t>-0.17 (-0.57 – 0.23)</w:t>
            </w:r>
          </w:p>
        </w:tc>
        <w:tc>
          <w:tcPr>
            <w:tcW w:w="483" w:type="dxa"/>
          </w:tcPr>
          <w:p w14:paraId="42D2D83C" w14:textId="77777777" w:rsidR="00D86DC0" w:rsidRPr="00A52818" w:rsidRDefault="00D86DC0" w:rsidP="005B0079">
            <w:r w:rsidRPr="00A52818">
              <w:t>0.41</w:t>
            </w:r>
          </w:p>
        </w:tc>
        <w:tc>
          <w:tcPr>
            <w:tcW w:w="1352" w:type="dxa"/>
          </w:tcPr>
          <w:p w14:paraId="2DBE3D81" w14:textId="77777777" w:rsidR="00D86DC0" w:rsidRPr="00A52818" w:rsidRDefault="00D86DC0" w:rsidP="005B0079">
            <w:r w:rsidRPr="00A52818">
              <w:t>-0.28 (-0.58 – 0.02)</w:t>
            </w:r>
          </w:p>
        </w:tc>
        <w:tc>
          <w:tcPr>
            <w:tcW w:w="483" w:type="dxa"/>
          </w:tcPr>
          <w:p w14:paraId="764A512E" w14:textId="77777777" w:rsidR="00D86DC0" w:rsidRPr="003C65E7" w:rsidRDefault="00D86DC0" w:rsidP="005B0079">
            <w:r w:rsidRPr="003C65E7">
              <w:t>0.07</w:t>
            </w:r>
          </w:p>
        </w:tc>
        <w:tc>
          <w:tcPr>
            <w:tcW w:w="1546" w:type="dxa"/>
          </w:tcPr>
          <w:p w14:paraId="1C195151" w14:textId="77777777" w:rsidR="00D86DC0" w:rsidRPr="003C65E7" w:rsidRDefault="00D86DC0" w:rsidP="005B0079">
            <w:pPr>
              <w:rPr>
                <w:b/>
                <w:bCs/>
              </w:rPr>
            </w:pPr>
            <w:r w:rsidRPr="003C65E7">
              <w:rPr>
                <w:b/>
                <w:bCs/>
              </w:rPr>
              <w:t>2.90 (1.29 – 4.51)</w:t>
            </w:r>
          </w:p>
        </w:tc>
        <w:tc>
          <w:tcPr>
            <w:tcW w:w="678" w:type="dxa"/>
          </w:tcPr>
          <w:p w14:paraId="125150CB" w14:textId="77777777" w:rsidR="00D86DC0" w:rsidRPr="00A52818" w:rsidRDefault="00D86DC0" w:rsidP="005B0079">
            <w:r w:rsidRPr="00A52818">
              <w:rPr>
                <w:b/>
              </w:rPr>
              <w:t>&lt;0.01</w:t>
            </w:r>
          </w:p>
        </w:tc>
      </w:tr>
      <w:tr w:rsidR="00D86DC0" w:rsidRPr="00A52818" w14:paraId="4524B28C" w14:textId="77777777" w:rsidTr="005B0079">
        <w:trPr>
          <w:trHeight w:val="201"/>
        </w:trPr>
        <w:tc>
          <w:tcPr>
            <w:tcW w:w="1797" w:type="dxa"/>
          </w:tcPr>
          <w:p w14:paraId="7A6C8D70" w14:textId="77777777" w:rsidR="00D86DC0" w:rsidRPr="00A52818" w:rsidRDefault="00D86DC0" w:rsidP="005B0079">
            <w:r w:rsidRPr="00A52818">
              <w:t>Microinfarcts</w:t>
            </w:r>
          </w:p>
        </w:tc>
        <w:tc>
          <w:tcPr>
            <w:tcW w:w="1173" w:type="dxa"/>
          </w:tcPr>
          <w:p w14:paraId="317AE9FD" w14:textId="77777777" w:rsidR="00D86DC0" w:rsidRPr="00A52818" w:rsidRDefault="00D86DC0" w:rsidP="005B0079">
            <w:pPr>
              <w:rPr>
                <w:b/>
                <w:bCs/>
              </w:rPr>
            </w:pPr>
            <w:r w:rsidRPr="00A52818">
              <w:rPr>
                <w:b/>
                <w:bCs/>
              </w:rPr>
              <w:t>-0.41 (-0.72 – -0.11)</w:t>
            </w:r>
          </w:p>
        </w:tc>
        <w:tc>
          <w:tcPr>
            <w:tcW w:w="583" w:type="dxa"/>
          </w:tcPr>
          <w:p w14:paraId="536F62C1" w14:textId="77777777" w:rsidR="00D86DC0" w:rsidRPr="00A52818" w:rsidRDefault="00D86DC0" w:rsidP="005B0079">
            <w:pPr>
              <w:jc w:val="center"/>
              <w:rPr>
                <w:b/>
                <w:bCs/>
              </w:rPr>
            </w:pPr>
            <w:r w:rsidRPr="00A52818">
              <w:rPr>
                <w:b/>
                <w:bCs/>
              </w:rPr>
              <w:t>0.01</w:t>
            </w:r>
          </w:p>
        </w:tc>
        <w:tc>
          <w:tcPr>
            <w:tcW w:w="1562" w:type="dxa"/>
          </w:tcPr>
          <w:p w14:paraId="732C69C4" w14:textId="77777777" w:rsidR="00D86DC0" w:rsidRPr="00A52818" w:rsidRDefault="00D86DC0" w:rsidP="005B0079">
            <w:pPr>
              <w:rPr>
                <w:b/>
                <w:bCs/>
              </w:rPr>
            </w:pPr>
            <w:r w:rsidRPr="00A52818">
              <w:rPr>
                <w:b/>
                <w:bCs/>
              </w:rPr>
              <w:t>-0.48 (-0.77 – -0.19)</w:t>
            </w:r>
          </w:p>
        </w:tc>
        <w:tc>
          <w:tcPr>
            <w:tcW w:w="483" w:type="dxa"/>
          </w:tcPr>
          <w:p w14:paraId="09E27460" w14:textId="77777777" w:rsidR="00D86DC0" w:rsidRPr="00A52818" w:rsidRDefault="00D86DC0" w:rsidP="005B0079">
            <w:r w:rsidRPr="00A52818">
              <w:rPr>
                <w:b/>
              </w:rPr>
              <w:t>&lt;0.01</w:t>
            </w:r>
          </w:p>
        </w:tc>
        <w:tc>
          <w:tcPr>
            <w:tcW w:w="1352" w:type="dxa"/>
          </w:tcPr>
          <w:p w14:paraId="4F973734" w14:textId="77777777" w:rsidR="00D86DC0" w:rsidRPr="00A52818" w:rsidRDefault="00D86DC0" w:rsidP="005B0079">
            <w:pPr>
              <w:rPr>
                <w:b/>
              </w:rPr>
            </w:pPr>
            <w:r w:rsidRPr="00A52818">
              <w:rPr>
                <w:b/>
              </w:rPr>
              <w:t>-0.27 (-0.51 – -0.02)</w:t>
            </w:r>
          </w:p>
        </w:tc>
        <w:tc>
          <w:tcPr>
            <w:tcW w:w="483" w:type="dxa"/>
          </w:tcPr>
          <w:p w14:paraId="772DA5CC" w14:textId="77777777" w:rsidR="00D86DC0" w:rsidRPr="00A52818" w:rsidRDefault="00D86DC0" w:rsidP="005B0079">
            <w:r w:rsidRPr="00A52818">
              <w:rPr>
                <w:b/>
              </w:rPr>
              <w:t>0.03</w:t>
            </w:r>
          </w:p>
        </w:tc>
        <w:tc>
          <w:tcPr>
            <w:tcW w:w="1546" w:type="dxa"/>
          </w:tcPr>
          <w:p w14:paraId="2D3E7022" w14:textId="77777777" w:rsidR="00D86DC0" w:rsidRPr="00A52818" w:rsidRDefault="00D86DC0" w:rsidP="005B0079">
            <w:pPr>
              <w:rPr>
                <w:b/>
              </w:rPr>
            </w:pPr>
            <w:r w:rsidRPr="00A52818">
              <w:rPr>
                <w:b/>
              </w:rPr>
              <w:t>1.46 (0.13 – 2.80)</w:t>
            </w:r>
          </w:p>
        </w:tc>
        <w:tc>
          <w:tcPr>
            <w:tcW w:w="678" w:type="dxa"/>
          </w:tcPr>
          <w:p w14:paraId="4F6086EB" w14:textId="77777777" w:rsidR="00D86DC0" w:rsidRPr="00A52818" w:rsidRDefault="00D86DC0" w:rsidP="005B0079">
            <w:r w:rsidRPr="00A52818">
              <w:rPr>
                <w:b/>
              </w:rPr>
              <w:t>0.03</w:t>
            </w:r>
          </w:p>
        </w:tc>
      </w:tr>
      <w:tr w:rsidR="00D86DC0" w:rsidRPr="00A52818" w14:paraId="2BA7A4C0" w14:textId="77777777" w:rsidTr="005B0079">
        <w:trPr>
          <w:cnfStyle w:val="000000100000" w:firstRow="0" w:lastRow="0" w:firstColumn="0" w:lastColumn="0" w:oddVBand="0" w:evenVBand="0" w:oddHBand="1" w:evenHBand="0" w:firstRowFirstColumn="0" w:firstRowLastColumn="0" w:lastRowFirstColumn="0" w:lastRowLastColumn="0"/>
          <w:trHeight w:val="201"/>
        </w:trPr>
        <w:tc>
          <w:tcPr>
            <w:tcW w:w="9657" w:type="dxa"/>
            <w:gridSpan w:val="9"/>
          </w:tcPr>
          <w:p w14:paraId="2BE28226" w14:textId="77777777" w:rsidR="00D86DC0" w:rsidRPr="00A52818" w:rsidRDefault="00D86DC0" w:rsidP="005B0079">
            <w:pPr>
              <w:rPr>
                <w:b/>
                <w:bCs/>
              </w:rPr>
            </w:pPr>
            <w:r w:rsidRPr="00A52818">
              <w:t>This table presents the results of linear regression analyses examining the associations between vascular neuropathologies and cognitive domain scores (memory, executive function, and language), as well as dementia severity measured by the Clinical Dementia Rating (CDR) Sum of Boxes, after excluding individuals with low neuritic amyloid pathology. Beta coefficients (β) with 95% confidence intervals (CI) and corresponding p-values are reported for arteriolosclerosis, atherosclerosis, cerebral amyloid angiopathy (CAA), gross infarcts, and microinfarcts. Negative β values indicate poorer cognitive performance associated with the presence of the pathology, while positive β values for the CDR Sum of Boxes indicate greater dementia severity. Statistical significance was defined as p &lt; 0.05.</w:t>
            </w:r>
          </w:p>
        </w:tc>
      </w:tr>
    </w:tbl>
    <w:p w14:paraId="59683563" w14:textId="77777777" w:rsidR="00D86DC0" w:rsidRPr="00A52818" w:rsidRDefault="00D86DC0" w:rsidP="00D86DC0">
      <w:pPr>
        <w:shd w:val="clear" w:color="auto" w:fill="FFFFFF"/>
        <w:rPr>
          <w:color w:val="1C1D1E"/>
        </w:rPr>
      </w:pPr>
    </w:p>
    <w:p w14:paraId="0DD4F66D" w14:textId="77777777" w:rsidR="00D86DC0" w:rsidRDefault="00D86DC0" w:rsidP="00D86DC0">
      <w:pPr>
        <w:shd w:val="clear" w:color="auto" w:fill="FFFFFF"/>
        <w:rPr>
          <w:color w:val="1C1D1E"/>
        </w:rPr>
      </w:pPr>
    </w:p>
    <w:p w14:paraId="3DFE76CF" w14:textId="77777777" w:rsidR="00D86DC0" w:rsidRDefault="00D86DC0" w:rsidP="00D86DC0">
      <w:pPr>
        <w:shd w:val="clear" w:color="auto" w:fill="FFFFFF"/>
        <w:rPr>
          <w:color w:val="1C1D1E"/>
        </w:rPr>
      </w:pPr>
    </w:p>
    <w:p w14:paraId="6620BA6A" w14:textId="77777777" w:rsidR="00D86DC0" w:rsidRDefault="00D86DC0" w:rsidP="00D86DC0">
      <w:pPr>
        <w:shd w:val="clear" w:color="auto" w:fill="FFFFFF"/>
        <w:rPr>
          <w:color w:val="1C1D1E"/>
        </w:rPr>
      </w:pPr>
    </w:p>
    <w:p w14:paraId="109C5ED6" w14:textId="77777777" w:rsidR="00D86DC0" w:rsidRDefault="00D86DC0" w:rsidP="00D86DC0">
      <w:pPr>
        <w:shd w:val="clear" w:color="auto" w:fill="FFFFFF"/>
        <w:rPr>
          <w:color w:val="1C1D1E"/>
        </w:rPr>
      </w:pPr>
    </w:p>
    <w:p w14:paraId="59EEE18D" w14:textId="77777777" w:rsidR="00D86DC0" w:rsidRDefault="00D86DC0" w:rsidP="00D86DC0">
      <w:pPr>
        <w:shd w:val="clear" w:color="auto" w:fill="FFFFFF"/>
        <w:rPr>
          <w:color w:val="1C1D1E"/>
        </w:rPr>
      </w:pPr>
    </w:p>
    <w:p w14:paraId="3C4FC5B3" w14:textId="77777777" w:rsidR="00D86DC0" w:rsidRDefault="00D86DC0" w:rsidP="00D86DC0">
      <w:pPr>
        <w:shd w:val="clear" w:color="auto" w:fill="FFFFFF"/>
        <w:rPr>
          <w:color w:val="1C1D1E"/>
        </w:rPr>
      </w:pPr>
    </w:p>
    <w:p w14:paraId="5B6037F2" w14:textId="77777777" w:rsidR="00D86DC0" w:rsidRDefault="00D86DC0" w:rsidP="00D86DC0">
      <w:pPr>
        <w:shd w:val="clear" w:color="auto" w:fill="FFFFFF"/>
        <w:rPr>
          <w:color w:val="1C1D1E"/>
        </w:rPr>
      </w:pPr>
    </w:p>
    <w:p w14:paraId="154F298A" w14:textId="77777777" w:rsidR="00D86DC0" w:rsidRDefault="00D86DC0" w:rsidP="00D86DC0">
      <w:pPr>
        <w:shd w:val="clear" w:color="auto" w:fill="FFFFFF"/>
        <w:rPr>
          <w:color w:val="1C1D1E"/>
        </w:rPr>
      </w:pPr>
    </w:p>
    <w:p w14:paraId="18F958D2" w14:textId="77777777" w:rsidR="00D86DC0" w:rsidRDefault="00D86DC0" w:rsidP="00D86DC0">
      <w:pPr>
        <w:shd w:val="clear" w:color="auto" w:fill="FFFFFF"/>
        <w:rPr>
          <w:color w:val="1C1D1E"/>
        </w:rPr>
      </w:pPr>
    </w:p>
    <w:p w14:paraId="30D120EB" w14:textId="77777777" w:rsidR="00D86DC0" w:rsidRDefault="00D86DC0" w:rsidP="00D86DC0">
      <w:pPr>
        <w:shd w:val="clear" w:color="auto" w:fill="FFFFFF"/>
        <w:rPr>
          <w:color w:val="1C1D1E"/>
        </w:rPr>
      </w:pPr>
    </w:p>
    <w:p w14:paraId="61E8ACCA" w14:textId="77777777" w:rsidR="00D86DC0" w:rsidRDefault="00D86DC0" w:rsidP="00D86DC0">
      <w:pPr>
        <w:shd w:val="clear" w:color="auto" w:fill="FFFFFF"/>
        <w:rPr>
          <w:color w:val="1C1D1E"/>
        </w:rPr>
      </w:pPr>
    </w:p>
    <w:p w14:paraId="36399DEC" w14:textId="77777777" w:rsidR="00D86DC0" w:rsidRDefault="00D86DC0" w:rsidP="00D86DC0">
      <w:pPr>
        <w:shd w:val="clear" w:color="auto" w:fill="FFFFFF"/>
        <w:rPr>
          <w:color w:val="1C1D1E"/>
        </w:rPr>
      </w:pPr>
    </w:p>
    <w:p w14:paraId="5B6C26B9" w14:textId="77777777" w:rsidR="00D86DC0" w:rsidRPr="00A52818" w:rsidRDefault="00D86DC0" w:rsidP="00D86DC0">
      <w:pPr>
        <w:shd w:val="clear" w:color="auto" w:fill="FFFFFF"/>
        <w:rPr>
          <w:color w:val="1C1D1E"/>
        </w:rPr>
      </w:pPr>
    </w:p>
    <w:p w14:paraId="5F1665B1" w14:textId="77777777" w:rsidR="00D86DC0" w:rsidRPr="00A52818" w:rsidRDefault="00D86DC0" w:rsidP="00D86DC0">
      <w:pPr>
        <w:shd w:val="clear" w:color="auto" w:fill="FFFFFF"/>
        <w:rPr>
          <w:color w:val="1C1D1E"/>
        </w:rPr>
      </w:pPr>
    </w:p>
    <w:p w14:paraId="79481303" w14:textId="77777777" w:rsidR="00D86DC0" w:rsidRPr="00A52818" w:rsidRDefault="00D86DC0" w:rsidP="00D86DC0">
      <w:pPr>
        <w:shd w:val="clear" w:color="auto" w:fill="FFFFFF"/>
        <w:rPr>
          <w:color w:val="1C1D1E"/>
        </w:rPr>
      </w:pPr>
    </w:p>
    <w:tbl>
      <w:tblPr>
        <w:tblStyle w:val="PlainTable2"/>
        <w:tblW w:w="9657" w:type="dxa"/>
        <w:tblLayout w:type="fixed"/>
        <w:tblLook w:val="0400" w:firstRow="0" w:lastRow="0" w:firstColumn="0" w:lastColumn="0" w:noHBand="0" w:noVBand="1"/>
      </w:tblPr>
      <w:tblGrid>
        <w:gridCol w:w="1797"/>
        <w:gridCol w:w="1173"/>
        <w:gridCol w:w="583"/>
        <w:gridCol w:w="1562"/>
        <w:gridCol w:w="483"/>
        <w:gridCol w:w="1352"/>
        <w:gridCol w:w="483"/>
        <w:gridCol w:w="1546"/>
        <w:gridCol w:w="678"/>
      </w:tblGrid>
      <w:tr w:rsidR="00D86DC0" w:rsidRPr="00A52818" w14:paraId="06CDED7C" w14:textId="77777777" w:rsidTr="005B0079">
        <w:trPr>
          <w:cnfStyle w:val="000000100000" w:firstRow="0" w:lastRow="0" w:firstColumn="0" w:lastColumn="0" w:oddVBand="0" w:evenVBand="0" w:oddHBand="1" w:evenHBand="0" w:firstRowFirstColumn="0" w:firstRowLastColumn="0" w:lastRowFirstColumn="0" w:lastRowLastColumn="0"/>
          <w:trHeight w:val="169"/>
        </w:trPr>
        <w:tc>
          <w:tcPr>
            <w:tcW w:w="9657" w:type="dxa"/>
            <w:gridSpan w:val="9"/>
          </w:tcPr>
          <w:p w14:paraId="5D0E4084" w14:textId="77777777" w:rsidR="00D86DC0" w:rsidRPr="00A52818" w:rsidRDefault="00D86DC0" w:rsidP="005B0079">
            <w:pPr>
              <w:rPr>
                <w:i/>
              </w:rPr>
            </w:pPr>
            <w:r w:rsidRPr="00A52818">
              <w:rPr>
                <w:color w:val="1C1D1E"/>
              </w:rPr>
              <w:lastRenderedPageBreak/>
              <w:t>Supplementary Table 4:</w:t>
            </w:r>
            <w:r w:rsidRPr="00A52818">
              <w:rPr>
                <w:b/>
                <w:color w:val="1C1D1E"/>
              </w:rPr>
              <w:t xml:space="preserve"> </w:t>
            </w:r>
            <w:r w:rsidRPr="00A52818">
              <w:rPr>
                <w:color w:val="1C1D1E"/>
              </w:rPr>
              <w:t>Association between vascular neuropathologies and cross-sectional cognitive domain scores &amp; dementia adjusting for neuritic plaques and Braak stage</w:t>
            </w:r>
          </w:p>
        </w:tc>
      </w:tr>
      <w:tr w:rsidR="00D86DC0" w:rsidRPr="00A52818" w14:paraId="3081FD09" w14:textId="77777777" w:rsidTr="005B0079">
        <w:trPr>
          <w:trHeight w:val="284"/>
        </w:trPr>
        <w:tc>
          <w:tcPr>
            <w:tcW w:w="1797" w:type="dxa"/>
          </w:tcPr>
          <w:p w14:paraId="251C663F" w14:textId="77777777" w:rsidR="00D86DC0" w:rsidRPr="00A52818" w:rsidRDefault="00D86DC0" w:rsidP="005B0079">
            <w:pPr>
              <w:rPr>
                <w:i/>
              </w:rPr>
            </w:pPr>
          </w:p>
        </w:tc>
        <w:tc>
          <w:tcPr>
            <w:tcW w:w="1756" w:type="dxa"/>
            <w:gridSpan w:val="2"/>
          </w:tcPr>
          <w:p w14:paraId="4D8B3B34" w14:textId="77777777" w:rsidR="00D86DC0" w:rsidRPr="00A52818" w:rsidRDefault="00D86DC0" w:rsidP="005B0079">
            <w:pPr>
              <w:rPr>
                <w:i/>
              </w:rPr>
            </w:pPr>
            <w:r w:rsidRPr="00A52818">
              <w:rPr>
                <w:i/>
              </w:rPr>
              <w:t>Memory</w:t>
            </w:r>
          </w:p>
        </w:tc>
        <w:tc>
          <w:tcPr>
            <w:tcW w:w="2045" w:type="dxa"/>
            <w:gridSpan w:val="2"/>
          </w:tcPr>
          <w:p w14:paraId="716B1C32" w14:textId="77777777" w:rsidR="00D86DC0" w:rsidRPr="00A52818" w:rsidRDefault="00D86DC0" w:rsidP="005B0079">
            <w:pPr>
              <w:rPr>
                <w:i/>
              </w:rPr>
            </w:pPr>
            <w:r w:rsidRPr="00A52818">
              <w:rPr>
                <w:i/>
              </w:rPr>
              <w:t>Executive Function</w:t>
            </w:r>
          </w:p>
        </w:tc>
        <w:tc>
          <w:tcPr>
            <w:tcW w:w="1835" w:type="dxa"/>
            <w:gridSpan w:val="2"/>
          </w:tcPr>
          <w:p w14:paraId="35258FFE" w14:textId="77777777" w:rsidR="00D86DC0" w:rsidRPr="00A52818" w:rsidRDefault="00D86DC0" w:rsidP="005B0079">
            <w:pPr>
              <w:rPr>
                <w:i/>
              </w:rPr>
            </w:pPr>
            <w:r w:rsidRPr="00A52818">
              <w:rPr>
                <w:i/>
              </w:rPr>
              <w:t>Language</w:t>
            </w:r>
          </w:p>
        </w:tc>
        <w:tc>
          <w:tcPr>
            <w:tcW w:w="2224" w:type="dxa"/>
            <w:gridSpan w:val="2"/>
          </w:tcPr>
          <w:p w14:paraId="7D11D76A" w14:textId="77777777" w:rsidR="00D86DC0" w:rsidRPr="00A52818" w:rsidRDefault="00D86DC0" w:rsidP="005B0079">
            <w:pPr>
              <w:rPr>
                <w:i/>
              </w:rPr>
            </w:pPr>
            <w:r w:rsidRPr="00A52818">
              <w:rPr>
                <w:i/>
              </w:rPr>
              <w:t>CDR Sum of Boxes</w:t>
            </w:r>
          </w:p>
        </w:tc>
      </w:tr>
      <w:tr w:rsidR="00D86DC0" w:rsidRPr="00A52818" w14:paraId="09AAD2CD" w14:textId="77777777" w:rsidTr="005B0079">
        <w:trPr>
          <w:cnfStyle w:val="000000100000" w:firstRow="0" w:lastRow="0" w:firstColumn="0" w:lastColumn="0" w:oddVBand="0" w:evenVBand="0" w:oddHBand="1" w:evenHBand="0" w:firstRowFirstColumn="0" w:firstRowLastColumn="0" w:lastRowFirstColumn="0" w:lastRowLastColumn="0"/>
          <w:trHeight w:val="189"/>
        </w:trPr>
        <w:tc>
          <w:tcPr>
            <w:tcW w:w="1797" w:type="dxa"/>
          </w:tcPr>
          <w:p w14:paraId="05D521F5" w14:textId="77777777" w:rsidR="00D86DC0" w:rsidRPr="00A52818" w:rsidRDefault="00D86DC0" w:rsidP="005B0079">
            <w:pPr>
              <w:rPr>
                <w:i/>
              </w:rPr>
            </w:pPr>
            <w:r w:rsidRPr="00A52818">
              <w:rPr>
                <w:i/>
              </w:rPr>
              <w:t>Predictor</w:t>
            </w:r>
          </w:p>
        </w:tc>
        <w:tc>
          <w:tcPr>
            <w:tcW w:w="1173" w:type="dxa"/>
          </w:tcPr>
          <w:p w14:paraId="5C8465C1" w14:textId="77777777" w:rsidR="00D86DC0" w:rsidRPr="00A52818" w:rsidRDefault="00D86DC0" w:rsidP="005B0079">
            <w:pPr>
              <w:rPr>
                <w:i/>
              </w:rPr>
            </w:pPr>
            <w:r w:rsidRPr="00A52818">
              <w:rPr>
                <w:i/>
              </w:rPr>
              <w:t>β (95% CI)</w:t>
            </w:r>
          </w:p>
        </w:tc>
        <w:tc>
          <w:tcPr>
            <w:tcW w:w="583" w:type="dxa"/>
          </w:tcPr>
          <w:p w14:paraId="5E408E54" w14:textId="77777777" w:rsidR="00D86DC0" w:rsidRPr="00A52818" w:rsidRDefault="00D86DC0" w:rsidP="005B0079">
            <w:pPr>
              <w:rPr>
                <w:i/>
              </w:rPr>
            </w:pPr>
            <w:r w:rsidRPr="00A52818">
              <w:rPr>
                <w:i/>
              </w:rPr>
              <w:t>p</w:t>
            </w:r>
          </w:p>
        </w:tc>
        <w:tc>
          <w:tcPr>
            <w:tcW w:w="1562" w:type="dxa"/>
          </w:tcPr>
          <w:p w14:paraId="6DA117F6" w14:textId="77777777" w:rsidR="00D86DC0" w:rsidRPr="00A52818" w:rsidRDefault="00D86DC0" w:rsidP="005B0079">
            <w:pPr>
              <w:rPr>
                <w:i/>
              </w:rPr>
            </w:pPr>
            <w:r w:rsidRPr="00A52818">
              <w:rPr>
                <w:i/>
              </w:rPr>
              <w:t>β (95% CI)</w:t>
            </w:r>
          </w:p>
        </w:tc>
        <w:tc>
          <w:tcPr>
            <w:tcW w:w="483" w:type="dxa"/>
          </w:tcPr>
          <w:p w14:paraId="58212456" w14:textId="77777777" w:rsidR="00D86DC0" w:rsidRPr="00A52818" w:rsidRDefault="00D86DC0" w:rsidP="005B0079">
            <w:pPr>
              <w:rPr>
                <w:i/>
              </w:rPr>
            </w:pPr>
            <w:r w:rsidRPr="00A52818">
              <w:rPr>
                <w:i/>
              </w:rPr>
              <w:t>p</w:t>
            </w:r>
          </w:p>
        </w:tc>
        <w:tc>
          <w:tcPr>
            <w:tcW w:w="1352" w:type="dxa"/>
          </w:tcPr>
          <w:p w14:paraId="0A7BEDB5" w14:textId="77777777" w:rsidR="00D86DC0" w:rsidRPr="00A52818" w:rsidRDefault="00D86DC0" w:rsidP="005B0079">
            <w:pPr>
              <w:rPr>
                <w:i/>
              </w:rPr>
            </w:pPr>
            <w:r w:rsidRPr="00A52818">
              <w:rPr>
                <w:i/>
              </w:rPr>
              <w:t>β (95% CI)</w:t>
            </w:r>
          </w:p>
        </w:tc>
        <w:tc>
          <w:tcPr>
            <w:tcW w:w="483" w:type="dxa"/>
          </w:tcPr>
          <w:p w14:paraId="4F5AF2E6" w14:textId="77777777" w:rsidR="00D86DC0" w:rsidRPr="00A52818" w:rsidRDefault="00D86DC0" w:rsidP="005B0079">
            <w:pPr>
              <w:rPr>
                <w:i/>
              </w:rPr>
            </w:pPr>
            <w:r w:rsidRPr="00A52818">
              <w:rPr>
                <w:i/>
              </w:rPr>
              <w:t>p</w:t>
            </w:r>
          </w:p>
        </w:tc>
        <w:tc>
          <w:tcPr>
            <w:tcW w:w="1546" w:type="dxa"/>
          </w:tcPr>
          <w:p w14:paraId="6F253998" w14:textId="77777777" w:rsidR="00D86DC0" w:rsidRPr="00A52818" w:rsidRDefault="00D86DC0" w:rsidP="005B0079">
            <w:pPr>
              <w:rPr>
                <w:i/>
              </w:rPr>
            </w:pPr>
            <w:r w:rsidRPr="00A52818">
              <w:rPr>
                <w:i/>
              </w:rPr>
              <w:t>β (95% CI)</w:t>
            </w:r>
          </w:p>
        </w:tc>
        <w:tc>
          <w:tcPr>
            <w:tcW w:w="678" w:type="dxa"/>
          </w:tcPr>
          <w:p w14:paraId="021F6679" w14:textId="77777777" w:rsidR="00D86DC0" w:rsidRPr="00A52818" w:rsidRDefault="00D86DC0" w:rsidP="005B0079">
            <w:pPr>
              <w:rPr>
                <w:i/>
              </w:rPr>
            </w:pPr>
            <w:r w:rsidRPr="00A52818">
              <w:rPr>
                <w:i/>
              </w:rPr>
              <w:t>p</w:t>
            </w:r>
          </w:p>
        </w:tc>
      </w:tr>
      <w:tr w:rsidR="00D86DC0" w:rsidRPr="00A52818" w14:paraId="047A4142" w14:textId="77777777" w:rsidTr="005B0079">
        <w:trPr>
          <w:trHeight w:val="193"/>
        </w:trPr>
        <w:tc>
          <w:tcPr>
            <w:tcW w:w="1797" w:type="dxa"/>
          </w:tcPr>
          <w:p w14:paraId="7965C7B5" w14:textId="77777777" w:rsidR="00D86DC0" w:rsidRPr="00A52818" w:rsidRDefault="00D86DC0" w:rsidP="005B0079">
            <w:r w:rsidRPr="00A52818">
              <w:t xml:space="preserve">Arteriolosclerosis </w:t>
            </w:r>
          </w:p>
        </w:tc>
        <w:tc>
          <w:tcPr>
            <w:tcW w:w="1173" w:type="dxa"/>
          </w:tcPr>
          <w:p w14:paraId="50AB554B" w14:textId="77777777" w:rsidR="00D86DC0" w:rsidRPr="00A52818" w:rsidRDefault="00D86DC0" w:rsidP="005B0079">
            <w:r w:rsidRPr="00A52818">
              <w:t>-0.10</w:t>
            </w:r>
            <w:r w:rsidRPr="00A52818">
              <w:br/>
              <w:t>(-0.30 – 0.11)</w:t>
            </w:r>
          </w:p>
        </w:tc>
        <w:tc>
          <w:tcPr>
            <w:tcW w:w="583" w:type="dxa"/>
          </w:tcPr>
          <w:p w14:paraId="57F3F40A" w14:textId="77777777" w:rsidR="00D86DC0" w:rsidRPr="00A52818" w:rsidRDefault="00D86DC0" w:rsidP="005B0079">
            <w:pPr>
              <w:jc w:val="center"/>
            </w:pPr>
            <w:r w:rsidRPr="00A52818">
              <w:t>0.36</w:t>
            </w:r>
          </w:p>
        </w:tc>
        <w:tc>
          <w:tcPr>
            <w:tcW w:w="1562" w:type="dxa"/>
          </w:tcPr>
          <w:p w14:paraId="44E5FCA6" w14:textId="77777777" w:rsidR="00D86DC0" w:rsidRPr="00A52818" w:rsidRDefault="00D86DC0" w:rsidP="005B0079">
            <w:r w:rsidRPr="00A52818">
              <w:t>-0.10</w:t>
            </w:r>
            <w:r w:rsidRPr="00A52818">
              <w:br/>
              <w:t>(-0.28 – 0.08)</w:t>
            </w:r>
          </w:p>
        </w:tc>
        <w:tc>
          <w:tcPr>
            <w:tcW w:w="483" w:type="dxa"/>
          </w:tcPr>
          <w:p w14:paraId="461A3E0D" w14:textId="77777777" w:rsidR="00D86DC0" w:rsidRPr="00A52818" w:rsidRDefault="00D86DC0" w:rsidP="005B0079">
            <w:r w:rsidRPr="00A52818">
              <w:t>0.29</w:t>
            </w:r>
          </w:p>
        </w:tc>
        <w:tc>
          <w:tcPr>
            <w:tcW w:w="1352" w:type="dxa"/>
          </w:tcPr>
          <w:p w14:paraId="77CB5914" w14:textId="77777777" w:rsidR="00D86DC0" w:rsidRPr="00A52818" w:rsidRDefault="00D86DC0" w:rsidP="005B0079">
            <w:r w:rsidRPr="00A52818">
              <w:t>-0.13</w:t>
            </w:r>
            <w:r w:rsidRPr="00A52818">
              <w:br/>
              <w:t>(-0.28 – 0.02)</w:t>
            </w:r>
          </w:p>
        </w:tc>
        <w:tc>
          <w:tcPr>
            <w:tcW w:w="483" w:type="dxa"/>
          </w:tcPr>
          <w:p w14:paraId="4F2544BB" w14:textId="77777777" w:rsidR="00D86DC0" w:rsidRPr="00A52818" w:rsidRDefault="00D86DC0" w:rsidP="005B0079">
            <w:r w:rsidRPr="00A52818">
              <w:t>0.09</w:t>
            </w:r>
          </w:p>
        </w:tc>
        <w:tc>
          <w:tcPr>
            <w:tcW w:w="1546" w:type="dxa"/>
          </w:tcPr>
          <w:p w14:paraId="63CAAC7F" w14:textId="77777777" w:rsidR="00D86DC0" w:rsidRPr="00A52818" w:rsidRDefault="00D86DC0" w:rsidP="005B0079">
            <w:r w:rsidRPr="00A52818">
              <w:t>0.03</w:t>
            </w:r>
            <w:r w:rsidRPr="00A52818">
              <w:br/>
              <w:t>(-0.89 – 0.96)</w:t>
            </w:r>
          </w:p>
        </w:tc>
        <w:tc>
          <w:tcPr>
            <w:tcW w:w="678" w:type="dxa"/>
          </w:tcPr>
          <w:p w14:paraId="714879EC" w14:textId="77777777" w:rsidR="00D86DC0" w:rsidRPr="00A52818" w:rsidRDefault="00D86DC0" w:rsidP="005B0079">
            <w:r w:rsidRPr="00A52818">
              <w:t>0.95</w:t>
            </w:r>
          </w:p>
        </w:tc>
      </w:tr>
      <w:tr w:rsidR="00D86DC0" w:rsidRPr="00A52818" w14:paraId="1E8EDE4D" w14:textId="77777777" w:rsidTr="005B0079">
        <w:trPr>
          <w:cnfStyle w:val="000000100000" w:firstRow="0" w:lastRow="0" w:firstColumn="0" w:lastColumn="0" w:oddVBand="0" w:evenVBand="0" w:oddHBand="1" w:evenHBand="0" w:firstRowFirstColumn="0" w:firstRowLastColumn="0" w:lastRowFirstColumn="0" w:lastRowLastColumn="0"/>
          <w:trHeight w:val="189"/>
        </w:trPr>
        <w:tc>
          <w:tcPr>
            <w:tcW w:w="1797" w:type="dxa"/>
          </w:tcPr>
          <w:p w14:paraId="61263174" w14:textId="77777777" w:rsidR="00D86DC0" w:rsidRPr="00A52818" w:rsidRDefault="00D86DC0" w:rsidP="005B0079">
            <w:r w:rsidRPr="00A52818">
              <w:t>Atherosclerosis</w:t>
            </w:r>
          </w:p>
        </w:tc>
        <w:tc>
          <w:tcPr>
            <w:tcW w:w="1173" w:type="dxa"/>
          </w:tcPr>
          <w:p w14:paraId="11441CFD" w14:textId="77777777" w:rsidR="00D86DC0" w:rsidRPr="00A52818" w:rsidRDefault="00D86DC0" w:rsidP="005B0079">
            <w:r w:rsidRPr="00A52818">
              <w:t>-0.10</w:t>
            </w:r>
            <w:r w:rsidRPr="00A52818">
              <w:br/>
              <w:t>(-0.31 – 0.11)</w:t>
            </w:r>
          </w:p>
        </w:tc>
        <w:tc>
          <w:tcPr>
            <w:tcW w:w="583" w:type="dxa"/>
          </w:tcPr>
          <w:p w14:paraId="7D18D452" w14:textId="77777777" w:rsidR="00D86DC0" w:rsidRPr="00A52818" w:rsidRDefault="00D86DC0" w:rsidP="005B0079">
            <w:pPr>
              <w:jc w:val="center"/>
            </w:pPr>
            <w:r w:rsidRPr="00A52818">
              <w:t>0.34</w:t>
            </w:r>
          </w:p>
        </w:tc>
        <w:tc>
          <w:tcPr>
            <w:tcW w:w="1562" w:type="dxa"/>
          </w:tcPr>
          <w:p w14:paraId="3C9659C1" w14:textId="77777777" w:rsidR="00D86DC0" w:rsidRPr="00A52818" w:rsidRDefault="00D86DC0" w:rsidP="005B0079">
            <w:r w:rsidRPr="00A52818">
              <w:t>-0.04</w:t>
            </w:r>
            <w:r w:rsidRPr="00A52818">
              <w:br/>
              <w:t>(-0.22 – 0.15)</w:t>
            </w:r>
          </w:p>
        </w:tc>
        <w:tc>
          <w:tcPr>
            <w:tcW w:w="483" w:type="dxa"/>
          </w:tcPr>
          <w:p w14:paraId="6EFE26A3" w14:textId="77777777" w:rsidR="00D86DC0" w:rsidRPr="00A52818" w:rsidRDefault="00D86DC0" w:rsidP="005B0079">
            <w:r w:rsidRPr="00A52818">
              <w:t>0.70</w:t>
            </w:r>
          </w:p>
        </w:tc>
        <w:tc>
          <w:tcPr>
            <w:tcW w:w="1352" w:type="dxa"/>
          </w:tcPr>
          <w:p w14:paraId="271D4024" w14:textId="77777777" w:rsidR="00D86DC0" w:rsidRPr="00A52818" w:rsidRDefault="00D86DC0" w:rsidP="005B0079">
            <w:r w:rsidRPr="00A52818">
              <w:t>0.07</w:t>
            </w:r>
            <w:r w:rsidRPr="00A52818">
              <w:br/>
              <w:t>(-0.09 – 0.22)</w:t>
            </w:r>
          </w:p>
        </w:tc>
        <w:tc>
          <w:tcPr>
            <w:tcW w:w="483" w:type="dxa"/>
          </w:tcPr>
          <w:p w14:paraId="28326166" w14:textId="77777777" w:rsidR="00D86DC0" w:rsidRPr="00A52818" w:rsidRDefault="00D86DC0" w:rsidP="005B0079">
            <w:r w:rsidRPr="00A52818">
              <w:t>0.41</w:t>
            </w:r>
          </w:p>
        </w:tc>
        <w:tc>
          <w:tcPr>
            <w:tcW w:w="1546" w:type="dxa"/>
          </w:tcPr>
          <w:p w14:paraId="2FCF4200" w14:textId="77777777" w:rsidR="00D86DC0" w:rsidRPr="00A52818" w:rsidRDefault="00D86DC0" w:rsidP="005B0079">
            <w:r w:rsidRPr="00A52818">
              <w:t>-0.01</w:t>
            </w:r>
            <w:r w:rsidRPr="00A52818">
              <w:br/>
              <w:t>(-0.94 – 0.93)</w:t>
            </w:r>
          </w:p>
        </w:tc>
        <w:tc>
          <w:tcPr>
            <w:tcW w:w="678" w:type="dxa"/>
          </w:tcPr>
          <w:p w14:paraId="3D23B977" w14:textId="77777777" w:rsidR="00D86DC0" w:rsidRPr="00A52818" w:rsidRDefault="00D86DC0" w:rsidP="005B0079">
            <w:r w:rsidRPr="00A52818">
              <w:t>0.99</w:t>
            </w:r>
          </w:p>
        </w:tc>
      </w:tr>
      <w:tr w:rsidR="00D86DC0" w:rsidRPr="00A52818" w14:paraId="05FA26C0" w14:textId="77777777" w:rsidTr="005B0079">
        <w:trPr>
          <w:trHeight w:val="189"/>
        </w:trPr>
        <w:tc>
          <w:tcPr>
            <w:tcW w:w="1797" w:type="dxa"/>
          </w:tcPr>
          <w:p w14:paraId="69F3022B" w14:textId="77777777" w:rsidR="00D86DC0" w:rsidRPr="00A52818" w:rsidRDefault="00D86DC0" w:rsidP="005B0079">
            <w:r w:rsidRPr="00A52818">
              <w:t>CAA</w:t>
            </w:r>
          </w:p>
        </w:tc>
        <w:tc>
          <w:tcPr>
            <w:tcW w:w="1173" w:type="dxa"/>
          </w:tcPr>
          <w:p w14:paraId="2AA70F6D" w14:textId="77777777" w:rsidR="00D86DC0" w:rsidRPr="00A52818" w:rsidRDefault="00D86DC0" w:rsidP="005B0079">
            <w:r w:rsidRPr="00A52818">
              <w:t>-0.06</w:t>
            </w:r>
            <w:r w:rsidRPr="00A52818">
              <w:br/>
              <w:t>(-0.32 – 0.21)</w:t>
            </w:r>
          </w:p>
        </w:tc>
        <w:tc>
          <w:tcPr>
            <w:tcW w:w="583" w:type="dxa"/>
          </w:tcPr>
          <w:p w14:paraId="6607A056" w14:textId="77777777" w:rsidR="00D86DC0" w:rsidRPr="00A52818" w:rsidRDefault="00D86DC0" w:rsidP="005B0079">
            <w:pPr>
              <w:jc w:val="center"/>
            </w:pPr>
            <w:r w:rsidRPr="00A52818">
              <w:t>0.67</w:t>
            </w:r>
          </w:p>
        </w:tc>
        <w:tc>
          <w:tcPr>
            <w:tcW w:w="1562" w:type="dxa"/>
          </w:tcPr>
          <w:p w14:paraId="4D9EF7FB" w14:textId="77777777" w:rsidR="00D86DC0" w:rsidRPr="00A52818" w:rsidRDefault="00D86DC0" w:rsidP="005B0079">
            <w:r w:rsidRPr="00A52818">
              <w:t>-0.00</w:t>
            </w:r>
            <w:r w:rsidRPr="00A52818">
              <w:br/>
              <w:t>(-0.24 – 0.24)</w:t>
            </w:r>
          </w:p>
        </w:tc>
        <w:tc>
          <w:tcPr>
            <w:tcW w:w="483" w:type="dxa"/>
          </w:tcPr>
          <w:p w14:paraId="669C31DF" w14:textId="77777777" w:rsidR="00D86DC0" w:rsidRPr="00A52818" w:rsidRDefault="00D86DC0" w:rsidP="005B0079">
            <w:r w:rsidRPr="00A52818">
              <w:t>0.99</w:t>
            </w:r>
          </w:p>
        </w:tc>
        <w:tc>
          <w:tcPr>
            <w:tcW w:w="1352" w:type="dxa"/>
          </w:tcPr>
          <w:p w14:paraId="1132221D" w14:textId="77777777" w:rsidR="00D86DC0" w:rsidRPr="00A52818" w:rsidRDefault="00D86DC0" w:rsidP="005B0079">
            <w:r w:rsidRPr="00A52818">
              <w:t>0.10</w:t>
            </w:r>
            <w:r w:rsidRPr="00A52818">
              <w:br/>
              <w:t>(-0.10 – 0.31)</w:t>
            </w:r>
          </w:p>
        </w:tc>
        <w:tc>
          <w:tcPr>
            <w:tcW w:w="483" w:type="dxa"/>
          </w:tcPr>
          <w:p w14:paraId="4B536DCE" w14:textId="77777777" w:rsidR="00D86DC0" w:rsidRPr="00A52818" w:rsidRDefault="00D86DC0" w:rsidP="005B0079">
            <w:r w:rsidRPr="00A52818">
              <w:t>0.32</w:t>
            </w:r>
          </w:p>
        </w:tc>
        <w:tc>
          <w:tcPr>
            <w:tcW w:w="1546" w:type="dxa"/>
          </w:tcPr>
          <w:p w14:paraId="5AA8454F" w14:textId="77777777" w:rsidR="00D86DC0" w:rsidRPr="00A52818" w:rsidRDefault="00D86DC0" w:rsidP="005B0079">
            <w:r w:rsidRPr="00A52818">
              <w:t>0.63</w:t>
            </w:r>
            <w:r w:rsidRPr="00A52818">
              <w:br/>
              <w:t>(-0.54 – 1.80)</w:t>
            </w:r>
          </w:p>
        </w:tc>
        <w:tc>
          <w:tcPr>
            <w:tcW w:w="678" w:type="dxa"/>
          </w:tcPr>
          <w:p w14:paraId="0477E0DD" w14:textId="77777777" w:rsidR="00D86DC0" w:rsidRPr="00A52818" w:rsidRDefault="00D86DC0" w:rsidP="005B0079">
            <w:r w:rsidRPr="00A52818">
              <w:t>0.29</w:t>
            </w:r>
          </w:p>
        </w:tc>
      </w:tr>
      <w:tr w:rsidR="00D86DC0" w:rsidRPr="00A52818" w14:paraId="3BC9B0EA" w14:textId="77777777" w:rsidTr="005B0079">
        <w:trPr>
          <w:cnfStyle w:val="000000100000" w:firstRow="0" w:lastRow="0" w:firstColumn="0" w:lastColumn="0" w:oddVBand="0" w:evenVBand="0" w:oddHBand="1" w:evenHBand="0" w:firstRowFirstColumn="0" w:firstRowLastColumn="0" w:lastRowFirstColumn="0" w:lastRowLastColumn="0"/>
          <w:trHeight w:val="177"/>
        </w:trPr>
        <w:tc>
          <w:tcPr>
            <w:tcW w:w="1797" w:type="dxa"/>
          </w:tcPr>
          <w:p w14:paraId="68AD4A85" w14:textId="77777777" w:rsidR="00D86DC0" w:rsidRPr="00A52818" w:rsidRDefault="00D86DC0" w:rsidP="005B0079">
            <w:r w:rsidRPr="00A52818">
              <w:t>Gross Infarcts</w:t>
            </w:r>
          </w:p>
        </w:tc>
        <w:tc>
          <w:tcPr>
            <w:tcW w:w="1173" w:type="dxa"/>
          </w:tcPr>
          <w:p w14:paraId="5B10C80D" w14:textId="77777777" w:rsidR="00D86DC0" w:rsidRPr="00A52818" w:rsidRDefault="00D86DC0" w:rsidP="005B0079">
            <w:pPr>
              <w:rPr>
                <w:b/>
                <w:bCs/>
              </w:rPr>
            </w:pPr>
            <w:r w:rsidRPr="00A52818">
              <w:rPr>
                <w:b/>
                <w:bCs/>
              </w:rPr>
              <w:t>-0.25</w:t>
            </w:r>
            <w:r w:rsidRPr="00A52818">
              <w:rPr>
                <w:b/>
                <w:bCs/>
              </w:rPr>
              <w:br/>
              <w:t>(-0.50 – -0.01)</w:t>
            </w:r>
          </w:p>
        </w:tc>
        <w:tc>
          <w:tcPr>
            <w:tcW w:w="583" w:type="dxa"/>
          </w:tcPr>
          <w:p w14:paraId="2DD77E9A" w14:textId="77777777" w:rsidR="00D86DC0" w:rsidRPr="00A52818" w:rsidRDefault="00D86DC0" w:rsidP="005B0079">
            <w:pPr>
              <w:jc w:val="center"/>
            </w:pPr>
            <w:r w:rsidRPr="00A52818">
              <w:rPr>
                <w:rStyle w:val="Strong"/>
                <w:rFonts w:eastAsiaTheme="majorEastAsia"/>
              </w:rPr>
              <w:t>0.04</w:t>
            </w:r>
          </w:p>
        </w:tc>
        <w:tc>
          <w:tcPr>
            <w:tcW w:w="1562" w:type="dxa"/>
          </w:tcPr>
          <w:p w14:paraId="3F20B8A8" w14:textId="77777777" w:rsidR="00D86DC0" w:rsidRPr="00A52818" w:rsidRDefault="00D86DC0" w:rsidP="005B0079">
            <w:r w:rsidRPr="00A52818">
              <w:t>-0.07</w:t>
            </w:r>
            <w:r w:rsidRPr="00A52818">
              <w:br/>
              <w:t>(-0.30 – 0.15)</w:t>
            </w:r>
          </w:p>
        </w:tc>
        <w:tc>
          <w:tcPr>
            <w:tcW w:w="483" w:type="dxa"/>
          </w:tcPr>
          <w:p w14:paraId="6558CF49" w14:textId="77777777" w:rsidR="00D86DC0" w:rsidRPr="00A52818" w:rsidRDefault="00D86DC0" w:rsidP="005B0079">
            <w:r w:rsidRPr="00A52818">
              <w:t>0.52</w:t>
            </w:r>
          </w:p>
        </w:tc>
        <w:tc>
          <w:tcPr>
            <w:tcW w:w="1352" w:type="dxa"/>
          </w:tcPr>
          <w:p w14:paraId="1B14FD96" w14:textId="77777777" w:rsidR="00D86DC0" w:rsidRPr="00A52818" w:rsidRDefault="00D86DC0" w:rsidP="005B0079">
            <w:r w:rsidRPr="00A52818">
              <w:t>-0.18</w:t>
            </w:r>
            <w:r w:rsidRPr="00A52818">
              <w:br/>
              <w:t>(-0.37 – 0.01)</w:t>
            </w:r>
          </w:p>
        </w:tc>
        <w:tc>
          <w:tcPr>
            <w:tcW w:w="483" w:type="dxa"/>
          </w:tcPr>
          <w:p w14:paraId="0F5123B6" w14:textId="77777777" w:rsidR="00D86DC0" w:rsidRPr="00A52818" w:rsidRDefault="00D86DC0" w:rsidP="005B0079">
            <w:r w:rsidRPr="00A52818">
              <w:t>0.06</w:t>
            </w:r>
          </w:p>
        </w:tc>
        <w:tc>
          <w:tcPr>
            <w:tcW w:w="1546" w:type="dxa"/>
          </w:tcPr>
          <w:p w14:paraId="36D3A3C8" w14:textId="77777777" w:rsidR="00D86DC0" w:rsidRPr="00A52818" w:rsidRDefault="00D86DC0" w:rsidP="005B0079">
            <w:pPr>
              <w:rPr>
                <w:b/>
                <w:bCs/>
              </w:rPr>
            </w:pPr>
            <w:r w:rsidRPr="00A52818">
              <w:rPr>
                <w:b/>
                <w:bCs/>
              </w:rPr>
              <w:t>1.69</w:t>
            </w:r>
            <w:r w:rsidRPr="00A52818">
              <w:rPr>
                <w:b/>
                <w:bCs/>
              </w:rPr>
              <w:br/>
              <w:t>(0.59 – 2.78)</w:t>
            </w:r>
          </w:p>
        </w:tc>
        <w:tc>
          <w:tcPr>
            <w:tcW w:w="678" w:type="dxa"/>
          </w:tcPr>
          <w:p w14:paraId="703EFF01" w14:textId="77777777" w:rsidR="00D86DC0" w:rsidRPr="00A52818" w:rsidRDefault="00D86DC0" w:rsidP="005B0079">
            <w:r w:rsidRPr="00A52818">
              <w:rPr>
                <w:rStyle w:val="Strong"/>
                <w:rFonts w:eastAsiaTheme="majorEastAsia"/>
              </w:rPr>
              <w:t>&lt;0.01</w:t>
            </w:r>
          </w:p>
        </w:tc>
      </w:tr>
      <w:tr w:rsidR="00D86DC0" w:rsidRPr="00A52818" w14:paraId="60D63749" w14:textId="77777777" w:rsidTr="005B0079">
        <w:trPr>
          <w:trHeight w:val="201"/>
        </w:trPr>
        <w:tc>
          <w:tcPr>
            <w:tcW w:w="1797" w:type="dxa"/>
          </w:tcPr>
          <w:p w14:paraId="4394DBE5" w14:textId="77777777" w:rsidR="00D86DC0" w:rsidRPr="00A52818" w:rsidRDefault="00D86DC0" w:rsidP="005B0079">
            <w:r w:rsidRPr="00A52818">
              <w:t>Microinfarcts</w:t>
            </w:r>
          </w:p>
        </w:tc>
        <w:tc>
          <w:tcPr>
            <w:tcW w:w="1173" w:type="dxa"/>
          </w:tcPr>
          <w:p w14:paraId="40C4C6B2" w14:textId="77777777" w:rsidR="00D86DC0" w:rsidRPr="00A52818" w:rsidRDefault="00D86DC0" w:rsidP="005B0079">
            <w:pPr>
              <w:rPr>
                <w:b/>
                <w:bCs/>
              </w:rPr>
            </w:pPr>
            <w:r w:rsidRPr="00A52818">
              <w:rPr>
                <w:b/>
                <w:bCs/>
              </w:rPr>
              <w:t>-0.27</w:t>
            </w:r>
            <w:r w:rsidRPr="00A52818">
              <w:rPr>
                <w:b/>
                <w:bCs/>
              </w:rPr>
              <w:br/>
              <w:t>(-0.48 – -0.05)</w:t>
            </w:r>
          </w:p>
        </w:tc>
        <w:tc>
          <w:tcPr>
            <w:tcW w:w="583" w:type="dxa"/>
          </w:tcPr>
          <w:p w14:paraId="580760B9" w14:textId="77777777" w:rsidR="00D86DC0" w:rsidRPr="00A52818" w:rsidRDefault="00D86DC0" w:rsidP="005B0079">
            <w:pPr>
              <w:jc w:val="center"/>
              <w:rPr>
                <w:b/>
                <w:bCs/>
              </w:rPr>
            </w:pPr>
            <w:r w:rsidRPr="00A52818">
              <w:rPr>
                <w:rStyle w:val="Strong"/>
                <w:rFonts w:eastAsiaTheme="majorEastAsia"/>
              </w:rPr>
              <w:t>0.02</w:t>
            </w:r>
          </w:p>
        </w:tc>
        <w:tc>
          <w:tcPr>
            <w:tcW w:w="1562" w:type="dxa"/>
          </w:tcPr>
          <w:p w14:paraId="2E166CAE" w14:textId="77777777" w:rsidR="00D86DC0" w:rsidRPr="00A52818" w:rsidRDefault="00D86DC0" w:rsidP="005B0079">
            <w:pPr>
              <w:rPr>
                <w:b/>
                <w:bCs/>
              </w:rPr>
            </w:pPr>
            <w:r w:rsidRPr="00A52818">
              <w:rPr>
                <w:b/>
                <w:bCs/>
              </w:rPr>
              <w:t>-0.25</w:t>
            </w:r>
            <w:r w:rsidRPr="00A52818">
              <w:rPr>
                <w:b/>
                <w:bCs/>
              </w:rPr>
              <w:br/>
              <w:t>(-0.44 – -0.05)</w:t>
            </w:r>
          </w:p>
        </w:tc>
        <w:tc>
          <w:tcPr>
            <w:tcW w:w="483" w:type="dxa"/>
          </w:tcPr>
          <w:p w14:paraId="2D541006" w14:textId="77777777" w:rsidR="00D86DC0" w:rsidRPr="00A52818" w:rsidRDefault="00D86DC0" w:rsidP="005B0079">
            <w:pPr>
              <w:rPr>
                <w:b/>
                <w:bCs/>
              </w:rPr>
            </w:pPr>
            <w:r w:rsidRPr="00A52818">
              <w:rPr>
                <w:rStyle w:val="Strong"/>
                <w:rFonts w:eastAsiaTheme="majorEastAsia"/>
              </w:rPr>
              <w:t>0.01</w:t>
            </w:r>
          </w:p>
        </w:tc>
        <w:tc>
          <w:tcPr>
            <w:tcW w:w="1352" w:type="dxa"/>
          </w:tcPr>
          <w:p w14:paraId="0CF79498" w14:textId="77777777" w:rsidR="00D86DC0" w:rsidRPr="00A52818" w:rsidRDefault="00D86DC0" w:rsidP="005B0079">
            <w:pPr>
              <w:rPr>
                <w:b/>
                <w:bCs/>
              </w:rPr>
            </w:pPr>
            <w:r w:rsidRPr="00A52818">
              <w:rPr>
                <w:b/>
                <w:bCs/>
              </w:rPr>
              <w:t>-0.22</w:t>
            </w:r>
            <w:r w:rsidRPr="00A52818">
              <w:rPr>
                <w:b/>
                <w:bCs/>
              </w:rPr>
              <w:br/>
              <w:t>(-0.38 – -0.05)</w:t>
            </w:r>
          </w:p>
        </w:tc>
        <w:tc>
          <w:tcPr>
            <w:tcW w:w="483" w:type="dxa"/>
          </w:tcPr>
          <w:p w14:paraId="110C399A" w14:textId="77777777" w:rsidR="00D86DC0" w:rsidRPr="00A52818" w:rsidRDefault="00D86DC0" w:rsidP="005B0079">
            <w:pPr>
              <w:rPr>
                <w:b/>
                <w:bCs/>
              </w:rPr>
            </w:pPr>
            <w:r w:rsidRPr="00A52818">
              <w:rPr>
                <w:rStyle w:val="Strong"/>
                <w:rFonts w:eastAsiaTheme="majorEastAsia"/>
              </w:rPr>
              <w:t>0.01</w:t>
            </w:r>
          </w:p>
        </w:tc>
        <w:tc>
          <w:tcPr>
            <w:tcW w:w="1546" w:type="dxa"/>
          </w:tcPr>
          <w:p w14:paraId="1D0A8D22" w14:textId="77777777" w:rsidR="00D86DC0" w:rsidRPr="00A52818" w:rsidRDefault="00D86DC0" w:rsidP="005B0079">
            <w:pPr>
              <w:rPr>
                <w:b/>
                <w:bCs/>
              </w:rPr>
            </w:pPr>
            <w:r w:rsidRPr="00A52818">
              <w:rPr>
                <w:b/>
                <w:bCs/>
              </w:rPr>
              <w:t>1.04</w:t>
            </w:r>
            <w:r w:rsidRPr="00A52818">
              <w:rPr>
                <w:b/>
                <w:bCs/>
              </w:rPr>
              <w:br/>
              <w:t>(0.05 – 2.03)</w:t>
            </w:r>
          </w:p>
        </w:tc>
        <w:tc>
          <w:tcPr>
            <w:tcW w:w="678" w:type="dxa"/>
          </w:tcPr>
          <w:p w14:paraId="38D51011" w14:textId="77777777" w:rsidR="00D86DC0" w:rsidRPr="00A52818" w:rsidRDefault="00D86DC0" w:rsidP="005B0079">
            <w:pPr>
              <w:rPr>
                <w:b/>
                <w:bCs/>
              </w:rPr>
            </w:pPr>
            <w:r w:rsidRPr="00A52818">
              <w:rPr>
                <w:rStyle w:val="Strong"/>
                <w:rFonts w:eastAsiaTheme="majorEastAsia"/>
              </w:rPr>
              <w:t>0.04</w:t>
            </w:r>
          </w:p>
        </w:tc>
      </w:tr>
      <w:tr w:rsidR="00D86DC0" w:rsidRPr="00A52818" w14:paraId="378EF228" w14:textId="77777777" w:rsidTr="005B0079">
        <w:trPr>
          <w:cnfStyle w:val="000000100000" w:firstRow="0" w:lastRow="0" w:firstColumn="0" w:lastColumn="0" w:oddVBand="0" w:evenVBand="0" w:oddHBand="1" w:evenHBand="0" w:firstRowFirstColumn="0" w:firstRowLastColumn="0" w:lastRowFirstColumn="0" w:lastRowLastColumn="0"/>
          <w:trHeight w:val="201"/>
        </w:trPr>
        <w:tc>
          <w:tcPr>
            <w:tcW w:w="9657" w:type="dxa"/>
            <w:gridSpan w:val="9"/>
          </w:tcPr>
          <w:p w14:paraId="1513E6EE" w14:textId="77777777" w:rsidR="00D86DC0" w:rsidRPr="00A52818" w:rsidRDefault="00D86DC0" w:rsidP="005B0079">
            <w:pPr>
              <w:rPr>
                <w:b/>
                <w:bCs/>
              </w:rPr>
            </w:pPr>
            <w:r w:rsidRPr="00A52818">
              <w:t>This table presents the results of linear regression analyses examining the associations between vascular neuropathologies and cognitive domain scores (memory, executive function, and language) as well as dementia severity measured by the Clinical Dementia Rating (CDR) Sum of Boxes controlling for neuritic plaques and Braak stage. Beta coefficients (β) with 95% confidence intervals (CI) and corresponding p-values are reported for arteriolosclerosis, atherosclerosis, cerebral amyloid angiopathy (CAA), gross infarcts, and microinfarcts. Negative β values indicate poorer cognitive performance associated with the presence of the pathology, while positive β values for the CDR Sum of Boxes indicate greater dementia severity. Statistical significance was defined as p &lt; 0.05.</w:t>
            </w:r>
          </w:p>
        </w:tc>
      </w:tr>
    </w:tbl>
    <w:p w14:paraId="01ECBD21" w14:textId="77777777" w:rsidR="00D86DC0" w:rsidRPr="00A52818" w:rsidRDefault="00D86DC0" w:rsidP="00D86DC0">
      <w:pPr>
        <w:shd w:val="clear" w:color="auto" w:fill="FFFFFF"/>
        <w:rPr>
          <w:color w:val="1C1D1E"/>
        </w:rPr>
      </w:pPr>
    </w:p>
    <w:p w14:paraId="7220513C" w14:textId="77777777" w:rsidR="00D86DC0" w:rsidRPr="00A52818" w:rsidRDefault="00D86DC0" w:rsidP="00D86DC0">
      <w:pPr>
        <w:shd w:val="clear" w:color="auto" w:fill="FFFFFF"/>
        <w:rPr>
          <w:color w:val="1C1D1E"/>
        </w:rPr>
      </w:pPr>
    </w:p>
    <w:p w14:paraId="5CD9581E" w14:textId="77777777" w:rsidR="00D86DC0" w:rsidRPr="00A52818" w:rsidRDefault="00D86DC0" w:rsidP="00D86DC0">
      <w:pPr>
        <w:shd w:val="clear" w:color="auto" w:fill="FFFFFF"/>
        <w:rPr>
          <w:color w:val="1C1D1E"/>
        </w:rPr>
      </w:pPr>
    </w:p>
    <w:p w14:paraId="19166845" w14:textId="77777777" w:rsidR="00D86DC0" w:rsidRPr="00A52818" w:rsidRDefault="00D86DC0" w:rsidP="00D86DC0">
      <w:pPr>
        <w:shd w:val="clear" w:color="auto" w:fill="FFFFFF"/>
        <w:rPr>
          <w:color w:val="1C1D1E"/>
        </w:rPr>
      </w:pPr>
    </w:p>
    <w:p w14:paraId="0BAACBBA" w14:textId="77777777" w:rsidR="00D86DC0" w:rsidRPr="00A52818" w:rsidRDefault="00D86DC0" w:rsidP="00D86DC0">
      <w:pPr>
        <w:shd w:val="clear" w:color="auto" w:fill="FFFFFF"/>
        <w:rPr>
          <w:color w:val="1C1D1E"/>
        </w:rPr>
      </w:pPr>
    </w:p>
    <w:p w14:paraId="32565BF0" w14:textId="77777777" w:rsidR="00D86DC0" w:rsidRDefault="00D86DC0" w:rsidP="00D86DC0">
      <w:pPr>
        <w:shd w:val="clear" w:color="auto" w:fill="FFFFFF"/>
        <w:rPr>
          <w:color w:val="1C1D1E"/>
        </w:rPr>
      </w:pPr>
    </w:p>
    <w:p w14:paraId="3611D6F6" w14:textId="77777777" w:rsidR="00D86DC0" w:rsidRPr="00A52818" w:rsidRDefault="00D86DC0" w:rsidP="00D86DC0">
      <w:pPr>
        <w:shd w:val="clear" w:color="auto" w:fill="FFFFFF"/>
        <w:rPr>
          <w:color w:val="1C1D1E"/>
        </w:rPr>
      </w:pPr>
    </w:p>
    <w:p w14:paraId="65706DDC" w14:textId="77777777" w:rsidR="00D86DC0" w:rsidRPr="00A52818" w:rsidRDefault="00D86DC0" w:rsidP="00D86DC0">
      <w:pPr>
        <w:shd w:val="clear" w:color="auto" w:fill="FFFFFF"/>
        <w:rPr>
          <w:color w:val="1C1D1E"/>
        </w:rPr>
      </w:pPr>
    </w:p>
    <w:p w14:paraId="2533909A" w14:textId="77777777" w:rsidR="00D86DC0" w:rsidRPr="00A52818" w:rsidRDefault="00D86DC0" w:rsidP="00D86DC0">
      <w:pPr>
        <w:shd w:val="clear" w:color="auto" w:fill="FFFFFF"/>
        <w:rPr>
          <w:color w:val="1C1D1E"/>
        </w:rPr>
      </w:pPr>
    </w:p>
    <w:p w14:paraId="463F2B34" w14:textId="77777777" w:rsidR="00D86DC0" w:rsidRPr="00A52818" w:rsidRDefault="00D86DC0" w:rsidP="00D86DC0">
      <w:pPr>
        <w:shd w:val="clear" w:color="auto" w:fill="FFFFFF"/>
        <w:rPr>
          <w:color w:val="1C1D1E"/>
        </w:rPr>
      </w:pPr>
    </w:p>
    <w:p w14:paraId="006939C5" w14:textId="77777777" w:rsidR="00D86DC0" w:rsidRPr="00A52818" w:rsidRDefault="00D86DC0" w:rsidP="00D86DC0">
      <w:pPr>
        <w:shd w:val="clear" w:color="auto" w:fill="FFFFFF"/>
        <w:rPr>
          <w:color w:val="1C1D1E"/>
        </w:rPr>
      </w:pPr>
    </w:p>
    <w:tbl>
      <w:tblPr>
        <w:tblStyle w:val="PlainTable2"/>
        <w:tblW w:w="0" w:type="auto"/>
        <w:tblLook w:val="04A0" w:firstRow="1" w:lastRow="0" w:firstColumn="1" w:lastColumn="0" w:noHBand="0" w:noVBand="1"/>
      </w:tblPr>
      <w:tblGrid>
        <w:gridCol w:w="809"/>
        <w:gridCol w:w="1175"/>
        <w:gridCol w:w="916"/>
        <w:gridCol w:w="743"/>
        <w:gridCol w:w="1313"/>
        <w:gridCol w:w="613"/>
        <w:gridCol w:w="916"/>
        <w:gridCol w:w="743"/>
        <w:gridCol w:w="1389"/>
        <w:gridCol w:w="743"/>
      </w:tblGrid>
      <w:tr w:rsidR="00D86DC0" w:rsidRPr="00A52818" w14:paraId="446BC63E" w14:textId="77777777" w:rsidTr="005B0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10"/>
          </w:tcPr>
          <w:p w14:paraId="5FD9DFCE" w14:textId="77777777" w:rsidR="00D86DC0" w:rsidRPr="00A52818" w:rsidRDefault="00D86DC0" w:rsidP="005B0079">
            <w:pPr>
              <w:spacing w:before="100" w:beforeAutospacing="1" w:after="100" w:afterAutospacing="1"/>
              <w:outlineLvl w:val="2"/>
              <w:rPr>
                <w:b w:val="0"/>
                <w:bCs w:val="0"/>
              </w:rPr>
            </w:pPr>
            <w:r w:rsidRPr="00A52818">
              <w:rPr>
                <w:b w:val="0"/>
                <w:bCs w:val="0"/>
              </w:rPr>
              <w:lastRenderedPageBreak/>
              <w:t>Supplemental Table 5. Interaction effects of neuritic plaques and Braak stage on cognitive decline in the years prior to death</w:t>
            </w:r>
          </w:p>
        </w:tc>
      </w:tr>
      <w:tr w:rsidR="00D86DC0" w:rsidRPr="00A52818" w14:paraId="68663147"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5A109AB" w14:textId="77777777" w:rsidR="00D86DC0" w:rsidRPr="00A52818" w:rsidRDefault="00D86DC0" w:rsidP="005B0079">
            <w:pPr>
              <w:rPr>
                <w:b w:val="0"/>
                <w:bCs w:val="0"/>
              </w:rPr>
            </w:pPr>
          </w:p>
        </w:tc>
        <w:tc>
          <w:tcPr>
            <w:tcW w:w="812" w:type="dxa"/>
            <w:hideMark/>
          </w:tcPr>
          <w:p w14:paraId="3DFCDA76"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rPr>
                <w:b/>
                <w:bCs/>
              </w:rPr>
            </w:pPr>
            <w:r w:rsidRPr="00A52818">
              <w:rPr>
                <w:b/>
                <w:bCs/>
              </w:rPr>
              <w:t> </w:t>
            </w:r>
          </w:p>
        </w:tc>
        <w:tc>
          <w:tcPr>
            <w:tcW w:w="1916" w:type="dxa"/>
            <w:gridSpan w:val="2"/>
            <w:hideMark/>
          </w:tcPr>
          <w:p w14:paraId="2855A594"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i/>
              </w:rPr>
              <w:t>Memory</w:t>
            </w:r>
          </w:p>
        </w:tc>
        <w:tc>
          <w:tcPr>
            <w:tcW w:w="1815" w:type="dxa"/>
            <w:gridSpan w:val="2"/>
            <w:hideMark/>
          </w:tcPr>
          <w:p w14:paraId="78BDE7E4"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i/>
              </w:rPr>
              <w:t>Executive Function</w:t>
            </w:r>
          </w:p>
        </w:tc>
        <w:tc>
          <w:tcPr>
            <w:tcW w:w="1526" w:type="dxa"/>
            <w:gridSpan w:val="2"/>
            <w:hideMark/>
          </w:tcPr>
          <w:p w14:paraId="287620D2"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i/>
              </w:rPr>
              <w:t>Language</w:t>
            </w:r>
          </w:p>
        </w:tc>
        <w:tc>
          <w:tcPr>
            <w:tcW w:w="1943" w:type="dxa"/>
            <w:gridSpan w:val="2"/>
            <w:hideMark/>
          </w:tcPr>
          <w:p w14:paraId="56D5F007"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i/>
              </w:rPr>
              <w:t>CDR Sum of Boxes</w:t>
            </w:r>
          </w:p>
        </w:tc>
      </w:tr>
      <w:tr w:rsidR="00D86DC0" w:rsidRPr="00A52818" w14:paraId="6A69AB56" w14:textId="77777777" w:rsidTr="005B0079">
        <w:tc>
          <w:tcPr>
            <w:cnfStyle w:val="001000000000" w:firstRow="0" w:lastRow="0" w:firstColumn="1" w:lastColumn="0" w:oddVBand="0" w:evenVBand="0" w:oddHBand="0" w:evenHBand="0" w:firstRowFirstColumn="0" w:firstRowLastColumn="0" w:lastRowFirstColumn="0" w:lastRowLastColumn="0"/>
            <w:tcW w:w="1348" w:type="dxa"/>
          </w:tcPr>
          <w:p w14:paraId="337D70D9" w14:textId="77777777" w:rsidR="00D86DC0" w:rsidRPr="00A52818" w:rsidRDefault="00D86DC0" w:rsidP="005B0079">
            <w:pPr>
              <w:rPr>
                <w:b w:val="0"/>
                <w:bCs w:val="0"/>
                <w:i/>
                <w:iCs/>
              </w:rPr>
            </w:pPr>
            <w:r w:rsidRPr="00A52818">
              <w:rPr>
                <w:b w:val="0"/>
                <w:bCs w:val="0"/>
                <w:i/>
                <w:iCs/>
              </w:rPr>
              <w:t>Model</w:t>
            </w:r>
          </w:p>
        </w:tc>
        <w:tc>
          <w:tcPr>
            <w:tcW w:w="812" w:type="dxa"/>
            <w:hideMark/>
          </w:tcPr>
          <w:p w14:paraId="6E5EF891"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rPr>
                <w:i/>
                <w:iCs/>
              </w:rPr>
            </w:pPr>
            <w:r w:rsidRPr="00A52818">
              <w:rPr>
                <w:i/>
                <w:iCs/>
              </w:rPr>
              <w:t>Predictors</w:t>
            </w:r>
          </w:p>
        </w:tc>
        <w:tc>
          <w:tcPr>
            <w:tcW w:w="1236" w:type="dxa"/>
            <w:hideMark/>
          </w:tcPr>
          <w:p w14:paraId="4C72B44F"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β (95% CI)</w:t>
            </w:r>
          </w:p>
        </w:tc>
        <w:tc>
          <w:tcPr>
            <w:tcW w:w="680" w:type="dxa"/>
            <w:hideMark/>
          </w:tcPr>
          <w:p w14:paraId="677C083F"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p</w:t>
            </w:r>
          </w:p>
        </w:tc>
        <w:tc>
          <w:tcPr>
            <w:tcW w:w="1183" w:type="dxa"/>
            <w:hideMark/>
          </w:tcPr>
          <w:p w14:paraId="1C555904"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β (95% CI)</w:t>
            </w:r>
          </w:p>
        </w:tc>
        <w:tc>
          <w:tcPr>
            <w:tcW w:w="632" w:type="dxa"/>
            <w:hideMark/>
          </w:tcPr>
          <w:p w14:paraId="1144B929"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p</w:t>
            </w:r>
          </w:p>
        </w:tc>
        <w:tc>
          <w:tcPr>
            <w:tcW w:w="833" w:type="dxa"/>
            <w:hideMark/>
          </w:tcPr>
          <w:p w14:paraId="1480110B"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β (95% CI)</w:t>
            </w:r>
          </w:p>
        </w:tc>
        <w:tc>
          <w:tcPr>
            <w:tcW w:w="693" w:type="dxa"/>
            <w:hideMark/>
          </w:tcPr>
          <w:p w14:paraId="101AA0DA"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p</w:t>
            </w:r>
          </w:p>
        </w:tc>
        <w:tc>
          <w:tcPr>
            <w:tcW w:w="1250" w:type="dxa"/>
            <w:hideMark/>
          </w:tcPr>
          <w:p w14:paraId="6899741B"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β (95% CI)</w:t>
            </w:r>
          </w:p>
        </w:tc>
        <w:tc>
          <w:tcPr>
            <w:tcW w:w="693" w:type="dxa"/>
            <w:hideMark/>
          </w:tcPr>
          <w:p w14:paraId="62081064"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i/>
                <w:iCs/>
              </w:rPr>
            </w:pPr>
            <w:r w:rsidRPr="00A52818">
              <w:rPr>
                <w:i/>
              </w:rPr>
              <w:t>p</w:t>
            </w:r>
          </w:p>
        </w:tc>
      </w:tr>
      <w:tr w:rsidR="00D86DC0" w:rsidRPr="00A52818" w14:paraId="1C603062"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72DEE85E" w14:textId="77777777" w:rsidR="00D86DC0" w:rsidRPr="00A52818" w:rsidRDefault="00D86DC0" w:rsidP="005B0079">
            <w:pPr>
              <w:rPr>
                <w:b w:val="0"/>
                <w:bCs w:val="0"/>
              </w:rPr>
            </w:pPr>
            <w:r w:rsidRPr="00A52818">
              <w:rPr>
                <w:b w:val="0"/>
                <w:bCs w:val="0"/>
              </w:rPr>
              <w:t>Model 1</w:t>
            </w:r>
          </w:p>
        </w:tc>
        <w:tc>
          <w:tcPr>
            <w:tcW w:w="812" w:type="dxa"/>
            <w:hideMark/>
          </w:tcPr>
          <w:p w14:paraId="6C854E17"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years to death × neuritic plaques (C1)</w:t>
            </w:r>
          </w:p>
        </w:tc>
        <w:tc>
          <w:tcPr>
            <w:tcW w:w="1236" w:type="dxa"/>
            <w:hideMark/>
          </w:tcPr>
          <w:p w14:paraId="5111B06E"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-0.05</w:t>
            </w:r>
            <w:r w:rsidRPr="00A52818">
              <w:rPr>
                <w:b/>
                <w:bCs/>
              </w:rPr>
              <w:br/>
              <w:t>(-0.08 – -0.03)</w:t>
            </w:r>
          </w:p>
        </w:tc>
        <w:tc>
          <w:tcPr>
            <w:tcW w:w="680" w:type="dxa"/>
            <w:hideMark/>
          </w:tcPr>
          <w:p w14:paraId="2EAA5157"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rPr>
                <w:b/>
                <w:bCs/>
              </w:rPr>
              <w:t>&lt;0.01</w:t>
            </w:r>
          </w:p>
        </w:tc>
        <w:tc>
          <w:tcPr>
            <w:tcW w:w="1183" w:type="dxa"/>
            <w:hideMark/>
          </w:tcPr>
          <w:p w14:paraId="56FF473A"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t>-0.01</w:t>
            </w:r>
            <w:r w:rsidRPr="00A52818">
              <w:br/>
              <w:t>(-0.03 – 0.00)</w:t>
            </w:r>
          </w:p>
        </w:tc>
        <w:tc>
          <w:tcPr>
            <w:tcW w:w="632" w:type="dxa"/>
            <w:hideMark/>
          </w:tcPr>
          <w:p w14:paraId="1A5C66FF"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t>0.13</w:t>
            </w:r>
          </w:p>
        </w:tc>
        <w:tc>
          <w:tcPr>
            <w:tcW w:w="833" w:type="dxa"/>
            <w:hideMark/>
          </w:tcPr>
          <w:p w14:paraId="65E7FFD4"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-0.04</w:t>
            </w:r>
            <w:r w:rsidRPr="00A52818">
              <w:rPr>
                <w:b/>
                <w:bCs/>
              </w:rPr>
              <w:br/>
              <w:t>(-0.06 – -0.03)</w:t>
            </w:r>
          </w:p>
        </w:tc>
        <w:tc>
          <w:tcPr>
            <w:tcW w:w="693" w:type="dxa"/>
            <w:hideMark/>
          </w:tcPr>
          <w:p w14:paraId="104E54E4"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rPr>
                <w:b/>
                <w:bCs/>
              </w:rPr>
              <w:t>&lt;0.01</w:t>
            </w:r>
          </w:p>
        </w:tc>
        <w:tc>
          <w:tcPr>
            <w:tcW w:w="1250" w:type="dxa"/>
            <w:hideMark/>
          </w:tcPr>
          <w:p w14:paraId="281B5F62"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0.40</w:t>
            </w:r>
            <w:r w:rsidRPr="00A52818">
              <w:rPr>
                <w:b/>
                <w:bCs/>
              </w:rPr>
              <w:br/>
              <w:t>(0.25 – 0.56)</w:t>
            </w:r>
          </w:p>
        </w:tc>
        <w:tc>
          <w:tcPr>
            <w:tcW w:w="693" w:type="dxa"/>
            <w:hideMark/>
          </w:tcPr>
          <w:p w14:paraId="3D27010D"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rPr>
                <w:b/>
                <w:bCs/>
              </w:rPr>
              <w:t>&lt;0.01</w:t>
            </w:r>
          </w:p>
        </w:tc>
      </w:tr>
      <w:tr w:rsidR="00D86DC0" w:rsidRPr="00A52818" w14:paraId="02C30CE9" w14:textId="77777777" w:rsidTr="005B0079">
        <w:tc>
          <w:tcPr>
            <w:cnfStyle w:val="001000000000" w:firstRow="0" w:lastRow="0" w:firstColumn="1" w:lastColumn="0" w:oddVBand="0" w:evenVBand="0" w:oddHBand="0" w:evenHBand="0" w:firstRowFirstColumn="0" w:firstRowLastColumn="0" w:lastRowFirstColumn="0" w:lastRowLastColumn="0"/>
            <w:tcW w:w="1348" w:type="dxa"/>
          </w:tcPr>
          <w:p w14:paraId="312CDF38" w14:textId="77777777" w:rsidR="00D86DC0" w:rsidRPr="00A52818" w:rsidRDefault="00D86DC0" w:rsidP="005B0079">
            <w:pPr>
              <w:rPr>
                <w:b w:val="0"/>
                <w:bCs w:val="0"/>
              </w:rPr>
            </w:pPr>
            <w:r w:rsidRPr="00A52818">
              <w:rPr>
                <w:b w:val="0"/>
                <w:bCs w:val="0"/>
              </w:rPr>
              <w:t>Model 2</w:t>
            </w:r>
          </w:p>
        </w:tc>
        <w:tc>
          <w:tcPr>
            <w:tcW w:w="812" w:type="dxa"/>
          </w:tcPr>
          <w:p w14:paraId="217C22FD"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years to death × Braak (B3)</w:t>
            </w:r>
          </w:p>
        </w:tc>
        <w:tc>
          <w:tcPr>
            <w:tcW w:w="1236" w:type="dxa"/>
          </w:tcPr>
          <w:p w14:paraId="32570DDE"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-0.12</w:t>
            </w:r>
            <w:r w:rsidRPr="00A52818">
              <w:rPr>
                <w:b/>
                <w:bCs/>
              </w:rPr>
              <w:br/>
              <w:t>(-0.16 – -0.09)</w:t>
            </w:r>
          </w:p>
        </w:tc>
        <w:tc>
          <w:tcPr>
            <w:tcW w:w="680" w:type="dxa"/>
          </w:tcPr>
          <w:p w14:paraId="50BBBBD7"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c>
          <w:tcPr>
            <w:tcW w:w="1183" w:type="dxa"/>
          </w:tcPr>
          <w:p w14:paraId="4D21F7CE"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pPr>
            <w:r w:rsidRPr="00A52818">
              <w:t>-0.03</w:t>
            </w:r>
            <w:r w:rsidRPr="00A52818">
              <w:br/>
              <w:t>(-0.06 – 0.00)</w:t>
            </w:r>
          </w:p>
        </w:tc>
        <w:tc>
          <w:tcPr>
            <w:tcW w:w="632" w:type="dxa"/>
          </w:tcPr>
          <w:p w14:paraId="2B2C655E"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pPr>
            <w:r w:rsidRPr="00A52818">
              <w:t>0.08</w:t>
            </w:r>
          </w:p>
        </w:tc>
        <w:tc>
          <w:tcPr>
            <w:tcW w:w="833" w:type="dxa"/>
          </w:tcPr>
          <w:p w14:paraId="61397E38"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-0.08</w:t>
            </w:r>
            <w:r w:rsidRPr="00A52818">
              <w:rPr>
                <w:b/>
                <w:bCs/>
              </w:rPr>
              <w:br/>
              <w:t>(-0.11 – -0.06)</w:t>
            </w:r>
          </w:p>
        </w:tc>
        <w:tc>
          <w:tcPr>
            <w:tcW w:w="693" w:type="dxa"/>
          </w:tcPr>
          <w:p w14:paraId="75AC1796"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c>
          <w:tcPr>
            <w:tcW w:w="1250" w:type="dxa"/>
          </w:tcPr>
          <w:p w14:paraId="6611CF40"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0.86</w:t>
            </w:r>
            <w:r w:rsidRPr="00A52818">
              <w:rPr>
                <w:b/>
                <w:bCs/>
              </w:rPr>
              <w:br/>
              <w:t>(0.66 – 1.06)</w:t>
            </w:r>
          </w:p>
        </w:tc>
        <w:tc>
          <w:tcPr>
            <w:tcW w:w="693" w:type="dxa"/>
          </w:tcPr>
          <w:p w14:paraId="5448AA88"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r>
      <w:tr w:rsidR="00D86DC0" w:rsidRPr="00A52818" w14:paraId="66BA61B2"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0FD2F088" w14:textId="77777777" w:rsidR="00D86DC0" w:rsidRPr="00A52818" w:rsidRDefault="00D86DC0" w:rsidP="005B0079">
            <w:pPr>
              <w:rPr>
                <w:b w:val="0"/>
                <w:bCs w:val="0"/>
              </w:rPr>
            </w:pPr>
            <w:r w:rsidRPr="00A52818">
              <w:rPr>
                <w:b w:val="0"/>
                <w:bCs w:val="0"/>
              </w:rPr>
              <w:t>Model 3</w:t>
            </w:r>
          </w:p>
        </w:tc>
        <w:tc>
          <w:tcPr>
            <w:tcW w:w="812" w:type="dxa"/>
          </w:tcPr>
          <w:p w14:paraId="2A62597E" w14:textId="77777777" w:rsidR="00D86DC0" w:rsidRPr="00A52818" w:rsidRDefault="00D86DC0" w:rsidP="005B0079">
            <w:pPr>
              <w:cnfStyle w:val="000000100000" w:firstRow="0" w:lastRow="0" w:firstColumn="0" w:lastColumn="0" w:oddVBand="0" w:evenVBand="0" w:oddHBand="1" w:evenHBand="0" w:firstRowFirstColumn="0" w:firstRowLastColumn="0" w:lastRowFirstColumn="0" w:lastRowLastColumn="0"/>
            </w:pPr>
            <w:r w:rsidRPr="00A52818">
              <w:t>years to death × neuritic plaques (C1)</w:t>
            </w:r>
          </w:p>
        </w:tc>
        <w:tc>
          <w:tcPr>
            <w:tcW w:w="1236" w:type="dxa"/>
          </w:tcPr>
          <w:p w14:paraId="1A0FF737"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-0.03</w:t>
            </w:r>
            <w:r w:rsidRPr="00A52818">
              <w:rPr>
                <w:b/>
                <w:bCs/>
              </w:rPr>
              <w:br/>
              <w:t>(-0.05 – -0.01)</w:t>
            </w:r>
          </w:p>
        </w:tc>
        <w:tc>
          <w:tcPr>
            <w:tcW w:w="680" w:type="dxa"/>
          </w:tcPr>
          <w:p w14:paraId="718BB48C"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0.01</w:t>
            </w:r>
          </w:p>
        </w:tc>
        <w:tc>
          <w:tcPr>
            <w:tcW w:w="1183" w:type="dxa"/>
          </w:tcPr>
          <w:p w14:paraId="179A4836"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t>-0.01</w:t>
            </w:r>
            <w:r w:rsidRPr="00A52818">
              <w:br/>
              <w:t>(-0.03 – 0.01)</w:t>
            </w:r>
          </w:p>
        </w:tc>
        <w:tc>
          <w:tcPr>
            <w:tcW w:w="632" w:type="dxa"/>
          </w:tcPr>
          <w:p w14:paraId="14D101EF"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pPr>
            <w:r w:rsidRPr="00A52818">
              <w:t>0.32</w:t>
            </w:r>
          </w:p>
        </w:tc>
        <w:tc>
          <w:tcPr>
            <w:tcW w:w="833" w:type="dxa"/>
          </w:tcPr>
          <w:p w14:paraId="3143D7C9"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-0.03</w:t>
            </w:r>
            <w:r w:rsidRPr="00A52818">
              <w:rPr>
                <w:b/>
                <w:bCs/>
              </w:rPr>
              <w:br/>
              <w:t>(-0.05 – -0.01)</w:t>
            </w:r>
          </w:p>
        </w:tc>
        <w:tc>
          <w:tcPr>
            <w:tcW w:w="693" w:type="dxa"/>
          </w:tcPr>
          <w:p w14:paraId="12BA0912"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&lt;0.01</w:t>
            </w:r>
          </w:p>
        </w:tc>
        <w:tc>
          <w:tcPr>
            <w:tcW w:w="1250" w:type="dxa"/>
          </w:tcPr>
          <w:p w14:paraId="05FAC338"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0.20</w:t>
            </w:r>
            <w:r w:rsidRPr="00A52818">
              <w:rPr>
                <w:b/>
                <w:bCs/>
              </w:rPr>
              <w:br/>
              <w:t>(0.04 – 0.36)</w:t>
            </w:r>
          </w:p>
        </w:tc>
        <w:tc>
          <w:tcPr>
            <w:tcW w:w="693" w:type="dxa"/>
          </w:tcPr>
          <w:p w14:paraId="0020005B" w14:textId="77777777" w:rsidR="00D86DC0" w:rsidRPr="00A52818" w:rsidRDefault="00D86DC0" w:rsidP="005B0079">
            <w:pPr>
              <w:jc w:val="center"/>
              <w:cnfStyle w:val="000000100000" w:firstRow="0" w:lastRow="0" w:firstColumn="0" w:lastColumn="0" w:oddVBand="0" w:evenVBand="0" w:oddHBand="1" w:evenHBand="0" w:firstRowFirstColumn="0" w:firstRowLastColumn="0" w:lastRowFirstColumn="0" w:lastRowLastColumn="0"/>
              <w:rPr>
                <w:b/>
                <w:bCs/>
              </w:rPr>
            </w:pPr>
            <w:r w:rsidRPr="00A52818">
              <w:rPr>
                <w:b/>
                <w:bCs/>
              </w:rPr>
              <w:t>0.01</w:t>
            </w:r>
          </w:p>
        </w:tc>
      </w:tr>
      <w:tr w:rsidR="00D86DC0" w:rsidRPr="00A52818" w14:paraId="73D6D663" w14:textId="77777777" w:rsidTr="005B0079">
        <w:tc>
          <w:tcPr>
            <w:cnfStyle w:val="001000000000" w:firstRow="0" w:lastRow="0" w:firstColumn="1" w:lastColumn="0" w:oddVBand="0" w:evenVBand="0" w:oddHBand="0" w:evenHBand="0" w:firstRowFirstColumn="0" w:firstRowLastColumn="0" w:lastRowFirstColumn="0" w:lastRowLastColumn="0"/>
            <w:tcW w:w="1348" w:type="dxa"/>
          </w:tcPr>
          <w:p w14:paraId="1742E42D" w14:textId="77777777" w:rsidR="00D86DC0" w:rsidRPr="00A52818" w:rsidRDefault="00D86DC0" w:rsidP="005B0079"/>
        </w:tc>
        <w:tc>
          <w:tcPr>
            <w:tcW w:w="812" w:type="dxa"/>
          </w:tcPr>
          <w:p w14:paraId="7C385388" w14:textId="77777777" w:rsidR="00D86DC0" w:rsidRPr="00A52818" w:rsidRDefault="00D86DC0" w:rsidP="005B0079">
            <w:pPr>
              <w:cnfStyle w:val="000000000000" w:firstRow="0" w:lastRow="0" w:firstColumn="0" w:lastColumn="0" w:oddVBand="0" w:evenVBand="0" w:oddHBand="0" w:evenHBand="0" w:firstRowFirstColumn="0" w:firstRowLastColumn="0" w:lastRowFirstColumn="0" w:lastRowLastColumn="0"/>
            </w:pPr>
            <w:r w:rsidRPr="00A52818">
              <w:t>years to death × Braak (B3)</w:t>
            </w:r>
          </w:p>
        </w:tc>
        <w:tc>
          <w:tcPr>
            <w:tcW w:w="1236" w:type="dxa"/>
          </w:tcPr>
          <w:p w14:paraId="17E989A9"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-0.11</w:t>
            </w:r>
            <w:r w:rsidRPr="00A52818">
              <w:rPr>
                <w:b/>
                <w:bCs/>
              </w:rPr>
              <w:br/>
              <w:t>(-0.14 – -0.08)</w:t>
            </w:r>
          </w:p>
        </w:tc>
        <w:tc>
          <w:tcPr>
            <w:tcW w:w="680" w:type="dxa"/>
          </w:tcPr>
          <w:p w14:paraId="7552D89B"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c>
          <w:tcPr>
            <w:tcW w:w="1183" w:type="dxa"/>
          </w:tcPr>
          <w:p w14:paraId="064CA5B4"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pPr>
            <w:r w:rsidRPr="00A52818">
              <w:t>-0.02</w:t>
            </w:r>
            <w:r w:rsidRPr="00A52818">
              <w:br/>
              <w:t>(-0.05 – 0.01)</w:t>
            </w:r>
          </w:p>
        </w:tc>
        <w:tc>
          <w:tcPr>
            <w:tcW w:w="632" w:type="dxa"/>
          </w:tcPr>
          <w:p w14:paraId="457D9360"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pPr>
            <w:r w:rsidRPr="00A52818">
              <w:t>0.17</w:t>
            </w:r>
          </w:p>
        </w:tc>
        <w:tc>
          <w:tcPr>
            <w:tcW w:w="833" w:type="dxa"/>
          </w:tcPr>
          <w:p w14:paraId="7D8BB16C"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-0.07</w:t>
            </w:r>
            <w:r w:rsidRPr="00A52818">
              <w:rPr>
                <w:b/>
                <w:bCs/>
              </w:rPr>
              <w:br/>
              <w:t>(-0.09 – -0.04)</w:t>
            </w:r>
          </w:p>
        </w:tc>
        <w:tc>
          <w:tcPr>
            <w:tcW w:w="693" w:type="dxa"/>
          </w:tcPr>
          <w:p w14:paraId="73227D7C"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c>
          <w:tcPr>
            <w:tcW w:w="1250" w:type="dxa"/>
          </w:tcPr>
          <w:p w14:paraId="0D34E4A1"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0.77</w:t>
            </w:r>
            <w:r w:rsidRPr="00A52818">
              <w:rPr>
                <w:b/>
                <w:bCs/>
              </w:rPr>
              <w:br/>
              <w:t>(0.56 – 0.98)</w:t>
            </w:r>
          </w:p>
        </w:tc>
        <w:tc>
          <w:tcPr>
            <w:tcW w:w="693" w:type="dxa"/>
          </w:tcPr>
          <w:p w14:paraId="41339B3A" w14:textId="77777777" w:rsidR="00D86DC0" w:rsidRPr="00A52818" w:rsidRDefault="00D86DC0" w:rsidP="005B0079">
            <w:pPr>
              <w:jc w:val="center"/>
              <w:cnfStyle w:val="000000000000" w:firstRow="0" w:lastRow="0" w:firstColumn="0" w:lastColumn="0" w:oddVBand="0" w:evenVBand="0" w:oddHBand="0" w:evenHBand="0" w:firstRowFirstColumn="0" w:firstRowLastColumn="0" w:lastRowFirstColumn="0" w:lastRowLastColumn="0"/>
              <w:rPr>
                <w:b/>
                <w:bCs/>
              </w:rPr>
            </w:pPr>
            <w:r w:rsidRPr="00A52818">
              <w:rPr>
                <w:b/>
                <w:bCs/>
              </w:rPr>
              <w:t>&lt;0.01</w:t>
            </w:r>
          </w:p>
        </w:tc>
      </w:tr>
      <w:tr w:rsidR="00D86DC0" w:rsidRPr="00A52818" w14:paraId="4B503907" w14:textId="77777777" w:rsidTr="005B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10"/>
          </w:tcPr>
          <w:p w14:paraId="13EB7766" w14:textId="77777777" w:rsidR="00D86DC0" w:rsidRPr="00A52818" w:rsidRDefault="00D86DC0" w:rsidP="005B0079">
            <w:pPr>
              <w:spacing w:before="100" w:beforeAutospacing="1" w:after="100" w:afterAutospacing="1"/>
              <w:rPr>
                <w:b w:val="0"/>
                <w:bCs w:val="0"/>
              </w:rPr>
            </w:pPr>
            <w:r w:rsidRPr="00A52818">
              <w:rPr>
                <w:b w:val="0"/>
                <w:bCs w:val="0"/>
              </w:rPr>
              <w:t>Linear mixed-effects models were used to examine the interaction between time to death and neuropathological markers on longitudinal cognitive outcomes across four cognitive domains and global cognition (CDR Sum of Boxes). Model 1 includes the interaction term between years to death and neuritic plaque burden. Model 2 includes the interaction between years to death and Braak stage. Model 3 includes both interaction terms simultaneously. Estimates (β) reflect the slope difference in cognitive change over time associated with each pathology group. Statistically significant effects (p &lt; 0.05) are bolded. Confidence intervals (CI) are shown in parentheses.</w:t>
            </w:r>
          </w:p>
        </w:tc>
      </w:tr>
    </w:tbl>
    <w:p w14:paraId="5FA8AB7D" w14:textId="77777777" w:rsidR="00D86DC0" w:rsidRPr="00A52818" w:rsidRDefault="00D86DC0" w:rsidP="00D86DC0">
      <w:pPr>
        <w:shd w:val="clear" w:color="auto" w:fill="FFFFFF"/>
        <w:rPr>
          <w:color w:val="1C1D1E"/>
        </w:rPr>
      </w:pPr>
    </w:p>
    <w:p w14:paraId="64C7D477" w14:textId="77777777" w:rsidR="00D86DC0" w:rsidRPr="00A52818" w:rsidRDefault="00D86DC0" w:rsidP="00D86DC0">
      <w:pPr>
        <w:shd w:val="clear" w:color="auto" w:fill="FFFFFF"/>
        <w:rPr>
          <w:color w:val="1C1D1E"/>
        </w:rPr>
      </w:pPr>
    </w:p>
    <w:p w14:paraId="612ED54F" w14:textId="77777777" w:rsidR="00D86DC0" w:rsidRPr="00A52818" w:rsidRDefault="00D86DC0" w:rsidP="00D86DC0">
      <w:pPr>
        <w:shd w:val="clear" w:color="auto" w:fill="FFFFFF"/>
        <w:rPr>
          <w:color w:val="1C1D1E"/>
        </w:rPr>
      </w:pPr>
    </w:p>
    <w:p w14:paraId="5CBA301C" w14:textId="77777777" w:rsidR="00D86DC0" w:rsidRPr="00A52818" w:rsidRDefault="00D86DC0" w:rsidP="00D86DC0">
      <w:pPr>
        <w:shd w:val="clear" w:color="auto" w:fill="FFFFFF"/>
        <w:rPr>
          <w:color w:val="1C1D1E"/>
        </w:rPr>
      </w:pPr>
    </w:p>
    <w:p w14:paraId="6DD4780A" w14:textId="77777777" w:rsidR="00D86DC0" w:rsidRPr="00A52818" w:rsidRDefault="00D86DC0" w:rsidP="00D86DC0">
      <w:pPr>
        <w:shd w:val="clear" w:color="auto" w:fill="FFFFFF"/>
        <w:rPr>
          <w:color w:val="1C1D1E"/>
        </w:rPr>
      </w:pPr>
    </w:p>
    <w:p w14:paraId="0B0DF79F" w14:textId="77777777" w:rsidR="00D86DC0" w:rsidRPr="00A52818" w:rsidRDefault="00D86DC0" w:rsidP="00D86DC0">
      <w:pPr>
        <w:shd w:val="clear" w:color="auto" w:fill="FFFFFF"/>
        <w:rPr>
          <w:color w:val="1C1D1E"/>
        </w:rPr>
      </w:pPr>
    </w:p>
    <w:p w14:paraId="31E1361A" w14:textId="77777777" w:rsidR="00D86DC0" w:rsidRPr="00A52818" w:rsidRDefault="00D86DC0" w:rsidP="00D86DC0">
      <w:pPr>
        <w:shd w:val="clear" w:color="auto" w:fill="FFFFFF"/>
        <w:rPr>
          <w:color w:val="1C1D1E"/>
        </w:rPr>
      </w:pPr>
    </w:p>
    <w:p w14:paraId="27E544C9" w14:textId="77777777" w:rsidR="00D86DC0" w:rsidRPr="00A52818" w:rsidRDefault="00D86DC0" w:rsidP="00D86DC0">
      <w:pPr>
        <w:shd w:val="clear" w:color="auto" w:fill="FFFFFF"/>
        <w:rPr>
          <w:color w:val="1C1D1E"/>
        </w:rPr>
      </w:pPr>
    </w:p>
    <w:p w14:paraId="218C957C" w14:textId="77777777" w:rsidR="00D86DC0" w:rsidRPr="00A52818" w:rsidRDefault="00D86DC0" w:rsidP="00D86DC0">
      <w:pPr>
        <w:shd w:val="clear" w:color="auto" w:fill="FFFFFF"/>
        <w:rPr>
          <w:color w:val="1C1D1E"/>
        </w:rPr>
      </w:pPr>
    </w:p>
    <w:p w14:paraId="294F6DF2" w14:textId="77777777" w:rsidR="00D86DC0" w:rsidRPr="00A52818" w:rsidRDefault="00D86DC0" w:rsidP="00D86DC0">
      <w:pPr>
        <w:shd w:val="clear" w:color="auto" w:fill="FFFFFF"/>
        <w:rPr>
          <w:color w:val="1C1D1E"/>
        </w:rPr>
      </w:pPr>
    </w:p>
    <w:p w14:paraId="6739A3B8" w14:textId="77777777" w:rsidR="00D86DC0" w:rsidRPr="00A52818" w:rsidRDefault="00D86DC0" w:rsidP="00D86DC0">
      <w:pPr>
        <w:shd w:val="clear" w:color="auto" w:fill="FFFFFF"/>
        <w:rPr>
          <w:color w:val="1C1D1E"/>
        </w:rPr>
      </w:pPr>
    </w:p>
    <w:p w14:paraId="294ABCA3" w14:textId="77777777" w:rsidR="00D86DC0" w:rsidRPr="00A52818" w:rsidRDefault="00D86DC0" w:rsidP="00D86DC0">
      <w:pPr>
        <w:shd w:val="clear" w:color="auto" w:fill="FFFFFF"/>
        <w:rPr>
          <w:color w:val="1C1D1E"/>
        </w:rPr>
      </w:pPr>
    </w:p>
    <w:p w14:paraId="3333772F" w14:textId="77777777" w:rsidR="00D86DC0" w:rsidRDefault="00D86DC0" w:rsidP="00D86DC0">
      <w:pPr>
        <w:shd w:val="clear" w:color="auto" w:fill="FFFFFF"/>
        <w:rPr>
          <w:color w:val="1C1D1E"/>
          <w:sz w:val="20"/>
          <w:szCs w:val="20"/>
        </w:rPr>
      </w:pPr>
    </w:p>
    <w:p w14:paraId="2D55EA63" w14:textId="5618D0DA" w:rsidR="007020B5" w:rsidRPr="00D86DC0" w:rsidRDefault="007020B5" w:rsidP="00D86DC0">
      <w:pPr>
        <w:shd w:val="clear" w:color="auto" w:fill="FFFFFF"/>
        <w:rPr>
          <w:color w:val="1C1D1E"/>
          <w:sz w:val="20"/>
          <w:szCs w:val="20"/>
        </w:rPr>
      </w:pPr>
    </w:p>
    <w:sectPr w:rsidR="007020B5" w:rsidRPr="00D86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C0"/>
    <w:rsid w:val="000D5D24"/>
    <w:rsid w:val="00242F61"/>
    <w:rsid w:val="005E09CA"/>
    <w:rsid w:val="00636909"/>
    <w:rsid w:val="007020B5"/>
    <w:rsid w:val="009660B5"/>
    <w:rsid w:val="00A73041"/>
    <w:rsid w:val="00B07465"/>
    <w:rsid w:val="00BD70C7"/>
    <w:rsid w:val="00D86DC0"/>
    <w:rsid w:val="00F0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F3579"/>
  <w15:chartTrackingRefBased/>
  <w15:docId w15:val="{6B33B240-848B-044D-ADB2-0F0744FC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6D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6D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6D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6DC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6DC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6DC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6DC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6DC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6DC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C0"/>
    <w:rPr>
      <w:rFonts w:eastAsiaTheme="majorEastAsia" w:cstheme="majorBidi"/>
      <w:color w:val="272727" w:themeColor="text1" w:themeTint="D8"/>
    </w:rPr>
  </w:style>
  <w:style w:type="paragraph" w:styleId="Title">
    <w:name w:val="Title"/>
    <w:basedOn w:val="Normal"/>
    <w:next w:val="Normal"/>
    <w:link w:val="TitleChar"/>
    <w:uiPriority w:val="10"/>
    <w:qFormat/>
    <w:rsid w:val="00D86D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6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6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C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6DC0"/>
    <w:rPr>
      <w:i/>
      <w:iCs/>
      <w:color w:val="404040" w:themeColor="text1" w:themeTint="BF"/>
    </w:rPr>
  </w:style>
  <w:style w:type="paragraph" w:styleId="ListParagraph">
    <w:name w:val="List Paragraph"/>
    <w:basedOn w:val="Normal"/>
    <w:uiPriority w:val="34"/>
    <w:qFormat/>
    <w:rsid w:val="00D86DC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86DC0"/>
    <w:rPr>
      <w:i/>
      <w:iCs/>
      <w:color w:val="0F4761" w:themeColor="accent1" w:themeShade="BF"/>
    </w:rPr>
  </w:style>
  <w:style w:type="paragraph" w:styleId="IntenseQuote">
    <w:name w:val="Intense Quote"/>
    <w:basedOn w:val="Normal"/>
    <w:next w:val="Normal"/>
    <w:link w:val="IntenseQuoteChar"/>
    <w:uiPriority w:val="30"/>
    <w:qFormat/>
    <w:rsid w:val="00D86D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6DC0"/>
    <w:rPr>
      <w:i/>
      <w:iCs/>
      <w:color w:val="0F4761" w:themeColor="accent1" w:themeShade="BF"/>
    </w:rPr>
  </w:style>
  <w:style w:type="character" w:styleId="IntenseReference">
    <w:name w:val="Intense Reference"/>
    <w:basedOn w:val="DefaultParagraphFont"/>
    <w:uiPriority w:val="32"/>
    <w:qFormat/>
    <w:rsid w:val="00D86DC0"/>
    <w:rPr>
      <w:b/>
      <w:bCs/>
      <w:smallCaps/>
      <w:color w:val="0F4761" w:themeColor="accent1" w:themeShade="BF"/>
      <w:spacing w:val="5"/>
    </w:rPr>
  </w:style>
  <w:style w:type="character" w:styleId="Strong">
    <w:name w:val="Strong"/>
    <w:basedOn w:val="DefaultParagraphFont"/>
    <w:uiPriority w:val="22"/>
    <w:qFormat/>
    <w:rsid w:val="00D86DC0"/>
    <w:rPr>
      <w:b/>
      <w:bCs/>
    </w:rPr>
  </w:style>
  <w:style w:type="table" w:styleId="PlainTable2">
    <w:name w:val="Plain Table 2"/>
    <w:basedOn w:val="TableNormal"/>
    <w:uiPriority w:val="42"/>
    <w:rsid w:val="00D86D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Cellas Hayes</dc:creator>
  <cp:keywords/>
  <dc:description/>
  <cp:lastModifiedBy>Cellas Hayes</cp:lastModifiedBy>
  <cp:revision>2</cp:revision>
  <dcterms:created xsi:type="dcterms:W3CDTF">2025-07-02T17:10:00Z</dcterms:created>
  <dcterms:modified xsi:type="dcterms:W3CDTF">2025-07-02T17:11:00Z</dcterms:modified>
</cp:coreProperties>
</file>