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D208A7" w14:textId="2E51BBB7" w:rsidR="007F6E00" w:rsidRPr="00B464B5" w:rsidRDefault="007F6E00" w:rsidP="00D642CF">
      <w:pPr>
        <w:pStyle w:val="TOC1"/>
        <w:spacing w:line="480" w:lineRule="auto"/>
      </w:pPr>
      <w:r w:rsidRPr="00B464B5">
        <w:rPr>
          <w:rFonts w:hint="eastAsia"/>
        </w:rPr>
        <w:t>S</w:t>
      </w:r>
      <w:r w:rsidRPr="00B464B5">
        <w:t>upplementary Information</w:t>
      </w:r>
      <w:r>
        <w:t>: P</w:t>
      </w:r>
      <w:r w:rsidRPr="00D642CF">
        <w:t xml:space="preserve">artially Melted Low Velocity Zones Reveal an Active </w:t>
      </w:r>
      <w:r w:rsidR="006719DA">
        <w:t>Martian</w:t>
      </w:r>
      <w:r w:rsidRPr="00D642CF">
        <w:t xml:space="preserve"> Mantle Be</w:t>
      </w:r>
      <w:r w:rsidR="006719DA">
        <w:t>low</w:t>
      </w:r>
      <w:r w:rsidRPr="00D642CF">
        <w:t xml:space="preserve"> Elysium Planitia</w:t>
      </w:r>
    </w:p>
    <w:p w14:paraId="20A2F8B0" w14:textId="77777777" w:rsidR="007F6E00" w:rsidRPr="00D642CF" w:rsidRDefault="007F6E00" w:rsidP="00D642CF"/>
    <w:p w14:paraId="272B41E5" w14:textId="77777777" w:rsidR="007F6E00" w:rsidRPr="0015422E" w:rsidRDefault="007F6E00" w:rsidP="003653B4">
      <w:pPr>
        <w:pStyle w:val="1"/>
      </w:pPr>
      <w:r w:rsidRPr="0015422E">
        <w:t>Contents</w:t>
      </w:r>
    </w:p>
    <w:p w14:paraId="418BAC62" w14:textId="2E201152" w:rsidR="007F6E00" w:rsidRPr="0042516F" w:rsidRDefault="007F6E00">
      <w:pPr>
        <w:pStyle w:val="TOC1"/>
        <w:rPr>
          <w:b w:val="0"/>
          <w:bCs w:val="0"/>
          <w:noProof/>
        </w:rPr>
      </w:pPr>
      <w:r w:rsidRPr="0042516F">
        <w:fldChar w:fldCharType="begin"/>
      </w:r>
      <w:r w:rsidRPr="0042516F">
        <w:instrText xml:space="preserve"> TOC \o "1-3" \h \z \u </w:instrText>
      </w:r>
      <w:r w:rsidRPr="0042516F">
        <w:fldChar w:fldCharType="separate"/>
      </w:r>
      <w:hyperlink w:anchor="_Toc202208106" w:history="1">
        <w:r w:rsidRPr="0042516F">
          <w:rPr>
            <w:rStyle w:val="a4"/>
            <w:noProof/>
          </w:rPr>
          <w:t>1. Data preprocessing</w:t>
        </w:r>
        <w:r w:rsidRPr="0042516F">
          <w:rPr>
            <w:noProof/>
            <w:webHidden/>
          </w:rPr>
          <w:tab/>
        </w:r>
        <w:r w:rsidRPr="0042516F">
          <w:rPr>
            <w:noProof/>
            <w:webHidden/>
          </w:rPr>
          <w:fldChar w:fldCharType="begin"/>
        </w:r>
        <w:r w:rsidRPr="0042516F">
          <w:rPr>
            <w:noProof/>
            <w:webHidden/>
          </w:rPr>
          <w:instrText xml:space="preserve"> PAGEREF _Toc202208106 \h </w:instrText>
        </w:r>
        <w:r w:rsidRPr="0042516F">
          <w:rPr>
            <w:noProof/>
            <w:webHidden/>
          </w:rPr>
        </w:r>
        <w:r w:rsidRPr="0042516F">
          <w:rPr>
            <w:noProof/>
            <w:webHidden/>
          </w:rPr>
          <w:fldChar w:fldCharType="separate"/>
        </w:r>
        <w:r>
          <w:rPr>
            <w:noProof/>
            <w:webHidden/>
          </w:rPr>
          <w:t>3</w:t>
        </w:r>
        <w:r w:rsidRPr="0042516F">
          <w:rPr>
            <w:noProof/>
            <w:webHidden/>
          </w:rPr>
          <w:fldChar w:fldCharType="end"/>
        </w:r>
      </w:hyperlink>
    </w:p>
    <w:p w14:paraId="2660FC4D" w14:textId="3FB4B35C" w:rsidR="007F6E00" w:rsidRPr="0042516F" w:rsidRDefault="002243C8">
      <w:pPr>
        <w:pStyle w:val="TOC2"/>
        <w:tabs>
          <w:tab w:val="right" w:leader="dot" w:pos="8296"/>
        </w:tabs>
        <w:rPr>
          <w:rFonts w:ascii="Times New Roman" w:eastAsiaTheme="minorEastAsia" w:cs="Times New Roman"/>
          <w:smallCaps w:val="0"/>
          <w:noProof/>
          <w:sz w:val="24"/>
          <w:szCs w:val="24"/>
        </w:rPr>
      </w:pPr>
      <w:hyperlink w:anchor="_Toc202208107" w:history="1">
        <w:r w:rsidR="007F6E00" w:rsidRPr="0042516F">
          <w:rPr>
            <w:rStyle w:val="a4"/>
            <w:smallCaps w:val="0"/>
            <w:noProof/>
            <w:szCs w:val="24"/>
          </w:rPr>
          <w:t>1.1. Marsquake locations</w:t>
        </w:r>
        <w:r w:rsidR="007F6E00" w:rsidRPr="0042516F">
          <w:rPr>
            <w:rFonts w:ascii="Times New Roman" w:cs="Times New Roman"/>
            <w:smallCaps w:val="0"/>
            <w:noProof/>
            <w:webHidden/>
            <w:sz w:val="24"/>
            <w:szCs w:val="24"/>
          </w:rPr>
          <w:tab/>
        </w:r>
        <w:r w:rsidR="007F6E00" w:rsidRPr="0042516F">
          <w:rPr>
            <w:rFonts w:ascii="Times New Roman" w:cs="Times New Roman"/>
            <w:smallCaps w:val="0"/>
            <w:noProof/>
            <w:webHidden/>
            <w:sz w:val="24"/>
            <w:szCs w:val="24"/>
          </w:rPr>
          <w:fldChar w:fldCharType="begin"/>
        </w:r>
        <w:r w:rsidR="007F6E00" w:rsidRPr="0042516F">
          <w:rPr>
            <w:rFonts w:ascii="Times New Roman" w:cs="Times New Roman"/>
            <w:smallCaps w:val="0"/>
            <w:noProof/>
            <w:webHidden/>
            <w:sz w:val="24"/>
            <w:szCs w:val="24"/>
          </w:rPr>
          <w:instrText xml:space="preserve"> PAGEREF _Toc202208107 \h </w:instrText>
        </w:r>
        <w:r w:rsidR="007F6E00" w:rsidRPr="0042516F">
          <w:rPr>
            <w:rFonts w:ascii="Times New Roman" w:cs="Times New Roman"/>
            <w:smallCaps w:val="0"/>
            <w:noProof/>
            <w:webHidden/>
            <w:sz w:val="24"/>
            <w:szCs w:val="24"/>
          </w:rPr>
        </w:r>
        <w:r w:rsidR="007F6E00" w:rsidRPr="0042516F">
          <w:rPr>
            <w:rFonts w:ascii="Times New Roman" w:cs="Times New Roman"/>
            <w:smallCaps w:val="0"/>
            <w:noProof/>
            <w:webHidden/>
            <w:sz w:val="24"/>
            <w:szCs w:val="24"/>
          </w:rPr>
          <w:fldChar w:fldCharType="separate"/>
        </w:r>
        <w:r w:rsidR="007F6E00">
          <w:rPr>
            <w:rFonts w:ascii="Times New Roman" w:cs="Times New Roman"/>
            <w:smallCaps w:val="0"/>
            <w:noProof/>
            <w:webHidden/>
            <w:sz w:val="24"/>
            <w:szCs w:val="24"/>
          </w:rPr>
          <w:t>3</w:t>
        </w:r>
        <w:r w:rsidR="007F6E00" w:rsidRPr="0042516F">
          <w:rPr>
            <w:rFonts w:ascii="Times New Roman" w:cs="Times New Roman"/>
            <w:smallCaps w:val="0"/>
            <w:noProof/>
            <w:webHidden/>
            <w:sz w:val="24"/>
            <w:szCs w:val="24"/>
          </w:rPr>
          <w:fldChar w:fldCharType="end"/>
        </w:r>
      </w:hyperlink>
    </w:p>
    <w:p w14:paraId="71BBE17F" w14:textId="6392EBC6" w:rsidR="007F6E00" w:rsidRPr="0042516F" w:rsidRDefault="002243C8">
      <w:pPr>
        <w:pStyle w:val="TOC2"/>
        <w:tabs>
          <w:tab w:val="right" w:leader="dot" w:pos="8296"/>
        </w:tabs>
        <w:rPr>
          <w:rFonts w:ascii="Times New Roman" w:eastAsiaTheme="minorEastAsia" w:cs="Times New Roman"/>
          <w:smallCaps w:val="0"/>
          <w:noProof/>
          <w:sz w:val="24"/>
          <w:szCs w:val="24"/>
        </w:rPr>
      </w:pPr>
      <w:hyperlink w:anchor="_Toc202208108" w:history="1">
        <w:r w:rsidR="007F6E00" w:rsidRPr="0042516F">
          <w:rPr>
            <w:rStyle w:val="a4"/>
            <w:smallCaps w:val="0"/>
            <w:noProof/>
            <w:szCs w:val="24"/>
          </w:rPr>
          <w:t>1.2. Polarization filter</w:t>
        </w:r>
        <w:r w:rsidR="007F6E00" w:rsidRPr="0042516F">
          <w:rPr>
            <w:rFonts w:ascii="Times New Roman" w:cs="Times New Roman"/>
            <w:smallCaps w:val="0"/>
            <w:noProof/>
            <w:webHidden/>
            <w:sz w:val="24"/>
            <w:szCs w:val="24"/>
          </w:rPr>
          <w:tab/>
        </w:r>
        <w:r w:rsidR="007F6E00" w:rsidRPr="0042516F">
          <w:rPr>
            <w:rFonts w:ascii="Times New Roman" w:cs="Times New Roman"/>
            <w:smallCaps w:val="0"/>
            <w:noProof/>
            <w:webHidden/>
            <w:sz w:val="24"/>
            <w:szCs w:val="24"/>
          </w:rPr>
          <w:fldChar w:fldCharType="begin"/>
        </w:r>
        <w:r w:rsidR="007F6E00" w:rsidRPr="0042516F">
          <w:rPr>
            <w:rFonts w:ascii="Times New Roman" w:cs="Times New Roman"/>
            <w:smallCaps w:val="0"/>
            <w:noProof/>
            <w:webHidden/>
            <w:sz w:val="24"/>
            <w:szCs w:val="24"/>
          </w:rPr>
          <w:instrText xml:space="preserve"> PAGEREF _Toc202208108 \h </w:instrText>
        </w:r>
        <w:r w:rsidR="007F6E00" w:rsidRPr="0042516F">
          <w:rPr>
            <w:rFonts w:ascii="Times New Roman" w:cs="Times New Roman"/>
            <w:smallCaps w:val="0"/>
            <w:noProof/>
            <w:webHidden/>
            <w:sz w:val="24"/>
            <w:szCs w:val="24"/>
          </w:rPr>
        </w:r>
        <w:r w:rsidR="007F6E00" w:rsidRPr="0042516F">
          <w:rPr>
            <w:rFonts w:ascii="Times New Roman" w:cs="Times New Roman"/>
            <w:smallCaps w:val="0"/>
            <w:noProof/>
            <w:webHidden/>
            <w:sz w:val="24"/>
            <w:szCs w:val="24"/>
          </w:rPr>
          <w:fldChar w:fldCharType="separate"/>
        </w:r>
        <w:r w:rsidR="007F6E00">
          <w:rPr>
            <w:rFonts w:ascii="Times New Roman" w:cs="Times New Roman"/>
            <w:smallCaps w:val="0"/>
            <w:noProof/>
            <w:webHidden/>
            <w:sz w:val="24"/>
            <w:szCs w:val="24"/>
          </w:rPr>
          <w:t>5</w:t>
        </w:r>
        <w:r w:rsidR="007F6E00" w:rsidRPr="0042516F">
          <w:rPr>
            <w:rFonts w:ascii="Times New Roman" w:cs="Times New Roman"/>
            <w:smallCaps w:val="0"/>
            <w:noProof/>
            <w:webHidden/>
            <w:sz w:val="24"/>
            <w:szCs w:val="24"/>
          </w:rPr>
          <w:fldChar w:fldCharType="end"/>
        </w:r>
      </w:hyperlink>
    </w:p>
    <w:p w14:paraId="4FC6C8EF" w14:textId="490B1380" w:rsidR="007F6E00" w:rsidRPr="0042516F" w:rsidRDefault="002243C8">
      <w:pPr>
        <w:pStyle w:val="TOC1"/>
        <w:rPr>
          <w:b w:val="0"/>
          <w:bCs w:val="0"/>
          <w:noProof/>
        </w:rPr>
      </w:pPr>
      <w:hyperlink w:anchor="_Toc202208109" w:history="1">
        <w:r w:rsidR="007F6E00" w:rsidRPr="0042516F">
          <w:rPr>
            <w:rStyle w:val="a4"/>
            <w:noProof/>
          </w:rPr>
          <w:t>2. Receiver function analysis</w:t>
        </w:r>
        <w:r w:rsidR="007F6E00" w:rsidRPr="0042516F">
          <w:rPr>
            <w:noProof/>
            <w:webHidden/>
          </w:rPr>
          <w:tab/>
        </w:r>
        <w:r w:rsidR="007F6E00" w:rsidRPr="0042516F">
          <w:rPr>
            <w:noProof/>
            <w:webHidden/>
          </w:rPr>
          <w:fldChar w:fldCharType="begin"/>
        </w:r>
        <w:r w:rsidR="007F6E00" w:rsidRPr="0042516F">
          <w:rPr>
            <w:noProof/>
            <w:webHidden/>
          </w:rPr>
          <w:instrText xml:space="preserve"> PAGEREF _Toc202208109 \h </w:instrText>
        </w:r>
        <w:r w:rsidR="007F6E00" w:rsidRPr="0042516F">
          <w:rPr>
            <w:noProof/>
            <w:webHidden/>
          </w:rPr>
        </w:r>
        <w:r w:rsidR="007F6E00" w:rsidRPr="0042516F">
          <w:rPr>
            <w:noProof/>
            <w:webHidden/>
          </w:rPr>
          <w:fldChar w:fldCharType="separate"/>
        </w:r>
        <w:r w:rsidR="007F6E00">
          <w:rPr>
            <w:noProof/>
            <w:webHidden/>
          </w:rPr>
          <w:t>6</w:t>
        </w:r>
        <w:r w:rsidR="007F6E00" w:rsidRPr="0042516F">
          <w:rPr>
            <w:noProof/>
            <w:webHidden/>
          </w:rPr>
          <w:fldChar w:fldCharType="end"/>
        </w:r>
      </w:hyperlink>
    </w:p>
    <w:p w14:paraId="18176626" w14:textId="68DCA2D7" w:rsidR="007F6E00" w:rsidRPr="0042516F" w:rsidRDefault="002243C8">
      <w:pPr>
        <w:pStyle w:val="TOC2"/>
        <w:tabs>
          <w:tab w:val="right" w:leader="dot" w:pos="8296"/>
        </w:tabs>
        <w:rPr>
          <w:rFonts w:ascii="Times New Roman" w:eastAsiaTheme="minorEastAsia" w:cs="Times New Roman"/>
          <w:smallCaps w:val="0"/>
          <w:noProof/>
          <w:sz w:val="24"/>
          <w:szCs w:val="24"/>
        </w:rPr>
      </w:pPr>
      <w:hyperlink w:anchor="_Toc202208110" w:history="1">
        <w:r w:rsidR="007F6E00" w:rsidRPr="0042516F">
          <w:rPr>
            <w:rStyle w:val="a4"/>
            <w:smallCaps w:val="0"/>
            <w:noProof/>
            <w:szCs w:val="24"/>
          </w:rPr>
          <w:t>2.1. RFs of the clustered CF events</w:t>
        </w:r>
        <w:r w:rsidR="007F6E00" w:rsidRPr="0042516F">
          <w:rPr>
            <w:rFonts w:ascii="Times New Roman" w:cs="Times New Roman"/>
            <w:smallCaps w:val="0"/>
            <w:noProof/>
            <w:webHidden/>
            <w:sz w:val="24"/>
            <w:szCs w:val="24"/>
          </w:rPr>
          <w:tab/>
        </w:r>
        <w:r w:rsidR="007F6E00" w:rsidRPr="0042516F">
          <w:rPr>
            <w:rFonts w:ascii="Times New Roman" w:cs="Times New Roman"/>
            <w:smallCaps w:val="0"/>
            <w:noProof/>
            <w:webHidden/>
            <w:sz w:val="24"/>
            <w:szCs w:val="24"/>
          </w:rPr>
          <w:fldChar w:fldCharType="begin"/>
        </w:r>
        <w:r w:rsidR="007F6E00" w:rsidRPr="0042516F">
          <w:rPr>
            <w:rFonts w:ascii="Times New Roman" w:cs="Times New Roman"/>
            <w:smallCaps w:val="0"/>
            <w:noProof/>
            <w:webHidden/>
            <w:sz w:val="24"/>
            <w:szCs w:val="24"/>
          </w:rPr>
          <w:instrText xml:space="preserve"> PAGEREF _Toc202208110 \h </w:instrText>
        </w:r>
        <w:r w:rsidR="007F6E00" w:rsidRPr="0042516F">
          <w:rPr>
            <w:rFonts w:ascii="Times New Roman" w:cs="Times New Roman"/>
            <w:smallCaps w:val="0"/>
            <w:noProof/>
            <w:webHidden/>
            <w:sz w:val="24"/>
            <w:szCs w:val="24"/>
          </w:rPr>
        </w:r>
        <w:r w:rsidR="007F6E00" w:rsidRPr="0042516F">
          <w:rPr>
            <w:rFonts w:ascii="Times New Roman" w:cs="Times New Roman"/>
            <w:smallCaps w:val="0"/>
            <w:noProof/>
            <w:webHidden/>
            <w:sz w:val="24"/>
            <w:szCs w:val="24"/>
          </w:rPr>
          <w:fldChar w:fldCharType="separate"/>
        </w:r>
        <w:r w:rsidR="007F6E00">
          <w:rPr>
            <w:rFonts w:ascii="Times New Roman" w:cs="Times New Roman"/>
            <w:smallCaps w:val="0"/>
            <w:noProof/>
            <w:webHidden/>
            <w:sz w:val="24"/>
            <w:szCs w:val="24"/>
          </w:rPr>
          <w:t>6</w:t>
        </w:r>
        <w:r w:rsidR="007F6E00" w:rsidRPr="0042516F">
          <w:rPr>
            <w:rFonts w:ascii="Times New Roman" w:cs="Times New Roman"/>
            <w:smallCaps w:val="0"/>
            <w:noProof/>
            <w:webHidden/>
            <w:sz w:val="24"/>
            <w:szCs w:val="24"/>
          </w:rPr>
          <w:fldChar w:fldCharType="end"/>
        </w:r>
      </w:hyperlink>
    </w:p>
    <w:p w14:paraId="54B673CE" w14:textId="4250100F" w:rsidR="007F6E00" w:rsidRPr="0042516F" w:rsidRDefault="002243C8">
      <w:pPr>
        <w:pStyle w:val="TOC2"/>
        <w:tabs>
          <w:tab w:val="right" w:leader="dot" w:pos="8296"/>
        </w:tabs>
        <w:rPr>
          <w:rFonts w:ascii="Times New Roman" w:eastAsiaTheme="minorEastAsia" w:cs="Times New Roman"/>
          <w:smallCaps w:val="0"/>
          <w:noProof/>
          <w:sz w:val="24"/>
          <w:szCs w:val="24"/>
        </w:rPr>
      </w:pPr>
      <w:hyperlink w:anchor="_Toc202208111" w:history="1">
        <w:r w:rsidR="007F6E00" w:rsidRPr="0042516F">
          <w:rPr>
            <w:rStyle w:val="a4"/>
            <w:smallCaps w:val="0"/>
            <w:noProof/>
            <w:szCs w:val="24"/>
          </w:rPr>
          <w:t>2.2. Observations of coherent arrivals</w:t>
        </w:r>
        <w:r w:rsidR="007F6E00" w:rsidRPr="0042516F">
          <w:rPr>
            <w:rFonts w:ascii="Times New Roman" w:cs="Times New Roman"/>
            <w:smallCaps w:val="0"/>
            <w:noProof/>
            <w:webHidden/>
            <w:sz w:val="24"/>
            <w:szCs w:val="24"/>
          </w:rPr>
          <w:tab/>
        </w:r>
        <w:r w:rsidR="007F6E00" w:rsidRPr="0042516F">
          <w:rPr>
            <w:rFonts w:ascii="Times New Roman" w:cs="Times New Roman"/>
            <w:smallCaps w:val="0"/>
            <w:noProof/>
            <w:webHidden/>
            <w:sz w:val="24"/>
            <w:szCs w:val="24"/>
          </w:rPr>
          <w:fldChar w:fldCharType="begin"/>
        </w:r>
        <w:r w:rsidR="007F6E00" w:rsidRPr="0042516F">
          <w:rPr>
            <w:rFonts w:ascii="Times New Roman" w:cs="Times New Roman"/>
            <w:smallCaps w:val="0"/>
            <w:noProof/>
            <w:webHidden/>
            <w:sz w:val="24"/>
            <w:szCs w:val="24"/>
          </w:rPr>
          <w:instrText xml:space="preserve"> PAGEREF _Toc202208111 \h </w:instrText>
        </w:r>
        <w:r w:rsidR="007F6E00" w:rsidRPr="0042516F">
          <w:rPr>
            <w:rFonts w:ascii="Times New Roman" w:cs="Times New Roman"/>
            <w:smallCaps w:val="0"/>
            <w:noProof/>
            <w:webHidden/>
            <w:sz w:val="24"/>
            <w:szCs w:val="24"/>
          </w:rPr>
        </w:r>
        <w:r w:rsidR="007F6E00" w:rsidRPr="0042516F">
          <w:rPr>
            <w:rFonts w:ascii="Times New Roman" w:cs="Times New Roman"/>
            <w:smallCaps w:val="0"/>
            <w:noProof/>
            <w:webHidden/>
            <w:sz w:val="24"/>
            <w:szCs w:val="24"/>
          </w:rPr>
          <w:fldChar w:fldCharType="separate"/>
        </w:r>
        <w:r w:rsidR="007F6E00">
          <w:rPr>
            <w:rFonts w:ascii="Times New Roman" w:cs="Times New Roman"/>
            <w:smallCaps w:val="0"/>
            <w:noProof/>
            <w:webHidden/>
            <w:sz w:val="24"/>
            <w:szCs w:val="24"/>
          </w:rPr>
          <w:t>9</w:t>
        </w:r>
        <w:r w:rsidR="007F6E00" w:rsidRPr="0042516F">
          <w:rPr>
            <w:rFonts w:ascii="Times New Roman" w:cs="Times New Roman"/>
            <w:smallCaps w:val="0"/>
            <w:noProof/>
            <w:webHidden/>
            <w:sz w:val="24"/>
            <w:szCs w:val="24"/>
          </w:rPr>
          <w:fldChar w:fldCharType="end"/>
        </w:r>
      </w:hyperlink>
    </w:p>
    <w:p w14:paraId="768581EB" w14:textId="4B49BE4B" w:rsidR="007F6E00" w:rsidRPr="0042516F" w:rsidRDefault="002243C8">
      <w:pPr>
        <w:pStyle w:val="TOC2"/>
        <w:tabs>
          <w:tab w:val="right" w:leader="dot" w:pos="8296"/>
        </w:tabs>
        <w:rPr>
          <w:rFonts w:ascii="Times New Roman" w:eastAsiaTheme="minorEastAsia" w:cs="Times New Roman"/>
          <w:smallCaps w:val="0"/>
          <w:noProof/>
          <w:sz w:val="24"/>
          <w:szCs w:val="24"/>
        </w:rPr>
      </w:pPr>
      <w:hyperlink w:anchor="_Toc202208112" w:history="1">
        <w:r w:rsidR="007F6E00" w:rsidRPr="0042516F">
          <w:rPr>
            <w:rStyle w:val="a4"/>
            <w:smallCaps w:val="0"/>
            <w:noProof/>
            <w:szCs w:val="24"/>
          </w:rPr>
          <w:t>2.3. Bootstrap test</w:t>
        </w:r>
        <w:r w:rsidR="007F6E00" w:rsidRPr="0042516F">
          <w:rPr>
            <w:rFonts w:ascii="Times New Roman" w:cs="Times New Roman"/>
            <w:smallCaps w:val="0"/>
            <w:noProof/>
            <w:webHidden/>
            <w:sz w:val="24"/>
            <w:szCs w:val="24"/>
          </w:rPr>
          <w:tab/>
        </w:r>
        <w:r w:rsidR="007F6E00" w:rsidRPr="0042516F">
          <w:rPr>
            <w:rFonts w:ascii="Times New Roman" w:cs="Times New Roman"/>
            <w:smallCaps w:val="0"/>
            <w:noProof/>
            <w:webHidden/>
            <w:sz w:val="24"/>
            <w:szCs w:val="24"/>
          </w:rPr>
          <w:fldChar w:fldCharType="begin"/>
        </w:r>
        <w:r w:rsidR="007F6E00" w:rsidRPr="0042516F">
          <w:rPr>
            <w:rFonts w:ascii="Times New Roman" w:cs="Times New Roman"/>
            <w:smallCaps w:val="0"/>
            <w:noProof/>
            <w:webHidden/>
            <w:sz w:val="24"/>
            <w:szCs w:val="24"/>
          </w:rPr>
          <w:instrText xml:space="preserve"> PAGEREF _Toc202208112 \h </w:instrText>
        </w:r>
        <w:r w:rsidR="007F6E00" w:rsidRPr="0042516F">
          <w:rPr>
            <w:rFonts w:ascii="Times New Roman" w:cs="Times New Roman"/>
            <w:smallCaps w:val="0"/>
            <w:noProof/>
            <w:webHidden/>
            <w:sz w:val="24"/>
            <w:szCs w:val="24"/>
          </w:rPr>
        </w:r>
        <w:r w:rsidR="007F6E00" w:rsidRPr="0042516F">
          <w:rPr>
            <w:rFonts w:ascii="Times New Roman" w:cs="Times New Roman"/>
            <w:smallCaps w:val="0"/>
            <w:noProof/>
            <w:webHidden/>
            <w:sz w:val="24"/>
            <w:szCs w:val="24"/>
          </w:rPr>
          <w:fldChar w:fldCharType="separate"/>
        </w:r>
        <w:r w:rsidR="007F6E00">
          <w:rPr>
            <w:rFonts w:ascii="Times New Roman" w:cs="Times New Roman"/>
            <w:smallCaps w:val="0"/>
            <w:noProof/>
            <w:webHidden/>
            <w:sz w:val="24"/>
            <w:szCs w:val="24"/>
          </w:rPr>
          <w:t>11</w:t>
        </w:r>
        <w:r w:rsidR="007F6E00" w:rsidRPr="0042516F">
          <w:rPr>
            <w:rFonts w:ascii="Times New Roman" w:cs="Times New Roman"/>
            <w:smallCaps w:val="0"/>
            <w:noProof/>
            <w:webHidden/>
            <w:sz w:val="24"/>
            <w:szCs w:val="24"/>
          </w:rPr>
          <w:fldChar w:fldCharType="end"/>
        </w:r>
      </w:hyperlink>
    </w:p>
    <w:p w14:paraId="7AD61DA3" w14:textId="583291F9" w:rsidR="007F6E00" w:rsidRPr="0042516F" w:rsidRDefault="002243C8">
      <w:pPr>
        <w:pStyle w:val="TOC2"/>
        <w:tabs>
          <w:tab w:val="right" w:leader="dot" w:pos="8296"/>
        </w:tabs>
        <w:rPr>
          <w:rFonts w:ascii="Times New Roman" w:eastAsiaTheme="minorEastAsia" w:cs="Times New Roman"/>
          <w:smallCaps w:val="0"/>
          <w:noProof/>
          <w:sz w:val="24"/>
          <w:szCs w:val="24"/>
        </w:rPr>
      </w:pPr>
      <w:hyperlink w:anchor="_Toc202208113" w:history="1">
        <w:r w:rsidR="007F6E00" w:rsidRPr="0042516F">
          <w:rPr>
            <w:rStyle w:val="a4"/>
            <w:smallCaps w:val="0"/>
            <w:noProof/>
            <w:szCs w:val="24"/>
          </w:rPr>
          <w:t>2.4. Upper mantle conversion or crustal multiple reflection</w:t>
        </w:r>
        <w:r w:rsidR="007F6E00" w:rsidRPr="0042516F">
          <w:rPr>
            <w:rFonts w:ascii="Times New Roman" w:cs="Times New Roman"/>
            <w:smallCaps w:val="0"/>
            <w:noProof/>
            <w:webHidden/>
            <w:sz w:val="24"/>
            <w:szCs w:val="24"/>
          </w:rPr>
          <w:tab/>
        </w:r>
        <w:r w:rsidR="007F6E00" w:rsidRPr="0042516F">
          <w:rPr>
            <w:rFonts w:ascii="Times New Roman" w:cs="Times New Roman"/>
            <w:smallCaps w:val="0"/>
            <w:noProof/>
            <w:webHidden/>
            <w:sz w:val="24"/>
            <w:szCs w:val="24"/>
          </w:rPr>
          <w:fldChar w:fldCharType="begin"/>
        </w:r>
        <w:r w:rsidR="007F6E00" w:rsidRPr="0042516F">
          <w:rPr>
            <w:rFonts w:ascii="Times New Roman" w:cs="Times New Roman"/>
            <w:smallCaps w:val="0"/>
            <w:noProof/>
            <w:webHidden/>
            <w:sz w:val="24"/>
            <w:szCs w:val="24"/>
          </w:rPr>
          <w:instrText xml:space="preserve"> PAGEREF _Toc202208113 \h </w:instrText>
        </w:r>
        <w:r w:rsidR="007F6E00" w:rsidRPr="0042516F">
          <w:rPr>
            <w:rFonts w:ascii="Times New Roman" w:cs="Times New Roman"/>
            <w:smallCaps w:val="0"/>
            <w:noProof/>
            <w:webHidden/>
            <w:sz w:val="24"/>
            <w:szCs w:val="24"/>
          </w:rPr>
        </w:r>
        <w:r w:rsidR="007F6E00" w:rsidRPr="0042516F">
          <w:rPr>
            <w:rFonts w:ascii="Times New Roman" w:cs="Times New Roman"/>
            <w:smallCaps w:val="0"/>
            <w:noProof/>
            <w:webHidden/>
            <w:sz w:val="24"/>
            <w:szCs w:val="24"/>
          </w:rPr>
          <w:fldChar w:fldCharType="separate"/>
        </w:r>
        <w:r w:rsidR="007F6E00">
          <w:rPr>
            <w:rFonts w:ascii="Times New Roman" w:cs="Times New Roman"/>
            <w:smallCaps w:val="0"/>
            <w:noProof/>
            <w:webHidden/>
            <w:sz w:val="24"/>
            <w:szCs w:val="24"/>
          </w:rPr>
          <w:t>13</w:t>
        </w:r>
        <w:r w:rsidR="007F6E00" w:rsidRPr="0042516F">
          <w:rPr>
            <w:rFonts w:ascii="Times New Roman" w:cs="Times New Roman"/>
            <w:smallCaps w:val="0"/>
            <w:noProof/>
            <w:webHidden/>
            <w:sz w:val="24"/>
            <w:szCs w:val="24"/>
          </w:rPr>
          <w:fldChar w:fldCharType="end"/>
        </w:r>
      </w:hyperlink>
    </w:p>
    <w:p w14:paraId="033BED6E" w14:textId="31291D79" w:rsidR="007F6E00" w:rsidRPr="0042516F" w:rsidRDefault="002243C8">
      <w:pPr>
        <w:pStyle w:val="TOC1"/>
        <w:rPr>
          <w:b w:val="0"/>
          <w:bCs w:val="0"/>
          <w:noProof/>
        </w:rPr>
      </w:pPr>
      <w:hyperlink w:anchor="_Toc202208114" w:history="1">
        <w:r w:rsidR="007F6E00" w:rsidRPr="0042516F">
          <w:rPr>
            <w:rStyle w:val="a4"/>
            <w:noProof/>
          </w:rPr>
          <w:t>3. Phase picking of PP/SS precursors</w:t>
        </w:r>
        <w:r w:rsidR="007F6E00" w:rsidRPr="0042516F">
          <w:rPr>
            <w:noProof/>
            <w:webHidden/>
          </w:rPr>
          <w:tab/>
        </w:r>
        <w:r w:rsidR="007F6E00" w:rsidRPr="0042516F">
          <w:rPr>
            <w:noProof/>
            <w:webHidden/>
          </w:rPr>
          <w:fldChar w:fldCharType="begin"/>
        </w:r>
        <w:r w:rsidR="007F6E00" w:rsidRPr="0042516F">
          <w:rPr>
            <w:noProof/>
            <w:webHidden/>
          </w:rPr>
          <w:instrText xml:space="preserve"> PAGEREF _Toc202208114 \h </w:instrText>
        </w:r>
        <w:r w:rsidR="007F6E00" w:rsidRPr="0042516F">
          <w:rPr>
            <w:noProof/>
            <w:webHidden/>
          </w:rPr>
        </w:r>
        <w:r w:rsidR="007F6E00" w:rsidRPr="0042516F">
          <w:rPr>
            <w:noProof/>
            <w:webHidden/>
          </w:rPr>
          <w:fldChar w:fldCharType="separate"/>
        </w:r>
        <w:r w:rsidR="007F6E00">
          <w:rPr>
            <w:noProof/>
            <w:webHidden/>
          </w:rPr>
          <w:t>16</w:t>
        </w:r>
        <w:r w:rsidR="007F6E00" w:rsidRPr="0042516F">
          <w:rPr>
            <w:noProof/>
            <w:webHidden/>
          </w:rPr>
          <w:fldChar w:fldCharType="end"/>
        </w:r>
      </w:hyperlink>
    </w:p>
    <w:p w14:paraId="2D104823" w14:textId="250EDB68" w:rsidR="007F6E00" w:rsidRPr="0042516F" w:rsidRDefault="002243C8">
      <w:pPr>
        <w:pStyle w:val="TOC2"/>
        <w:tabs>
          <w:tab w:val="right" w:leader="dot" w:pos="8296"/>
        </w:tabs>
        <w:rPr>
          <w:rFonts w:ascii="Times New Roman" w:eastAsiaTheme="minorEastAsia" w:cs="Times New Roman"/>
          <w:smallCaps w:val="0"/>
          <w:noProof/>
          <w:sz w:val="24"/>
          <w:szCs w:val="24"/>
        </w:rPr>
      </w:pPr>
      <w:hyperlink w:anchor="_Toc202208115" w:history="1">
        <w:r w:rsidR="007F6E00" w:rsidRPr="0042516F">
          <w:rPr>
            <w:rStyle w:val="a4"/>
            <w:smallCaps w:val="0"/>
            <w:noProof/>
            <w:szCs w:val="24"/>
          </w:rPr>
          <w:t>3.1. SS precursors of event S0976a</w:t>
        </w:r>
        <w:r w:rsidR="007F6E00" w:rsidRPr="0042516F">
          <w:rPr>
            <w:rFonts w:ascii="Times New Roman" w:cs="Times New Roman"/>
            <w:smallCaps w:val="0"/>
            <w:noProof/>
            <w:webHidden/>
            <w:sz w:val="24"/>
            <w:szCs w:val="24"/>
          </w:rPr>
          <w:tab/>
        </w:r>
        <w:r w:rsidR="007F6E00" w:rsidRPr="0042516F">
          <w:rPr>
            <w:rFonts w:ascii="Times New Roman" w:cs="Times New Roman"/>
            <w:smallCaps w:val="0"/>
            <w:noProof/>
            <w:webHidden/>
            <w:sz w:val="24"/>
            <w:szCs w:val="24"/>
          </w:rPr>
          <w:fldChar w:fldCharType="begin"/>
        </w:r>
        <w:r w:rsidR="007F6E00" w:rsidRPr="0042516F">
          <w:rPr>
            <w:rFonts w:ascii="Times New Roman" w:cs="Times New Roman"/>
            <w:smallCaps w:val="0"/>
            <w:noProof/>
            <w:webHidden/>
            <w:sz w:val="24"/>
            <w:szCs w:val="24"/>
          </w:rPr>
          <w:instrText xml:space="preserve"> PAGEREF _Toc202208115 \h </w:instrText>
        </w:r>
        <w:r w:rsidR="007F6E00" w:rsidRPr="0042516F">
          <w:rPr>
            <w:rFonts w:ascii="Times New Roman" w:cs="Times New Roman"/>
            <w:smallCaps w:val="0"/>
            <w:noProof/>
            <w:webHidden/>
            <w:sz w:val="24"/>
            <w:szCs w:val="24"/>
          </w:rPr>
        </w:r>
        <w:r w:rsidR="007F6E00" w:rsidRPr="0042516F">
          <w:rPr>
            <w:rFonts w:ascii="Times New Roman" w:cs="Times New Roman"/>
            <w:smallCaps w:val="0"/>
            <w:noProof/>
            <w:webHidden/>
            <w:sz w:val="24"/>
            <w:szCs w:val="24"/>
          </w:rPr>
          <w:fldChar w:fldCharType="separate"/>
        </w:r>
        <w:r w:rsidR="007F6E00">
          <w:rPr>
            <w:rFonts w:ascii="Times New Roman" w:cs="Times New Roman"/>
            <w:smallCaps w:val="0"/>
            <w:noProof/>
            <w:webHidden/>
            <w:sz w:val="24"/>
            <w:szCs w:val="24"/>
          </w:rPr>
          <w:t>16</w:t>
        </w:r>
        <w:r w:rsidR="007F6E00" w:rsidRPr="0042516F">
          <w:rPr>
            <w:rFonts w:ascii="Times New Roman" w:cs="Times New Roman"/>
            <w:smallCaps w:val="0"/>
            <w:noProof/>
            <w:webHidden/>
            <w:sz w:val="24"/>
            <w:szCs w:val="24"/>
          </w:rPr>
          <w:fldChar w:fldCharType="end"/>
        </w:r>
      </w:hyperlink>
    </w:p>
    <w:p w14:paraId="64AC42E1" w14:textId="1C866DE9" w:rsidR="007F6E00" w:rsidRPr="0042516F" w:rsidRDefault="002243C8">
      <w:pPr>
        <w:pStyle w:val="TOC2"/>
        <w:tabs>
          <w:tab w:val="right" w:leader="dot" w:pos="8296"/>
        </w:tabs>
        <w:rPr>
          <w:rFonts w:ascii="Times New Roman" w:eastAsiaTheme="minorEastAsia" w:cs="Times New Roman"/>
          <w:smallCaps w:val="0"/>
          <w:noProof/>
          <w:sz w:val="24"/>
          <w:szCs w:val="24"/>
        </w:rPr>
      </w:pPr>
      <w:hyperlink w:anchor="_Toc202208116" w:history="1">
        <w:r w:rsidR="007F6E00" w:rsidRPr="0042516F">
          <w:rPr>
            <w:rStyle w:val="a4"/>
            <w:smallCaps w:val="0"/>
            <w:noProof/>
            <w:szCs w:val="24"/>
          </w:rPr>
          <w:t>3.2. PP precursor of event S0976a</w:t>
        </w:r>
        <w:r w:rsidR="007F6E00" w:rsidRPr="0042516F">
          <w:rPr>
            <w:rFonts w:ascii="Times New Roman" w:cs="Times New Roman"/>
            <w:smallCaps w:val="0"/>
            <w:noProof/>
            <w:webHidden/>
            <w:sz w:val="24"/>
            <w:szCs w:val="24"/>
          </w:rPr>
          <w:tab/>
        </w:r>
        <w:r w:rsidR="007F6E00" w:rsidRPr="0042516F">
          <w:rPr>
            <w:rFonts w:ascii="Times New Roman" w:cs="Times New Roman"/>
            <w:smallCaps w:val="0"/>
            <w:noProof/>
            <w:webHidden/>
            <w:sz w:val="24"/>
            <w:szCs w:val="24"/>
          </w:rPr>
          <w:fldChar w:fldCharType="begin"/>
        </w:r>
        <w:r w:rsidR="007F6E00" w:rsidRPr="0042516F">
          <w:rPr>
            <w:rFonts w:ascii="Times New Roman" w:cs="Times New Roman"/>
            <w:smallCaps w:val="0"/>
            <w:noProof/>
            <w:webHidden/>
            <w:sz w:val="24"/>
            <w:szCs w:val="24"/>
          </w:rPr>
          <w:instrText xml:space="preserve"> PAGEREF _Toc202208116 \h </w:instrText>
        </w:r>
        <w:r w:rsidR="007F6E00" w:rsidRPr="0042516F">
          <w:rPr>
            <w:rFonts w:ascii="Times New Roman" w:cs="Times New Roman"/>
            <w:smallCaps w:val="0"/>
            <w:noProof/>
            <w:webHidden/>
            <w:sz w:val="24"/>
            <w:szCs w:val="24"/>
          </w:rPr>
        </w:r>
        <w:r w:rsidR="007F6E00" w:rsidRPr="0042516F">
          <w:rPr>
            <w:rFonts w:ascii="Times New Roman" w:cs="Times New Roman"/>
            <w:smallCaps w:val="0"/>
            <w:noProof/>
            <w:webHidden/>
            <w:sz w:val="24"/>
            <w:szCs w:val="24"/>
          </w:rPr>
          <w:fldChar w:fldCharType="separate"/>
        </w:r>
        <w:r w:rsidR="007F6E00">
          <w:rPr>
            <w:rFonts w:ascii="Times New Roman" w:cs="Times New Roman"/>
            <w:smallCaps w:val="0"/>
            <w:noProof/>
            <w:webHidden/>
            <w:sz w:val="24"/>
            <w:szCs w:val="24"/>
          </w:rPr>
          <w:t>21</w:t>
        </w:r>
        <w:r w:rsidR="007F6E00" w:rsidRPr="0042516F">
          <w:rPr>
            <w:rFonts w:ascii="Times New Roman" w:cs="Times New Roman"/>
            <w:smallCaps w:val="0"/>
            <w:noProof/>
            <w:webHidden/>
            <w:sz w:val="24"/>
            <w:szCs w:val="24"/>
          </w:rPr>
          <w:fldChar w:fldCharType="end"/>
        </w:r>
      </w:hyperlink>
    </w:p>
    <w:p w14:paraId="3F8E8C41" w14:textId="0501647D" w:rsidR="007F6E00" w:rsidRPr="0042516F" w:rsidRDefault="002243C8">
      <w:pPr>
        <w:pStyle w:val="TOC2"/>
        <w:tabs>
          <w:tab w:val="right" w:leader="dot" w:pos="8296"/>
        </w:tabs>
        <w:rPr>
          <w:rFonts w:ascii="Times New Roman" w:eastAsiaTheme="minorEastAsia" w:cs="Times New Roman"/>
          <w:smallCaps w:val="0"/>
          <w:noProof/>
          <w:sz w:val="24"/>
          <w:szCs w:val="24"/>
        </w:rPr>
      </w:pPr>
      <w:hyperlink w:anchor="_Toc202208117" w:history="1">
        <w:r w:rsidR="007F6E00" w:rsidRPr="0042516F">
          <w:rPr>
            <w:rStyle w:val="a4"/>
            <w:smallCaps w:val="0"/>
            <w:noProof/>
            <w:szCs w:val="24"/>
          </w:rPr>
          <w:t>3.3. SS precursors of event S1153a</w:t>
        </w:r>
        <w:r w:rsidR="007F6E00" w:rsidRPr="0042516F">
          <w:rPr>
            <w:rFonts w:ascii="Times New Roman" w:cs="Times New Roman"/>
            <w:smallCaps w:val="0"/>
            <w:noProof/>
            <w:webHidden/>
            <w:sz w:val="24"/>
            <w:szCs w:val="24"/>
          </w:rPr>
          <w:tab/>
        </w:r>
        <w:r w:rsidR="007F6E00" w:rsidRPr="0042516F">
          <w:rPr>
            <w:rFonts w:ascii="Times New Roman" w:cs="Times New Roman"/>
            <w:smallCaps w:val="0"/>
            <w:noProof/>
            <w:webHidden/>
            <w:sz w:val="24"/>
            <w:szCs w:val="24"/>
          </w:rPr>
          <w:fldChar w:fldCharType="begin"/>
        </w:r>
        <w:r w:rsidR="007F6E00" w:rsidRPr="0042516F">
          <w:rPr>
            <w:rFonts w:ascii="Times New Roman" w:cs="Times New Roman"/>
            <w:smallCaps w:val="0"/>
            <w:noProof/>
            <w:webHidden/>
            <w:sz w:val="24"/>
            <w:szCs w:val="24"/>
          </w:rPr>
          <w:instrText xml:space="preserve"> PAGEREF _Toc202208117 \h </w:instrText>
        </w:r>
        <w:r w:rsidR="007F6E00" w:rsidRPr="0042516F">
          <w:rPr>
            <w:rFonts w:ascii="Times New Roman" w:cs="Times New Roman"/>
            <w:smallCaps w:val="0"/>
            <w:noProof/>
            <w:webHidden/>
            <w:sz w:val="24"/>
            <w:szCs w:val="24"/>
          </w:rPr>
        </w:r>
        <w:r w:rsidR="007F6E00" w:rsidRPr="0042516F">
          <w:rPr>
            <w:rFonts w:ascii="Times New Roman" w:cs="Times New Roman"/>
            <w:smallCaps w:val="0"/>
            <w:noProof/>
            <w:webHidden/>
            <w:sz w:val="24"/>
            <w:szCs w:val="24"/>
          </w:rPr>
          <w:fldChar w:fldCharType="separate"/>
        </w:r>
        <w:r w:rsidR="007F6E00">
          <w:rPr>
            <w:rFonts w:ascii="Times New Roman" w:cs="Times New Roman"/>
            <w:smallCaps w:val="0"/>
            <w:noProof/>
            <w:webHidden/>
            <w:sz w:val="24"/>
            <w:szCs w:val="24"/>
          </w:rPr>
          <w:t>23</w:t>
        </w:r>
        <w:r w:rsidR="007F6E00" w:rsidRPr="0042516F">
          <w:rPr>
            <w:rFonts w:ascii="Times New Roman" w:cs="Times New Roman"/>
            <w:smallCaps w:val="0"/>
            <w:noProof/>
            <w:webHidden/>
            <w:sz w:val="24"/>
            <w:szCs w:val="24"/>
          </w:rPr>
          <w:fldChar w:fldCharType="end"/>
        </w:r>
      </w:hyperlink>
    </w:p>
    <w:p w14:paraId="5AA75D46" w14:textId="2FD0DC09" w:rsidR="007F6E00" w:rsidRPr="0042516F" w:rsidRDefault="002243C8">
      <w:pPr>
        <w:pStyle w:val="TOC2"/>
        <w:tabs>
          <w:tab w:val="right" w:leader="dot" w:pos="8296"/>
        </w:tabs>
        <w:rPr>
          <w:rFonts w:ascii="Times New Roman" w:eastAsiaTheme="minorEastAsia" w:cs="Times New Roman"/>
          <w:smallCaps w:val="0"/>
          <w:noProof/>
          <w:sz w:val="24"/>
          <w:szCs w:val="24"/>
        </w:rPr>
      </w:pPr>
      <w:hyperlink w:anchor="_Toc202208118" w:history="1">
        <w:r w:rsidR="007F6E00" w:rsidRPr="0042516F">
          <w:rPr>
            <w:rStyle w:val="a4"/>
            <w:smallCaps w:val="0"/>
            <w:noProof/>
            <w:szCs w:val="24"/>
          </w:rPr>
          <w:t>3.4. Comodulation analysis</w:t>
        </w:r>
        <w:r w:rsidR="007F6E00" w:rsidRPr="0042516F">
          <w:rPr>
            <w:rFonts w:ascii="Times New Roman" w:cs="Times New Roman"/>
            <w:smallCaps w:val="0"/>
            <w:noProof/>
            <w:webHidden/>
            <w:sz w:val="24"/>
            <w:szCs w:val="24"/>
          </w:rPr>
          <w:tab/>
        </w:r>
        <w:r w:rsidR="007F6E00" w:rsidRPr="0042516F">
          <w:rPr>
            <w:rFonts w:ascii="Times New Roman" w:cs="Times New Roman"/>
            <w:smallCaps w:val="0"/>
            <w:noProof/>
            <w:webHidden/>
            <w:sz w:val="24"/>
            <w:szCs w:val="24"/>
          </w:rPr>
          <w:fldChar w:fldCharType="begin"/>
        </w:r>
        <w:r w:rsidR="007F6E00" w:rsidRPr="0042516F">
          <w:rPr>
            <w:rFonts w:ascii="Times New Roman" w:cs="Times New Roman"/>
            <w:smallCaps w:val="0"/>
            <w:noProof/>
            <w:webHidden/>
            <w:sz w:val="24"/>
            <w:szCs w:val="24"/>
          </w:rPr>
          <w:instrText xml:space="preserve"> PAGEREF _Toc202208118 \h </w:instrText>
        </w:r>
        <w:r w:rsidR="007F6E00" w:rsidRPr="0042516F">
          <w:rPr>
            <w:rFonts w:ascii="Times New Roman" w:cs="Times New Roman"/>
            <w:smallCaps w:val="0"/>
            <w:noProof/>
            <w:webHidden/>
            <w:sz w:val="24"/>
            <w:szCs w:val="24"/>
          </w:rPr>
        </w:r>
        <w:r w:rsidR="007F6E00" w:rsidRPr="0042516F">
          <w:rPr>
            <w:rFonts w:ascii="Times New Roman" w:cs="Times New Roman"/>
            <w:smallCaps w:val="0"/>
            <w:noProof/>
            <w:webHidden/>
            <w:sz w:val="24"/>
            <w:szCs w:val="24"/>
          </w:rPr>
          <w:fldChar w:fldCharType="separate"/>
        </w:r>
        <w:r w:rsidR="007F6E00">
          <w:rPr>
            <w:rFonts w:ascii="Times New Roman" w:cs="Times New Roman"/>
            <w:smallCaps w:val="0"/>
            <w:noProof/>
            <w:webHidden/>
            <w:sz w:val="24"/>
            <w:szCs w:val="24"/>
          </w:rPr>
          <w:t>30</w:t>
        </w:r>
        <w:r w:rsidR="007F6E00" w:rsidRPr="0042516F">
          <w:rPr>
            <w:rFonts w:ascii="Times New Roman" w:cs="Times New Roman"/>
            <w:smallCaps w:val="0"/>
            <w:noProof/>
            <w:webHidden/>
            <w:sz w:val="24"/>
            <w:szCs w:val="24"/>
          </w:rPr>
          <w:fldChar w:fldCharType="end"/>
        </w:r>
      </w:hyperlink>
    </w:p>
    <w:p w14:paraId="61B22117" w14:textId="6B768F60" w:rsidR="007F6E00" w:rsidRPr="0042516F" w:rsidRDefault="002243C8">
      <w:pPr>
        <w:pStyle w:val="TOC1"/>
        <w:rPr>
          <w:b w:val="0"/>
          <w:bCs w:val="0"/>
          <w:noProof/>
        </w:rPr>
      </w:pPr>
      <w:hyperlink w:anchor="_Toc202208119" w:history="1">
        <w:r w:rsidR="007F6E00" w:rsidRPr="0042516F">
          <w:rPr>
            <w:rStyle w:val="a4"/>
            <w:noProof/>
          </w:rPr>
          <w:t>4. Seismic inversion results</w:t>
        </w:r>
        <w:r w:rsidR="007F6E00" w:rsidRPr="0042516F">
          <w:rPr>
            <w:noProof/>
            <w:webHidden/>
          </w:rPr>
          <w:tab/>
        </w:r>
        <w:r w:rsidR="007F6E00" w:rsidRPr="0042516F">
          <w:rPr>
            <w:noProof/>
            <w:webHidden/>
          </w:rPr>
          <w:fldChar w:fldCharType="begin"/>
        </w:r>
        <w:r w:rsidR="007F6E00" w:rsidRPr="0042516F">
          <w:rPr>
            <w:noProof/>
            <w:webHidden/>
          </w:rPr>
          <w:instrText xml:space="preserve"> PAGEREF _Toc202208119 \h </w:instrText>
        </w:r>
        <w:r w:rsidR="007F6E00" w:rsidRPr="0042516F">
          <w:rPr>
            <w:noProof/>
            <w:webHidden/>
          </w:rPr>
        </w:r>
        <w:r w:rsidR="007F6E00" w:rsidRPr="0042516F">
          <w:rPr>
            <w:noProof/>
            <w:webHidden/>
          </w:rPr>
          <w:fldChar w:fldCharType="separate"/>
        </w:r>
        <w:r w:rsidR="007F6E00">
          <w:rPr>
            <w:noProof/>
            <w:webHidden/>
          </w:rPr>
          <w:t>34</w:t>
        </w:r>
        <w:r w:rsidR="007F6E00" w:rsidRPr="0042516F">
          <w:rPr>
            <w:noProof/>
            <w:webHidden/>
          </w:rPr>
          <w:fldChar w:fldCharType="end"/>
        </w:r>
      </w:hyperlink>
    </w:p>
    <w:p w14:paraId="09AC6752" w14:textId="1DD109D7" w:rsidR="007F6E00" w:rsidRPr="0042516F" w:rsidRDefault="002243C8">
      <w:pPr>
        <w:pStyle w:val="TOC2"/>
        <w:tabs>
          <w:tab w:val="right" w:leader="dot" w:pos="8296"/>
        </w:tabs>
        <w:rPr>
          <w:rFonts w:ascii="Times New Roman" w:eastAsiaTheme="minorEastAsia" w:cs="Times New Roman"/>
          <w:smallCaps w:val="0"/>
          <w:noProof/>
          <w:sz w:val="24"/>
          <w:szCs w:val="24"/>
        </w:rPr>
      </w:pPr>
      <w:hyperlink w:anchor="_Toc202208120" w:history="1">
        <w:r w:rsidR="007F6E00" w:rsidRPr="0042516F">
          <w:rPr>
            <w:rStyle w:val="a4"/>
            <w:smallCaps w:val="0"/>
            <w:noProof/>
            <w:szCs w:val="24"/>
          </w:rPr>
          <w:t>4.1. Crustal structure beneath the InSight lander</w:t>
        </w:r>
        <w:r w:rsidR="007F6E00" w:rsidRPr="0042516F">
          <w:rPr>
            <w:rFonts w:ascii="Times New Roman" w:cs="Times New Roman"/>
            <w:smallCaps w:val="0"/>
            <w:noProof/>
            <w:webHidden/>
            <w:sz w:val="24"/>
            <w:szCs w:val="24"/>
          </w:rPr>
          <w:tab/>
        </w:r>
        <w:r w:rsidR="007F6E00" w:rsidRPr="0042516F">
          <w:rPr>
            <w:rFonts w:ascii="Times New Roman" w:cs="Times New Roman"/>
            <w:smallCaps w:val="0"/>
            <w:noProof/>
            <w:webHidden/>
            <w:sz w:val="24"/>
            <w:szCs w:val="24"/>
          </w:rPr>
          <w:fldChar w:fldCharType="begin"/>
        </w:r>
        <w:r w:rsidR="007F6E00" w:rsidRPr="0042516F">
          <w:rPr>
            <w:rFonts w:ascii="Times New Roman" w:cs="Times New Roman"/>
            <w:smallCaps w:val="0"/>
            <w:noProof/>
            <w:webHidden/>
            <w:sz w:val="24"/>
            <w:szCs w:val="24"/>
          </w:rPr>
          <w:instrText xml:space="preserve"> PAGEREF _Toc202208120 \h </w:instrText>
        </w:r>
        <w:r w:rsidR="007F6E00" w:rsidRPr="0042516F">
          <w:rPr>
            <w:rFonts w:ascii="Times New Roman" w:cs="Times New Roman"/>
            <w:smallCaps w:val="0"/>
            <w:noProof/>
            <w:webHidden/>
            <w:sz w:val="24"/>
            <w:szCs w:val="24"/>
          </w:rPr>
        </w:r>
        <w:r w:rsidR="007F6E00" w:rsidRPr="0042516F">
          <w:rPr>
            <w:rFonts w:ascii="Times New Roman" w:cs="Times New Roman"/>
            <w:smallCaps w:val="0"/>
            <w:noProof/>
            <w:webHidden/>
            <w:sz w:val="24"/>
            <w:szCs w:val="24"/>
          </w:rPr>
          <w:fldChar w:fldCharType="separate"/>
        </w:r>
        <w:r w:rsidR="007F6E00">
          <w:rPr>
            <w:rFonts w:ascii="Times New Roman" w:cs="Times New Roman"/>
            <w:smallCaps w:val="0"/>
            <w:noProof/>
            <w:webHidden/>
            <w:sz w:val="24"/>
            <w:szCs w:val="24"/>
          </w:rPr>
          <w:t>34</w:t>
        </w:r>
        <w:r w:rsidR="007F6E00" w:rsidRPr="0042516F">
          <w:rPr>
            <w:rFonts w:ascii="Times New Roman" w:cs="Times New Roman"/>
            <w:smallCaps w:val="0"/>
            <w:noProof/>
            <w:webHidden/>
            <w:sz w:val="24"/>
            <w:szCs w:val="24"/>
          </w:rPr>
          <w:fldChar w:fldCharType="end"/>
        </w:r>
      </w:hyperlink>
    </w:p>
    <w:p w14:paraId="360460D9" w14:textId="1E207BFF" w:rsidR="007F6E00" w:rsidRPr="0042516F" w:rsidRDefault="002243C8">
      <w:pPr>
        <w:pStyle w:val="TOC2"/>
        <w:tabs>
          <w:tab w:val="right" w:leader="dot" w:pos="8296"/>
        </w:tabs>
        <w:rPr>
          <w:rFonts w:ascii="Times New Roman" w:eastAsiaTheme="minorEastAsia" w:cs="Times New Roman"/>
          <w:smallCaps w:val="0"/>
          <w:noProof/>
          <w:sz w:val="24"/>
          <w:szCs w:val="24"/>
        </w:rPr>
      </w:pPr>
      <w:hyperlink w:anchor="_Toc202208121" w:history="1">
        <w:r w:rsidR="007F6E00" w:rsidRPr="0042516F">
          <w:rPr>
            <w:rStyle w:val="a4"/>
            <w:smallCaps w:val="0"/>
            <w:noProof/>
            <w:szCs w:val="24"/>
          </w:rPr>
          <w:t>4.2. Additional RF inversions</w:t>
        </w:r>
        <w:r w:rsidR="007F6E00" w:rsidRPr="0042516F">
          <w:rPr>
            <w:rFonts w:ascii="Times New Roman" w:cs="Times New Roman"/>
            <w:smallCaps w:val="0"/>
            <w:noProof/>
            <w:webHidden/>
            <w:sz w:val="24"/>
            <w:szCs w:val="24"/>
          </w:rPr>
          <w:tab/>
        </w:r>
        <w:r w:rsidR="007F6E00" w:rsidRPr="0042516F">
          <w:rPr>
            <w:rFonts w:ascii="Times New Roman" w:cs="Times New Roman"/>
            <w:smallCaps w:val="0"/>
            <w:noProof/>
            <w:webHidden/>
            <w:sz w:val="24"/>
            <w:szCs w:val="24"/>
          </w:rPr>
          <w:fldChar w:fldCharType="begin"/>
        </w:r>
        <w:r w:rsidR="007F6E00" w:rsidRPr="0042516F">
          <w:rPr>
            <w:rFonts w:ascii="Times New Roman" w:cs="Times New Roman"/>
            <w:smallCaps w:val="0"/>
            <w:noProof/>
            <w:webHidden/>
            <w:sz w:val="24"/>
            <w:szCs w:val="24"/>
          </w:rPr>
          <w:instrText xml:space="preserve"> PAGEREF _Toc202208121 \h </w:instrText>
        </w:r>
        <w:r w:rsidR="007F6E00" w:rsidRPr="0042516F">
          <w:rPr>
            <w:rFonts w:ascii="Times New Roman" w:cs="Times New Roman"/>
            <w:smallCaps w:val="0"/>
            <w:noProof/>
            <w:webHidden/>
            <w:sz w:val="24"/>
            <w:szCs w:val="24"/>
          </w:rPr>
        </w:r>
        <w:r w:rsidR="007F6E00" w:rsidRPr="0042516F">
          <w:rPr>
            <w:rFonts w:ascii="Times New Roman" w:cs="Times New Roman"/>
            <w:smallCaps w:val="0"/>
            <w:noProof/>
            <w:webHidden/>
            <w:sz w:val="24"/>
            <w:szCs w:val="24"/>
          </w:rPr>
          <w:fldChar w:fldCharType="separate"/>
        </w:r>
        <w:r w:rsidR="007F6E00">
          <w:rPr>
            <w:rFonts w:ascii="Times New Roman" w:cs="Times New Roman"/>
            <w:smallCaps w:val="0"/>
            <w:noProof/>
            <w:webHidden/>
            <w:sz w:val="24"/>
            <w:szCs w:val="24"/>
          </w:rPr>
          <w:t>37</w:t>
        </w:r>
        <w:r w:rsidR="007F6E00" w:rsidRPr="0042516F">
          <w:rPr>
            <w:rFonts w:ascii="Times New Roman" w:cs="Times New Roman"/>
            <w:smallCaps w:val="0"/>
            <w:noProof/>
            <w:webHidden/>
            <w:sz w:val="24"/>
            <w:szCs w:val="24"/>
          </w:rPr>
          <w:fldChar w:fldCharType="end"/>
        </w:r>
      </w:hyperlink>
    </w:p>
    <w:p w14:paraId="6104372D" w14:textId="72738104" w:rsidR="007F6E00" w:rsidRPr="0042516F" w:rsidRDefault="002243C8">
      <w:pPr>
        <w:pStyle w:val="TOC2"/>
        <w:tabs>
          <w:tab w:val="right" w:leader="dot" w:pos="8296"/>
        </w:tabs>
        <w:rPr>
          <w:rFonts w:ascii="Times New Roman" w:eastAsiaTheme="minorEastAsia" w:cs="Times New Roman"/>
          <w:smallCaps w:val="0"/>
          <w:noProof/>
          <w:sz w:val="24"/>
          <w:szCs w:val="24"/>
        </w:rPr>
      </w:pPr>
      <w:hyperlink w:anchor="_Toc202208122" w:history="1">
        <w:r w:rsidR="007F6E00" w:rsidRPr="0042516F">
          <w:rPr>
            <w:rStyle w:val="a4"/>
            <w:smallCaps w:val="0"/>
            <w:noProof/>
            <w:szCs w:val="24"/>
          </w:rPr>
          <w:t>4.3. Crustal structures beneath the southern edge of AP and eastern CF</w:t>
        </w:r>
        <w:r w:rsidR="007F6E00" w:rsidRPr="0042516F">
          <w:rPr>
            <w:rFonts w:ascii="Times New Roman" w:cs="Times New Roman"/>
            <w:smallCaps w:val="0"/>
            <w:noProof/>
            <w:webHidden/>
            <w:sz w:val="24"/>
            <w:szCs w:val="24"/>
          </w:rPr>
          <w:tab/>
        </w:r>
        <w:r w:rsidR="007F6E00" w:rsidRPr="0042516F">
          <w:rPr>
            <w:rFonts w:ascii="Times New Roman" w:cs="Times New Roman"/>
            <w:smallCaps w:val="0"/>
            <w:noProof/>
            <w:webHidden/>
            <w:sz w:val="24"/>
            <w:szCs w:val="24"/>
          </w:rPr>
          <w:fldChar w:fldCharType="begin"/>
        </w:r>
        <w:r w:rsidR="007F6E00" w:rsidRPr="0042516F">
          <w:rPr>
            <w:rFonts w:ascii="Times New Roman" w:cs="Times New Roman"/>
            <w:smallCaps w:val="0"/>
            <w:noProof/>
            <w:webHidden/>
            <w:sz w:val="24"/>
            <w:szCs w:val="24"/>
          </w:rPr>
          <w:instrText xml:space="preserve"> PAGEREF _Toc202208122 \h </w:instrText>
        </w:r>
        <w:r w:rsidR="007F6E00" w:rsidRPr="0042516F">
          <w:rPr>
            <w:rFonts w:ascii="Times New Roman" w:cs="Times New Roman"/>
            <w:smallCaps w:val="0"/>
            <w:noProof/>
            <w:webHidden/>
            <w:sz w:val="24"/>
            <w:szCs w:val="24"/>
          </w:rPr>
        </w:r>
        <w:r w:rsidR="007F6E00" w:rsidRPr="0042516F">
          <w:rPr>
            <w:rFonts w:ascii="Times New Roman" w:cs="Times New Roman"/>
            <w:smallCaps w:val="0"/>
            <w:noProof/>
            <w:webHidden/>
            <w:sz w:val="24"/>
            <w:szCs w:val="24"/>
          </w:rPr>
          <w:fldChar w:fldCharType="separate"/>
        </w:r>
        <w:r w:rsidR="007F6E00">
          <w:rPr>
            <w:rFonts w:ascii="Times New Roman" w:cs="Times New Roman"/>
            <w:smallCaps w:val="0"/>
            <w:noProof/>
            <w:webHidden/>
            <w:sz w:val="24"/>
            <w:szCs w:val="24"/>
          </w:rPr>
          <w:t>43</w:t>
        </w:r>
        <w:r w:rsidR="007F6E00" w:rsidRPr="0042516F">
          <w:rPr>
            <w:rFonts w:ascii="Times New Roman" w:cs="Times New Roman"/>
            <w:smallCaps w:val="0"/>
            <w:noProof/>
            <w:webHidden/>
            <w:sz w:val="24"/>
            <w:szCs w:val="24"/>
          </w:rPr>
          <w:fldChar w:fldCharType="end"/>
        </w:r>
      </w:hyperlink>
    </w:p>
    <w:p w14:paraId="79C5AB16" w14:textId="52CE7E67" w:rsidR="007F6E00" w:rsidRPr="0042516F" w:rsidRDefault="002243C8">
      <w:pPr>
        <w:pStyle w:val="TOC2"/>
        <w:tabs>
          <w:tab w:val="right" w:leader="dot" w:pos="8296"/>
        </w:tabs>
        <w:rPr>
          <w:rFonts w:ascii="Times New Roman" w:eastAsiaTheme="minorEastAsia" w:cs="Times New Roman"/>
          <w:smallCaps w:val="0"/>
          <w:noProof/>
          <w:sz w:val="24"/>
          <w:szCs w:val="24"/>
        </w:rPr>
      </w:pPr>
      <w:hyperlink w:anchor="_Toc202208123" w:history="1">
        <w:r w:rsidR="007F6E00" w:rsidRPr="0042516F">
          <w:rPr>
            <w:rStyle w:val="a4"/>
            <w:smallCaps w:val="0"/>
            <w:noProof/>
            <w:szCs w:val="24"/>
          </w:rPr>
          <w:t>4.4. PP/SS precursor inversions based on travel time and amplitude</w:t>
        </w:r>
        <w:r w:rsidR="007F6E00" w:rsidRPr="0042516F">
          <w:rPr>
            <w:rFonts w:ascii="Times New Roman" w:cs="Times New Roman"/>
            <w:smallCaps w:val="0"/>
            <w:noProof/>
            <w:webHidden/>
            <w:sz w:val="24"/>
            <w:szCs w:val="24"/>
          </w:rPr>
          <w:tab/>
        </w:r>
        <w:r w:rsidR="007F6E00" w:rsidRPr="0042516F">
          <w:rPr>
            <w:rFonts w:ascii="Times New Roman" w:cs="Times New Roman"/>
            <w:smallCaps w:val="0"/>
            <w:noProof/>
            <w:webHidden/>
            <w:sz w:val="24"/>
            <w:szCs w:val="24"/>
          </w:rPr>
          <w:fldChar w:fldCharType="begin"/>
        </w:r>
        <w:r w:rsidR="007F6E00" w:rsidRPr="0042516F">
          <w:rPr>
            <w:rFonts w:ascii="Times New Roman" w:cs="Times New Roman"/>
            <w:smallCaps w:val="0"/>
            <w:noProof/>
            <w:webHidden/>
            <w:sz w:val="24"/>
            <w:szCs w:val="24"/>
          </w:rPr>
          <w:instrText xml:space="preserve"> PAGEREF _Toc202208123 \h </w:instrText>
        </w:r>
        <w:r w:rsidR="007F6E00" w:rsidRPr="0042516F">
          <w:rPr>
            <w:rFonts w:ascii="Times New Roman" w:cs="Times New Roman"/>
            <w:smallCaps w:val="0"/>
            <w:noProof/>
            <w:webHidden/>
            <w:sz w:val="24"/>
            <w:szCs w:val="24"/>
          </w:rPr>
        </w:r>
        <w:r w:rsidR="007F6E00" w:rsidRPr="0042516F">
          <w:rPr>
            <w:rFonts w:ascii="Times New Roman" w:cs="Times New Roman"/>
            <w:smallCaps w:val="0"/>
            <w:noProof/>
            <w:webHidden/>
            <w:sz w:val="24"/>
            <w:szCs w:val="24"/>
          </w:rPr>
          <w:fldChar w:fldCharType="separate"/>
        </w:r>
        <w:r w:rsidR="007F6E00">
          <w:rPr>
            <w:rFonts w:ascii="Times New Roman" w:cs="Times New Roman"/>
            <w:smallCaps w:val="0"/>
            <w:noProof/>
            <w:webHidden/>
            <w:sz w:val="24"/>
            <w:szCs w:val="24"/>
          </w:rPr>
          <w:t>47</w:t>
        </w:r>
        <w:r w:rsidR="007F6E00" w:rsidRPr="0042516F">
          <w:rPr>
            <w:rFonts w:ascii="Times New Roman" w:cs="Times New Roman"/>
            <w:smallCaps w:val="0"/>
            <w:noProof/>
            <w:webHidden/>
            <w:sz w:val="24"/>
            <w:szCs w:val="24"/>
          </w:rPr>
          <w:fldChar w:fldCharType="end"/>
        </w:r>
      </w:hyperlink>
    </w:p>
    <w:p w14:paraId="2F4160DB" w14:textId="20ECC20E" w:rsidR="007F6E00" w:rsidRPr="0042516F" w:rsidRDefault="002243C8">
      <w:pPr>
        <w:pStyle w:val="TOC2"/>
        <w:tabs>
          <w:tab w:val="right" w:leader="dot" w:pos="8296"/>
        </w:tabs>
        <w:rPr>
          <w:rFonts w:ascii="Times New Roman" w:eastAsiaTheme="minorEastAsia" w:cs="Times New Roman"/>
          <w:smallCaps w:val="0"/>
          <w:noProof/>
          <w:sz w:val="24"/>
          <w:szCs w:val="24"/>
        </w:rPr>
      </w:pPr>
      <w:hyperlink w:anchor="_Toc202208124" w:history="1">
        <w:r w:rsidR="007F6E00" w:rsidRPr="0042516F">
          <w:rPr>
            <w:rStyle w:val="a4"/>
            <w:smallCaps w:val="0"/>
            <w:noProof/>
            <w:szCs w:val="24"/>
          </w:rPr>
          <w:t>4.5. Amplitude of the PP precursor associated with the LVZ</w:t>
        </w:r>
        <w:r w:rsidR="007F6E00" w:rsidRPr="0042516F">
          <w:rPr>
            <w:rFonts w:ascii="Times New Roman" w:cs="Times New Roman"/>
            <w:smallCaps w:val="0"/>
            <w:noProof/>
            <w:webHidden/>
            <w:sz w:val="24"/>
            <w:szCs w:val="24"/>
          </w:rPr>
          <w:tab/>
        </w:r>
        <w:r w:rsidR="007F6E00" w:rsidRPr="0042516F">
          <w:rPr>
            <w:rFonts w:ascii="Times New Roman" w:cs="Times New Roman"/>
            <w:smallCaps w:val="0"/>
            <w:noProof/>
            <w:webHidden/>
            <w:sz w:val="24"/>
            <w:szCs w:val="24"/>
          </w:rPr>
          <w:fldChar w:fldCharType="begin"/>
        </w:r>
        <w:r w:rsidR="007F6E00" w:rsidRPr="0042516F">
          <w:rPr>
            <w:rFonts w:ascii="Times New Roman" w:cs="Times New Roman"/>
            <w:smallCaps w:val="0"/>
            <w:noProof/>
            <w:webHidden/>
            <w:sz w:val="24"/>
            <w:szCs w:val="24"/>
          </w:rPr>
          <w:instrText xml:space="preserve"> PAGEREF _Toc202208124 \h </w:instrText>
        </w:r>
        <w:r w:rsidR="007F6E00" w:rsidRPr="0042516F">
          <w:rPr>
            <w:rFonts w:ascii="Times New Roman" w:cs="Times New Roman"/>
            <w:smallCaps w:val="0"/>
            <w:noProof/>
            <w:webHidden/>
            <w:sz w:val="24"/>
            <w:szCs w:val="24"/>
          </w:rPr>
        </w:r>
        <w:r w:rsidR="007F6E00" w:rsidRPr="0042516F">
          <w:rPr>
            <w:rFonts w:ascii="Times New Roman" w:cs="Times New Roman"/>
            <w:smallCaps w:val="0"/>
            <w:noProof/>
            <w:webHidden/>
            <w:sz w:val="24"/>
            <w:szCs w:val="24"/>
          </w:rPr>
          <w:fldChar w:fldCharType="separate"/>
        </w:r>
        <w:r w:rsidR="007F6E00">
          <w:rPr>
            <w:rFonts w:ascii="Times New Roman" w:cs="Times New Roman"/>
            <w:smallCaps w:val="0"/>
            <w:noProof/>
            <w:webHidden/>
            <w:sz w:val="24"/>
            <w:szCs w:val="24"/>
          </w:rPr>
          <w:t>49</w:t>
        </w:r>
        <w:r w:rsidR="007F6E00" w:rsidRPr="0042516F">
          <w:rPr>
            <w:rFonts w:ascii="Times New Roman" w:cs="Times New Roman"/>
            <w:smallCaps w:val="0"/>
            <w:noProof/>
            <w:webHidden/>
            <w:sz w:val="24"/>
            <w:szCs w:val="24"/>
          </w:rPr>
          <w:fldChar w:fldCharType="end"/>
        </w:r>
      </w:hyperlink>
    </w:p>
    <w:p w14:paraId="7A2D80C1" w14:textId="07D7123C" w:rsidR="007F6E00" w:rsidRPr="0042516F" w:rsidRDefault="002243C8">
      <w:pPr>
        <w:pStyle w:val="TOC2"/>
        <w:tabs>
          <w:tab w:val="right" w:leader="dot" w:pos="8296"/>
        </w:tabs>
        <w:rPr>
          <w:rFonts w:ascii="Times New Roman" w:eastAsiaTheme="minorEastAsia" w:cs="Times New Roman"/>
          <w:smallCaps w:val="0"/>
          <w:noProof/>
          <w:sz w:val="24"/>
          <w:szCs w:val="24"/>
        </w:rPr>
      </w:pPr>
      <w:hyperlink w:anchor="_Toc202208125" w:history="1">
        <w:r w:rsidR="007F6E00" w:rsidRPr="0042516F">
          <w:rPr>
            <w:rStyle w:val="a4"/>
            <w:smallCaps w:val="0"/>
            <w:noProof/>
            <w:szCs w:val="24"/>
          </w:rPr>
          <w:t>4.6. Moho structures beneath the southern edge of AP and eastern CF</w:t>
        </w:r>
        <w:r w:rsidR="007F6E00" w:rsidRPr="0042516F">
          <w:rPr>
            <w:rFonts w:ascii="Times New Roman" w:cs="Times New Roman"/>
            <w:smallCaps w:val="0"/>
            <w:noProof/>
            <w:webHidden/>
            <w:sz w:val="24"/>
            <w:szCs w:val="24"/>
          </w:rPr>
          <w:tab/>
        </w:r>
        <w:r w:rsidR="007F6E00" w:rsidRPr="0042516F">
          <w:rPr>
            <w:rFonts w:ascii="Times New Roman" w:cs="Times New Roman"/>
            <w:smallCaps w:val="0"/>
            <w:noProof/>
            <w:webHidden/>
            <w:sz w:val="24"/>
            <w:szCs w:val="24"/>
          </w:rPr>
          <w:fldChar w:fldCharType="begin"/>
        </w:r>
        <w:r w:rsidR="007F6E00" w:rsidRPr="0042516F">
          <w:rPr>
            <w:rFonts w:ascii="Times New Roman" w:cs="Times New Roman"/>
            <w:smallCaps w:val="0"/>
            <w:noProof/>
            <w:webHidden/>
            <w:sz w:val="24"/>
            <w:szCs w:val="24"/>
          </w:rPr>
          <w:instrText xml:space="preserve"> PAGEREF _Toc202208125 \h </w:instrText>
        </w:r>
        <w:r w:rsidR="007F6E00" w:rsidRPr="0042516F">
          <w:rPr>
            <w:rFonts w:ascii="Times New Roman" w:cs="Times New Roman"/>
            <w:smallCaps w:val="0"/>
            <w:noProof/>
            <w:webHidden/>
            <w:sz w:val="24"/>
            <w:szCs w:val="24"/>
          </w:rPr>
        </w:r>
        <w:r w:rsidR="007F6E00" w:rsidRPr="0042516F">
          <w:rPr>
            <w:rFonts w:ascii="Times New Roman" w:cs="Times New Roman"/>
            <w:smallCaps w:val="0"/>
            <w:noProof/>
            <w:webHidden/>
            <w:sz w:val="24"/>
            <w:szCs w:val="24"/>
          </w:rPr>
          <w:fldChar w:fldCharType="separate"/>
        </w:r>
        <w:r w:rsidR="007F6E00">
          <w:rPr>
            <w:rFonts w:ascii="Times New Roman" w:cs="Times New Roman"/>
            <w:smallCaps w:val="0"/>
            <w:noProof/>
            <w:webHidden/>
            <w:sz w:val="24"/>
            <w:szCs w:val="24"/>
          </w:rPr>
          <w:t>54</w:t>
        </w:r>
        <w:r w:rsidR="007F6E00" w:rsidRPr="0042516F">
          <w:rPr>
            <w:rFonts w:ascii="Times New Roman" w:cs="Times New Roman"/>
            <w:smallCaps w:val="0"/>
            <w:noProof/>
            <w:webHidden/>
            <w:sz w:val="24"/>
            <w:szCs w:val="24"/>
          </w:rPr>
          <w:fldChar w:fldCharType="end"/>
        </w:r>
      </w:hyperlink>
    </w:p>
    <w:p w14:paraId="3EB16C17" w14:textId="081DE157" w:rsidR="007F6E00" w:rsidRPr="0042516F" w:rsidRDefault="002243C8">
      <w:pPr>
        <w:pStyle w:val="TOC1"/>
        <w:rPr>
          <w:b w:val="0"/>
          <w:bCs w:val="0"/>
          <w:noProof/>
        </w:rPr>
      </w:pPr>
      <w:hyperlink w:anchor="_Toc202208126" w:history="1">
        <w:r w:rsidR="007F6E00" w:rsidRPr="0042516F">
          <w:rPr>
            <w:rStyle w:val="a4"/>
            <w:noProof/>
          </w:rPr>
          <w:t>5. Further seismic support for the upper mantle LVZ</w:t>
        </w:r>
        <w:r w:rsidR="007F6E00" w:rsidRPr="0042516F">
          <w:rPr>
            <w:noProof/>
            <w:webHidden/>
          </w:rPr>
          <w:tab/>
        </w:r>
        <w:r w:rsidR="007F6E00" w:rsidRPr="0042516F">
          <w:rPr>
            <w:noProof/>
            <w:webHidden/>
          </w:rPr>
          <w:fldChar w:fldCharType="begin"/>
        </w:r>
        <w:r w:rsidR="007F6E00" w:rsidRPr="0042516F">
          <w:rPr>
            <w:noProof/>
            <w:webHidden/>
          </w:rPr>
          <w:instrText xml:space="preserve"> PAGEREF _Toc202208126 \h </w:instrText>
        </w:r>
        <w:r w:rsidR="007F6E00" w:rsidRPr="0042516F">
          <w:rPr>
            <w:noProof/>
            <w:webHidden/>
          </w:rPr>
        </w:r>
        <w:r w:rsidR="007F6E00" w:rsidRPr="0042516F">
          <w:rPr>
            <w:noProof/>
            <w:webHidden/>
          </w:rPr>
          <w:fldChar w:fldCharType="separate"/>
        </w:r>
        <w:r w:rsidR="007F6E00">
          <w:rPr>
            <w:noProof/>
            <w:webHidden/>
          </w:rPr>
          <w:t>62</w:t>
        </w:r>
        <w:r w:rsidR="007F6E00" w:rsidRPr="0042516F">
          <w:rPr>
            <w:noProof/>
            <w:webHidden/>
          </w:rPr>
          <w:fldChar w:fldCharType="end"/>
        </w:r>
      </w:hyperlink>
    </w:p>
    <w:p w14:paraId="378C917D" w14:textId="112A3EE7" w:rsidR="007F6E00" w:rsidRPr="0042516F" w:rsidRDefault="002243C8">
      <w:pPr>
        <w:pStyle w:val="TOC2"/>
        <w:tabs>
          <w:tab w:val="right" w:leader="dot" w:pos="8296"/>
        </w:tabs>
        <w:rPr>
          <w:rFonts w:ascii="Times New Roman" w:eastAsiaTheme="minorEastAsia" w:cs="Times New Roman"/>
          <w:smallCaps w:val="0"/>
          <w:noProof/>
          <w:sz w:val="24"/>
          <w:szCs w:val="24"/>
        </w:rPr>
      </w:pPr>
      <w:hyperlink w:anchor="_Toc202208127" w:history="1">
        <w:r w:rsidR="007F6E00" w:rsidRPr="0042516F">
          <w:rPr>
            <w:rStyle w:val="a4"/>
            <w:smallCaps w:val="0"/>
            <w:noProof/>
            <w:szCs w:val="24"/>
          </w:rPr>
          <w:t>5.1. P-wave RF of event S1222a</w:t>
        </w:r>
        <w:r w:rsidR="007F6E00" w:rsidRPr="0042516F">
          <w:rPr>
            <w:rFonts w:ascii="Times New Roman" w:cs="Times New Roman"/>
            <w:smallCaps w:val="0"/>
            <w:noProof/>
            <w:webHidden/>
            <w:sz w:val="24"/>
            <w:szCs w:val="24"/>
          </w:rPr>
          <w:tab/>
        </w:r>
        <w:r w:rsidR="007F6E00" w:rsidRPr="0042516F">
          <w:rPr>
            <w:rFonts w:ascii="Times New Roman" w:cs="Times New Roman"/>
            <w:smallCaps w:val="0"/>
            <w:noProof/>
            <w:webHidden/>
            <w:sz w:val="24"/>
            <w:szCs w:val="24"/>
          </w:rPr>
          <w:fldChar w:fldCharType="begin"/>
        </w:r>
        <w:r w:rsidR="007F6E00" w:rsidRPr="0042516F">
          <w:rPr>
            <w:rFonts w:ascii="Times New Roman" w:cs="Times New Roman"/>
            <w:smallCaps w:val="0"/>
            <w:noProof/>
            <w:webHidden/>
            <w:sz w:val="24"/>
            <w:szCs w:val="24"/>
          </w:rPr>
          <w:instrText xml:space="preserve"> PAGEREF _Toc202208127 \h </w:instrText>
        </w:r>
        <w:r w:rsidR="007F6E00" w:rsidRPr="0042516F">
          <w:rPr>
            <w:rFonts w:ascii="Times New Roman" w:cs="Times New Roman"/>
            <w:smallCaps w:val="0"/>
            <w:noProof/>
            <w:webHidden/>
            <w:sz w:val="24"/>
            <w:szCs w:val="24"/>
          </w:rPr>
        </w:r>
        <w:r w:rsidR="007F6E00" w:rsidRPr="0042516F">
          <w:rPr>
            <w:rFonts w:ascii="Times New Roman" w:cs="Times New Roman"/>
            <w:smallCaps w:val="0"/>
            <w:noProof/>
            <w:webHidden/>
            <w:sz w:val="24"/>
            <w:szCs w:val="24"/>
          </w:rPr>
          <w:fldChar w:fldCharType="separate"/>
        </w:r>
        <w:r w:rsidR="007F6E00">
          <w:rPr>
            <w:rFonts w:ascii="Times New Roman" w:cs="Times New Roman"/>
            <w:smallCaps w:val="0"/>
            <w:noProof/>
            <w:webHidden/>
            <w:sz w:val="24"/>
            <w:szCs w:val="24"/>
          </w:rPr>
          <w:t>62</w:t>
        </w:r>
        <w:r w:rsidR="007F6E00" w:rsidRPr="0042516F">
          <w:rPr>
            <w:rFonts w:ascii="Times New Roman" w:cs="Times New Roman"/>
            <w:smallCaps w:val="0"/>
            <w:noProof/>
            <w:webHidden/>
            <w:sz w:val="24"/>
            <w:szCs w:val="24"/>
          </w:rPr>
          <w:fldChar w:fldCharType="end"/>
        </w:r>
      </w:hyperlink>
    </w:p>
    <w:p w14:paraId="26B627CD" w14:textId="6CDB9404" w:rsidR="007F6E00" w:rsidRPr="0042516F" w:rsidRDefault="002243C8">
      <w:pPr>
        <w:pStyle w:val="TOC2"/>
        <w:tabs>
          <w:tab w:val="right" w:leader="dot" w:pos="8296"/>
        </w:tabs>
        <w:rPr>
          <w:rFonts w:ascii="Times New Roman" w:eastAsiaTheme="minorEastAsia" w:cs="Times New Roman"/>
          <w:smallCaps w:val="0"/>
          <w:noProof/>
          <w:sz w:val="24"/>
          <w:szCs w:val="24"/>
        </w:rPr>
      </w:pPr>
      <w:hyperlink w:anchor="_Toc202208128" w:history="1">
        <w:r w:rsidR="007F6E00" w:rsidRPr="0042516F">
          <w:rPr>
            <w:rStyle w:val="a4"/>
            <w:smallCaps w:val="0"/>
            <w:noProof/>
            <w:szCs w:val="24"/>
          </w:rPr>
          <w:t>5.2. S-wave RFs of events S1153a and S1415a</w:t>
        </w:r>
        <w:r w:rsidR="007F6E00" w:rsidRPr="0042516F">
          <w:rPr>
            <w:rFonts w:ascii="Times New Roman" w:cs="Times New Roman"/>
            <w:smallCaps w:val="0"/>
            <w:noProof/>
            <w:webHidden/>
            <w:sz w:val="24"/>
            <w:szCs w:val="24"/>
          </w:rPr>
          <w:tab/>
        </w:r>
        <w:r w:rsidR="007F6E00" w:rsidRPr="0042516F">
          <w:rPr>
            <w:rFonts w:ascii="Times New Roman" w:cs="Times New Roman"/>
            <w:smallCaps w:val="0"/>
            <w:noProof/>
            <w:webHidden/>
            <w:sz w:val="24"/>
            <w:szCs w:val="24"/>
          </w:rPr>
          <w:fldChar w:fldCharType="begin"/>
        </w:r>
        <w:r w:rsidR="007F6E00" w:rsidRPr="0042516F">
          <w:rPr>
            <w:rFonts w:ascii="Times New Roman" w:cs="Times New Roman"/>
            <w:smallCaps w:val="0"/>
            <w:noProof/>
            <w:webHidden/>
            <w:sz w:val="24"/>
            <w:szCs w:val="24"/>
          </w:rPr>
          <w:instrText xml:space="preserve"> PAGEREF _Toc202208128 \h </w:instrText>
        </w:r>
        <w:r w:rsidR="007F6E00" w:rsidRPr="0042516F">
          <w:rPr>
            <w:rFonts w:ascii="Times New Roman" w:cs="Times New Roman"/>
            <w:smallCaps w:val="0"/>
            <w:noProof/>
            <w:webHidden/>
            <w:sz w:val="24"/>
            <w:szCs w:val="24"/>
          </w:rPr>
        </w:r>
        <w:r w:rsidR="007F6E00" w:rsidRPr="0042516F">
          <w:rPr>
            <w:rFonts w:ascii="Times New Roman" w:cs="Times New Roman"/>
            <w:smallCaps w:val="0"/>
            <w:noProof/>
            <w:webHidden/>
            <w:sz w:val="24"/>
            <w:szCs w:val="24"/>
          </w:rPr>
          <w:fldChar w:fldCharType="separate"/>
        </w:r>
        <w:r w:rsidR="007F6E00">
          <w:rPr>
            <w:rFonts w:ascii="Times New Roman" w:cs="Times New Roman"/>
            <w:smallCaps w:val="0"/>
            <w:noProof/>
            <w:webHidden/>
            <w:sz w:val="24"/>
            <w:szCs w:val="24"/>
          </w:rPr>
          <w:t>65</w:t>
        </w:r>
        <w:r w:rsidR="007F6E00" w:rsidRPr="0042516F">
          <w:rPr>
            <w:rFonts w:ascii="Times New Roman" w:cs="Times New Roman"/>
            <w:smallCaps w:val="0"/>
            <w:noProof/>
            <w:webHidden/>
            <w:sz w:val="24"/>
            <w:szCs w:val="24"/>
          </w:rPr>
          <w:fldChar w:fldCharType="end"/>
        </w:r>
      </w:hyperlink>
    </w:p>
    <w:p w14:paraId="3521B093" w14:textId="73A31158" w:rsidR="007F6E00" w:rsidRPr="0042516F" w:rsidRDefault="002243C8">
      <w:pPr>
        <w:pStyle w:val="TOC2"/>
        <w:tabs>
          <w:tab w:val="right" w:leader="dot" w:pos="8296"/>
        </w:tabs>
        <w:rPr>
          <w:rFonts w:ascii="Times New Roman" w:eastAsiaTheme="minorEastAsia" w:cs="Times New Roman"/>
          <w:smallCaps w:val="0"/>
          <w:noProof/>
          <w:sz w:val="24"/>
          <w:szCs w:val="24"/>
        </w:rPr>
      </w:pPr>
      <w:hyperlink w:anchor="_Toc202208129" w:history="1">
        <w:r w:rsidR="007F6E00" w:rsidRPr="0042516F">
          <w:rPr>
            <w:rStyle w:val="a4"/>
            <w:smallCaps w:val="0"/>
            <w:noProof/>
            <w:szCs w:val="24"/>
          </w:rPr>
          <w:t>5.3. Autocorrelation reflectivity</w:t>
        </w:r>
        <w:r w:rsidR="007F6E00" w:rsidRPr="0042516F">
          <w:rPr>
            <w:rFonts w:ascii="Times New Roman" w:cs="Times New Roman"/>
            <w:smallCaps w:val="0"/>
            <w:noProof/>
            <w:webHidden/>
            <w:sz w:val="24"/>
            <w:szCs w:val="24"/>
          </w:rPr>
          <w:tab/>
        </w:r>
        <w:r w:rsidR="007F6E00" w:rsidRPr="0042516F">
          <w:rPr>
            <w:rFonts w:ascii="Times New Roman" w:cs="Times New Roman"/>
            <w:smallCaps w:val="0"/>
            <w:noProof/>
            <w:webHidden/>
            <w:sz w:val="24"/>
            <w:szCs w:val="24"/>
          </w:rPr>
          <w:fldChar w:fldCharType="begin"/>
        </w:r>
        <w:r w:rsidR="007F6E00" w:rsidRPr="0042516F">
          <w:rPr>
            <w:rFonts w:ascii="Times New Roman" w:cs="Times New Roman"/>
            <w:smallCaps w:val="0"/>
            <w:noProof/>
            <w:webHidden/>
            <w:sz w:val="24"/>
            <w:szCs w:val="24"/>
          </w:rPr>
          <w:instrText xml:space="preserve"> PAGEREF _Toc202208129 \h </w:instrText>
        </w:r>
        <w:r w:rsidR="007F6E00" w:rsidRPr="0042516F">
          <w:rPr>
            <w:rFonts w:ascii="Times New Roman" w:cs="Times New Roman"/>
            <w:smallCaps w:val="0"/>
            <w:noProof/>
            <w:webHidden/>
            <w:sz w:val="24"/>
            <w:szCs w:val="24"/>
          </w:rPr>
        </w:r>
        <w:r w:rsidR="007F6E00" w:rsidRPr="0042516F">
          <w:rPr>
            <w:rFonts w:ascii="Times New Roman" w:cs="Times New Roman"/>
            <w:smallCaps w:val="0"/>
            <w:noProof/>
            <w:webHidden/>
            <w:sz w:val="24"/>
            <w:szCs w:val="24"/>
          </w:rPr>
          <w:fldChar w:fldCharType="separate"/>
        </w:r>
        <w:r w:rsidR="007F6E00">
          <w:rPr>
            <w:rFonts w:ascii="Times New Roman" w:cs="Times New Roman"/>
            <w:smallCaps w:val="0"/>
            <w:noProof/>
            <w:webHidden/>
            <w:sz w:val="24"/>
            <w:szCs w:val="24"/>
          </w:rPr>
          <w:t>68</w:t>
        </w:r>
        <w:r w:rsidR="007F6E00" w:rsidRPr="0042516F">
          <w:rPr>
            <w:rFonts w:ascii="Times New Roman" w:cs="Times New Roman"/>
            <w:smallCaps w:val="0"/>
            <w:noProof/>
            <w:webHidden/>
            <w:sz w:val="24"/>
            <w:szCs w:val="24"/>
          </w:rPr>
          <w:fldChar w:fldCharType="end"/>
        </w:r>
      </w:hyperlink>
    </w:p>
    <w:p w14:paraId="687FCDB8" w14:textId="34FB8AC5" w:rsidR="007F6E00" w:rsidRPr="0042516F" w:rsidRDefault="002243C8">
      <w:pPr>
        <w:pStyle w:val="TOC2"/>
        <w:tabs>
          <w:tab w:val="right" w:leader="dot" w:pos="8296"/>
        </w:tabs>
        <w:rPr>
          <w:rFonts w:ascii="Times New Roman" w:eastAsiaTheme="minorEastAsia" w:cs="Times New Roman"/>
          <w:smallCaps w:val="0"/>
          <w:noProof/>
          <w:sz w:val="24"/>
          <w:szCs w:val="24"/>
        </w:rPr>
      </w:pPr>
      <w:hyperlink w:anchor="_Toc202208130" w:history="1">
        <w:r w:rsidR="007F6E00" w:rsidRPr="0042516F">
          <w:rPr>
            <w:rStyle w:val="a4"/>
            <w:smallCaps w:val="0"/>
            <w:noProof/>
            <w:szCs w:val="24"/>
          </w:rPr>
          <w:t>5.4. Seismicity and body wave amplitude reduction</w:t>
        </w:r>
        <w:r w:rsidR="007F6E00" w:rsidRPr="0042516F">
          <w:rPr>
            <w:rFonts w:ascii="Times New Roman" w:cs="Times New Roman"/>
            <w:smallCaps w:val="0"/>
            <w:noProof/>
            <w:webHidden/>
            <w:sz w:val="24"/>
            <w:szCs w:val="24"/>
          </w:rPr>
          <w:tab/>
        </w:r>
        <w:r w:rsidR="007F6E00" w:rsidRPr="0042516F">
          <w:rPr>
            <w:rFonts w:ascii="Times New Roman" w:cs="Times New Roman"/>
            <w:smallCaps w:val="0"/>
            <w:noProof/>
            <w:webHidden/>
            <w:sz w:val="24"/>
            <w:szCs w:val="24"/>
          </w:rPr>
          <w:fldChar w:fldCharType="begin"/>
        </w:r>
        <w:r w:rsidR="007F6E00" w:rsidRPr="0042516F">
          <w:rPr>
            <w:rFonts w:ascii="Times New Roman" w:cs="Times New Roman"/>
            <w:smallCaps w:val="0"/>
            <w:noProof/>
            <w:webHidden/>
            <w:sz w:val="24"/>
            <w:szCs w:val="24"/>
          </w:rPr>
          <w:instrText xml:space="preserve"> PAGEREF _Toc202208130 \h </w:instrText>
        </w:r>
        <w:r w:rsidR="007F6E00" w:rsidRPr="0042516F">
          <w:rPr>
            <w:rFonts w:ascii="Times New Roman" w:cs="Times New Roman"/>
            <w:smallCaps w:val="0"/>
            <w:noProof/>
            <w:webHidden/>
            <w:sz w:val="24"/>
            <w:szCs w:val="24"/>
          </w:rPr>
        </w:r>
        <w:r w:rsidR="007F6E00" w:rsidRPr="0042516F">
          <w:rPr>
            <w:rFonts w:ascii="Times New Roman" w:cs="Times New Roman"/>
            <w:smallCaps w:val="0"/>
            <w:noProof/>
            <w:webHidden/>
            <w:sz w:val="24"/>
            <w:szCs w:val="24"/>
          </w:rPr>
          <w:fldChar w:fldCharType="separate"/>
        </w:r>
        <w:r w:rsidR="007F6E00">
          <w:rPr>
            <w:rFonts w:ascii="Times New Roman" w:cs="Times New Roman"/>
            <w:smallCaps w:val="0"/>
            <w:noProof/>
            <w:webHidden/>
            <w:sz w:val="24"/>
            <w:szCs w:val="24"/>
          </w:rPr>
          <w:t>71</w:t>
        </w:r>
        <w:r w:rsidR="007F6E00" w:rsidRPr="0042516F">
          <w:rPr>
            <w:rFonts w:ascii="Times New Roman" w:cs="Times New Roman"/>
            <w:smallCaps w:val="0"/>
            <w:noProof/>
            <w:webHidden/>
            <w:sz w:val="24"/>
            <w:szCs w:val="24"/>
          </w:rPr>
          <w:fldChar w:fldCharType="end"/>
        </w:r>
      </w:hyperlink>
    </w:p>
    <w:p w14:paraId="0A03EF47" w14:textId="04BD89D5" w:rsidR="007F6E00" w:rsidRPr="0042516F" w:rsidRDefault="002243C8">
      <w:pPr>
        <w:pStyle w:val="TOC1"/>
        <w:rPr>
          <w:b w:val="0"/>
          <w:bCs w:val="0"/>
          <w:noProof/>
        </w:rPr>
      </w:pPr>
      <w:hyperlink w:anchor="_Toc202208131" w:history="1">
        <w:r w:rsidR="007F6E00" w:rsidRPr="0042516F">
          <w:rPr>
            <w:rStyle w:val="a4"/>
            <w:noProof/>
          </w:rPr>
          <w:t>6. LVZ thickness</w:t>
        </w:r>
        <w:r w:rsidR="007F6E00" w:rsidRPr="0042516F">
          <w:rPr>
            <w:noProof/>
            <w:webHidden/>
          </w:rPr>
          <w:tab/>
        </w:r>
        <w:r w:rsidR="007F6E00" w:rsidRPr="0042516F">
          <w:rPr>
            <w:noProof/>
            <w:webHidden/>
          </w:rPr>
          <w:fldChar w:fldCharType="begin"/>
        </w:r>
        <w:r w:rsidR="007F6E00" w:rsidRPr="0042516F">
          <w:rPr>
            <w:noProof/>
            <w:webHidden/>
          </w:rPr>
          <w:instrText xml:space="preserve"> PAGEREF _Toc202208131 \h </w:instrText>
        </w:r>
        <w:r w:rsidR="007F6E00" w:rsidRPr="0042516F">
          <w:rPr>
            <w:noProof/>
            <w:webHidden/>
          </w:rPr>
        </w:r>
        <w:r w:rsidR="007F6E00" w:rsidRPr="0042516F">
          <w:rPr>
            <w:noProof/>
            <w:webHidden/>
          </w:rPr>
          <w:fldChar w:fldCharType="separate"/>
        </w:r>
        <w:r w:rsidR="007F6E00">
          <w:rPr>
            <w:noProof/>
            <w:webHidden/>
          </w:rPr>
          <w:t>75</w:t>
        </w:r>
        <w:r w:rsidR="007F6E00" w:rsidRPr="0042516F">
          <w:rPr>
            <w:noProof/>
            <w:webHidden/>
          </w:rPr>
          <w:fldChar w:fldCharType="end"/>
        </w:r>
      </w:hyperlink>
    </w:p>
    <w:p w14:paraId="53FF2BB1" w14:textId="77FD7807" w:rsidR="007F6E00" w:rsidRPr="0042516F" w:rsidRDefault="002243C8">
      <w:pPr>
        <w:pStyle w:val="TOC2"/>
        <w:tabs>
          <w:tab w:val="right" w:leader="dot" w:pos="8296"/>
        </w:tabs>
        <w:rPr>
          <w:rFonts w:ascii="Times New Roman" w:eastAsiaTheme="minorEastAsia" w:cs="Times New Roman"/>
          <w:smallCaps w:val="0"/>
          <w:noProof/>
          <w:sz w:val="24"/>
          <w:szCs w:val="24"/>
        </w:rPr>
      </w:pPr>
      <w:hyperlink w:anchor="_Toc202208132" w:history="1">
        <w:r w:rsidR="007F6E00" w:rsidRPr="0042516F">
          <w:rPr>
            <w:rStyle w:val="a4"/>
            <w:smallCaps w:val="0"/>
            <w:noProof/>
            <w:szCs w:val="24"/>
          </w:rPr>
          <w:t>6.1. Effects of LVZ thickness on body wave travel times</w:t>
        </w:r>
        <w:r w:rsidR="007F6E00" w:rsidRPr="0042516F">
          <w:rPr>
            <w:rFonts w:ascii="Times New Roman" w:cs="Times New Roman"/>
            <w:smallCaps w:val="0"/>
            <w:noProof/>
            <w:webHidden/>
            <w:sz w:val="24"/>
            <w:szCs w:val="24"/>
          </w:rPr>
          <w:tab/>
        </w:r>
        <w:r w:rsidR="007F6E00" w:rsidRPr="0042516F">
          <w:rPr>
            <w:rFonts w:ascii="Times New Roman" w:cs="Times New Roman"/>
            <w:smallCaps w:val="0"/>
            <w:noProof/>
            <w:webHidden/>
            <w:sz w:val="24"/>
            <w:szCs w:val="24"/>
          </w:rPr>
          <w:fldChar w:fldCharType="begin"/>
        </w:r>
        <w:r w:rsidR="007F6E00" w:rsidRPr="0042516F">
          <w:rPr>
            <w:rFonts w:ascii="Times New Roman" w:cs="Times New Roman"/>
            <w:smallCaps w:val="0"/>
            <w:noProof/>
            <w:webHidden/>
            <w:sz w:val="24"/>
            <w:szCs w:val="24"/>
          </w:rPr>
          <w:instrText xml:space="preserve"> PAGEREF _Toc202208132 \h </w:instrText>
        </w:r>
        <w:r w:rsidR="007F6E00" w:rsidRPr="0042516F">
          <w:rPr>
            <w:rFonts w:ascii="Times New Roman" w:cs="Times New Roman"/>
            <w:smallCaps w:val="0"/>
            <w:noProof/>
            <w:webHidden/>
            <w:sz w:val="24"/>
            <w:szCs w:val="24"/>
          </w:rPr>
        </w:r>
        <w:r w:rsidR="007F6E00" w:rsidRPr="0042516F">
          <w:rPr>
            <w:rFonts w:ascii="Times New Roman" w:cs="Times New Roman"/>
            <w:smallCaps w:val="0"/>
            <w:noProof/>
            <w:webHidden/>
            <w:sz w:val="24"/>
            <w:szCs w:val="24"/>
          </w:rPr>
          <w:fldChar w:fldCharType="separate"/>
        </w:r>
        <w:r w:rsidR="007F6E00">
          <w:rPr>
            <w:rFonts w:ascii="Times New Roman" w:cs="Times New Roman"/>
            <w:smallCaps w:val="0"/>
            <w:noProof/>
            <w:webHidden/>
            <w:sz w:val="24"/>
            <w:szCs w:val="24"/>
          </w:rPr>
          <w:t>75</w:t>
        </w:r>
        <w:r w:rsidR="007F6E00" w:rsidRPr="0042516F">
          <w:rPr>
            <w:rFonts w:ascii="Times New Roman" w:cs="Times New Roman"/>
            <w:smallCaps w:val="0"/>
            <w:noProof/>
            <w:webHidden/>
            <w:sz w:val="24"/>
            <w:szCs w:val="24"/>
          </w:rPr>
          <w:fldChar w:fldCharType="end"/>
        </w:r>
      </w:hyperlink>
    </w:p>
    <w:p w14:paraId="7F3C0847" w14:textId="65987A45" w:rsidR="007F6E00" w:rsidRPr="0042516F" w:rsidRDefault="002243C8">
      <w:pPr>
        <w:pStyle w:val="TOC2"/>
        <w:tabs>
          <w:tab w:val="right" w:leader="dot" w:pos="8296"/>
        </w:tabs>
        <w:rPr>
          <w:rFonts w:ascii="Times New Roman" w:eastAsiaTheme="minorEastAsia" w:cs="Times New Roman"/>
          <w:smallCaps w:val="0"/>
          <w:noProof/>
          <w:sz w:val="24"/>
          <w:szCs w:val="24"/>
        </w:rPr>
      </w:pPr>
      <w:hyperlink w:anchor="_Toc202208133" w:history="1">
        <w:r w:rsidR="007F6E00" w:rsidRPr="0042516F">
          <w:rPr>
            <w:rStyle w:val="a4"/>
            <w:smallCaps w:val="0"/>
            <w:noProof/>
            <w:szCs w:val="24"/>
          </w:rPr>
          <w:t>6.2. Back azimuth-dependent variation of LVZ thickness</w:t>
        </w:r>
        <w:r w:rsidR="007F6E00" w:rsidRPr="0042516F">
          <w:rPr>
            <w:rFonts w:ascii="Times New Roman" w:cs="Times New Roman"/>
            <w:smallCaps w:val="0"/>
            <w:noProof/>
            <w:webHidden/>
            <w:sz w:val="24"/>
            <w:szCs w:val="24"/>
          </w:rPr>
          <w:tab/>
        </w:r>
        <w:r w:rsidR="007F6E00" w:rsidRPr="0042516F">
          <w:rPr>
            <w:rFonts w:ascii="Times New Roman" w:cs="Times New Roman"/>
            <w:smallCaps w:val="0"/>
            <w:noProof/>
            <w:webHidden/>
            <w:sz w:val="24"/>
            <w:szCs w:val="24"/>
          </w:rPr>
          <w:fldChar w:fldCharType="begin"/>
        </w:r>
        <w:r w:rsidR="007F6E00" w:rsidRPr="0042516F">
          <w:rPr>
            <w:rFonts w:ascii="Times New Roman" w:cs="Times New Roman"/>
            <w:smallCaps w:val="0"/>
            <w:noProof/>
            <w:webHidden/>
            <w:sz w:val="24"/>
            <w:szCs w:val="24"/>
          </w:rPr>
          <w:instrText xml:space="preserve"> PAGEREF _Toc202208133 \h </w:instrText>
        </w:r>
        <w:r w:rsidR="007F6E00" w:rsidRPr="0042516F">
          <w:rPr>
            <w:rFonts w:ascii="Times New Roman" w:cs="Times New Roman"/>
            <w:smallCaps w:val="0"/>
            <w:noProof/>
            <w:webHidden/>
            <w:sz w:val="24"/>
            <w:szCs w:val="24"/>
          </w:rPr>
        </w:r>
        <w:r w:rsidR="007F6E00" w:rsidRPr="0042516F">
          <w:rPr>
            <w:rFonts w:ascii="Times New Roman" w:cs="Times New Roman"/>
            <w:smallCaps w:val="0"/>
            <w:noProof/>
            <w:webHidden/>
            <w:sz w:val="24"/>
            <w:szCs w:val="24"/>
          </w:rPr>
          <w:fldChar w:fldCharType="separate"/>
        </w:r>
        <w:r w:rsidR="007F6E00">
          <w:rPr>
            <w:rFonts w:ascii="Times New Roman" w:cs="Times New Roman"/>
            <w:smallCaps w:val="0"/>
            <w:noProof/>
            <w:webHidden/>
            <w:sz w:val="24"/>
            <w:szCs w:val="24"/>
          </w:rPr>
          <w:t>81</w:t>
        </w:r>
        <w:r w:rsidR="007F6E00" w:rsidRPr="0042516F">
          <w:rPr>
            <w:rFonts w:ascii="Times New Roman" w:cs="Times New Roman"/>
            <w:smallCaps w:val="0"/>
            <w:noProof/>
            <w:webHidden/>
            <w:sz w:val="24"/>
            <w:szCs w:val="24"/>
          </w:rPr>
          <w:fldChar w:fldCharType="end"/>
        </w:r>
      </w:hyperlink>
    </w:p>
    <w:p w14:paraId="3D1689F9" w14:textId="415D6641" w:rsidR="007F6E00" w:rsidRPr="0042516F" w:rsidRDefault="002243C8">
      <w:pPr>
        <w:pStyle w:val="TOC2"/>
        <w:tabs>
          <w:tab w:val="right" w:leader="dot" w:pos="8296"/>
        </w:tabs>
        <w:rPr>
          <w:rFonts w:ascii="Times New Roman" w:eastAsiaTheme="minorEastAsia" w:cs="Times New Roman"/>
          <w:smallCaps w:val="0"/>
          <w:noProof/>
          <w:sz w:val="24"/>
          <w:szCs w:val="24"/>
        </w:rPr>
      </w:pPr>
      <w:hyperlink w:anchor="_Toc202208134" w:history="1">
        <w:r w:rsidR="007F6E00" w:rsidRPr="0042516F">
          <w:rPr>
            <w:rStyle w:val="a4"/>
            <w:smallCaps w:val="0"/>
            <w:noProof/>
            <w:szCs w:val="24"/>
          </w:rPr>
          <w:t>6.3. Effects of LVZ thickness on Rayleigh wave group velocities</w:t>
        </w:r>
        <w:r w:rsidR="007F6E00" w:rsidRPr="0042516F">
          <w:rPr>
            <w:rFonts w:ascii="Times New Roman" w:cs="Times New Roman"/>
            <w:smallCaps w:val="0"/>
            <w:noProof/>
            <w:webHidden/>
            <w:sz w:val="24"/>
            <w:szCs w:val="24"/>
          </w:rPr>
          <w:tab/>
        </w:r>
        <w:r w:rsidR="007F6E00" w:rsidRPr="0042516F">
          <w:rPr>
            <w:rFonts w:ascii="Times New Roman" w:cs="Times New Roman"/>
            <w:smallCaps w:val="0"/>
            <w:noProof/>
            <w:webHidden/>
            <w:sz w:val="24"/>
            <w:szCs w:val="24"/>
          </w:rPr>
          <w:fldChar w:fldCharType="begin"/>
        </w:r>
        <w:r w:rsidR="007F6E00" w:rsidRPr="0042516F">
          <w:rPr>
            <w:rFonts w:ascii="Times New Roman" w:cs="Times New Roman"/>
            <w:smallCaps w:val="0"/>
            <w:noProof/>
            <w:webHidden/>
            <w:sz w:val="24"/>
            <w:szCs w:val="24"/>
          </w:rPr>
          <w:instrText xml:space="preserve"> PAGEREF _Toc202208134 \h </w:instrText>
        </w:r>
        <w:r w:rsidR="007F6E00" w:rsidRPr="0042516F">
          <w:rPr>
            <w:rFonts w:ascii="Times New Roman" w:cs="Times New Roman"/>
            <w:smallCaps w:val="0"/>
            <w:noProof/>
            <w:webHidden/>
            <w:sz w:val="24"/>
            <w:szCs w:val="24"/>
          </w:rPr>
        </w:r>
        <w:r w:rsidR="007F6E00" w:rsidRPr="0042516F">
          <w:rPr>
            <w:rFonts w:ascii="Times New Roman" w:cs="Times New Roman"/>
            <w:smallCaps w:val="0"/>
            <w:noProof/>
            <w:webHidden/>
            <w:sz w:val="24"/>
            <w:szCs w:val="24"/>
          </w:rPr>
          <w:fldChar w:fldCharType="separate"/>
        </w:r>
        <w:r w:rsidR="007F6E00">
          <w:rPr>
            <w:rFonts w:ascii="Times New Roman" w:cs="Times New Roman"/>
            <w:smallCaps w:val="0"/>
            <w:noProof/>
            <w:webHidden/>
            <w:sz w:val="24"/>
            <w:szCs w:val="24"/>
          </w:rPr>
          <w:t>86</w:t>
        </w:r>
        <w:r w:rsidR="007F6E00" w:rsidRPr="0042516F">
          <w:rPr>
            <w:rFonts w:ascii="Times New Roman" w:cs="Times New Roman"/>
            <w:smallCaps w:val="0"/>
            <w:noProof/>
            <w:webHidden/>
            <w:sz w:val="24"/>
            <w:szCs w:val="24"/>
          </w:rPr>
          <w:fldChar w:fldCharType="end"/>
        </w:r>
      </w:hyperlink>
    </w:p>
    <w:p w14:paraId="24B7EACD" w14:textId="2CFB8957" w:rsidR="007F6E00" w:rsidRPr="0042516F" w:rsidRDefault="002243C8">
      <w:pPr>
        <w:pStyle w:val="TOC2"/>
        <w:tabs>
          <w:tab w:val="right" w:leader="dot" w:pos="8296"/>
        </w:tabs>
        <w:rPr>
          <w:rFonts w:ascii="Times New Roman" w:eastAsiaTheme="minorEastAsia" w:cs="Times New Roman"/>
          <w:smallCaps w:val="0"/>
          <w:noProof/>
          <w:sz w:val="24"/>
          <w:szCs w:val="24"/>
        </w:rPr>
      </w:pPr>
      <w:hyperlink w:anchor="_Toc202208135" w:history="1">
        <w:r w:rsidR="007F6E00" w:rsidRPr="0042516F">
          <w:rPr>
            <w:rStyle w:val="a4"/>
            <w:smallCaps w:val="0"/>
            <w:noProof/>
            <w:szCs w:val="24"/>
          </w:rPr>
          <w:t>6.4. Effects of LVZ thickness on RFs and SS precursors</w:t>
        </w:r>
        <w:r w:rsidR="007F6E00" w:rsidRPr="0042516F">
          <w:rPr>
            <w:rFonts w:ascii="Times New Roman" w:cs="Times New Roman"/>
            <w:smallCaps w:val="0"/>
            <w:noProof/>
            <w:webHidden/>
            <w:sz w:val="24"/>
            <w:szCs w:val="24"/>
          </w:rPr>
          <w:tab/>
        </w:r>
        <w:r w:rsidR="007F6E00" w:rsidRPr="0042516F">
          <w:rPr>
            <w:rFonts w:ascii="Times New Roman" w:cs="Times New Roman"/>
            <w:smallCaps w:val="0"/>
            <w:noProof/>
            <w:webHidden/>
            <w:sz w:val="24"/>
            <w:szCs w:val="24"/>
          </w:rPr>
          <w:fldChar w:fldCharType="begin"/>
        </w:r>
        <w:r w:rsidR="007F6E00" w:rsidRPr="0042516F">
          <w:rPr>
            <w:rFonts w:ascii="Times New Roman" w:cs="Times New Roman"/>
            <w:smallCaps w:val="0"/>
            <w:noProof/>
            <w:webHidden/>
            <w:sz w:val="24"/>
            <w:szCs w:val="24"/>
          </w:rPr>
          <w:instrText xml:space="preserve"> PAGEREF _Toc202208135 \h </w:instrText>
        </w:r>
        <w:r w:rsidR="007F6E00" w:rsidRPr="0042516F">
          <w:rPr>
            <w:rFonts w:ascii="Times New Roman" w:cs="Times New Roman"/>
            <w:smallCaps w:val="0"/>
            <w:noProof/>
            <w:webHidden/>
            <w:sz w:val="24"/>
            <w:szCs w:val="24"/>
          </w:rPr>
        </w:r>
        <w:r w:rsidR="007F6E00" w:rsidRPr="0042516F">
          <w:rPr>
            <w:rFonts w:ascii="Times New Roman" w:cs="Times New Roman"/>
            <w:smallCaps w:val="0"/>
            <w:noProof/>
            <w:webHidden/>
            <w:sz w:val="24"/>
            <w:szCs w:val="24"/>
          </w:rPr>
          <w:fldChar w:fldCharType="separate"/>
        </w:r>
        <w:r w:rsidR="007F6E00">
          <w:rPr>
            <w:rFonts w:ascii="Times New Roman" w:cs="Times New Roman"/>
            <w:smallCaps w:val="0"/>
            <w:noProof/>
            <w:webHidden/>
            <w:sz w:val="24"/>
            <w:szCs w:val="24"/>
          </w:rPr>
          <w:t>87</w:t>
        </w:r>
        <w:r w:rsidR="007F6E00" w:rsidRPr="0042516F">
          <w:rPr>
            <w:rFonts w:ascii="Times New Roman" w:cs="Times New Roman"/>
            <w:smallCaps w:val="0"/>
            <w:noProof/>
            <w:webHidden/>
            <w:sz w:val="24"/>
            <w:szCs w:val="24"/>
          </w:rPr>
          <w:fldChar w:fldCharType="end"/>
        </w:r>
      </w:hyperlink>
    </w:p>
    <w:p w14:paraId="3EB7900B" w14:textId="06681FC6" w:rsidR="007F6E00" w:rsidRPr="0042516F" w:rsidRDefault="002243C8">
      <w:pPr>
        <w:pStyle w:val="TOC1"/>
        <w:rPr>
          <w:b w:val="0"/>
          <w:bCs w:val="0"/>
          <w:noProof/>
        </w:rPr>
      </w:pPr>
      <w:hyperlink w:anchor="_Toc202208136" w:history="1">
        <w:r w:rsidR="007F6E00" w:rsidRPr="0042516F">
          <w:rPr>
            <w:rStyle w:val="a4"/>
            <w:noProof/>
          </w:rPr>
          <w:t>7. Sensitivities of seismic velocities to temperature and composition</w:t>
        </w:r>
        <w:r w:rsidR="007F6E00" w:rsidRPr="0042516F">
          <w:rPr>
            <w:noProof/>
            <w:webHidden/>
          </w:rPr>
          <w:tab/>
        </w:r>
        <w:r w:rsidR="007F6E00" w:rsidRPr="0042516F">
          <w:rPr>
            <w:noProof/>
            <w:webHidden/>
          </w:rPr>
          <w:fldChar w:fldCharType="begin"/>
        </w:r>
        <w:r w:rsidR="007F6E00" w:rsidRPr="0042516F">
          <w:rPr>
            <w:noProof/>
            <w:webHidden/>
          </w:rPr>
          <w:instrText xml:space="preserve"> PAGEREF _Toc202208136 \h </w:instrText>
        </w:r>
        <w:r w:rsidR="007F6E00" w:rsidRPr="0042516F">
          <w:rPr>
            <w:noProof/>
            <w:webHidden/>
          </w:rPr>
        </w:r>
        <w:r w:rsidR="007F6E00" w:rsidRPr="0042516F">
          <w:rPr>
            <w:noProof/>
            <w:webHidden/>
          </w:rPr>
          <w:fldChar w:fldCharType="separate"/>
        </w:r>
        <w:r w:rsidR="007F6E00">
          <w:rPr>
            <w:noProof/>
            <w:webHidden/>
          </w:rPr>
          <w:t>92</w:t>
        </w:r>
        <w:r w:rsidR="007F6E00" w:rsidRPr="0042516F">
          <w:rPr>
            <w:noProof/>
            <w:webHidden/>
          </w:rPr>
          <w:fldChar w:fldCharType="end"/>
        </w:r>
      </w:hyperlink>
    </w:p>
    <w:p w14:paraId="231DBA1C" w14:textId="4A5B2BAB" w:rsidR="007F6E00" w:rsidRPr="0042516F" w:rsidRDefault="002243C8">
      <w:pPr>
        <w:pStyle w:val="TOC2"/>
        <w:tabs>
          <w:tab w:val="right" w:leader="dot" w:pos="8296"/>
        </w:tabs>
        <w:rPr>
          <w:rFonts w:ascii="Times New Roman" w:eastAsiaTheme="minorEastAsia" w:cs="Times New Roman"/>
          <w:smallCaps w:val="0"/>
          <w:noProof/>
          <w:sz w:val="24"/>
          <w:szCs w:val="24"/>
        </w:rPr>
      </w:pPr>
      <w:hyperlink w:anchor="_Toc202208137" w:history="1">
        <w:r w:rsidR="007F6E00" w:rsidRPr="0042516F">
          <w:rPr>
            <w:rStyle w:val="a4"/>
            <w:smallCaps w:val="0"/>
            <w:noProof/>
            <w:szCs w:val="24"/>
          </w:rPr>
          <w:t>7.1. Direct Perple_X calculation</w:t>
        </w:r>
        <w:r w:rsidR="007F6E00" w:rsidRPr="0042516F">
          <w:rPr>
            <w:rFonts w:ascii="Times New Roman" w:cs="Times New Roman"/>
            <w:smallCaps w:val="0"/>
            <w:noProof/>
            <w:webHidden/>
            <w:sz w:val="24"/>
            <w:szCs w:val="24"/>
          </w:rPr>
          <w:tab/>
        </w:r>
        <w:r w:rsidR="007F6E00" w:rsidRPr="0042516F">
          <w:rPr>
            <w:rFonts w:ascii="Times New Roman" w:cs="Times New Roman"/>
            <w:smallCaps w:val="0"/>
            <w:noProof/>
            <w:webHidden/>
            <w:sz w:val="24"/>
            <w:szCs w:val="24"/>
          </w:rPr>
          <w:fldChar w:fldCharType="begin"/>
        </w:r>
        <w:r w:rsidR="007F6E00" w:rsidRPr="0042516F">
          <w:rPr>
            <w:rFonts w:ascii="Times New Roman" w:cs="Times New Roman"/>
            <w:smallCaps w:val="0"/>
            <w:noProof/>
            <w:webHidden/>
            <w:sz w:val="24"/>
            <w:szCs w:val="24"/>
          </w:rPr>
          <w:instrText xml:space="preserve"> PAGEREF _Toc202208137 \h </w:instrText>
        </w:r>
        <w:r w:rsidR="007F6E00" w:rsidRPr="0042516F">
          <w:rPr>
            <w:rFonts w:ascii="Times New Roman" w:cs="Times New Roman"/>
            <w:smallCaps w:val="0"/>
            <w:noProof/>
            <w:webHidden/>
            <w:sz w:val="24"/>
            <w:szCs w:val="24"/>
          </w:rPr>
        </w:r>
        <w:r w:rsidR="007F6E00" w:rsidRPr="0042516F">
          <w:rPr>
            <w:rFonts w:ascii="Times New Roman" w:cs="Times New Roman"/>
            <w:smallCaps w:val="0"/>
            <w:noProof/>
            <w:webHidden/>
            <w:sz w:val="24"/>
            <w:szCs w:val="24"/>
          </w:rPr>
          <w:fldChar w:fldCharType="separate"/>
        </w:r>
        <w:r w:rsidR="007F6E00">
          <w:rPr>
            <w:rFonts w:ascii="Times New Roman" w:cs="Times New Roman"/>
            <w:smallCaps w:val="0"/>
            <w:noProof/>
            <w:webHidden/>
            <w:sz w:val="24"/>
            <w:szCs w:val="24"/>
          </w:rPr>
          <w:t>92</w:t>
        </w:r>
        <w:r w:rsidR="007F6E00" w:rsidRPr="0042516F">
          <w:rPr>
            <w:rFonts w:ascii="Times New Roman" w:cs="Times New Roman"/>
            <w:smallCaps w:val="0"/>
            <w:noProof/>
            <w:webHidden/>
            <w:sz w:val="24"/>
            <w:szCs w:val="24"/>
          </w:rPr>
          <w:fldChar w:fldCharType="end"/>
        </w:r>
      </w:hyperlink>
    </w:p>
    <w:p w14:paraId="46797BEB" w14:textId="762FE79C" w:rsidR="007F6E00" w:rsidRPr="0042516F" w:rsidRDefault="002243C8">
      <w:pPr>
        <w:pStyle w:val="TOC2"/>
        <w:tabs>
          <w:tab w:val="right" w:leader="dot" w:pos="8296"/>
        </w:tabs>
        <w:rPr>
          <w:rFonts w:ascii="Times New Roman" w:eastAsiaTheme="minorEastAsia" w:cs="Times New Roman"/>
          <w:smallCaps w:val="0"/>
          <w:noProof/>
          <w:sz w:val="24"/>
          <w:szCs w:val="24"/>
        </w:rPr>
      </w:pPr>
      <w:hyperlink w:anchor="_Toc202208138" w:history="1">
        <w:r w:rsidR="007F6E00" w:rsidRPr="0042516F">
          <w:rPr>
            <w:rStyle w:val="a4"/>
            <w:smallCaps w:val="0"/>
            <w:noProof/>
            <w:szCs w:val="24"/>
          </w:rPr>
          <w:t>7.2. Mineral physical calculation</w:t>
        </w:r>
        <w:r w:rsidR="007F6E00" w:rsidRPr="0042516F">
          <w:rPr>
            <w:rFonts w:ascii="Times New Roman" w:cs="Times New Roman"/>
            <w:smallCaps w:val="0"/>
            <w:noProof/>
            <w:webHidden/>
            <w:sz w:val="24"/>
            <w:szCs w:val="24"/>
          </w:rPr>
          <w:tab/>
        </w:r>
        <w:r w:rsidR="007F6E00" w:rsidRPr="0042516F">
          <w:rPr>
            <w:rFonts w:ascii="Times New Roman" w:cs="Times New Roman"/>
            <w:smallCaps w:val="0"/>
            <w:noProof/>
            <w:webHidden/>
            <w:sz w:val="24"/>
            <w:szCs w:val="24"/>
          </w:rPr>
          <w:fldChar w:fldCharType="begin"/>
        </w:r>
        <w:r w:rsidR="007F6E00" w:rsidRPr="0042516F">
          <w:rPr>
            <w:rFonts w:ascii="Times New Roman" w:cs="Times New Roman"/>
            <w:smallCaps w:val="0"/>
            <w:noProof/>
            <w:webHidden/>
            <w:sz w:val="24"/>
            <w:szCs w:val="24"/>
          </w:rPr>
          <w:instrText xml:space="preserve"> PAGEREF _Toc202208138 \h </w:instrText>
        </w:r>
        <w:r w:rsidR="007F6E00" w:rsidRPr="0042516F">
          <w:rPr>
            <w:rFonts w:ascii="Times New Roman" w:cs="Times New Roman"/>
            <w:smallCaps w:val="0"/>
            <w:noProof/>
            <w:webHidden/>
            <w:sz w:val="24"/>
            <w:szCs w:val="24"/>
          </w:rPr>
        </w:r>
        <w:r w:rsidR="007F6E00" w:rsidRPr="0042516F">
          <w:rPr>
            <w:rFonts w:ascii="Times New Roman" w:cs="Times New Roman"/>
            <w:smallCaps w:val="0"/>
            <w:noProof/>
            <w:webHidden/>
            <w:sz w:val="24"/>
            <w:szCs w:val="24"/>
          </w:rPr>
          <w:fldChar w:fldCharType="separate"/>
        </w:r>
        <w:r w:rsidR="007F6E00">
          <w:rPr>
            <w:rFonts w:ascii="Times New Roman" w:cs="Times New Roman"/>
            <w:smallCaps w:val="0"/>
            <w:noProof/>
            <w:webHidden/>
            <w:sz w:val="24"/>
            <w:szCs w:val="24"/>
          </w:rPr>
          <w:t>98</w:t>
        </w:r>
        <w:r w:rsidR="007F6E00" w:rsidRPr="0042516F">
          <w:rPr>
            <w:rFonts w:ascii="Times New Roman" w:cs="Times New Roman"/>
            <w:smallCaps w:val="0"/>
            <w:noProof/>
            <w:webHidden/>
            <w:sz w:val="24"/>
            <w:szCs w:val="24"/>
          </w:rPr>
          <w:fldChar w:fldCharType="end"/>
        </w:r>
      </w:hyperlink>
    </w:p>
    <w:p w14:paraId="3D93C59B" w14:textId="5F2309AD" w:rsidR="007F6E00" w:rsidRPr="0042516F" w:rsidRDefault="002243C8">
      <w:pPr>
        <w:pStyle w:val="TOC1"/>
        <w:rPr>
          <w:b w:val="0"/>
          <w:bCs w:val="0"/>
          <w:noProof/>
        </w:rPr>
      </w:pPr>
      <w:hyperlink w:anchor="_Toc202208139" w:history="1">
        <w:r w:rsidR="007F6E00" w:rsidRPr="0042516F">
          <w:rPr>
            <w:rStyle w:val="a4"/>
            <w:noProof/>
          </w:rPr>
          <w:t>8. Martian mantle solidus and geotherm</w:t>
        </w:r>
        <w:r w:rsidR="007F6E00" w:rsidRPr="0042516F">
          <w:rPr>
            <w:noProof/>
            <w:webHidden/>
          </w:rPr>
          <w:tab/>
        </w:r>
        <w:r w:rsidR="007F6E00" w:rsidRPr="0042516F">
          <w:rPr>
            <w:noProof/>
            <w:webHidden/>
          </w:rPr>
          <w:fldChar w:fldCharType="begin"/>
        </w:r>
        <w:r w:rsidR="007F6E00" w:rsidRPr="0042516F">
          <w:rPr>
            <w:noProof/>
            <w:webHidden/>
          </w:rPr>
          <w:instrText xml:space="preserve"> PAGEREF _Toc202208139 \h </w:instrText>
        </w:r>
        <w:r w:rsidR="007F6E00" w:rsidRPr="0042516F">
          <w:rPr>
            <w:noProof/>
            <w:webHidden/>
          </w:rPr>
        </w:r>
        <w:r w:rsidR="007F6E00" w:rsidRPr="0042516F">
          <w:rPr>
            <w:noProof/>
            <w:webHidden/>
          </w:rPr>
          <w:fldChar w:fldCharType="separate"/>
        </w:r>
        <w:r w:rsidR="007F6E00">
          <w:rPr>
            <w:noProof/>
            <w:webHidden/>
          </w:rPr>
          <w:t>103</w:t>
        </w:r>
        <w:r w:rsidR="007F6E00" w:rsidRPr="0042516F">
          <w:rPr>
            <w:noProof/>
            <w:webHidden/>
          </w:rPr>
          <w:fldChar w:fldCharType="end"/>
        </w:r>
      </w:hyperlink>
    </w:p>
    <w:p w14:paraId="69109FFA" w14:textId="02A83B04" w:rsidR="007F6E00" w:rsidRPr="0042516F" w:rsidRDefault="002243C8">
      <w:pPr>
        <w:pStyle w:val="TOC2"/>
        <w:tabs>
          <w:tab w:val="right" w:leader="dot" w:pos="8296"/>
        </w:tabs>
        <w:rPr>
          <w:rFonts w:ascii="Times New Roman" w:eastAsiaTheme="minorEastAsia" w:cs="Times New Roman"/>
          <w:smallCaps w:val="0"/>
          <w:noProof/>
          <w:sz w:val="24"/>
          <w:szCs w:val="24"/>
        </w:rPr>
      </w:pPr>
      <w:hyperlink w:anchor="_Toc202208140" w:history="1">
        <w:r w:rsidR="007F6E00" w:rsidRPr="0042516F">
          <w:rPr>
            <w:rStyle w:val="a4"/>
            <w:smallCaps w:val="0"/>
            <w:noProof/>
            <w:szCs w:val="24"/>
          </w:rPr>
          <w:t>8.1. Dry solidus and its variation with Mg#</w:t>
        </w:r>
        <w:r w:rsidR="007F6E00" w:rsidRPr="0042516F">
          <w:rPr>
            <w:rFonts w:ascii="Times New Roman" w:cs="Times New Roman"/>
            <w:smallCaps w:val="0"/>
            <w:noProof/>
            <w:webHidden/>
            <w:sz w:val="24"/>
            <w:szCs w:val="24"/>
          </w:rPr>
          <w:tab/>
        </w:r>
        <w:r w:rsidR="007F6E00" w:rsidRPr="0042516F">
          <w:rPr>
            <w:rFonts w:ascii="Times New Roman" w:cs="Times New Roman"/>
            <w:smallCaps w:val="0"/>
            <w:noProof/>
            <w:webHidden/>
            <w:sz w:val="24"/>
            <w:szCs w:val="24"/>
          </w:rPr>
          <w:fldChar w:fldCharType="begin"/>
        </w:r>
        <w:r w:rsidR="007F6E00" w:rsidRPr="0042516F">
          <w:rPr>
            <w:rFonts w:ascii="Times New Roman" w:cs="Times New Roman"/>
            <w:smallCaps w:val="0"/>
            <w:noProof/>
            <w:webHidden/>
            <w:sz w:val="24"/>
            <w:szCs w:val="24"/>
          </w:rPr>
          <w:instrText xml:space="preserve"> PAGEREF _Toc202208140 \h </w:instrText>
        </w:r>
        <w:r w:rsidR="007F6E00" w:rsidRPr="0042516F">
          <w:rPr>
            <w:rFonts w:ascii="Times New Roman" w:cs="Times New Roman"/>
            <w:smallCaps w:val="0"/>
            <w:noProof/>
            <w:webHidden/>
            <w:sz w:val="24"/>
            <w:szCs w:val="24"/>
          </w:rPr>
        </w:r>
        <w:r w:rsidR="007F6E00" w:rsidRPr="0042516F">
          <w:rPr>
            <w:rFonts w:ascii="Times New Roman" w:cs="Times New Roman"/>
            <w:smallCaps w:val="0"/>
            <w:noProof/>
            <w:webHidden/>
            <w:sz w:val="24"/>
            <w:szCs w:val="24"/>
          </w:rPr>
          <w:fldChar w:fldCharType="separate"/>
        </w:r>
        <w:r w:rsidR="007F6E00">
          <w:rPr>
            <w:rFonts w:ascii="Times New Roman" w:cs="Times New Roman"/>
            <w:smallCaps w:val="0"/>
            <w:noProof/>
            <w:webHidden/>
            <w:sz w:val="24"/>
            <w:szCs w:val="24"/>
          </w:rPr>
          <w:t>103</w:t>
        </w:r>
        <w:r w:rsidR="007F6E00" w:rsidRPr="0042516F">
          <w:rPr>
            <w:rFonts w:ascii="Times New Roman" w:cs="Times New Roman"/>
            <w:smallCaps w:val="0"/>
            <w:noProof/>
            <w:webHidden/>
            <w:sz w:val="24"/>
            <w:szCs w:val="24"/>
          </w:rPr>
          <w:fldChar w:fldCharType="end"/>
        </w:r>
      </w:hyperlink>
    </w:p>
    <w:p w14:paraId="3DD61D67" w14:textId="373A47E7" w:rsidR="007F6E00" w:rsidRPr="0042516F" w:rsidRDefault="002243C8">
      <w:pPr>
        <w:pStyle w:val="TOC2"/>
        <w:tabs>
          <w:tab w:val="right" w:leader="dot" w:pos="8296"/>
        </w:tabs>
        <w:rPr>
          <w:rFonts w:ascii="Times New Roman" w:eastAsiaTheme="minorEastAsia" w:cs="Times New Roman"/>
          <w:smallCaps w:val="0"/>
          <w:noProof/>
          <w:sz w:val="24"/>
          <w:szCs w:val="24"/>
        </w:rPr>
      </w:pPr>
      <w:hyperlink w:anchor="_Toc202208141" w:history="1">
        <w:r w:rsidR="007F6E00" w:rsidRPr="0042516F">
          <w:rPr>
            <w:rStyle w:val="a4"/>
            <w:smallCaps w:val="0"/>
            <w:noProof/>
            <w:szCs w:val="24"/>
          </w:rPr>
          <w:t>8.2. Hydrous solidus</w:t>
        </w:r>
        <w:r w:rsidR="007F6E00" w:rsidRPr="0042516F">
          <w:rPr>
            <w:rFonts w:ascii="Times New Roman" w:cs="Times New Roman"/>
            <w:smallCaps w:val="0"/>
            <w:noProof/>
            <w:webHidden/>
            <w:sz w:val="24"/>
            <w:szCs w:val="24"/>
          </w:rPr>
          <w:tab/>
        </w:r>
        <w:r w:rsidR="007F6E00" w:rsidRPr="0042516F">
          <w:rPr>
            <w:rFonts w:ascii="Times New Roman" w:cs="Times New Roman"/>
            <w:smallCaps w:val="0"/>
            <w:noProof/>
            <w:webHidden/>
            <w:sz w:val="24"/>
            <w:szCs w:val="24"/>
          </w:rPr>
          <w:fldChar w:fldCharType="begin"/>
        </w:r>
        <w:r w:rsidR="007F6E00" w:rsidRPr="0042516F">
          <w:rPr>
            <w:rFonts w:ascii="Times New Roman" w:cs="Times New Roman"/>
            <w:smallCaps w:val="0"/>
            <w:noProof/>
            <w:webHidden/>
            <w:sz w:val="24"/>
            <w:szCs w:val="24"/>
          </w:rPr>
          <w:instrText xml:space="preserve"> PAGEREF _Toc202208141 \h </w:instrText>
        </w:r>
        <w:r w:rsidR="007F6E00" w:rsidRPr="0042516F">
          <w:rPr>
            <w:rFonts w:ascii="Times New Roman" w:cs="Times New Roman"/>
            <w:smallCaps w:val="0"/>
            <w:noProof/>
            <w:webHidden/>
            <w:sz w:val="24"/>
            <w:szCs w:val="24"/>
          </w:rPr>
        </w:r>
        <w:r w:rsidR="007F6E00" w:rsidRPr="0042516F">
          <w:rPr>
            <w:rFonts w:ascii="Times New Roman" w:cs="Times New Roman"/>
            <w:smallCaps w:val="0"/>
            <w:noProof/>
            <w:webHidden/>
            <w:sz w:val="24"/>
            <w:szCs w:val="24"/>
          </w:rPr>
          <w:fldChar w:fldCharType="separate"/>
        </w:r>
        <w:r w:rsidR="007F6E00">
          <w:rPr>
            <w:rFonts w:ascii="Times New Roman" w:cs="Times New Roman"/>
            <w:smallCaps w:val="0"/>
            <w:noProof/>
            <w:webHidden/>
            <w:sz w:val="24"/>
            <w:szCs w:val="24"/>
          </w:rPr>
          <w:t>104</w:t>
        </w:r>
        <w:r w:rsidR="007F6E00" w:rsidRPr="0042516F">
          <w:rPr>
            <w:rFonts w:ascii="Times New Roman" w:cs="Times New Roman"/>
            <w:smallCaps w:val="0"/>
            <w:noProof/>
            <w:webHidden/>
            <w:sz w:val="24"/>
            <w:szCs w:val="24"/>
          </w:rPr>
          <w:fldChar w:fldCharType="end"/>
        </w:r>
      </w:hyperlink>
    </w:p>
    <w:p w14:paraId="5A32BB41" w14:textId="62AEC89A" w:rsidR="007F6E00" w:rsidRPr="0042516F" w:rsidRDefault="002243C8">
      <w:pPr>
        <w:pStyle w:val="TOC2"/>
        <w:tabs>
          <w:tab w:val="right" w:leader="dot" w:pos="8296"/>
        </w:tabs>
        <w:rPr>
          <w:rFonts w:ascii="Times New Roman" w:eastAsiaTheme="minorEastAsia" w:cs="Times New Roman"/>
          <w:smallCaps w:val="0"/>
          <w:noProof/>
          <w:sz w:val="24"/>
          <w:szCs w:val="24"/>
        </w:rPr>
      </w:pPr>
      <w:hyperlink w:anchor="_Toc202208142" w:history="1">
        <w:r w:rsidR="007F6E00" w:rsidRPr="0042516F">
          <w:rPr>
            <w:rStyle w:val="a4"/>
            <w:smallCaps w:val="0"/>
            <w:noProof/>
            <w:szCs w:val="24"/>
          </w:rPr>
          <w:t>8.3. Upper mantle geotherms</w:t>
        </w:r>
        <w:r w:rsidR="007F6E00" w:rsidRPr="0042516F">
          <w:rPr>
            <w:rFonts w:ascii="Times New Roman" w:cs="Times New Roman"/>
            <w:smallCaps w:val="0"/>
            <w:noProof/>
            <w:webHidden/>
            <w:sz w:val="24"/>
            <w:szCs w:val="24"/>
          </w:rPr>
          <w:tab/>
        </w:r>
        <w:r w:rsidR="007F6E00" w:rsidRPr="0042516F">
          <w:rPr>
            <w:rFonts w:ascii="Times New Roman" w:cs="Times New Roman"/>
            <w:smallCaps w:val="0"/>
            <w:noProof/>
            <w:webHidden/>
            <w:sz w:val="24"/>
            <w:szCs w:val="24"/>
          </w:rPr>
          <w:fldChar w:fldCharType="begin"/>
        </w:r>
        <w:r w:rsidR="007F6E00" w:rsidRPr="0042516F">
          <w:rPr>
            <w:rFonts w:ascii="Times New Roman" w:cs="Times New Roman"/>
            <w:smallCaps w:val="0"/>
            <w:noProof/>
            <w:webHidden/>
            <w:sz w:val="24"/>
            <w:szCs w:val="24"/>
          </w:rPr>
          <w:instrText xml:space="preserve"> PAGEREF _Toc202208142 \h </w:instrText>
        </w:r>
        <w:r w:rsidR="007F6E00" w:rsidRPr="0042516F">
          <w:rPr>
            <w:rFonts w:ascii="Times New Roman" w:cs="Times New Roman"/>
            <w:smallCaps w:val="0"/>
            <w:noProof/>
            <w:webHidden/>
            <w:sz w:val="24"/>
            <w:szCs w:val="24"/>
          </w:rPr>
        </w:r>
        <w:r w:rsidR="007F6E00" w:rsidRPr="0042516F">
          <w:rPr>
            <w:rFonts w:ascii="Times New Roman" w:cs="Times New Roman"/>
            <w:smallCaps w:val="0"/>
            <w:noProof/>
            <w:webHidden/>
            <w:sz w:val="24"/>
            <w:szCs w:val="24"/>
          </w:rPr>
          <w:fldChar w:fldCharType="separate"/>
        </w:r>
        <w:r w:rsidR="007F6E00">
          <w:rPr>
            <w:rFonts w:ascii="Times New Roman" w:cs="Times New Roman"/>
            <w:smallCaps w:val="0"/>
            <w:noProof/>
            <w:webHidden/>
            <w:sz w:val="24"/>
            <w:szCs w:val="24"/>
          </w:rPr>
          <w:t>105</w:t>
        </w:r>
        <w:r w:rsidR="007F6E00" w:rsidRPr="0042516F">
          <w:rPr>
            <w:rFonts w:ascii="Times New Roman" w:cs="Times New Roman"/>
            <w:smallCaps w:val="0"/>
            <w:noProof/>
            <w:webHidden/>
            <w:sz w:val="24"/>
            <w:szCs w:val="24"/>
          </w:rPr>
          <w:fldChar w:fldCharType="end"/>
        </w:r>
      </w:hyperlink>
    </w:p>
    <w:p w14:paraId="67468759" w14:textId="0B097D85" w:rsidR="007F6E00" w:rsidRPr="0042516F" w:rsidRDefault="002243C8">
      <w:pPr>
        <w:pStyle w:val="TOC1"/>
        <w:rPr>
          <w:b w:val="0"/>
          <w:bCs w:val="0"/>
          <w:noProof/>
        </w:rPr>
      </w:pPr>
      <w:hyperlink w:anchor="_Toc202208143" w:history="1">
        <w:r w:rsidR="007F6E00" w:rsidRPr="0042516F">
          <w:rPr>
            <w:rStyle w:val="a4"/>
            <w:noProof/>
          </w:rPr>
          <w:t>References</w:t>
        </w:r>
        <w:r w:rsidR="007F6E00" w:rsidRPr="0042516F">
          <w:rPr>
            <w:noProof/>
            <w:webHidden/>
          </w:rPr>
          <w:tab/>
        </w:r>
        <w:r w:rsidR="007F6E00" w:rsidRPr="0042516F">
          <w:rPr>
            <w:noProof/>
            <w:webHidden/>
          </w:rPr>
          <w:fldChar w:fldCharType="begin"/>
        </w:r>
        <w:r w:rsidR="007F6E00" w:rsidRPr="0042516F">
          <w:rPr>
            <w:noProof/>
            <w:webHidden/>
          </w:rPr>
          <w:instrText xml:space="preserve"> PAGEREF _Toc202208143 \h </w:instrText>
        </w:r>
        <w:r w:rsidR="007F6E00" w:rsidRPr="0042516F">
          <w:rPr>
            <w:noProof/>
            <w:webHidden/>
          </w:rPr>
        </w:r>
        <w:r w:rsidR="007F6E00" w:rsidRPr="0042516F">
          <w:rPr>
            <w:noProof/>
            <w:webHidden/>
          </w:rPr>
          <w:fldChar w:fldCharType="separate"/>
        </w:r>
        <w:r w:rsidR="007F6E00">
          <w:rPr>
            <w:noProof/>
            <w:webHidden/>
          </w:rPr>
          <w:t>119</w:t>
        </w:r>
        <w:r w:rsidR="007F6E00" w:rsidRPr="0042516F">
          <w:rPr>
            <w:noProof/>
            <w:webHidden/>
          </w:rPr>
          <w:fldChar w:fldCharType="end"/>
        </w:r>
      </w:hyperlink>
    </w:p>
    <w:p w14:paraId="17C36043" w14:textId="77777777" w:rsidR="007F6E00" w:rsidRPr="0055695A" w:rsidRDefault="007F6E00" w:rsidP="0055695A">
      <w:pPr>
        <w:snapToGrid w:val="0"/>
        <w:rPr>
          <w:rFonts w:cs="Times New Roman"/>
        </w:rPr>
      </w:pPr>
      <w:r w:rsidRPr="0042516F">
        <w:rPr>
          <w:rFonts w:cs="Times New Roman"/>
        </w:rPr>
        <w:fldChar w:fldCharType="end"/>
      </w:r>
    </w:p>
    <w:p w14:paraId="3D50B8A4" w14:textId="77777777" w:rsidR="007F6E00" w:rsidRDefault="007F6E00">
      <w:pPr>
        <w:widowControl/>
        <w:spacing w:line="240" w:lineRule="auto"/>
        <w:jc w:val="left"/>
        <w:rPr>
          <w:rFonts w:cs="Times New Roman"/>
        </w:rPr>
      </w:pPr>
    </w:p>
    <w:p w14:paraId="5CC83E4C" w14:textId="77777777" w:rsidR="007F6E00" w:rsidRPr="00617414" w:rsidRDefault="007F6E00" w:rsidP="00690290">
      <w:pPr>
        <w:pStyle w:val="1"/>
      </w:pPr>
      <w:bookmarkStart w:id="0" w:name="_Toc202208106"/>
      <w:r>
        <w:t>1.</w:t>
      </w:r>
      <w:r w:rsidRPr="00617414">
        <w:t xml:space="preserve"> </w:t>
      </w:r>
      <w:r>
        <w:t>D</w:t>
      </w:r>
      <w:r w:rsidRPr="00617414">
        <w:t>ata preprocessing</w:t>
      </w:r>
      <w:bookmarkEnd w:id="0"/>
    </w:p>
    <w:p w14:paraId="090AD7D5" w14:textId="77777777" w:rsidR="007F6E00" w:rsidRPr="00690290" w:rsidRDefault="007F6E00" w:rsidP="00690290">
      <w:pPr>
        <w:pStyle w:val="2"/>
      </w:pPr>
      <w:bookmarkStart w:id="1" w:name="_Toc202208107"/>
      <w:r>
        <w:t xml:space="preserve">1.1. </w:t>
      </w:r>
      <w:r w:rsidRPr="00690290">
        <w:t>Marsquake locations</w:t>
      </w:r>
      <w:bookmarkEnd w:id="1"/>
    </w:p>
    <w:p w14:paraId="0006C147" w14:textId="77777777" w:rsidR="007F6E00" w:rsidRDefault="007F6E00" w:rsidP="0080325B">
      <w:pPr>
        <w:tabs>
          <w:tab w:val="center" w:pos="4080"/>
          <w:tab w:val="right" w:pos="8160"/>
        </w:tabs>
        <w:ind w:firstLineChars="200" w:firstLine="480"/>
        <w:rPr>
          <w:rFonts w:cs="Times New Roman"/>
        </w:rPr>
      </w:pPr>
      <w:r w:rsidRPr="00617414">
        <w:rPr>
          <w:rFonts w:cs="Times New Roman"/>
        </w:rPr>
        <w:t xml:space="preserve">The </w:t>
      </w:r>
      <w:r>
        <w:rPr>
          <w:rFonts w:cs="Times New Roman" w:hint="eastAsia"/>
        </w:rPr>
        <w:t>Ma</w:t>
      </w:r>
      <w:r>
        <w:rPr>
          <w:rFonts w:cs="Times New Roman"/>
        </w:rPr>
        <w:t>rsquake service (MQS)</w:t>
      </w:r>
      <w:r w:rsidRPr="00617414">
        <w:rPr>
          <w:rFonts w:cs="Times New Roman"/>
        </w:rPr>
        <w:t xml:space="preserve"> obtained the epicentral distances for 42 LF family events based on their differential travel times of P and S waves and the inverted models of Mars’s interior</w:t>
      </w:r>
      <w:r w:rsidRPr="0020344F">
        <w:rPr>
          <w:rFonts w:cs="Times New Roman"/>
          <w:noProof/>
          <w:vertAlign w:val="superscript"/>
        </w:rPr>
        <w:t>1</w:t>
      </w:r>
      <w:r w:rsidRPr="00617414">
        <w:rPr>
          <w:rFonts w:cs="Times New Roman"/>
        </w:rPr>
        <w:t xml:space="preserve">. Of these, 24 </w:t>
      </w:r>
      <w:r>
        <w:rPr>
          <w:rFonts w:cs="Times New Roman"/>
        </w:rPr>
        <w:t xml:space="preserve">events are </w:t>
      </w:r>
      <w:r w:rsidRPr="00617414">
        <w:rPr>
          <w:rFonts w:cs="Times New Roman"/>
        </w:rPr>
        <w:t>fully located, with back azimuth</w:t>
      </w:r>
      <w:r>
        <w:rPr>
          <w:rFonts w:cs="Times New Roman"/>
        </w:rPr>
        <w:t>s</w:t>
      </w:r>
      <w:r w:rsidRPr="00617414">
        <w:rPr>
          <w:rFonts w:cs="Times New Roman"/>
        </w:rPr>
        <w:t xml:space="preserve"> </w:t>
      </w:r>
      <w:r>
        <w:rPr>
          <w:rFonts w:cs="Times New Roman"/>
        </w:rPr>
        <w:t xml:space="preserve">estimated </w:t>
      </w:r>
      <w:r w:rsidRPr="00617414">
        <w:rPr>
          <w:rFonts w:cs="Times New Roman"/>
        </w:rPr>
        <w:t>from body wave polarizations</w:t>
      </w:r>
      <w:r w:rsidRPr="0020344F">
        <w:rPr>
          <w:rFonts w:cs="Times New Roman"/>
          <w:noProof/>
          <w:vertAlign w:val="superscript"/>
        </w:rPr>
        <w:t>2,3</w:t>
      </w:r>
      <w:r w:rsidRPr="00617414">
        <w:rPr>
          <w:rFonts w:cs="Times New Roman"/>
        </w:rPr>
        <w:t>.</w:t>
      </w:r>
      <w:r>
        <w:rPr>
          <w:rFonts w:cs="Times New Roman"/>
        </w:rPr>
        <w:t xml:space="preserve"> </w:t>
      </w:r>
      <w:r>
        <w:rPr>
          <w:rFonts w:cs="Times New Roman"/>
          <w:noProof/>
        </w:rPr>
        <w:t xml:space="preserve">Ceylan, et al. </w:t>
      </w:r>
      <w:r w:rsidRPr="0020344F">
        <w:rPr>
          <w:rFonts w:cs="Times New Roman"/>
          <w:noProof/>
          <w:vertAlign w:val="superscript"/>
        </w:rPr>
        <w:t>4</w:t>
      </w:r>
      <w:r w:rsidRPr="002D74C7">
        <w:rPr>
          <w:rFonts w:cs="Times New Roman"/>
        </w:rPr>
        <w:t xml:space="preserve"> relocate 35 events </w:t>
      </w:r>
      <w:r>
        <w:rPr>
          <w:rFonts w:cs="Times New Roman"/>
        </w:rPr>
        <w:t>based on</w:t>
      </w:r>
      <w:r w:rsidRPr="002D74C7">
        <w:rPr>
          <w:rFonts w:cs="Times New Roman"/>
        </w:rPr>
        <w:t xml:space="preserve"> the similarity of envelope shapes</w:t>
      </w:r>
      <w:r>
        <w:rPr>
          <w:rFonts w:cs="Times New Roman"/>
        </w:rPr>
        <w:t>, while</w:t>
      </w:r>
      <w:r w:rsidRPr="002D74C7">
        <w:rPr>
          <w:rFonts w:cs="Times New Roman"/>
        </w:rPr>
        <w:t xml:space="preserve"> </w:t>
      </w:r>
      <w:r>
        <w:rPr>
          <w:rFonts w:cs="Times New Roman"/>
          <w:noProof/>
        </w:rPr>
        <w:t xml:space="preserve">Wang, et al. </w:t>
      </w:r>
      <w:r w:rsidRPr="0020344F">
        <w:rPr>
          <w:rFonts w:cs="Times New Roman"/>
          <w:noProof/>
          <w:vertAlign w:val="superscript"/>
        </w:rPr>
        <w:t>5</w:t>
      </w:r>
      <w:r w:rsidRPr="002D74C7">
        <w:rPr>
          <w:rFonts w:cs="Times New Roman"/>
        </w:rPr>
        <w:t xml:space="preserve"> </w:t>
      </w:r>
      <w:r>
        <w:rPr>
          <w:rFonts w:cs="Times New Roman"/>
        </w:rPr>
        <w:t xml:space="preserve">provide </w:t>
      </w:r>
      <w:r w:rsidRPr="002D74C7">
        <w:rPr>
          <w:rFonts w:cs="Times New Roman"/>
        </w:rPr>
        <w:t xml:space="preserve">back azimuth estimations for 44 events through a varying-parameter polarization analysis. </w:t>
      </w:r>
      <w:r>
        <w:rPr>
          <w:rFonts w:cs="Times New Roman"/>
        </w:rPr>
        <w:t xml:space="preserve">A total of </w:t>
      </w:r>
      <w:r w:rsidRPr="002D74C7">
        <w:rPr>
          <w:rFonts w:cs="Times New Roman"/>
        </w:rPr>
        <w:t xml:space="preserve">28 LF family events </w:t>
      </w:r>
      <w:r>
        <w:rPr>
          <w:rFonts w:cs="Times New Roman"/>
        </w:rPr>
        <w:t xml:space="preserve">with consistent </w:t>
      </w:r>
      <w:r w:rsidRPr="002D74C7">
        <w:rPr>
          <w:rFonts w:cs="Times New Roman"/>
        </w:rPr>
        <w:t xml:space="preserve">relocation results </w:t>
      </w:r>
      <w:r>
        <w:rPr>
          <w:rFonts w:cs="Times New Roman"/>
        </w:rPr>
        <w:t xml:space="preserve">across </w:t>
      </w:r>
      <w:r w:rsidRPr="002D74C7">
        <w:rPr>
          <w:rFonts w:cs="Times New Roman"/>
        </w:rPr>
        <w:t>these two studies</w:t>
      </w:r>
      <w:r>
        <w:rPr>
          <w:rFonts w:cs="Times New Roman"/>
        </w:rPr>
        <w:t xml:space="preserve"> are shown</w:t>
      </w:r>
      <w:r w:rsidRPr="002D74C7">
        <w:rPr>
          <w:rFonts w:cs="Times New Roman"/>
        </w:rPr>
        <w:t xml:space="preserve"> in </w:t>
      </w:r>
      <w:r w:rsidRPr="00B348B3">
        <w:rPr>
          <w:rFonts w:cs="Times New Roman" w:hint="eastAsia"/>
          <w:color w:val="FF0000"/>
        </w:rPr>
        <w:t>Su</w:t>
      </w:r>
      <w:r w:rsidRPr="00B348B3">
        <w:rPr>
          <w:rFonts w:cs="Times New Roman"/>
          <w:color w:val="FF0000"/>
        </w:rPr>
        <w:t xml:space="preserve">pplementary </w:t>
      </w:r>
      <w:r w:rsidRPr="009D780D">
        <w:rPr>
          <w:rFonts w:cs="Times New Roman"/>
          <w:color w:val="FF0000"/>
        </w:rPr>
        <w:t>Fig. 1</w:t>
      </w:r>
      <w:r w:rsidRPr="002D74C7">
        <w:rPr>
          <w:rFonts w:cs="Times New Roman"/>
        </w:rPr>
        <w:t xml:space="preserve">. </w:t>
      </w:r>
      <w:r>
        <w:rPr>
          <w:rFonts w:cs="Times New Roman"/>
        </w:rPr>
        <w:t xml:space="preserve">Most of these events are located in the </w:t>
      </w:r>
      <w:r w:rsidRPr="002D74C7">
        <w:rPr>
          <w:rFonts w:cs="Times New Roman"/>
        </w:rPr>
        <w:t>Cerberus Fossae (CF)</w:t>
      </w:r>
      <w:r>
        <w:rPr>
          <w:rFonts w:cs="Times New Roman"/>
        </w:rPr>
        <w:t>, a region is</w:t>
      </w:r>
      <w:r w:rsidRPr="002D74C7">
        <w:rPr>
          <w:rFonts w:cs="Times New Roman"/>
        </w:rPr>
        <w:t xml:space="preserve"> distinguished by active extensional faults</w:t>
      </w:r>
      <w:r w:rsidRPr="0020344F">
        <w:rPr>
          <w:rFonts w:cs="Times New Roman"/>
          <w:noProof/>
          <w:vertAlign w:val="superscript"/>
        </w:rPr>
        <w:t>4-11</w:t>
      </w:r>
      <w:r w:rsidRPr="002D74C7">
        <w:rPr>
          <w:rFonts w:cs="Times New Roman"/>
        </w:rPr>
        <w:t xml:space="preserve">. </w:t>
      </w:r>
      <w:r>
        <w:rPr>
          <w:rFonts w:cs="Times New Roman"/>
        </w:rPr>
        <w:t>In addition</w:t>
      </w:r>
      <w:r w:rsidRPr="002D74C7">
        <w:rPr>
          <w:rFonts w:cs="Times New Roman"/>
        </w:rPr>
        <w:t>, two newly located events S1153a and S1415a, with distances of ~80º–90º, are close to the Tharsis region</w:t>
      </w:r>
      <w:r w:rsidRPr="00AE0653">
        <w:rPr>
          <w:rFonts w:cs="Times New Roman"/>
          <w:noProof/>
          <w:vertAlign w:val="superscript"/>
        </w:rPr>
        <w:t>4,12</w:t>
      </w:r>
      <w:r w:rsidRPr="002D74C7">
        <w:rPr>
          <w:rFonts w:cs="Times New Roman"/>
        </w:rPr>
        <w:t>.</w:t>
      </w:r>
    </w:p>
    <w:p w14:paraId="1E316B6E" w14:textId="77777777" w:rsidR="007F6E00" w:rsidRDefault="007F6E00" w:rsidP="0080325B">
      <w:pPr>
        <w:widowControl/>
        <w:spacing w:line="240" w:lineRule="auto"/>
        <w:jc w:val="left"/>
        <w:rPr>
          <w:rFonts w:cs="Times New Roman"/>
        </w:rPr>
      </w:pPr>
      <w:r>
        <w:rPr>
          <w:rFonts w:cs="Times New Roman"/>
        </w:rPr>
        <w:br w:type="page"/>
      </w:r>
    </w:p>
    <w:p w14:paraId="68F31BFF" w14:textId="77777777" w:rsidR="007F6E00" w:rsidRDefault="007F6E00" w:rsidP="00B348B3">
      <w:pPr>
        <w:tabs>
          <w:tab w:val="center" w:pos="4080"/>
          <w:tab w:val="right" w:pos="8160"/>
        </w:tabs>
        <w:rPr>
          <w:rFonts w:cs="Times New Roman"/>
        </w:rPr>
      </w:pPr>
      <w:r>
        <w:rPr>
          <w:rFonts w:cs="Times New Roman" w:hint="eastAsia"/>
          <w:noProof/>
        </w:rPr>
        <w:lastRenderedPageBreak/>
        <w:drawing>
          <wp:inline distT="0" distB="0" distL="0" distR="0" wp14:anchorId="64EF6CC4" wp14:editId="502C98DB">
            <wp:extent cx="5274310" cy="372491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4310" cy="3724910"/>
                    </a:xfrm>
                    <a:prstGeom prst="rect">
                      <a:avLst/>
                    </a:prstGeom>
                  </pic:spPr>
                </pic:pic>
              </a:graphicData>
            </a:graphic>
          </wp:inline>
        </w:drawing>
      </w:r>
    </w:p>
    <w:p w14:paraId="51860696" w14:textId="77777777" w:rsidR="007F6E00" w:rsidRDefault="007F6E00" w:rsidP="00054205">
      <w:pPr>
        <w:spacing w:line="240" w:lineRule="auto"/>
        <w:rPr>
          <w:rFonts w:cs="Times New Roman"/>
        </w:rPr>
      </w:pPr>
      <w:r>
        <w:rPr>
          <w:rFonts w:cs="Times New Roman"/>
          <w:b/>
          <w:bCs/>
        </w:rPr>
        <w:t>Supplementary</w:t>
      </w:r>
      <w:r w:rsidRPr="00DE41EF">
        <w:rPr>
          <w:rFonts w:cs="Times New Roman"/>
          <w:b/>
          <w:bCs/>
        </w:rPr>
        <w:t xml:space="preserve"> Fig. 1 | Distribution of all high quality low-frequency family events.</w:t>
      </w:r>
      <w:r>
        <w:rPr>
          <w:rFonts w:cs="Times New Roman"/>
        </w:rPr>
        <w:t xml:space="preserve"> Circles denotes events used in RF and PP/SS precursor inversions, while squares indicate other events not used in the inversions. </w:t>
      </w:r>
      <w:r w:rsidRPr="002D74C7">
        <w:rPr>
          <w:rFonts w:cs="Times New Roman"/>
        </w:rPr>
        <w:t xml:space="preserve">Cerberus Fossae </w:t>
      </w:r>
      <w:r>
        <w:rPr>
          <w:rFonts w:cs="Times New Roman"/>
        </w:rPr>
        <w:t>(CF) events are highlighted in red color. Yellow triangle marks the location of InSight lander. Background map contains elevation data and normal and reverse faults on Mars’s surface</w:t>
      </w:r>
      <w:r w:rsidRPr="00054205">
        <w:rPr>
          <w:rFonts w:cs="Times New Roman"/>
          <w:noProof/>
          <w:vertAlign w:val="superscript"/>
        </w:rPr>
        <w:t>13</w:t>
      </w:r>
      <w:r>
        <w:rPr>
          <w:rFonts w:cs="Times New Roman"/>
        </w:rPr>
        <w:t>.</w:t>
      </w:r>
    </w:p>
    <w:p w14:paraId="1DB7997D" w14:textId="77777777" w:rsidR="007F6E00" w:rsidRPr="000F0E59" w:rsidRDefault="007F6E00" w:rsidP="0080325B">
      <w:pPr>
        <w:widowControl/>
        <w:spacing w:line="240" w:lineRule="auto"/>
        <w:jc w:val="left"/>
        <w:rPr>
          <w:rFonts w:cs="Times New Roman"/>
        </w:rPr>
      </w:pPr>
      <w:r>
        <w:rPr>
          <w:rFonts w:cs="Times New Roman"/>
        </w:rPr>
        <w:br w:type="page"/>
      </w:r>
    </w:p>
    <w:p w14:paraId="27880097" w14:textId="77777777" w:rsidR="007F6E00" w:rsidRPr="00690290" w:rsidRDefault="007F6E00" w:rsidP="00690290">
      <w:pPr>
        <w:pStyle w:val="2"/>
      </w:pPr>
      <w:bookmarkStart w:id="2" w:name="_Toc202208108"/>
      <w:r>
        <w:lastRenderedPageBreak/>
        <w:t xml:space="preserve">1.2. </w:t>
      </w:r>
      <w:r w:rsidRPr="00690290">
        <w:t>Polarization filter</w:t>
      </w:r>
      <w:bookmarkEnd w:id="2"/>
    </w:p>
    <w:p w14:paraId="278B72D4" w14:textId="77777777" w:rsidR="007F6E00" w:rsidRPr="00617414" w:rsidRDefault="007F6E00" w:rsidP="00A4346C">
      <w:pPr>
        <w:tabs>
          <w:tab w:val="center" w:pos="4080"/>
          <w:tab w:val="right" w:pos="8160"/>
        </w:tabs>
        <w:ind w:firstLine="426"/>
        <w:rPr>
          <w:rFonts w:cs="Times New Roman"/>
        </w:rPr>
      </w:pPr>
      <w:r>
        <w:rPr>
          <w:rFonts w:cs="Times New Roman"/>
        </w:rPr>
        <w:tab/>
        <w:t>The p</w:t>
      </w:r>
      <w:r w:rsidRPr="00617414">
        <w:rPr>
          <w:rFonts w:cs="Times New Roman"/>
        </w:rPr>
        <w:t>olarization filter is a time-domain method used to enhance the seismic body wave phases and suppress noise</w:t>
      </w:r>
      <w:r>
        <w:rPr>
          <w:rFonts w:cs="Times New Roman"/>
        </w:rPr>
        <w:t xml:space="preserve"> </w:t>
      </w:r>
      <w:r w:rsidRPr="00617414">
        <w:rPr>
          <w:rFonts w:cs="Times New Roman"/>
        </w:rPr>
        <w:t>based on the fact that the body wave exhibits a linear polarization with a dominant direction of particle motion, while the noise is non-polarized</w:t>
      </w:r>
      <w:r w:rsidRPr="00A4346C">
        <w:rPr>
          <w:rFonts w:cs="Times New Roman"/>
          <w:noProof/>
          <w:vertAlign w:val="superscript"/>
        </w:rPr>
        <w:t>14</w:t>
      </w:r>
      <w:r w:rsidRPr="00617414">
        <w:rPr>
          <w:rFonts w:cs="Times New Roman"/>
        </w:rPr>
        <w:t>. To perform the polarization filter, we first cut the three</w:t>
      </w:r>
      <w:r>
        <w:rPr>
          <w:rFonts w:cs="Times New Roman"/>
        </w:rPr>
        <w:t>-</w:t>
      </w:r>
      <w:r w:rsidRPr="00617414">
        <w:rPr>
          <w:rFonts w:cs="Times New Roman"/>
        </w:rPr>
        <w:t xml:space="preserve">component waveform data </w:t>
      </w:r>
      <m:oMath>
        <m:sSub>
          <m:sSubPr>
            <m:ctrlPr>
              <w:rPr>
                <w:rFonts w:ascii="Cambria Math" w:eastAsia="Cambria Math" w:hAnsi="Cambria Math" w:cs="Times New Roman"/>
              </w:rPr>
            </m:ctrlPr>
          </m:sSubPr>
          <m:e>
            <m:r>
              <w:rPr>
                <w:rFonts w:ascii="Cambria Math" w:eastAsia="Cambria Math" w:hAnsi="Cambria Math" w:cs="Times New Roman"/>
              </w:rPr>
              <m:t>X</m:t>
            </m:r>
          </m:e>
          <m:sub>
            <m:r>
              <w:rPr>
                <w:rFonts w:ascii="Cambria Math" w:eastAsia="Cambria Math" w:hAnsi="Cambria Math" w:cs="Times New Roman"/>
              </w:rPr>
              <m:t>i</m:t>
            </m:r>
          </m:sub>
        </m:sSub>
        <m:r>
          <w:rPr>
            <w:rFonts w:ascii="Cambria Math" w:eastAsia="Cambria Math" w:hAnsi="Cambria Math" w:cs="Times New Roman"/>
          </w:rPr>
          <m:t>(t)</m:t>
        </m:r>
      </m:oMath>
      <w:r w:rsidRPr="00617414">
        <w:rPr>
          <w:rFonts w:cs="Times New Roman"/>
        </w:rPr>
        <w:t xml:space="preserve"> (</w:t>
      </w:r>
      <w:proofErr w:type="spellStart"/>
      <w:r w:rsidRPr="00617414">
        <w:rPr>
          <w:rFonts w:cs="Times New Roman"/>
          <w:i/>
        </w:rPr>
        <w:t>i</w:t>
      </w:r>
      <w:proofErr w:type="spellEnd"/>
      <w:r w:rsidRPr="00617414">
        <w:rPr>
          <w:rFonts w:cs="Times New Roman"/>
        </w:rPr>
        <w:t xml:space="preserve"> = 1, 2, 3 (Z, R, T)) within a time window with a length of </w:t>
      </w:r>
      <w:r w:rsidRPr="00617414">
        <w:rPr>
          <w:rFonts w:cs="Times New Roman"/>
          <w:i/>
        </w:rPr>
        <w:t>L</w:t>
      </w:r>
      <w:r w:rsidRPr="00617414">
        <w:rPr>
          <w:rFonts w:cs="Times New Roman"/>
        </w:rPr>
        <w:t xml:space="preserve"> and a center time of </w:t>
      </w:r>
      <m:oMath>
        <m:sSub>
          <m:sSubPr>
            <m:ctrlPr>
              <w:rPr>
                <w:rFonts w:ascii="Cambria Math" w:hAnsi="Cambria Math" w:cs="Times New Roman"/>
              </w:rPr>
            </m:ctrlPr>
          </m:sSubPr>
          <m:e>
            <m:r>
              <w:rPr>
                <w:rFonts w:ascii="Cambria Math" w:hAnsi="Cambria Math" w:cs="Times New Roman"/>
              </w:rPr>
              <m:t>t</m:t>
            </m:r>
          </m:e>
          <m:sub>
            <m:r>
              <w:rPr>
                <w:rFonts w:ascii="Cambria Math" w:hAnsi="Cambria Math" w:cs="Times New Roman"/>
              </w:rPr>
              <m:t>0</m:t>
            </m:r>
          </m:sub>
        </m:sSub>
      </m:oMath>
      <w:r w:rsidRPr="00617414">
        <w:rPr>
          <w:rFonts w:cs="Times New Roman"/>
        </w:rPr>
        <w:t xml:space="preserve">. The data covariance matrix within this window is computed. Then we get the rectilinearity </w:t>
      </w:r>
      <w:r w:rsidRPr="00617414">
        <w:rPr>
          <w:rFonts w:cs="Times New Roman"/>
          <w:i/>
        </w:rPr>
        <w:t>RL</w:t>
      </w:r>
      <w:r w:rsidRPr="00617414">
        <w:rPr>
          <w:rFonts w:cs="Times New Roman"/>
        </w:rPr>
        <w:t xml:space="preserve"> and the direction weight </w:t>
      </w:r>
      <m:oMath>
        <m:sSub>
          <m:sSubPr>
            <m:ctrlPr>
              <w:rPr>
                <w:rFonts w:ascii="Cambria Math" w:hAnsi="Cambria Math" w:cs="Times New Roman"/>
              </w:rPr>
            </m:ctrlPr>
          </m:sSubPr>
          <m:e>
            <m:r>
              <w:rPr>
                <w:rFonts w:ascii="Cambria Math" w:hAnsi="Cambria Math" w:cs="Times New Roman"/>
              </w:rPr>
              <m:t>D</m:t>
            </m:r>
          </m:e>
          <m:sub>
            <m:r>
              <w:rPr>
                <w:rFonts w:ascii="Cambria Math" w:hAnsi="Cambria Math" w:cs="Times New Roman"/>
              </w:rPr>
              <m:t>i</m:t>
            </m:r>
          </m:sub>
        </m:sSub>
      </m:oMath>
      <w:r w:rsidRPr="00617414">
        <w:rPr>
          <w:rFonts w:cs="Times New Roman"/>
        </w:rPr>
        <w:t xml:space="preserve"> at time </w:t>
      </w:r>
      <m:oMath>
        <m:sSub>
          <m:sSubPr>
            <m:ctrlPr>
              <w:rPr>
                <w:rFonts w:ascii="Cambria Math" w:hAnsi="Cambria Math" w:cs="Times New Roman"/>
              </w:rPr>
            </m:ctrlPr>
          </m:sSubPr>
          <m:e>
            <m:r>
              <w:rPr>
                <w:rFonts w:ascii="Cambria Math" w:hAnsi="Cambria Math" w:cs="Times New Roman"/>
              </w:rPr>
              <m:t>t</m:t>
            </m:r>
          </m:e>
          <m:sub>
            <m:r>
              <w:rPr>
                <w:rFonts w:ascii="Cambria Math" w:hAnsi="Cambria Math" w:cs="Times New Roman"/>
              </w:rPr>
              <m:t>0</m:t>
            </m:r>
          </m:sub>
        </m:sSub>
      </m:oMath>
      <w:r w:rsidRPr="00617414">
        <w:rPr>
          <w:rFonts w:cs="Times New Roman"/>
        </w:rPr>
        <w:t xml:space="preserve"> as:</w:t>
      </w:r>
    </w:p>
    <w:p w14:paraId="2BC0FDEB" w14:textId="77777777" w:rsidR="007F6E00" w:rsidRPr="00617414" w:rsidRDefault="007F6E00" w:rsidP="00617414">
      <w:pPr>
        <w:tabs>
          <w:tab w:val="center" w:pos="4080"/>
          <w:tab w:val="right" w:pos="8160"/>
        </w:tabs>
        <w:rPr>
          <w:rFonts w:cs="Times New Roman"/>
        </w:rPr>
      </w:pPr>
      <w:r w:rsidRPr="00617414">
        <w:rPr>
          <w:rFonts w:cs="Times New Roman"/>
        </w:rPr>
        <w:tab/>
      </w:r>
      <m:oMath>
        <m:r>
          <w:rPr>
            <w:rFonts w:ascii="Cambria Math" w:hAnsi="Cambria Math" w:cs="Times New Roman"/>
          </w:rPr>
          <m:t>RL</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0</m:t>
                </m:r>
              </m:sub>
            </m:sSub>
          </m:e>
        </m:d>
        <m:r>
          <m:rPr>
            <m:sty m:val="p"/>
          </m:rPr>
          <w:rPr>
            <w:rFonts w:ascii="Cambria Math" w:hAnsi="Cambria Math" w:cs="Times New Roman"/>
          </w:rPr>
          <m:t>=</m:t>
        </m:r>
        <m:sSup>
          <m:sSupPr>
            <m:ctrlPr>
              <w:rPr>
                <w:rFonts w:ascii="Cambria Math" w:hAnsi="Cambria Math" w:cs="Times New Roman"/>
              </w:rPr>
            </m:ctrlPr>
          </m:sSupPr>
          <m:e>
            <m:d>
              <m:dPr>
                <m:begChr m:val="["/>
                <m:endChr m:val="]"/>
                <m:ctrlPr>
                  <w:rPr>
                    <w:rFonts w:ascii="Cambria Math" w:hAnsi="Cambria Math" w:cs="Times New Roman"/>
                    <w:i/>
                  </w:rPr>
                </m:ctrlPr>
              </m:dPr>
              <m:e>
                <m:r>
                  <w:rPr>
                    <w:rFonts w:ascii="Cambria Math" w:hAnsi="Cambria Math" w:cs="Times New Roman"/>
                  </w:rPr>
                  <m:t>1-</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2</m:t>
                                </m:r>
                              </m:sub>
                            </m:sSub>
                          </m:num>
                          <m:den>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1</m:t>
                                </m:r>
                              </m:sub>
                            </m:sSub>
                          </m:den>
                        </m:f>
                      </m:e>
                    </m:d>
                  </m:e>
                  <m:sup>
                    <m:r>
                      <w:rPr>
                        <w:rFonts w:ascii="Cambria Math" w:hAnsi="Cambria Math" w:cs="Times New Roman"/>
                      </w:rPr>
                      <m:t>n</m:t>
                    </m:r>
                  </m:sup>
                </m:sSup>
              </m:e>
            </m:d>
          </m:e>
          <m:sup>
            <m:r>
              <w:rPr>
                <w:rFonts w:ascii="Cambria Math" w:hAnsi="Cambria Math" w:cs="Times New Roman"/>
              </w:rPr>
              <m:t>J</m:t>
            </m:r>
          </m:sup>
        </m:sSup>
      </m:oMath>
      <w:r w:rsidRPr="00617414">
        <w:rPr>
          <w:rFonts w:cs="Times New Roman"/>
        </w:rPr>
        <w:t>,</w:t>
      </w:r>
      <w:r w:rsidRPr="00617414">
        <w:rPr>
          <w:rFonts w:cs="Times New Roman"/>
        </w:rPr>
        <w:tab/>
        <w:t>(1)</w:t>
      </w:r>
    </w:p>
    <w:p w14:paraId="25D9DE1D" w14:textId="77777777" w:rsidR="007F6E00" w:rsidRPr="00617414" w:rsidRDefault="007F6E00" w:rsidP="00617414">
      <w:pPr>
        <w:tabs>
          <w:tab w:val="center" w:pos="4080"/>
          <w:tab w:val="right" w:pos="8160"/>
        </w:tabs>
        <w:rPr>
          <w:rFonts w:cs="Times New Roman"/>
        </w:rPr>
      </w:pPr>
      <w:r w:rsidRPr="00617414">
        <w:rPr>
          <w:rFonts w:cs="Times New Roman"/>
        </w:rPr>
        <w:tab/>
      </w:r>
      <m:oMath>
        <m:sSub>
          <m:sSubPr>
            <m:ctrlPr>
              <w:rPr>
                <w:rFonts w:ascii="Cambria Math" w:hAnsi="Cambria Math" w:cs="Times New Roman"/>
              </w:rPr>
            </m:ctrlPr>
          </m:sSubPr>
          <m:e>
            <m:r>
              <w:rPr>
                <w:rFonts w:ascii="Cambria Math" w:hAnsi="Cambria Math" w:cs="Times New Roman"/>
              </w:rPr>
              <m:t>D</m:t>
            </m:r>
          </m:e>
          <m:sub>
            <m:r>
              <w:rPr>
                <w:rFonts w:ascii="Cambria Math" w:hAnsi="Cambria Math" w:cs="Times New Roman"/>
              </w:rPr>
              <m:t>i</m:t>
            </m:r>
          </m:sub>
        </m:sSub>
        <m:r>
          <m:rPr>
            <m:sty m:val="p"/>
          </m:rPr>
          <w:rPr>
            <w:rFonts w:ascii="Cambria Math" w:hAnsi="Cambria Math" w:cs="Times New Roman"/>
          </w:rPr>
          <m:t>=</m:t>
        </m:r>
        <m:sSubSup>
          <m:sSubSupPr>
            <m:ctrlPr>
              <w:rPr>
                <w:rFonts w:ascii="Cambria Math" w:hAnsi="Cambria Math" w:cs="Times New Roman"/>
              </w:rPr>
            </m:ctrlPr>
          </m:sSubSupPr>
          <m:e>
            <m:r>
              <w:rPr>
                <w:rFonts w:ascii="Cambria Math" w:hAnsi="Cambria Math" w:cs="Times New Roman"/>
              </w:rPr>
              <m:t>e</m:t>
            </m:r>
          </m:e>
          <m:sub>
            <m:r>
              <w:rPr>
                <w:rFonts w:ascii="Cambria Math" w:hAnsi="Cambria Math" w:cs="Times New Roman"/>
              </w:rPr>
              <m:t>i</m:t>
            </m:r>
          </m:sub>
          <m:sup>
            <m:r>
              <w:rPr>
                <w:rFonts w:ascii="Cambria Math" w:hAnsi="Cambria Math" w:cs="Times New Roman"/>
              </w:rPr>
              <m:t>K</m:t>
            </m:r>
          </m:sup>
        </m:sSubSup>
      </m:oMath>
      <w:r w:rsidRPr="00617414">
        <w:rPr>
          <w:rFonts w:cs="Times New Roman"/>
        </w:rPr>
        <w:t>,</w:t>
      </w:r>
      <w:r w:rsidRPr="00617414">
        <w:rPr>
          <w:rFonts w:cs="Times New Roman"/>
        </w:rPr>
        <w:tab/>
        <w:t>(2)</w:t>
      </w:r>
    </w:p>
    <w:p w14:paraId="322ACBCA" w14:textId="77777777" w:rsidR="007F6E00" w:rsidRPr="00617414" w:rsidRDefault="007F6E00" w:rsidP="00617414">
      <w:pPr>
        <w:tabs>
          <w:tab w:val="center" w:pos="4080"/>
          <w:tab w:val="right" w:pos="8160"/>
        </w:tabs>
        <w:rPr>
          <w:rFonts w:cs="Times New Roman"/>
        </w:rPr>
      </w:pPr>
      <w:r w:rsidRPr="00617414">
        <w:rPr>
          <w:rFonts w:cs="Times New Roman"/>
        </w:rPr>
        <w:t xml:space="preserve">where </w:t>
      </w:r>
      <m:oMath>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1</m:t>
            </m:r>
          </m:sub>
        </m:sSub>
      </m:oMath>
      <w:r w:rsidRPr="00617414">
        <w:rPr>
          <w:rFonts w:cs="Times New Roman"/>
        </w:rPr>
        <w:t xml:space="preserve"> and </w:t>
      </w:r>
      <m:oMath>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2</m:t>
            </m:r>
          </m:sub>
        </m:sSub>
      </m:oMath>
      <w:r w:rsidRPr="00617414">
        <w:rPr>
          <w:rFonts w:cs="Times New Roman"/>
        </w:rPr>
        <w:t xml:space="preserve"> are the largest and second largest eigenvalues of the data covariance matrix, </w:t>
      </w:r>
      <m:oMath>
        <m:sSub>
          <m:sSubPr>
            <m:ctrlPr>
              <w:rPr>
                <w:rFonts w:ascii="Cambria Math" w:hAnsi="Cambria Math" w:cs="Times New Roman"/>
              </w:rPr>
            </m:ctrlPr>
          </m:sSubPr>
          <m:e>
            <m:r>
              <w:rPr>
                <w:rFonts w:ascii="Cambria Math" w:hAnsi="Cambria Math" w:cs="Times New Roman"/>
              </w:rPr>
              <m:t>e</m:t>
            </m:r>
          </m:e>
          <m:sub>
            <m:r>
              <w:rPr>
                <w:rFonts w:ascii="Cambria Math" w:hAnsi="Cambria Math" w:cs="Times New Roman"/>
              </w:rPr>
              <m:t>i</m:t>
            </m:r>
          </m:sub>
        </m:sSub>
      </m:oMath>
      <w:r w:rsidRPr="00617414">
        <w:rPr>
          <w:rFonts w:cs="Times New Roman"/>
        </w:rPr>
        <w:t xml:space="preserve"> is the </w:t>
      </w:r>
      <w:proofErr w:type="spellStart"/>
      <w:r w:rsidRPr="00617414">
        <w:rPr>
          <w:rFonts w:cs="Times New Roman"/>
          <w:i/>
        </w:rPr>
        <w:t>i</w:t>
      </w:r>
      <w:r w:rsidRPr="00617414">
        <w:rPr>
          <w:rFonts w:cs="Times New Roman"/>
        </w:rPr>
        <w:t>-th</w:t>
      </w:r>
      <w:proofErr w:type="spellEnd"/>
      <w:r w:rsidRPr="00617414">
        <w:rPr>
          <w:rFonts w:cs="Times New Roman"/>
        </w:rPr>
        <w:t xml:space="preserve"> component of the eigenvector correspond to </w:t>
      </w:r>
      <m:oMath>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1</m:t>
            </m:r>
          </m:sub>
        </m:sSub>
      </m:oMath>
      <w:r w:rsidRPr="00617414">
        <w:rPr>
          <w:rFonts w:cs="Times New Roman"/>
        </w:rPr>
        <w:t xml:space="preserve">, and </w:t>
      </w:r>
      <w:r w:rsidRPr="00617414">
        <w:rPr>
          <w:rFonts w:cs="Times New Roman"/>
          <w:i/>
        </w:rPr>
        <w:t>n</w:t>
      </w:r>
      <w:r w:rsidRPr="00617414">
        <w:rPr>
          <w:rFonts w:cs="Times New Roman"/>
        </w:rPr>
        <w:t xml:space="preserve">, </w:t>
      </w:r>
      <w:r w:rsidRPr="00617414">
        <w:rPr>
          <w:rFonts w:cs="Times New Roman"/>
          <w:i/>
        </w:rPr>
        <w:t>J</w:t>
      </w:r>
      <w:r w:rsidRPr="00617414">
        <w:rPr>
          <w:rFonts w:cs="Times New Roman"/>
        </w:rPr>
        <w:t xml:space="preserve">, and </w:t>
      </w:r>
      <w:r w:rsidRPr="00617414">
        <w:rPr>
          <w:rFonts w:cs="Times New Roman"/>
          <w:i/>
        </w:rPr>
        <w:t>K</w:t>
      </w:r>
      <w:r w:rsidRPr="00617414">
        <w:rPr>
          <w:rFonts w:cs="Times New Roman"/>
        </w:rPr>
        <w:t xml:space="preserve"> are empirical exponents. Here we set </w:t>
      </w:r>
      <w:r w:rsidRPr="00617414">
        <w:rPr>
          <w:rFonts w:cs="Times New Roman"/>
          <w:i/>
        </w:rPr>
        <w:t>n</w:t>
      </w:r>
      <w:r w:rsidRPr="00617414">
        <w:rPr>
          <w:rFonts w:cs="Times New Roman"/>
        </w:rPr>
        <w:t xml:space="preserve"> = 0.5, </w:t>
      </w:r>
      <w:r w:rsidRPr="00617414">
        <w:rPr>
          <w:rFonts w:cs="Times New Roman"/>
          <w:i/>
        </w:rPr>
        <w:t>J</w:t>
      </w:r>
      <w:r w:rsidRPr="00617414">
        <w:rPr>
          <w:rFonts w:cs="Times New Roman"/>
        </w:rPr>
        <w:t xml:space="preserve"> = 1, and </w:t>
      </w:r>
      <w:r w:rsidRPr="00617414">
        <w:rPr>
          <w:rFonts w:cs="Times New Roman"/>
          <w:i/>
        </w:rPr>
        <w:t>K</w:t>
      </w:r>
      <w:r w:rsidRPr="00617414">
        <w:rPr>
          <w:rFonts w:cs="Times New Roman"/>
        </w:rPr>
        <w:t xml:space="preserve"> = 2. The length of cut window </w:t>
      </w:r>
      <w:r w:rsidRPr="00617414">
        <w:rPr>
          <w:rFonts w:cs="Times New Roman"/>
          <w:i/>
        </w:rPr>
        <w:t>L</w:t>
      </w:r>
      <w:r w:rsidRPr="00617414">
        <w:rPr>
          <w:rFonts w:cs="Times New Roman"/>
        </w:rPr>
        <w:t xml:space="preserve"> is set to be 2 s for P wave and 3 s for S wave based on the frequency bands of their dominant energies. The computed </w:t>
      </w:r>
      <w:r w:rsidRPr="00617414">
        <w:rPr>
          <w:rFonts w:cs="Times New Roman"/>
          <w:i/>
        </w:rPr>
        <w:t>RL</w:t>
      </w:r>
      <w:r w:rsidRPr="00617414">
        <w:rPr>
          <w:rFonts w:cs="Times New Roman"/>
        </w:rPr>
        <w:t xml:space="preserve"> and </w:t>
      </w:r>
      <m:oMath>
        <m:sSub>
          <m:sSubPr>
            <m:ctrlPr>
              <w:rPr>
                <w:rFonts w:ascii="Cambria Math" w:hAnsi="Cambria Math" w:cs="Times New Roman"/>
              </w:rPr>
            </m:ctrlPr>
          </m:sSubPr>
          <m:e>
            <m:r>
              <w:rPr>
                <w:rFonts w:ascii="Cambria Math" w:hAnsi="Cambria Math" w:cs="Times New Roman"/>
              </w:rPr>
              <m:t>D</m:t>
            </m:r>
          </m:e>
          <m:sub>
            <m:r>
              <w:rPr>
                <w:rFonts w:ascii="Cambria Math" w:hAnsi="Cambria Math" w:cs="Times New Roman"/>
              </w:rPr>
              <m:t>i</m:t>
            </m:r>
          </m:sub>
        </m:sSub>
      </m:oMath>
      <w:r w:rsidRPr="00617414">
        <w:rPr>
          <w:rFonts w:cs="Times New Roman"/>
        </w:rPr>
        <w:t xml:space="preserve"> are then smoothed by taking the average of all values within the cut window</w:t>
      </w:r>
      <w:r w:rsidRPr="00054205">
        <w:rPr>
          <w:rFonts w:cs="Times New Roman"/>
          <w:noProof/>
          <w:vertAlign w:val="superscript"/>
        </w:rPr>
        <w:t>14</w:t>
      </w:r>
      <w:r w:rsidRPr="00617414">
        <w:rPr>
          <w:rFonts w:cs="Times New Roman"/>
        </w:rPr>
        <w:t xml:space="preserve">. The </w:t>
      </w:r>
      <w:r w:rsidRPr="00617414">
        <w:rPr>
          <w:rFonts w:cs="Times New Roman"/>
          <w:i/>
        </w:rPr>
        <w:t>RL</w:t>
      </w:r>
      <w:r w:rsidRPr="00617414">
        <w:rPr>
          <w:rFonts w:cs="Times New Roman"/>
        </w:rPr>
        <w:t xml:space="preserve"> has a value between 0 and 1. A larger value of </w:t>
      </w:r>
      <w:r w:rsidRPr="00617414">
        <w:rPr>
          <w:rFonts w:cs="Times New Roman"/>
          <w:i/>
        </w:rPr>
        <w:t>RL</w:t>
      </w:r>
      <w:r w:rsidRPr="00617414">
        <w:rPr>
          <w:rFonts w:cs="Times New Roman"/>
        </w:rPr>
        <w:t xml:space="preserve"> represents a higher degree of linear polarization. The polarization filtered seismogram is defined as:</w:t>
      </w:r>
    </w:p>
    <w:p w14:paraId="2ED8C246" w14:textId="77777777" w:rsidR="007F6E00" w:rsidRPr="00617414" w:rsidRDefault="007F6E00" w:rsidP="00617414">
      <w:pPr>
        <w:tabs>
          <w:tab w:val="center" w:pos="4080"/>
          <w:tab w:val="right" w:pos="8160"/>
        </w:tabs>
        <w:rPr>
          <w:rFonts w:cs="Times New Roman"/>
        </w:rPr>
      </w:pPr>
      <w:r w:rsidRPr="00617414">
        <w:rPr>
          <w:rFonts w:cs="Times New Roman"/>
        </w:rPr>
        <w:tab/>
      </w:r>
      <m:oMath>
        <m:sSubSup>
          <m:sSubSupPr>
            <m:ctrlPr>
              <w:rPr>
                <w:rFonts w:ascii="Cambria Math" w:hAnsi="Cambria Math" w:cs="Times New Roman"/>
              </w:rPr>
            </m:ctrlPr>
          </m:sSubSupPr>
          <m:e>
            <m:r>
              <w:rPr>
                <w:rFonts w:ascii="Cambria Math" w:hAnsi="Cambria Math" w:cs="Times New Roman"/>
              </w:rPr>
              <m:t>X</m:t>
            </m:r>
          </m:e>
          <m:sub>
            <m:r>
              <w:rPr>
                <w:rFonts w:ascii="Cambria Math" w:hAnsi="Cambria Math" w:cs="Times New Roman"/>
              </w:rPr>
              <m:t>i</m:t>
            </m:r>
          </m:sub>
          <m:sup>
            <m:r>
              <w:rPr>
                <w:rFonts w:ascii="Cambria Math" w:hAnsi="Cambria Math" w:cs="Times New Roman"/>
              </w:rPr>
              <m:t>f</m:t>
            </m:r>
          </m:sup>
        </m:sSubSup>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i</m:t>
            </m:r>
          </m:sub>
        </m:sSub>
        <m:r>
          <w:rPr>
            <w:rFonts w:ascii="Cambria Math" w:hAnsi="Cambria Math" w:cs="Times New Roman"/>
          </w:rPr>
          <m:t>(t)∙RL(t)∙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i</m:t>
            </m:r>
          </m:sub>
        </m:sSub>
        <m:r>
          <w:rPr>
            <w:rFonts w:ascii="Cambria Math" w:hAnsi="Cambria Math" w:cs="Times New Roman"/>
          </w:rPr>
          <m:t>(t)</m:t>
        </m:r>
      </m:oMath>
      <w:r w:rsidRPr="00617414">
        <w:rPr>
          <w:rFonts w:cs="Times New Roman"/>
        </w:rPr>
        <w:t>,</w:t>
      </w:r>
      <w:r w:rsidRPr="00617414">
        <w:rPr>
          <w:rFonts w:cs="Times New Roman"/>
        </w:rPr>
        <w:tab/>
        <w:t>(3)</w:t>
      </w:r>
    </w:p>
    <w:p w14:paraId="4CA1D29E" w14:textId="77777777" w:rsidR="007F6E00" w:rsidRPr="00617414" w:rsidRDefault="007F6E00" w:rsidP="00617414">
      <w:pPr>
        <w:tabs>
          <w:tab w:val="center" w:pos="4080"/>
          <w:tab w:val="right" w:pos="8160"/>
        </w:tabs>
        <w:rPr>
          <w:rFonts w:cs="Times New Roman"/>
        </w:rPr>
      </w:pPr>
      <w:r w:rsidRPr="00617414">
        <w:rPr>
          <w:rFonts w:cs="Times New Roman"/>
        </w:rPr>
        <w:t xml:space="preserve">where </w:t>
      </w:r>
      <w:proofErr w:type="spellStart"/>
      <w:r w:rsidRPr="00617414">
        <w:rPr>
          <w:rFonts w:cs="Times New Roman"/>
          <w:i/>
        </w:rPr>
        <w:t>i</w:t>
      </w:r>
      <w:proofErr w:type="spellEnd"/>
      <w:r w:rsidRPr="00617414">
        <w:rPr>
          <w:rFonts w:cs="Times New Roman"/>
        </w:rPr>
        <w:t xml:space="preserve"> = 1, 2, 3 (Z, R, T).</w:t>
      </w:r>
    </w:p>
    <w:p w14:paraId="7719D368" w14:textId="77777777" w:rsidR="007F6E00" w:rsidRDefault="007F6E00">
      <w:pPr>
        <w:widowControl/>
        <w:spacing w:line="240" w:lineRule="auto"/>
        <w:jc w:val="left"/>
        <w:rPr>
          <w:rFonts w:cs="Times New Roman"/>
        </w:rPr>
      </w:pPr>
      <w:r>
        <w:rPr>
          <w:rFonts w:cs="Times New Roman"/>
        </w:rPr>
        <w:br w:type="page"/>
      </w:r>
    </w:p>
    <w:p w14:paraId="34D03F15" w14:textId="77777777" w:rsidR="007F6E00" w:rsidRPr="00DC526B" w:rsidRDefault="007F6E00" w:rsidP="0098594D">
      <w:pPr>
        <w:pStyle w:val="1"/>
      </w:pPr>
      <w:bookmarkStart w:id="3" w:name="_Toc202208109"/>
      <w:r>
        <w:lastRenderedPageBreak/>
        <w:t xml:space="preserve">2. </w:t>
      </w:r>
      <w:r w:rsidRPr="00AC0FD0">
        <w:t>Receiver function analysis</w:t>
      </w:r>
      <w:bookmarkEnd w:id="3"/>
    </w:p>
    <w:p w14:paraId="3410DDAC" w14:textId="77777777" w:rsidR="007F6E00" w:rsidRPr="00AC0FD0" w:rsidRDefault="007F6E00" w:rsidP="0098594D">
      <w:pPr>
        <w:pStyle w:val="2"/>
      </w:pPr>
      <w:bookmarkStart w:id="4" w:name="_Toc202208110"/>
      <w:r>
        <w:t>2</w:t>
      </w:r>
      <w:r w:rsidRPr="00AC0FD0">
        <w:t>.</w:t>
      </w:r>
      <w:r>
        <w:t>1</w:t>
      </w:r>
      <w:r w:rsidRPr="00AC0FD0">
        <w:t>. RFs of the clustered CF events</w:t>
      </w:r>
      <w:bookmarkEnd w:id="4"/>
    </w:p>
    <w:p w14:paraId="0614EF8C" w14:textId="77777777" w:rsidR="007F6E00" w:rsidRDefault="007F6E00" w:rsidP="0098594D">
      <w:pPr>
        <w:tabs>
          <w:tab w:val="center" w:pos="4080"/>
          <w:tab w:val="right" w:pos="8160"/>
        </w:tabs>
        <w:ind w:firstLineChars="200" w:firstLine="480"/>
        <w:rPr>
          <w:rFonts w:cs="Times New Roman"/>
        </w:rPr>
      </w:pPr>
      <w:r>
        <w:rPr>
          <w:rFonts w:cs="Times New Roman"/>
        </w:rPr>
        <w:t>T</w:t>
      </w:r>
      <w:r w:rsidRPr="002D74C7">
        <w:rPr>
          <w:rFonts w:cs="Times New Roman"/>
        </w:rPr>
        <w:t xml:space="preserve">o </w:t>
      </w:r>
      <w:r>
        <w:rPr>
          <w:rFonts w:cs="Times New Roman"/>
        </w:rPr>
        <w:t>reduce</w:t>
      </w:r>
      <w:r w:rsidRPr="002D74C7">
        <w:rPr>
          <w:rFonts w:cs="Times New Roman"/>
        </w:rPr>
        <w:t xml:space="preserve"> the influence of RF noise from individual events, we calculate the P</w:t>
      </w:r>
      <w:r>
        <w:rPr>
          <w:rFonts w:cs="Times New Roman"/>
        </w:rPr>
        <w:t>-</w:t>
      </w:r>
      <w:r w:rsidRPr="002D74C7">
        <w:rPr>
          <w:rFonts w:cs="Times New Roman"/>
        </w:rPr>
        <w:t xml:space="preserve"> RFs of 12 CF events</w:t>
      </w:r>
      <w:r>
        <w:rPr>
          <w:rFonts w:cs="Times New Roman"/>
        </w:rPr>
        <w:t xml:space="preserve"> that</w:t>
      </w:r>
      <w:r w:rsidRPr="002D74C7">
        <w:rPr>
          <w:rFonts w:cs="Times New Roman"/>
        </w:rPr>
        <w:t xml:space="preserve"> </w:t>
      </w:r>
      <w:r>
        <w:rPr>
          <w:rFonts w:cs="Times New Roman"/>
        </w:rPr>
        <w:t>have similar locations among</w:t>
      </w:r>
      <w:r w:rsidRPr="002D74C7">
        <w:rPr>
          <w:rFonts w:cs="Times New Roman"/>
        </w:rPr>
        <w:t xml:space="preserve"> </w:t>
      </w:r>
      <w:r>
        <w:rPr>
          <w:rFonts w:cs="Times New Roman"/>
        </w:rPr>
        <w:t>refs.</w:t>
      </w:r>
      <w:r w:rsidRPr="0020344F">
        <w:rPr>
          <w:rFonts w:cs="Times New Roman"/>
          <w:noProof/>
          <w:vertAlign w:val="superscript"/>
        </w:rPr>
        <w:t xml:space="preserve"> 2-5</w:t>
      </w:r>
      <w:r w:rsidRPr="00AC0FD0">
        <w:rPr>
          <w:rFonts w:cs="Times New Roman"/>
        </w:rPr>
        <w:t xml:space="preserve">. </w:t>
      </w:r>
      <w:r w:rsidRPr="002D74C7">
        <w:rPr>
          <w:rFonts w:cs="Times New Roman"/>
        </w:rPr>
        <w:t xml:space="preserve">It is noteworthy that in the context of high-frequency waveforms, the RFs of marsquakes originating from different directions could be </w:t>
      </w:r>
      <w:r>
        <w:rPr>
          <w:rFonts w:cs="Times New Roman"/>
        </w:rPr>
        <w:t>affected</w:t>
      </w:r>
      <w:r w:rsidRPr="002D74C7">
        <w:rPr>
          <w:rFonts w:cs="Times New Roman"/>
        </w:rPr>
        <w:t xml:space="preserve"> by a back azimuth-dependent heterogeneity</w:t>
      </w:r>
      <w:r w:rsidRPr="00B11BE5">
        <w:rPr>
          <w:rFonts w:cs="Times New Roman"/>
          <w:noProof/>
          <w:vertAlign w:val="superscript"/>
        </w:rPr>
        <w:t>15</w:t>
      </w:r>
      <w:r w:rsidRPr="002D74C7">
        <w:rPr>
          <w:rFonts w:cs="Times New Roman"/>
        </w:rPr>
        <w:t xml:space="preserve">, such as dipping </w:t>
      </w:r>
      <w:r>
        <w:rPr>
          <w:rFonts w:cs="Times New Roman"/>
        </w:rPr>
        <w:t>interface</w:t>
      </w:r>
      <w:r w:rsidRPr="002D74C7">
        <w:rPr>
          <w:rFonts w:cs="Times New Roman"/>
        </w:rPr>
        <w:t xml:space="preserve">s and/or </w:t>
      </w:r>
      <w:r>
        <w:rPr>
          <w:rFonts w:cs="Times New Roman"/>
        </w:rPr>
        <w:t xml:space="preserve">seismic </w:t>
      </w:r>
      <w:r w:rsidRPr="002D74C7">
        <w:rPr>
          <w:rFonts w:cs="Times New Roman"/>
        </w:rPr>
        <w:t>anisotropy</w:t>
      </w:r>
      <w:r w:rsidRPr="00B11BE5">
        <w:rPr>
          <w:rFonts w:cs="Times New Roman"/>
          <w:noProof/>
          <w:vertAlign w:val="superscript"/>
        </w:rPr>
        <w:t>16-18</w:t>
      </w:r>
      <w:r>
        <w:rPr>
          <w:rFonts w:cs="Times New Roman"/>
        </w:rPr>
        <w:t xml:space="preserve">. </w:t>
      </w:r>
      <w:r w:rsidRPr="002D74C7">
        <w:rPr>
          <w:rFonts w:cs="Times New Roman"/>
        </w:rPr>
        <w:t xml:space="preserve">The CF events </w:t>
      </w:r>
      <w:r>
        <w:rPr>
          <w:rFonts w:cs="Times New Roman"/>
        </w:rPr>
        <w:t xml:space="preserve">analyzed </w:t>
      </w:r>
      <w:r w:rsidRPr="002D74C7">
        <w:rPr>
          <w:rFonts w:cs="Times New Roman"/>
        </w:rPr>
        <w:t xml:space="preserve">in our study </w:t>
      </w:r>
      <w:r>
        <w:rPr>
          <w:rFonts w:cs="Times New Roman"/>
        </w:rPr>
        <w:t>distribute along</w:t>
      </w:r>
      <w:r w:rsidRPr="002D74C7">
        <w:rPr>
          <w:rFonts w:cs="Times New Roman"/>
        </w:rPr>
        <w:t xml:space="preserve"> a north-south </w:t>
      </w:r>
      <w:r>
        <w:rPr>
          <w:rFonts w:cs="Times New Roman"/>
        </w:rPr>
        <w:t xml:space="preserve">direction </w:t>
      </w:r>
      <w:r w:rsidRPr="002D74C7">
        <w:rPr>
          <w:rFonts w:cs="Times New Roman"/>
        </w:rPr>
        <w:t>cluster, ~30º in distance east to the InSight lander</w:t>
      </w:r>
      <w:r w:rsidRPr="0020344F">
        <w:rPr>
          <w:rFonts w:cs="Times New Roman"/>
          <w:noProof/>
          <w:vertAlign w:val="superscript"/>
        </w:rPr>
        <w:t>5</w:t>
      </w:r>
      <w:r w:rsidRPr="002D74C7">
        <w:rPr>
          <w:rFonts w:cs="Times New Roman"/>
        </w:rPr>
        <w:t xml:space="preserve">. Given the location uncertainties, both </w:t>
      </w:r>
      <w:r>
        <w:rPr>
          <w:rFonts w:cs="Times New Roman"/>
        </w:rPr>
        <w:t>ref.</w:t>
      </w:r>
      <w:r w:rsidRPr="0020344F">
        <w:rPr>
          <w:rFonts w:cs="Times New Roman"/>
          <w:noProof/>
          <w:vertAlign w:val="superscript"/>
        </w:rPr>
        <w:t xml:space="preserve"> 9</w:t>
      </w:r>
      <w:r>
        <w:rPr>
          <w:rFonts w:cs="Times New Roman"/>
        </w:rPr>
        <w:t xml:space="preserve"> </w:t>
      </w:r>
      <w:r w:rsidRPr="002D74C7">
        <w:rPr>
          <w:rFonts w:cs="Times New Roman"/>
        </w:rPr>
        <w:t xml:space="preserve">and </w:t>
      </w:r>
      <w:r>
        <w:rPr>
          <w:rFonts w:cs="Times New Roman"/>
        </w:rPr>
        <w:t>ref.</w:t>
      </w:r>
      <w:r w:rsidRPr="0020344F">
        <w:rPr>
          <w:rFonts w:cs="Times New Roman"/>
          <w:noProof/>
          <w:vertAlign w:val="superscript"/>
        </w:rPr>
        <w:t xml:space="preserve"> 4</w:t>
      </w:r>
      <w:r>
        <w:rPr>
          <w:rFonts w:cs="Times New Roman"/>
        </w:rPr>
        <w:t xml:space="preserve"> suggest</w:t>
      </w:r>
      <w:r w:rsidRPr="002D74C7">
        <w:rPr>
          <w:rFonts w:cs="Times New Roman"/>
        </w:rPr>
        <w:t xml:space="preserve"> </w:t>
      </w:r>
      <w:r>
        <w:rPr>
          <w:rFonts w:cs="Times New Roman"/>
        </w:rPr>
        <w:t xml:space="preserve">that </w:t>
      </w:r>
      <w:r w:rsidRPr="002D74C7">
        <w:rPr>
          <w:rFonts w:cs="Times New Roman"/>
        </w:rPr>
        <w:t>the source region situate</w:t>
      </w:r>
      <w:r>
        <w:rPr>
          <w:rFonts w:cs="Times New Roman"/>
        </w:rPr>
        <w:t>s</w:t>
      </w:r>
      <w:r w:rsidRPr="002D74C7">
        <w:rPr>
          <w:rFonts w:cs="Times New Roman"/>
        </w:rPr>
        <w:t xml:space="preserve"> at the center of the Cerberus fault system, with a back azimuth of ~85º. It is thus reasonable to assert that </w:t>
      </w:r>
      <w:r>
        <w:rPr>
          <w:rFonts w:cs="Times New Roman"/>
        </w:rPr>
        <w:t xml:space="preserve">the </w:t>
      </w:r>
      <w:r w:rsidRPr="002D74C7">
        <w:rPr>
          <w:rFonts w:cs="Times New Roman"/>
        </w:rPr>
        <w:t xml:space="preserve">RFs derived from these closely located CF events </w:t>
      </w:r>
      <w:r>
        <w:rPr>
          <w:rFonts w:cs="Times New Roman"/>
        </w:rPr>
        <w:t>share</w:t>
      </w:r>
      <w:r w:rsidRPr="002D74C7">
        <w:rPr>
          <w:rFonts w:cs="Times New Roman"/>
        </w:rPr>
        <w:t xml:space="preserve"> coherent </w:t>
      </w:r>
      <w:r>
        <w:rPr>
          <w:rFonts w:cs="Times New Roman"/>
        </w:rPr>
        <w:t xml:space="preserve">converted </w:t>
      </w:r>
      <w:r w:rsidRPr="002D74C7">
        <w:rPr>
          <w:rFonts w:cs="Times New Roman"/>
        </w:rPr>
        <w:t>phases.</w:t>
      </w:r>
    </w:p>
    <w:p w14:paraId="6C367C16" w14:textId="77777777" w:rsidR="007F6E00" w:rsidRDefault="007F6E00" w:rsidP="0098594D">
      <w:pPr>
        <w:tabs>
          <w:tab w:val="center" w:pos="4080"/>
          <w:tab w:val="right" w:pos="8160"/>
        </w:tabs>
        <w:ind w:firstLineChars="200" w:firstLine="480"/>
        <w:rPr>
          <w:rFonts w:cs="Times New Roman"/>
        </w:rPr>
      </w:pPr>
      <w:r w:rsidRPr="00B3265E">
        <w:rPr>
          <w:rFonts w:cs="Times New Roman"/>
          <w:color w:val="000000" w:themeColor="text1"/>
        </w:rPr>
        <w:t xml:space="preserve">The vertical and radial component waveforms of CF marsquakes are </w:t>
      </w:r>
      <w:r>
        <w:rPr>
          <w:rFonts w:cs="Times New Roman"/>
          <w:color w:val="000000" w:themeColor="text1"/>
        </w:rPr>
        <w:t>first</w:t>
      </w:r>
      <w:r w:rsidRPr="00B3265E">
        <w:rPr>
          <w:rFonts w:cs="Times New Roman"/>
          <w:color w:val="000000" w:themeColor="text1"/>
        </w:rPr>
        <w:t xml:space="preserve"> bandpass filter</w:t>
      </w:r>
      <w:r>
        <w:rPr>
          <w:rFonts w:cs="Times New Roman"/>
          <w:color w:val="000000" w:themeColor="text1"/>
        </w:rPr>
        <w:t>ed</w:t>
      </w:r>
      <w:r w:rsidRPr="00B3265E">
        <w:rPr>
          <w:rFonts w:cs="Times New Roman"/>
          <w:color w:val="000000" w:themeColor="text1"/>
        </w:rPr>
        <w:t xml:space="preserve"> </w:t>
      </w:r>
      <w:r>
        <w:rPr>
          <w:rFonts w:cs="Times New Roman"/>
          <w:color w:val="000000" w:themeColor="text1"/>
        </w:rPr>
        <w:t>between</w:t>
      </w:r>
      <w:r w:rsidRPr="00B3265E">
        <w:rPr>
          <w:rFonts w:cs="Times New Roman"/>
          <w:color w:val="000000" w:themeColor="text1"/>
        </w:rPr>
        <w:t xml:space="preserve"> 0.05</w:t>
      </w:r>
      <w:r>
        <w:rPr>
          <w:rFonts w:cs="Times New Roman"/>
          <w:color w:val="000000" w:themeColor="text1"/>
        </w:rPr>
        <w:t xml:space="preserve"> and </w:t>
      </w:r>
      <w:r w:rsidRPr="00B3265E">
        <w:rPr>
          <w:rFonts w:cs="Times New Roman"/>
          <w:color w:val="000000" w:themeColor="text1"/>
        </w:rPr>
        <w:t xml:space="preserve">0.9 Hz </w:t>
      </w:r>
      <w:r>
        <w:rPr>
          <w:rFonts w:cs="Times New Roman"/>
          <w:color w:val="000000" w:themeColor="text1"/>
        </w:rPr>
        <w:t xml:space="preserve">to isolate </w:t>
      </w:r>
      <w:r w:rsidRPr="00B3265E">
        <w:rPr>
          <w:rFonts w:cs="Times New Roman"/>
          <w:color w:val="000000" w:themeColor="text1"/>
        </w:rPr>
        <w:t xml:space="preserve">the </w:t>
      </w:r>
      <w:r>
        <w:rPr>
          <w:rFonts w:cs="Times New Roman"/>
          <w:color w:val="000000" w:themeColor="text1"/>
        </w:rPr>
        <w:t xml:space="preserve">dominant </w:t>
      </w:r>
      <w:r w:rsidRPr="00B3265E">
        <w:rPr>
          <w:rFonts w:cs="Times New Roman"/>
          <w:color w:val="000000" w:themeColor="text1"/>
        </w:rPr>
        <w:t xml:space="preserve">seismic signal energy, </w:t>
      </w:r>
      <w:r w:rsidRPr="002D74C7">
        <w:rPr>
          <w:rFonts w:cs="Times New Roman"/>
        </w:rPr>
        <w:t xml:space="preserve">while suppressing noises such as high-frequency wind-excited lander modes, environmentally induced transient spikes and </w:t>
      </w:r>
      <w:proofErr w:type="spellStart"/>
      <w:r w:rsidRPr="002D74C7">
        <w:rPr>
          <w:rFonts w:cs="Times New Roman"/>
        </w:rPr>
        <w:t>donks</w:t>
      </w:r>
      <w:proofErr w:type="spellEnd"/>
      <w:r w:rsidRPr="002D74C7">
        <w:rPr>
          <w:rFonts w:cs="Times New Roman"/>
        </w:rPr>
        <w:t>, 2.4 Hz resonance, and the 1 Hz tick noise</w:t>
      </w:r>
      <w:r w:rsidRPr="00B11BE5">
        <w:rPr>
          <w:rFonts w:cs="Times New Roman"/>
          <w:noProof/>
          <w:vertAlign w:val="superscript"/>
        </w:rPr>
        <w:t>19,20</w:t>
      </w:r>
      <w:r w:rsidRPr="002D74C7">
        <w:rPr>
          <w:rFonts w:cs="Times New Roman"/>
        </w:rPr>
        <w:t>.</w:t>
      </w:r>
      <w:r w:rsidRPr="00B3265E">
        <w:rPr>
          <w:rFonts w:cs="Times New Roman"/>
          <w:color w:val="000000" w:themeColor="text1"/>
        </w:rPr>
        <w:t xml:space="preserve"> Then, </w:t>
      </w:r>
      <w:r>
        <w:rPr>
          <w:rFonts w:cs="Times New Roman"/>
          <w:color w:val="000000" w:themeColor="text1"/>
        </w:rPr>
        <w:t>P-</w:t>
      </w:r>
      <w:r w:rsidRPr="00B3265E">
        <w:rPr>
          <w:rFonts w:cs="Times New Roman"/>
          <w:color w:val="000000" w:themeColor="text1"/>
        </w:rPr>
        <w:t>RFs are calculated using the time domain iterative deconvolution metho</w:t>
      </w:r>
      <w:r>
        <w:rPr>
          <w:rFonts w:cs="Times New Roman"/>
          <w:color w:val="000000" w:themeColor="text1"/>
        </w:rPr>
        <w:t>d</w:t>
      </w:r>
      <w:r w:rsidRPr="00B11BE5">
        <w:rPr>
          <w:rFonts w:cs="Times New Roman"/>
          <w:noProof/>
          <w:color w:val="000000" w:themeColor="text1"/>
          <w:vertAlign w:val="superscript"/>
        </w:rPr>
        <w:t>21</w:t>
      </w:r>
      <w:r w:rsidRPr="00B3265E">
        <w:rPr>
          <w:rFonts w:cs="Times New Roman"/>
          <w:color w:val="000000" w:themeColor="text1"/>
        </w:rPr>
        <w:t xml:space="preserve"> and are bandpass filtered into 0.15–0.85 Hz. </w:t>
      </w:r>
    </w:p>
    <w:p w14:paraId="01435AF9" w14:textId="77777777" w:rsidR="007F6E00" w:rsidRDefault="007F6E00" w:rsidP="00F66CEE">
      <w:pPr>
        <w:tabs>
          <w:tab w:val="center" w:pos="4080"/>
          <w:tab w:val="right" w:pos="8160"/>
        </w:tabs>
        <w:ind w:firstLineChars="200" w:firstLine="480"/>
        <w:rPr>
          <w:rFonts w:cs="Times New Roman"/>
        </w:rPr>
      </w:pPr>
      <w:r w:rsidRPr="00B3265E">
        <w:rPr>
          <w:rFonts w:cs="Times New Roman"/>
          <w:color w:val="000000" w:themeColor="text1"/>
        </w:rPr>
        <w:t xml:space="preserve">In our computed </w:t>
      </w:r>
      <w:r>
        <w:rPr>
          <w:rFonts w:cs="Times New Roman"/>
          <w:color w:val="000000" w:themeColor="text1"/>
        </w:rPr>
        <w:t>P-</w:t>
      </w:r>
      <w:r w:rsidRPr="00B3265E">
        <w:rPr>
          <w:rFonts w:cs="Times New Roman"/>
          <w:color w:val="000000" w:themeColor="text1"/>
        </w:rPr>
        <w:t>RFs, coherent arrivals are observ</w:t>
      </w:r>
      <w:r>
        <w:rPr>
          <w:rFonts w:cs="Times New Roman"/>
          <w:color w:val="000000" w:themeColor="text1"/>
        </w:rPr>
        <w:t>ed</w:t>
      </w:r>
      <w:r w:rsidRPr="00B3265E">
        <w:rPr>
          <w:rFonts w:cs="Times New Roman"/>
          <w:color w:val="000000" w:themeColor="text1"/>
        </w:rPr>
        <w:t xml:space="preserve"> </w:t>
      </w:r>
      <w:r>
        <w:rPr>
          <w:rFonts w:cs="Times New Roman"/>
          <w:color w:val="000000" w:themeColor="text1"/>
        </w:rPr>
        <w:t>in</w:t>
      </w:r>
      <w:r w:rsidRPr="00B3265E">
        <w:rPr>
          <w:rFonts w:cs="Times New Roman"/>
          <w:color w:val="000000" w:themeColor="text1"/>
        </w:rPr>
        <w:t xml:space="preserve"> six of the twelve CF events, namely S0173a, S0235b, S0809a, S0820a, S1048d, and S1133a </w:t>
      </w:r>
      <w:r w:rsidRPr="00E92C28">
        <w:rPr>
          <w:rFonts w:cs="Times New Roman"/>
          <w:color w:val="FF0000"/>
        </w:rPr>
        <w:t>(</w:t>
      </w:r>
      <w:r>
        <w:rPr>
          <w:rFonts w:cs="Times New Roman"/>
          <w:color w:val="FF0000"/>
        </w:rPr>
        <w:t>Supplementary Fig. 2</w:t>
      </w:r>
      <w:r w:rsidRPr="00E92C28">
        <w:rPr>
          <w:rFonts w:cs="Times New Roman"/>
          <w:color w:val="FF0000"/>
        </w:rPr>
        <w:t>a)</w:t>
      </w:r>
      <w:r w:rsidRPr="00B3265E">
        <w:rPr>
          <w:rFonts w:cs="Times New Roman"/>
          <w:color w:val="000000" w:themeColor="text1"/>
        </w:rPr>
        <w:t>.</w:t>
      </w:r>
      <w:r w:rsidRPr="002D74C7">
        <w:rPr>
          <w:rFonts w:cs="Times New Roman"/>
        </w:rPr>
        <w:t xml:space="preserve"> </w:t>
      </w:r>
      <w:r>
        <w:rPr>
          <w:rFonts w:cs="Times New Roman"/>
        </w:rPr>
        <w:t>In contrast</w:t>
      </w:r>
      <w:r w:rsidRPr="002D74C7">
        <w:rPr>
          <w:rFonts w:cs="Times New Roman"/>
        </w:rPr>
        <w:t xml:space="preserve">, the RFs of the remaining six events </w:t>
      </w:r>
      <w:r>
        <w:rPr>
          <w:rFonts w:cs="Times New Roman"/>
        </w:rPr>
        <w:t>lack either a clear</w:t>
      </w:r>
      <w:r w:rsidRPr="002D74C7">
        <w:rPr>
          <w:rFonts w:cs="Times New Roman"/>
        </w:rPr>
        <w:t xml:space="preserve"> direct P </w:t>
      </w:r>
      <w:r w:rsidRPr="002D74C7">
        <w:rPr>
          <w:rFonts w:cs="Times New Roman"/>
        </w:rPr>
        <w:lastRenderedPageBreak/>
        <w:t xml:space="preserve">wave (e.g., S0802a, S0864a, S0407a, and S1015f) or </w:t>
      </w:r>
      <w:r>
        <w:rPr>
          <w:rFonts w:cs="Times New Roman"/>
        </w:rPr>
        <w:t xml:space="preserve">distinct </w:t>
      </w:r>
      <w:r w:rsidRPr="002D74C7">
        <w:rPr>
          <w:rFonts w:cs="Times New Roman"/>
        </w:rPr>
        <w:t>Ps converted waves (e.g.</w:t>
      </w:r>
      <w:r>
        <w:rPr>
          <w:rFonts w:cs="Times New Roman"/>
        </w:rPr>
        <w:t>,</w:t>
      </w:r>
      <w:r w:rsidRPr="002D74C7">
        <w:rPr>
          <w:rFonts w:cs="Times New Roman"/>
        </w:rPr>
        <w:t xml:space="preserve"> S1022a, S0484b, S0864a, S0407a, and S1015f)</w:t>
      </w:r>
      <w:r>
        <w:rPr>
          <w:rFonts w:cs="Times New Roman"/>
        </w:rPr>
        <w:t>.</w:t>
      </w:r>
      <w:r w:rsidRPr="002D74C7">
        <w:rPr>
          <w:rFonts w:cs="Times New Roman"/>
        </w:rPr>
        <w:t xml:space="preserve"> The instability of the latter six RFs may </w:t>
      </w:r>
      <w:r>
        <w:rPr>
          <w:rFonts w:cs="Times New Roman"/>
        </w:rPr>
        <w:t>result from</w:t>
      </w:r>
      <w:r w:rsidRPr="002D74C7">
        <w:rPr>
          <w:rFonts w:cs="Times New Roman"/>
        </w:rPr>
        <w:t xml:space="preserve"> waveform contaminations and/or incomplete deconvolution due to </w:t>
      </w:r>
      <w:r>
        <w:rPr>
          <w:rFonts w:cs="Times New Roman"/>
        </w:rPr>
        <w:t xml:space="preserve">event-specific </w:t>
      </w:r>
      <w:r w:rsidRPr="002D74C7">
        <w:rPr>
          <w:rFonts w:cs="Times New Roman"/>
        </w:rPr>
        <w:t xml:space="preserve">noise. </w:t>
      </w:r>
      <w:r>
        <w:rPr>
          <w:rFonts w:cs="Times New Roman"/>
        </w:rPr>
        <w:t>Notab</w:t>
      </w:r>
      <w:r w:rsidRPr="002D74C7">
        <w:rPr>
          <w:rFonts w:cs="Times New Roman"/>
        </w:rPr>
        <w:t xml:space="preserve">ly, S0802a, S0407a, and S0484b </w:t>
      </w:r>
      <w:r>
        <w:rPr>
          <w:rFonts w:cs="Times New Roman"/>
        </w:rPr>
        <w:t xml:space="preserve">are classified </w:t>
      </w:r>
      <w:r w:rsidRPr="002D74C7">
        <w:rPr>
          <w:rFonts w:cs="Times New Roman"/>
        </w:rPr>
        <w:t>as quality-B events</w:t>
      </w:r>
      <w:r>
        <w:rPr>
          <w:rFonts w:cs="Times New Roman"/>
        </w:rPr>
        <w:t xml:space="preserve"> by MQS</w:t>
      </w:r>
      <w:r w:rsidRPr="0020344F">
        <w:rPr>
          <w:rFonts w:cs="Times New Roman"/>
          <w:noProof/>
          <w:vertAlign w:val="superscript"/>
        </w:rPr>
        <w:t>2</w:t>
      </w:r>
      <w:r w:rsidRPr="002D74C7">
        <w:rPr>
          <w:rFonts w:cs="Times New Roman"/>
        </w:rPr>
        <w:t xml:space="preserve">. </w:t>
      </w:r>
      <w:r>
        <w:rPr>
          <w:rFonts w:cs="Times New Roman"/>
        </w:rPr>
        <w:t xml:space="preserve">Including these less stable RFs in the stacking process would not affect the appearances and arrival times of converted phases, but significantly reduces their amplitudes </w:t>
      </w:r>
      <w:r w:rsidRPr="00E92C28">
        <w:rPr>
          <w:rFonts w:cs="Times New Roman"/>
          <w:color w:val="FF0000"/>
        </w:rPr>
        <w:t>(</w:t>
      </w:r>
      <w:r>
        <w:rPr>
          <w:rFonts w:cs="Times New Roman"/>
          <w:color w:val="FF0000"/>
        </w:rPr>
        <w:t>Supplementary Fig. 2b</w:t>
      </w:r>
      <w:r w:rsidRPr="00E92C28">
        <w:rPr>
          <w:rFonts w:cs="Times New Roman"/>
          <w:color w:val="FF0000"/>
        </w:rPr>
        <w:t>)</w:t>
      </w:r>
      <w:r>
        <w:rPr>
          <w:rFonts w:cs="Times New Roman"/>
        </w:rPr>
        <w:t xml:space="preserve">. To evaluate waveform consistency </w:t>
      </w:r>
      <w:r w:rsidRPr="002D74C7">
        <w:rPr>
          <w:rFonts w:cs="Times New Roman"/>
        </w:rPr>
        <w:t>more quantitative</w:t>
      </w:r>
      <w:r>
        <w:rPr>
          <w:rFonts w:cs="Times New Roman"/>
        </w:rPr>
        <w:t>ly</w:t>
      </w:r>
      <w:r w:rsidRPr="002D74C7">
        <w:rPr>
          <w:rFonts w:cs="Times New Roman"/>
        </w:rPr>
        <w:t xml:space="preserve">, we compute cross-correlation coefficients </w:t>
      </w:r>
      <w:r>
        <w:rPr>
          <w:rFonts w:cs="Times New Roman"/>
        </w:rPr>
        <w:t xml:space="preserve">(CCs) </w:t>
      </w:r>
      <w:r w:rsidRPr="002D74C7">
        <w:rPr>
          <w:rFonts w:cs="Times New Roman"/>
        </w:rPr>
        <w:t xml:space="preserve">across all RFs, </w:t>
      </w:r>
      <w:r>
        <w:rPr>
          <w:rFonts w:cs="Times New Roman"/>
        </w:rPr>
        <w:t>producing</w:t>
      </w:r>
      <w:r w:rsidRPr="002D74C7">
        <w:rPr>
          <w:rFonts w:cs="Times New Roman"/>
        </w:rPr>
        <w:t xml:space="preserve"> a similarity matrix. For the direct P waves within </w:t>
      </w:r>
      <w:r>
        <w:rPr>
          <w:rFonts w:cs="Times New Roman"/>
        </w:rPr>
        <w:t>a</w:t>
      </w:r>
      <w:r w:rsidRPr="002D74C7">
        <w:rPr>
          <w:rFonts w:cs="Times New Roman"/>
        </w:rPr>
        <w:t xml:space="preserve"> -2 s to 2 s window, the former six events, along with S0802a and S1022a, exhibit higher similarities </w:t>
      </w:r>
      <w:r>
        <w:rPr>
          <w:rFonts w:cs="Times New Roman"/>
        </w:rPr>
        <w:t>with CCs</w:t>
      </w:r>
      <w:r w:rsidRPr="002D74C7">
        <w:rPr>
          <w:rFonts w:cs="Times New Roman"/>
        </w:rPr>
        <w:t xml:space="preserve"> exceeding 0.6 </w:t>
      </w:r>
      <w:r w:rsidRPr="00E92C28">
        <w:rPr>
          <w:rFonts w:cs="Times New Roman"/>
          <w:color w:val="FF0000"/>
        </w:rPr>
        <w:t>(</w:t>
      </w:r>
      <w:r>
        <w:rPr>
          <w:rFonts w:cs="Times New Roman"/>
          <w:color w:val="FF0000"/>
        </w:rPr>
        <w:t>Supplementary Fig. 2c</w:t>
      </w:r>
      <w:r w:rsidRPr="00E92C28">
        <w:rPr>
          <w:rFonts w:cs="Times New Roman"/>
          <w:color w:val="FF0000"/>
        </w:rPr>
        <w:t>)</w:t>
      </w:r>
      <w:r w:rsidRPr="002D74C7">
        <w:rPr>
          <w:rFonts w:cs="Times New Roman"/>
        </w:rPr>
        <w:t>. As the window length ex</w:t>
      </w:r>
      <w:r>
        <w:rPr>
          <w:rFonts w:cs="Times New Roman"/>
        </w:rPr>
        <w:t>tend</w:t>
      </w:r>
      <w:r w:rsidRPr="002D74C7">
        <w:rPr>
          <w:rFonts w:cs="Times New Roman"/>
        </w:rPr>
        <w:t xml:space="preserve">s to </w:t>
      </w:r>
      <w:r>
        <w:rPr>
          <w:rFonts w:cs="Times New Roman"/>
        </w:rPr>
        <w:t>include</w:t>
      </w:r>
      <w:r w:rsidRPr="002D74C7">
        <w:rPr>
          <w:rFonts w:cs="Times New Roman"/>
        </w:rPr>
        <w:t xml:space="preserve"> later Ps converted phases, the similarities decrease, with only the former six RFs maintaining a high degree of similarity </w:t>
      </w:r>
      <w:r w:rsidRPr="00E92C28">
        <w:rPr>
          <w:rFonts w:cs="Times New Roman"/>
          <w:color w:val="FF0000"/>
        </w:rPr>
        <w:t>(</w:t>
      </w:r>
      <w:r>
        <w:rPr>
          <w:rFonts w:cs="Times New Roman"/>
          <w:color w:val="FF0000"/>
        </w:rPr>
        <w:t>Supplementary Fig. 2d–e</w:t>
      </w:r>
      <w:r w:rsidRPr="00E92C28">
        <w:rPr>
          <w:rFonts w:cs="Times New Roman"/>
          <w:color w:val="FF0000"/>
        </w:rPr>
        <w:t>)</w:t>
      </w:r>
      <w:r w:rsidRPr="002D74C7">
        <w:rPr>
          <w:rFonts w:cs="Times New Roman"/>
        </w:rPr>
        <w:t xml:space="preserve">. </w:t>
      </w:r>
      <w:r>
        <w:rPr>
          <w:rFonts w:cs="Times New Roman"/>
        </w:rPr>
        <w:t xml:space="preserve">Based on this analysis, </w:t>
      </w:r>
      <w:r w:rsidRPr="002D74C7">
        <w:rPr>
          <w:rFonts w:cs="Times New Roman"/>
        </w:rPr>
        <w:t xml:space="preserve">Therefore, we opt to use only the former six consistent RFs </w:t>
      </w:r>
      <w:r>
        <w:rPr>
          <w:rFonts w:cs="Times New Roman"/>
        </w:rPr>
        <w:t xml:space="preserve">for subsequent </w:t>
      </w:r>
      <w:r w:rsidRPr="002D74C7">
        <w:rPr>
          <w:rFonts w:cs="Times New Roman"/>
        </w:rPr>
        <w:t>analyses and inversions.</w:t>
      </w:r>
    </w:p>
    <w:p w14:paraId="1005A30E" w14:textId="77777777" w:rsidR="007F6E00" w:rsidRDefault="007F6E00">
      <w:pPr>
        <w:widowControl/>
        <w:spacing w:line="240" w:lineRule="auto"/>
        <w:jc w:val="left"/>
        <w:rPr>
          <w:rFonts w:cs="Times New Roman"/>
        </w:rPr>
      </w:pPr>
      <w:r>
        <w:rPr>
          <w:rFonts w:cs="Times New Roman"/>
        </w:rPr>
        <w:br w:type="page"/>
      </w:r>
    </w:p>
    <w:p w14:paraId="434D0416" w14:textId="77777777" w:rsidR="007F6E00" w:rsidRPr="002D74C7" w:rsidRDefault="007F6E00" w:rsidP="0098594D">
      <w:pPr>
        <w:tabs>
          <w:tab w:val="center" w:pos="4080"/>
          <w:tab w:val="right" w:pos="8160"/>
        </w:tabs>
        <w:spacing w:line="240" w:lineRule="auto"/>
        <w:jc w:val="center"/>
        <w:rPr>
          <w:rFonts w:cs="Times New Roman"/>
        </w:rPr>
      </w:pPr>
      <w:r>
        <w:rPr>
          <w:rFonts w:cs="Times New Roman"/>
          <w:noProof/>
        </w:rPr>
        <w:lastRenderedPageBreak/>
        <w:drawing>
          <wp:inline distT="0" distB="0" distL="0" distR="0" wp14:anchorId="59F0FAD9" wp14:editId="0CD44940">
            <wp:extent cx="5040000" cy="6189870"/>
            <wp:effectExtent l="0" t="0" r="8255" b="190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_obs_PRF_CF_all.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040000" cy="6189870"/>
                    </a:xfrm>
                    <a:prstGeom prst="rect">
                      <a:avLst/>
                    </a:prstGeom>
                  </pic:spPr>
                </pic:pic>
              </a:graphicData>
            </a:graphic>
          </wp:inline>
        </w:drawing>
      </w:r>
    </w:p>
    <w:p w14:paraId="7CA2A794" w14:textId="77777777" w:rsidR="007F6E00" w:rsidRDefault="007F6E00" w:rsidP="00F66CEE">
      <w:pPr>
        <w:tabs>
          <w:tab w:val="center" w:pos="4080"/>
          <w:tab w:val="right" w:pos="8160"/>
        </w:tabs>
        <w:spacing w:line="240" w:lineRule="auto"/>
        <w:rPr>
          <w:rFonts w:cs="Times New Roman"/>
        </w:rPr>
      </w:pPr>
      <w:bookmarkStart w:id="5" w:name="_Toc167205916"/>
      <w:r>
        <w:rPr>
          <w:b/>
          <w:bCs/>
        </w:rPr>
        <w:t>Supplementary Fig. 2</w:t>
      </w:r>
      <w:r w:rsidRPr="000D5F60">
        <w:rPr>
          <w:b/>
          <w:bCs/>
        </w:rPr>
        <w:t xml:space="preserve"> | RFs of CF events and their similarity.</w:t>
      </w:r>
      <w:bookmarkEnd w:id="5"/>
      <w:r w:rsidRPr="000D5F60">
        <w:rPr>
          <w:b/>
          <w:bCs/>
        </w:rPr>
        <w:t xml:space="preserve"> </w:t>
      </w:r>
      <w:r w:rsidRPr="002D74C7">
        <w:rPr>
          <w:rFonts w:cs="Times New Roman"/>
        </w:rPr>
        <w:t xml:space="preserve">(a) RFs </w:t>
      </w:r>
      <w:r>
        <w:rPr>
          <w:rFonts w:cs="Times New Roman"/>
        </w:rPr>
        <w:t>from</w:t>
      </w:r>
      <w:r w:rsidRPr="002D74C7">
        <w:rPr>
          <w:rFonts w:cs="Times New Roman"/>
        </w:rPr>
        <w:t xml:space="preserve"> 12 CF events. The shaded window </w:t>
      </w:r>
      <w:r>
        <w:rPr>
          <w:rFonts w:cs="Times New Roman"/>
        </w:rPr>
        <w:t>from</w:t>
      </w:r>
      <w:r w:rsidRPr="002D74C7">
        <w:rPr>
          <w:rFonts w:cs="Times New Roman"/>
        </w:rPr>
        <w:t xml:space="preserve"> -2 s to 10 s</w:t>
      </w:r>
      <w:r>
        <w:rPr>
          <w:rFonts w:cs="Times New Roman"/>
        </w:rPr>
        <w:t xml:space="preserve"> highlights</w:t>
      </w:r>
      <w:r w:rsidRPr="002D74C7">
        <w:rPr>
          <w:rFonts w:cs="Times New Roman"/>
        </w:rPr>
        <w:t xml:space="preserve"> coherent arrivals </w:t>
      </w:r>
      <w:r>
        <w:rPr>
          <w:rFonts w:cs="Times New Roman"/>
        </w:rPr>
        <w:t>identified</w:t>
      </w:r>
      <w:r w:rsidRPr="002D74C7">
        <w:rPr>
          <w:rFonts w:cs="Times New Roman"/>
        </w:rPr>
        <w:t xml:space="preserve"> in previous studies. Red </w:t>
      </w:r>
      <w:r>
        <w:rPr>
          <w:rFonts w:cs="Times New Roman"/>
        </w:rPr>
        <w:t>box indicates</w:t>
      </w:r>
      <w:r w:rsidRPr="002D74C7">
        <w:rPr>
          <w:rFonts w:cs="Times New Roman"/>
        </w:rPr>
        <w:t xml:space="preserve"> Ps </w:t>
      </w:r>
      <w:r>
        <w:rPr>
          <w:rFonts w:cs="Times New Roman"/>
        </w:rPr>
        <w:t>conversions</w:t>
      </w:r>
      <w:r w:rsidRPr="002D74C7">
        <w:rPr>
          <w:rFonts w:cs="Times New Roman"/>
        </w:rPr>
        <w:t xml:space="preserve"> at the LVZ.</w:t>
      </w:r>
      <w:r>
        <w:rPr>
          <w:rFonts w:cs="Times New Roman"/>
        </w:rPr>
        <w:t xml:space="preserve"> (b) Stacked RFs from different subsets of CF events. The bottom trace shows the stack of six selected events., while upper traces include additional events.</w:t>
      </w:r>
      <w:r w:rsidRPr="002D74C7">
        <w:rPr>
          <w:rFonts w:cs="Times New Roman"/>
        </w:rPr>
        <w:t xml:space="preserve"> </w:t>
      </w:r>
      <w:r>
        <w:rPr>
          <w:rFonts w:cs="Times New Roman"/>
        </w:rPr>
        <w:t xml:space="preserve">The converted phase amplitudes are reduced with more events. </w:t>
      </w:r>
      <w:r w:rsidRPr="002D74C7">
        <w:rPr>
          <w:rFonts w:cs="Times New Roman"/>
        </w:rPr>
        <w:t>(</w:t>
      </w:r>
      <w:r>
        <w:rPr>
          <w:rFonts w:cs="Times New Roman"/>
        </w:rPr>
        <w:t>c</w:t>
      </w:r>
      <w:r w:rsidRPr="002D74C7">
        <w:rPr>
          <w:rFonts w:cs="Times New Roman"/>
        </w:rPr>
        <w:t>–</w:t>
      </w:r>
      <w:r>
        <w:rPr>
          <w:rFonts w:cs="Times New Roman"/>
        </w:rPr>
        <w:t>e</w:t>
      </w:r>
      <w:r w:rsidRPr="002D74C7">
        <w:rPr>
          <w:rFonts w:cs="Times New Roman"/>
        </w:rPr>
        <w:t xml:space="preserve">) Similarity matrixes </w:t>
      </w:r>
      <w:r>
        <w:rPr>
          <w:rFonts w:cs="Times New Roman"/>
        </w:rPr>
        <w:t>for</w:t>
      </w:r>
      <w:r w:rsidRPr="002D74C7">
        <w:rPr>
          <w:rFonts w:cs="Times New Roman"/>
        </w:rPr>
        <w:t xml:space="preserve"> RF</w:t>
      </w:r>
      <w:r>
        <w:rPr>
          <w:rFonts w:cs="Times New Roman"/>
        </w:rPr>
        <w:t>s</w:t>
      </w:r>
      <w:r w:rsidRPr="002D74C7">
        <w:rPr>
          <w:rFonts w:cs="Times New Roman"/>
        </w:rPr>
        <w:t xml:space="preserve"> within time windows of -2–2 s, -2–6 s, and -2–10 s, respectively. </w:t>
      </w:r>
      <w:r w:rsidRPr="00286E90">
        <w:rPr>
          <w:rFonts w:cs="Times New Roman"/>
        </w:rPr>
        <w:t>Similarity decreases with longer windows, with high coherence limited to the first six events (outlined by white dashed lines)</w:t>
      </w:r>
      <w:r w:rsidRPr="002D74C7">
        <w:rPr>
          <w:rFonts w:cs="Times New Roman"/>
        </w:rPr>
        <w:t>.</w:t>
      </w:r>
    </w:p>
    <w:p w14:paraId="0703CA5C" w14:textId="77777777" w:rsidR="007F6E00" w:rsidRDefault="007F6E00">
      <w:pPr>
        <w:widowControl/>
        <w:spacing w:line="240" w:lineRule="auto"/>
        <w:jc w:val="left"/>
        <w:rPr>
          <w:rFonts w:cs="Times New Roman"/>
        </w:rPr>
      </w:pPr>
      <w:r>
        <w:rPr>
          <w:rFonts w:cs="Times New Roman"/>
        </w:rPr>
        <w:br w:type="page"/>
      </w:r>
    </w:p>
    <w:p w14:paraId="3776ECFC" w14:textId="77777777" w:rsidR="007F6E00" w:rsidRPr="00760EEA" w:rsidRDefault="007F6E00" w:rsidP="0098594D">
      <w:pPr>
        <w:pStyle w:val="2"/>
      </w:pPr>
      <w:bookmarkStart w:id="6" w:name="_Toc202208111"/>
      <w:r>
        <w:lastRenderedPageBreak/>
        <w:t>2</w:t>
      </w:r>
      <w:r w:rsidRPr="00760EEA">
        <w:t>.</w:t>
      </w:r>
      <w:r>
        <w:t>2</w:t>
      </w:r>
      <w:r w:rsidRPr="00760EEA">
        <w:t>. Observations of coherent arrivals</w:t>
      </w:r>
      <w:bookmarkEnd w:id="6"/>
    </w:p>
    <w:p w14:paraId="686E56E9" w14:textId="77777777" w:rsidR="007F6E00" w:rsidRPr="00B11BE5" w:rsidRDefault="007F6E00" w:rsidP="00B11BE5">
      <w:pPr>
        <w:tabs>
          <w:tab w:val="center" w:pos="4080"/>
          <w:tab w:val="right" w:pos="8160"/>
        </w:tabs>
        <w:ind w:firstLineChars="200" w:firstLine="480"/>
        <w:rPr>
          <w:rFonts w:cs="Times New Roman"/>
        </w:rPr>
      </w:pPr>
      <w:r>
        <w:rPr>
          <w:rFonts w:cs="Times New Roman"/>
        </w:rPr>
        <w:t>W</w:t>
      </w:r>
      <w:r w:rsidRPr="002D74C7">
        <w:rPr>
          <w:rFonts w:cs="Times New Roman"/>
        </w:rPr>
        <w:t xml:space="preserve">ithin the </w:t>
      </w:r>
      <w:r>
        <w:rPr>
          <w:rFonts w:cs="Times New Roman"/>
        </w:rPr>
        <w:t>initial</w:t>
      </w:r>
      <w:r w:rsidRPr="002D74C7">
        <w:rPr>
          <w:rFonts w:cs="Times New Roman"/>
        </w:rPr>
        <w:t xml:space="preserve"> 10 s window of the RFs f</w:t>
      </w:r>
      <w:r>
        <w:rPr>
          <w:rFonts w:cs="Times New Roman"/>
        </w:rPr>
        <w:t>rom the</w:t>
      </w:r>
      <w:r w:rsidRPr="002D74C7">
        <w:rPr>
          <w:rFonts w:cs="Times New Roman"/>
        </w:rPr>
        <w:t xml:space="preserve"> closely located CF events, we </w:t>
      </w:r>
      <w:r>
        <w:rPr>
          <w:rFonts w:cs="Times New Roman"/>
        </w:rPr>
        <w:t>identify</w:t>
      </w:r>
      <w:r w:rsidRPr="002D74C7">
        <w:rPr>
          <w:rFonts w:cs="Times New Roman"/>
        </w:rPr>
        <w:t xml:space="preserve"> three positive </w:t>
      </w:r>
      <w:r>
        <w:rPr>
          <w:rFonts w:cs="Times New Roman"/>
        </w:rPr>
        <w:t xml:space="preserve">P-to-s </w:t>
      </w:r>
      <w:r w:rsidRPr="002D74C7">
        <w:rPr>
          <w:rFonts w:cs="Times New Roman"/>
        </w:rPr>
        <w:t xml:space="preserve">converted arrivals at 2.4 s, 4.7 s, and 7.1 s </w:t>
      </w:r>
      <w:r w:rsidRPr="00E92C28">
        <w:rPr>
          <w:rFonts w:cs="Times New Roman"/>
          <w:color w:val="FF0000"/>
        </w:rPr>
        <w:t>(</w:t>
      </w:r>
      <w:r>
        <w:rPr>
          <w:rFonts w:cs="Times New Roman"/>
          <w:color w:val="FF0000"/>
        </w:rPr>
        <w:t>Extended Data Fig.</w:t>
      </w:r>
      <w:r w:rsidRPr="00E92C28">
        <w:rPr>
          <w:rFonts w:cs="Times New Roman"/>
          <w:color w:val="FF0000"/>
        </w:rPr>
        <w:t xml:space="preserve"> </w:t>
      </w:r>
      <w:r>
        <w:rPr>
          <w:rFonts w:cs="Times New Roman"/>
          <w:color w:val="FF0000"/>
        </w:rPr>
        <w:t>1a</w:t>
      </w:r>
      <w:r w:rsidRPr="00E92C28">
        <w:rPr>
          <w:rFonts w:cs="Times New Roman"/>
          <w:color w:val="FF0000"/>
        </w:rPr>
        <w:t>)</w:t>
      </w:r>
      <w:r w:rsidRPr="002D74C7">
        <w:rPr>
          <w:rFonts w:cs="Times New Roman"/>
        </w:rPr>
        <w:t xml:space="preserve">, which </w:t>
      </w:r>
      <w:r>
        <w:rPr>
          <w:rFonts w:cs="Times New Roman"/>
        </w:rPr>
        <w:t xml:space="preserve">are interpreted as conversions from </w:t>
      </w:r>
      <w:r w:rsidRPr="002D74C7">
        <w:rPr>
          <w:rFonts w:cs="Times New Roman"/>
        </w:rPr>
        <w:t>two mid-crustal interfaces and the Moho beneath the InSight lander</w:t>
      </w:r>
      <w:r w:rsidRPr="00B11BE5">
        <w:rPr>
          <w:rFonts w:cs="Times New Roman"/>
          <w:noProof/>
          <w:vertAlign w:val="superscript"/>
        </w:rPr>
        <w:t>22-25</w:t>
      </w:r>
      <w:r w:rsidRPr="002D74C7">
        <w:rPr>
          <w:rFonts w:cs="Times New Roman"/>
        </w:rPr>
        <w:t xml:space="preserve">. In addition, a coherent negative arrival at ~11 s is </w:t>
      </w:r>
      <w:r>
        <w:rPr>
          <w:rFonts w:cs="Times New Roman"/>
        </w:rPr>
        <w:t xml:space="preserve">consistently observed </w:t>
      </w:r>
      <w:r w:rsidRPr="002D74C7">
        <w:rPr>
          <w:rFonts w:cs="Times New Roman"/>
        </w:rPr>
        <w:t xml:space="preserve">in the RFs of all six selected marsquakes, as well as events S1022a and S0484b </w:t>
      </w:r>
      <w:r w:rsidRPr="00760EEA">
        <w:rPr>
          <w:rFonts w:cs="Times New Roman"/>
          <w:color w:val="FF0000"/>
        </w:rPr>
        <w:t>(</w:t>
      </w:r>
      <w:r>
        <w:rPr>
          <w:rFonts w:cs="Times New Roman"/>
          <w:color w:val="FF0000"/>
        </w:rPr>
        <w:t>Supplementary Fig. 2</w:t>
      </w:r>
      <w:r w:rsidRPr="00760EEA">
        <w:rPr>
          <w:rFonts w:cs="Times New Roman"/>
          <w:color w:val="FF0000"/>
        </w:rPr>
        <w:t>a)</w:t>
      </w:r>
      <w:r w:rsidRPr="002D74C7">
        <w:rPr>
          <w:rFonts w:cs="Times New Roman"/>
        </w:rPr>
        <w:t xml:space="preserve">. </w:t>
      </w:r>
      <w:r>
        <w:rPr>
          <w:rFonts w:cs="Times New Roman"/>
        </w:rPr>
        <w:t>This</w:t>
      </w:r>
      <w:r w:rsidRPr="002D74C7">
        <w:rPr>
          <w:rFonts w:cs="Times New Roman"/>
        </w:rPr>
        <w:t xml:space="preserve"> negative phase could be attributed to either a Ps wave converted from a low velocity zone (LVZ) in the upper mantle or </w:t>
      </w:r>
      <w:r>
        <w:rPr>
          <w:rFonts w:cs="Times New Roman"/>
        </w:rPr>
        <w:t xml:space="preserve">from </w:t>
      </w:r>
      <w:r w:rsidRPr="002D74C7">
        <w:rPr>
          <w:rFonts w:cs="Times New Roman"/>
        </w:rPr>
        <w:t xml:space="preserve">a multiple </w:t>
      </w:r>
      <w:r>
        <w:rPr>
          <w:rFonts w:cs="Times New Roman"/>
        </w:rPr>
        <w:t xml:space="preserve">reflection </w:t>
      </w:r>
      <w:r w:rsidRPr="002D74C7">
        <w:rPr>
          <w:rFonts w:cs="Times New Roman"/>
        </w:rPr>
        <w:t>phase associated with intra-crustal interfaces</w:t>
      </w:r>
      <w:r>
        <w:rPr>
          <w:rFonts w:cs="Times New Roman"/>
          <w:color w:val="FF0000"/>
        </w:rPr>
        <w:t xml:space="preserve"> (Supplementary Text 2.4)</w:t>
      </w:r>
      <w:r w:rsidRPr="002D74C7">
        <w:rPr>
          <w:rFonts w:cs="Times New Roman"/>
        </w:rPr>
        <w:t>.</w:t>
      </w:r>
      <w:r>
        <w:rPr>
          <w:rFonts w:cs="Times New Roman"/>
        </w:rPr>
        <w:t xml:space="preserve"> If this negative phase originates from an upper mantle LVZ, it should be accompanied by another multiple </w:t>
      </w:r>
      <w:proofErr w:type="gramStart"/>
      <w:r>
        <w:rPr>
          <w:rFonts w:cs="Times New Roman"/>
        </w:rPr>
        <w:t>phase</w:t>
      </w:r>
      <w:proofErr w:type="gramEnd"/>
      <w:r>
        <w:rPr>
          <w:rFonts w:cs="Times New Roman"/>
        </w:rPr>
        <w:t xml:space="preserve"> at a significantly later arrival time.</w:t>
      </w:r>
      <w:r w:rsidRPr="002D74C7">
        <w:rPr>
          <w:rFonts w:cs="Times New Roman"/>
        </w:rPr>
        <w:t xml:space="preserve"> However, discerning clear and consistent phases beyond 1</w:t>
      </w:r>
      <w:r>
        <w:rPr>
          <w:rFonts w:cs="Times New Roman"/>
        </w:rPr>
        <w:t>0</w:t>
      </w:r>
      <w:r w:rsidRPr="002D74C7">
        <w:rPr>
          <w:rFonts w:cs="Times New Roman"/>
        </w:rPr>
        <w:t xml:space="preserve"> s proves challenging </w:t>
      </w:r>
      <w:r w:rsidRPr="00760EEA">
        <w:rPr>
          <w:rFonts w:cs="Times New Roman"/>
          <w:color w:val="FF0000"/>
        </w:rPr>
        <w:t xml:space="preserve">(Extended Data Fig. </w:t>
      </w:r>
      <w:r>
        <w:rPr>
          <w:rFonts w:cs="Times New Roman"/>
          <w:color w:val="FF0000"/>
        </w:rPr>
        <w:t>1</w:t>
      </w:r>
      <w:r w:rsidRPr="00760EEA">
        <w:rPr>
          <w:rFonts w:cs="Times New Roman"/>
          <w:color w:val="FF0000"/>
        </w:rPr>
        <w:t>a)</w:t>
      </w:r>
      <w:r w:rsidRPr="00B11BE5">
        <w:rPr>
          <w:rFonts w:cs="Times New Roman"/>
          <w:color w:val="000000" w:themeColor="text1"/>
        </w:rPr>
        <w:t xml:space="preserve">, </w:t>
      </w:r>
      <w:r>
        <w:rPr>
          <w:rFonts w:cs="Times New Roman"/>
          <w:color w:val="000000" w:themeColor="text1"/>
        </w:rPr>
        <w:t>as they</w:t>
      </w:r>
      <w:r w:rsidRPr="00B11BE5">
        <w:rPr>
          <w:rFonts w:cs="Times New Roman"/>
          <w:color w:val="000000" w:themeColor="text1"/>
        </w:rPr>
        <w:t xml:space="preserve"> may be </w:t>
      </w:r>
      <w:r>
        <w:rPr>
          <w:rFonts w:cs="Times New Roman"/>
          <w:color w:val="000000" w:themeColor="text1"/>
        </w:rPr>
        <w:t>distorted by</w:t>
      </w:r>
      <w:r w:rsidRPr="00B11BE5">
        <w:rPr>
          <w:rFonts w:cs="Times New Roman"/>
          <w:color w:val="000000" w:themeColor="text1"/>
        </w:rPr>
        <w:t xml:space="preserve"> </w:t>
      </w:r>
      <w:r>
        <w:rPr>
          <w:rFonts w:cs="Times New Roman"/>
          <w:color w:val="000000" w:themeColor="text1"/>
        </w:rPr>
        <w:t xml:space="preserve">the effects of </w:t>
      </w:r>
      <w:r w:rsidRPr="002D74C7">
        <w:rPr>
          <w:rFonts w:cs="Times New Roman"/>
        </w:rPr>
        <w:t>small-scale heterogeneities, random noises, and scattered wavefields</w:t>
      </w:r>
      <w:r w:rsidRPr="00B11BE5">
        <w:rPr>
          <w:rFonts w:cs="Times New Roman"/>
          <w:noProof/>
          <w:vertAlign w:val="superscript"/>
        </w:rPr>
        <w:t>16,22,26</w:t>
      </w:r>
      <w:r w:rsidRPr="002D74C7">
        <w:rPr>
          <w:rFonts w:cs="Times New Roman"/>
        </w:rPr>
        <w:t>. To extract the first order feature</w:t>
      </w:r>
      <w:r>
        <w:rPr>
          <w:rFonts w:cs="Times New Roman"/>
        </w:rPr>
        <w:t>s</w:t>
      </w:r>
      <w:r w:rsidRPr="002D74C7">
        <w:rPr>
          <w:rFonts w:cs="Times New Roman"/>
        </w:rPr>
        <w:t xml:space="preserve"> </w:t>
      </w:r>
      <w:r>
        <w:rPr>
          <w:rFonts w:cs="Times New Roman"/>
        </w:rPr>
        <w:t>from</w:t>
      </w:r>
      <w:r w:rsidRPr="002D74C7">
        <w:rPr>
          <w:rFonts w:cs="Times New Roman"/>
        </w:rPr>
        <w:t xml:space="preserve"> the RFs, </w:t>
      </w:r>
      <w:r>
        <w:rPr>
          <w:rFonts w:cs="Times New Roman"/>
        </w:rPr>
        <w:t>ref.</w:t>
      </w:r>
      <w:r w:rsidRPr="00B11BE5">
        <w:rPr>
          <w:rFonts w:cs="Times New Roman"/>
          <w:noProof/>
          <w:vertAlign w:val="superscript"/>
        </w:rPr>
        <w:t xml:space="preserve"> 16</w:t>
      </w:r>
      <w:r>
        <w:rPr>
          <w:rFonts w:cs="Times New Roman"/>
        </w:rPr>
        <w:t xml:space="preserve"> </w:t>
      </w:r>
      <w:r w:rsidRPr="002D74C7">
        <w:rPr>
          <w:rFonts w:cs="Times New Roman"/>
        </w:rPr>
        <w:t>propose</w:t>
      </w:r>
      <w:r>
        <w:rPr>
          <w:rFonts w:cs="Times New Roman"/>
        </w:rPr>
        <w:t>d</w:t>
      </w:r>
      <w:r w:rsidRPr="002D74C7">
        <w:rPr>
          <w:rFonts w:cs="Times New Roman"/>
        </w:rPr>
        <w:t xml:space="preserve"> a principal component analysis </w:t>
      </w:r>
      <w:r>
        <w:rPr>
          <w:rFonts w:cs="Times New Roman"/>
        </w:rPr>
        <w:t>(PCA) analysis</w:t>
      </w:r>
      <w:r w:rsidRPr="002D74C7">
        <w:rPr>
          <w:rFonts w:cs="Times New Roman"/>
        </w:rPr>
        <w:t xml:space="preserve">, affirming that the first few </w:t>
      </w:r>
      <w:proofErr w:type="gramStart"/>
      <w:r w:rsidRPr="002D74C7">
        <w:rPr>
          <w:rFonts w:cs="Times New Roman"/>
        </w:rPr>
        <w:t>principle</w:t>
      </w:r>
      <w:proofErr w:type="gramEnd"/>
      <w:r w:rsidRPr="002D74C7">
        <w:rPr>
          <w:rFonts w:cs="Times New Roman"/>
        </w:rPr>
        <w:t xml:space="preserve"> components are sufficiently </w:t>
      </w:r>
      <w:r>
        <w:rPr>
          <w:rFonts w:cs="Times New Roman"/>
        </w:rPr>
        <w:t xml:space="preserve">capture the coherent RFs </w:t>
      </w:r>
      <w:r w:rsidRPr="002D74C7">
        <w:rPr>
          <w:rFonts w:cs="Times New Roman"/>
        </w:rPr>
        <w:t>reflect</w:t>
      </w:r>
      <w:r>
        <w:rPr>
          <w:rFonts w:cs="Times New Roman"/>
        </w:rPr>
        <w:t>ing</w:t>
      </w:r>
      <w:r w:rsidRPr="002D74C7">
        <w:rPr>
          <w:rFonts w:cs="Times New Roman"/>
        </w:rPr>
        <w:t xml:space="preserve"> subsurface structures.</w:t>
      </w:r>
      <w:r>
        <w:rPr>
          <w:rFonts w:cs="Times New Roman" w:hint="eastAsia"/>
        </w:rPr>
        <w:t xml:space="preserve"> </w:t>
      </w:r>
      <w:r>
        <w:rPr>
          <w:rFonts w:cs="Times New Roman"/>
          <w:color w:val="000000" w:themeColor="text1"/>
        </w:rPr>
        <w:t>Here</w:t>
      </w:r>
      <w:r w:rsidRPr="00760EEA">
        <w:rPr>
          <w:rFonts w:cs="Times New Roman"/>
          <w:color w:val="000000" w:themeColor="text1"/>
        </w:rPr>
        <w:t>, we use optimal singular value hard thresholding (SVHT)</w:t>
      </w:r>
      <w:r w:rsidRPr="00B11BE5">
        <w:rPr>
          <w:rFonts w:cs="Times New Roman"/>
          <w:noProof/>
          <w:color w:val="000000" w:themeColor="text1"/>
          <w:vertAlign w:val="superscript"/>
        </w:rPr>
        <w:t xml:space="preserve"> 27</w:t>
      </w:r>
      <w:r w:rsidRPr="00760EEA">
        <w:rPr>
          <w:rFonts w:cs="Times New Roman"/>
          <w:color w:val="000000" w:themeColor="text1"/>
        </w:rPr>
        <w:t xml:space="preserve"> to extract the principal components and reconstruct the RF data matrix, where the coherent phases are more distinct</w:t>
      </w:r>
      <w:r>
        <w:rPr>
          <w:rFonts w:cs="Times New Roman"/>
          <w:color w:val="000000" w:themeColor="text1"/>
        </w:rPr>
        <w:t>.</w:t>
      </w:r>
      <w:r>
        <w:rPr>
          <w:rFonts w:cs="Times New Roman" w:hint="eastAsia"/>
          <w:color w:val="000000" w:themeColor="text1"/>
        </w:rPr>
        <w:t xml:space="preserve"> </w:t>
      </w:r>
      <w:r>
        <w:rPr>
          <w:rFonts w:cs="Times New Roman"/>
        </w:rPr>
        <w:t>In the process of singular value decomposition</w:t>
      </w:r>
      <w:r w:rsidRPr="002D74C7">
        <w:rPr>
          <w:rFonts w:cs="Times New Roman"/>
        </w:rPr>
        <w:t xml:space="preserve">, the </w:t>
      </w:r>
      <w:r>
        <w:rPr>
          <w:rFonts w:cs="Times New Roman"/>
        </w:rPr>
        <w:t xml:space="preserve">original </w:t>
      </w:r>
      <w:r w:rsidRPr="002D74C7">
        <w:rPr>
          <w:rFonts w:cs="Times New Roman"/>
        </w:rPr>
        <w:t>observed RF data matrix can be expressed by</w:t>
      </w:r>
    </w:p>
    <w:p w14:paraId="6C0920E7" w14:textId="77777777" w:rsidR="007F6E00" w:rsidRPr="002D74C7" w:rsidRDefault="007F6E00" w:rsidP="0098594D">
      <w:pPr>
        <w:tabs>
          <w:tab w:val="center" w:pos="4080"/>
          <w:tab w:val="right" w:pos="8160"/>
        </w:tabs>
        <w:rPr>
          <w:rFonts w:cs="Times New Roman"/>
        </w:rPr>
      </w:pPr>
      <w:r w:rsidRPr="002D74C7">
        <w:rPr>
          <w:rFonts w:cs="Times New Roman"/>
        </w:rPr>
        <w:tab/>
      </w:r>
      <m:oMath>
        <m:sSub>
          <m:sSubPr>
            <m:ctrlPr>
              <w:rPr>
                <w:rFonts w:ascii="Cambria Math" w:hAnsi="Cambria Math" w:cs="Times New Roman"/>
              </w:rPr>
            </m:ctrlPr>
          </m:sSubPr>
          <m:e>
            <m:r>
              <w:rPr>
                <w:rFonts w:ascii="Cambria Math" w:hAnsi="Cambria Math" w:cs="Times New Roman"/>
              </w:rPr>
              <m:t>Y</m:t>
            </m:r>
          </m:e>
          <m:sub>
            <m:r>
              <w:rPr>
                <w:rFonts w:ascii="Cambria Math" w:hAnsi="Cambria Math" w:cs="Times New Roman"/>
              </w:rPr>
              <m:t>n×m</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n×m</m:t>
            </m:r>
          </m:sub>
        </m:sSub>
        <m:r>
          <w:rPr>
            <w:rFonts w:ascii="Cambria Math" w:hAnsi="Cambria Math" w:cs="Times New Roman"/>
          </w:rPr>
          <m:t>+σ</m:t>
        </m:r>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n×m</m:t>
            </m:r>
          </m:sub>
        </m:sSub>
      </m:oMath>
      <w:r w:rsidRPr="002D74C7">
        <w:rPr>
          <w:rFonts w:cs="Times New Roman"/>
        </w:rPr>
        <w:t>,</w:t>
      </w:r>
      <w:r w:rsidRPr="002D74C7">
        <w:rPr>
          <w:rFonts w:cs="Times New Roman"/>
        </w:rPr>
        <w:tab/>
        <w:t>(</w:t>
      </w:r>
      <w:r>
        <w:rPr>
          <w:rFonts w:cs="Times New Roman"/>
        </w:rPr>
        <w:t>4</w:t>
      </w:r>
      <w:r w:rsidRPr="002D74C7">
        <w:rPr>
          <w:rFonts w:cs="Times New Roman"/>
        </w:rPr>
        <w:t>)</w:t>
      </w:r>
    </w:p>
    <w:p w14:paraId="35402C37" w14:textId="77777777" w:rsidR="007F6E00" w:rsidRPr="002D74C7" w:rsidRDefault="007F6E00" w:rsidP="0098594D">
      <w:pPr>
        <w:tabs>
          <w:tab w:val="center" w:pos="4080"/>
          <w:tab w:val="right" w:pos="8160"/>
        </w:tabs>
        <w:rPr>
          <w:rFonts w:cs="Times New Roman"/>
        </w:rPr>
      </w:pPr>
      <w:r w:rsidRPr="002D74C7">
        <w:rPr>
          <w:rFonts w:cs="Times New Roman"/>
        </w:rPr>
        <w:lastRenderedPageBreak/>
        <w:t xml:space="preserve">where </w:t>
      </w:r>
      <m:oMath>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n×m</m:t>
            </m:r>
          </m:sub>
        </m:sSub>
      </m:oMath>
      <w:r w:rsidRPr="002D74C7">
        <w:rPr>
          <w:rFonts w:cs="Times New Roman"/>
        </w:rPr>
        <w:t xml:space="preserve"> is the uncontaminated RF data matrix, and </w:t>
      </w:r>
      <m:oMath>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n×m</m:t>
            </m:r>
          </m:sub>
        </m:sSub>
      </m:oMath>
      <w:r w:rsidRPr="002D74C7">
        <w:rPr>
          <w:rFonts w:cs="Times New Roman"/>
        </w:rPr>
        <w:t xml:space="preserve"> is the matrix of random noise with zero mean and unit variance. </w:t>
      </w:r>
      <w:r w:rsidRPr="002D74C7">
        <w:rPr>
          <w:rFonts w:cs="Times New Roman"/>
          <w:i/>
        </w:rPr>
        <w:t>n</w:t>
      </w:r>
      <w:r w:rsidRPr="002D74C7">
        <w:rPr>
          <w:rFonts w:cs="Times New Roman"/>
        </w:rPr>
        <w:t xml:space="preserve"> is data points of each RF trace, and </w:t>
      </w:r>
      <w:r w:rsidRPr="002D74C7">
        <w:rPr>
          <w:rFonts w:cs="Times New Roman"/>
          <w:i/>
        </w:rPr>
        <w:t>m</w:t>
      </w:r>
      <w:r w:rsidRPr="002D74C7">
        <w:rPr>
          <w:rFonts w:cs="Times New Roman"/>
        </w:rPr>
        <w:t xml:space="preserve"> is the number of RF traces, which is six in the case of our study. The singular value decomposition of original RF data matrix is presented as </w:t>
      </w:r>
    </w:p>
    <w:p w14:paraId="79ECFBD7" w14:textId="77777777" w:rsidR="007F6E00" w:rsidRPr="002D74C7" w:rsidRDefault="007F6E00" w:rsidP="0098594D">
      <w:pPr>
        <w:tabs>
          <w:tab w:val="center" w:pos="4080"/>
          <w:tab w:val="right" w:pos="8160"/>
        </w:tabs>
        <w:rPr>
          <w:rFonts w:cs="Times New Roman"/>
        </w:rPr>
      </w:pPr>
      <w:r w:rsidRPr="002D74C7">
        <w:rPr>
          <w:rFonts w:cs="Times New Roman"/>
        </w:rPr>
        <w:tab/>
      </w:r>
      <m:oMath>
        <m:sSub>
          <m:sSubPr>
            <m:ctrlPr>
              <w:rPr>
                <w:rFonts w:ascii="Cambria Math" w:hAnsi="Cambria Math" w:cs="Times New Roman"/>
              </w:rPr>
            </m:ctrlPr>
          </m:sSubPr>
          <m:e>
            <m:r>
              <w:rPr>
                <w:rFonts w:ascii="Cambria Math" w:hAnsi="Cambria Math" w:cs="Times New Roman"/>
              </w:rPr>
              <m:t>Y</m:t>
            </m:r>
          </m:e>
          <m:sub>
            <m:r>
              <w:rPr>
                <w:rFonts w:ascii="Cambria Math" w:hAnsi="Cambria Math" w:cs="Times New Roman"/>
              </w:rPr>
              <m:t>n×m</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U</m:t>
            </m:r>
          </m:e>
          <m:sub>
            <m:r>
              <w:rPr>
                <w:rFonts w:ascii="Cambria Math" w:hAnsi="Cambria Math" w:cs="Times New Roman"/>
              </w:rPr>
              <m:t>n×n</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n×m</m:t>
            </m:r>
          </m:sub>
        </m:sSub>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V</m:t>
            </m:r>
          </m:e>
          <m:sub>
            <m:r>
              <w:rPr>
                <w:rFonts w:ascii="Cambria Math" w:hAnsi="Cambria Math" w:cs="Times New Roman"/>
              </w:rPr>
              <m:t>m×m</m:t>
            </m:r>
          </m:sub>
          <m:sup>
            <m:r>
              <w:rPr>
                <w:rFonts w:ascii="Cambria Math" w:hAnsi="Cambria Math" w:cs="Times New Roman"/>
              </w:rPr>
              <m:t>T</m:t>
            </m:r>
          </m:sup>
        </m:sSubSup>
      </m:oMath>
      <w:r w:rsidRPr="002D74C7">
        <w:rPr>
          <w:rFonts w:cs="Times New Roman"/>
        </w:rPr>
        <w:t>.</w:t>
      </w:r>
      <w:r w:rsidRPr="002D74C7">
        <w:rPr>
          <w:rFonts w:cs="Times New Roman"/>
        </w:rPr>
        <w:tab/>
        <w:t>(</w:t>
      </w:r>
      <w:r>
        <w:rPr>
          <w:rFonts w:cs="Times New Roman"/>
        </w:rPr>
        <w:t>5</w:t>
      </w:r>
      <w:r w:rsidRPr="002D74C7">
        <w:rPr>
          <w:rFonts w:cs="Times New Roman"/>
        </w:rPr>
        <w:t>)</w:t>
      </w:r>
    </w:p>
    <w:p w14:paraId="13865A59" w14:textId="77777777" w:rsidR="007F6E00" w:rsidRPr="002D74C7" w:rsidRDefault="007F6E00" w:rsidP="0098594D">
      <w:pPr>
        <w:tabs>
          <w:tab w:val="center" w:pos="4080"/>
          <w:tab w:val="right" w:pos="8160"/>
        </w:tabs>
        <w:rPr>
          <w:rFonts w:cs="Times New Roman"/>
        </w:rPr>
      </w:pPr>
      <m:oMath>
        <m:r>
          <w:rPr>
            <w:rFonts w:ascii="Cambria Math" w:hAnsi="Cambria Math" w:cs="Times New Roman"/>
          </w:rPr>
          <m:t>U</m:t>
        </m:r>
      </m:oMath>
      <w:r w:rsidRPr="002D74C7">
        <w:rPr>
          <w:rFonts w:cs="Times New Roman"/>
        </w:rPr>
        <w:t xml:space="preserve"> and </w:t>
      </w:r>
      <m:oMath>
        <m:r>
          <w:rPr>
            <w:rFonts w:ascii="Cambria Math" w:hAnsi="Cambria Math" w:cs="Times New Roman"/>
          </w:rPr>
          <m:t>V</m:t>
        </m:r>
      </m:oMath>
      <w:r w:rsidRPr="002D74C7">
        <w:rPr>
          <w:rFonts w:cs="Times New Roman"/>
        </w:rPr>
        <w:t xml:space="preserve"> compose of the left and right singular vectors of </w:t>
      </w:r>
      <m:oMath>
        <m:r>
          <w:rPr>
            <w:rFonts w:ascii="Cambria Math" w:hAnsi="Cambria Math" w:cs="Times New Roman"/>
          </w:rPr>
          <m:t>Y</m:t>
        </m:r>
      </m:oMath>
      <w:r w:rsidRPr="002D74C7">
        <w:rPr>
          <w:rFonts w:cs="Times New Roman"/>
        </w:rPr>
        <w:t xml:space="preserve">. The singular values of </w:t>
      </w:r>
      <m:oMath>
        <m:r>
          <w:rPr>
            <w:rFonts w:ascii="Cambria Math" w:hAnsi="Cambria Math" w:cs="Times New Roman"/>
          </w:rPr>
          <m:t>Y</m:t>
        </m:r>
      </m:oMath>
      <w:r w:rsidRPr="002D74C7">
        <w:rPr>
          <w:rFonts w:cs="Times New Roman"/>
        </w:rPr>
        <w:t xml:space="preserve">, </w:t>
      </w:r>
      <m:oMath>
        <m:sSub>
          <m:sSubPr>
            <m:ctrlPr>
              <w:rPr>
                <w:rFonts w:ascii="Cambria Math" w:hAnsi="Cambria Math" w:cs="Times New Roman"/>
              </w:rPr>
            </m:ctrlPr>
          </m:sSubPr>
          <m:e>
            <m:r>
              <w:rPr>
                <w:rFonts w:ascii="Cambria Math" w:hAnsi="Cambria Math" w:cs="Times New Roman"/>
              </w:rPr>
              <m:t>y</m:t>
            </m:r>
          </m:e>
          <m:sub>
            <m:r>
              <w:rPr>
                <w:rFonts w:ascii="Cambria Math" w:hAnsi="Cambria Math" w:cs="Times New Roman"/>
              </w:rPr>
              <m:t>1</m:t>
            </m:r>
          </m:sub>
        </m:sSub>
        <m:r>
          <m:rPr>
            <m:sty m:val="p"/>
          </m:rPr>
          <w:rPr>
            <w:rFonts w:ascii="Cambria Math" w:hAnsi="Cambria Math" w:cs="Times New Roman"/>
          </w:rPr>
          <m:t xml:space="preserve">, </m:t>
        </m:r>
        <m:sSub>
          <m:sSubPr>
            <m:ctrlPr>
              <w:rPr>
                <w:rFonts w:ascii="Cambria Math" w:hAnsi="Cambria Math" w:cs="Times New Roman"/>
              </w:rPr>
            </m:ctrlPr>
          </m:sSubPr>
          <m:e>
            <m:r>
              <w:rPr>
                <w:rFonts w:ascii="Cambria Math" w:hAnsi="Cambria Math" w:cs="Times New Roman"/>
              </w:rPr>
              <m:t>y</m:t>
            </m:r>
          </m:e>
          <m:sub>
            <m:r>
              <w:rPr>
                <w:rFonts w:ascii="Cambria Math" w:hAnsi="Cambria Math" w:cs="Times New Roman"/>
              </w:rPr>
              <m:t>2</m:t>
            </m:r>
          </m:sub>
        </m:sSub>
        <m:r>
          <w:rPr>
            <w:rFonts w:ascii="Cambria Math" w:hAnsi="Cambria Math" w:cs="Times New Roman"/>
          </w:rPr>
          <m:t xml:space="preserve">, ⋯, </m:t>
        </m:r>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m</m:t>
            </m:r>
          </m:sub>
        </m:sSub>
      </m:oMath>
      <w:r w:rsidRPr="002D74C7">
        <w:rPr>
          <w:rFonts w:cs="Times New Roman"/>
        </w:rPr>
        <w:t xml:space="preserve">, which are diagonal elements of </w:t>
      </w:r>
      <m:oMath>
        <m:r>
          <w:rPr>
            <w:rFonts w:ascii="Cambria Math" w:hAnsi="Cambria Math" w:cs="Times New Roman"/>
          </w:rPr>
          <m:t>S</m:t>
        </m:r>
      </m:oMath>
      <w:r w:rsidRPr="002D74C7">
        <w:rPr>
          <w:rFonts w:cs="Times New Roman"/>
        </w:rPr>
        <w:t xml:space="preserve">, are truncated according to a hard threshold, </w:t>
      </w:r>
    </w:p>
    <w:p w14:paraId="2444C9E5" w14:textId="77777777" w:rsidR="007F6E00" w:rsidRPr="002D74C7" w:rsidRDefault="007F6E00" w:rsidP="0098594D">
      <w:pPr>
        <w:tabs>
          <w:tab w:val="center" w:pos="4080"/>
          <w:tab w:val="right" w:pos="8160"/>
        </w:tabs>
        <w:rPr>
          <w:rFonts w:cs="Times New Roman"/>
        </w:rPr>
      </w:pPr>
      <w:r w:rsidRPr="002D74C7">
        <w:rPr>
          <w:rFonts w:cs="Times New Roman"/>
        </w:rPr>
        <w:tab/>
      </w:r>
      <m:oMath>
        <m:r>
          <w:rPr>
            <w:rFonts w:ascii="Cambria Math" w:hAnsi="Cambria Math" w:cs="Times New Roman"/>
          </w:rPr>
          <m:t>τ=ω(γ)∙</m:t>
        </m:r>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med</m:t>
            </m:r>
          </m:sub>
        </m:sSub>
      </m:oMath>
      <w:r w:rsidRPr="002D74C7">
        <w:rPr>
          <w:rFonts w:cs="Times New Roman"/>
        </w:rPr>
        <w:t>,</w:t>
      </w:r>
      <w:r w:rsidRPr="002D74C7">
        <w:rPr>
          <w:rFonts w:cs="Times New Roman"/>
        </w:rPr>
        <w:tab/>
        <w:t>(</w:t>
      </w:r>
      <w:r>
        <w:rPr>
          <w:rFonts w:cs="Times New Roman"/>
        </w:rPr>
        <w:t>6</w:t>
      </w:r>
      <w:r w:rsidRPr="002D74C7">
        <w:rPr>
          <w:rFonts w:cs="Times New Roman"/>
        </w:rPr>
        <w:t>)</w:t>
      </w:r>
    </w:p>
    <w:p w14:paraId="7E022D8E" w14:textId="77777777" w:rsidR="007F6E00" w:rsidRPr="002D74C7" w:rsidRDefault="007F6E00" w:rsidP="0098594D">
      <w:pPr>
        <w:tabs>
          <w:tab w:val="center" w:pos="4080"/>
          <w:tab w:val="right" w:pos="8160"/>
        </w:tabs>
        <w:rPr>
          <w:rFonts w:cs="Times New Roman"/>
        </w:rPr>
      </w:pPr>
      <w:r w:rsidRPr="002D74C7">
        <w:rPr>
          <w:rFonts w:cs="Times New Roman"/>
        </w:rPr>
        <w:t xml:space="preserve">where </w:t>
      </w:r>
      <m:oMath>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med</m:t>
            </m:r>
          </m:sub>
        </m:sSub>
      </m:oMath>
      <w:r w:rsidRPr="002D74C7">
        <w:rPr>
          <w:rFonts w:cs="Times New Roman"/>
        </w:rPr>
        <w:t xml:space="preserve"> is the median value of </w:t>
      </w:r>
      <m:oMath>
        <m:sSub>
          <m:sSubPr>
            <m:ctrlPr>
              <w:rPr>
                <w:rFonts w:ascii="Cambria Math" w:hAnsi="Cambria Math" w:cs="Times New Roman"/>
              </w:rPr>
            </m:ctrlPr>
          </m:sSubPr>
          <m:e>
            <m:r>
              <w:rPr>
                <w:rFonts w:ascii="Cambria Math" w:hAnsi="Cambria Math" w:cs="Times New Roman"/>
              </w:rPr>
              <m:t>y</m:t>
            </m:r>
          </m:e>
          <m:sub>
            <m:r>
              <w:rPr>
                <w:rFonts w:ascii="Cambria Math" w:hAnsi="Cambria Math" w:cs="Times New Roman"/>
              </w:rPr>
              <m:t>i</m:t>
            </m:r>
          </m:sub>
        </m:sSub>
      </m:oMath>
      <w:r w:rsidRPr="002D74C7">
        <w:rPr>
          <w:rFonts w:cs="Times New Roman"/>
        </w:rPr>
        <w:t xml:space="preserve">, </w:t>
      </w:r>
      <m:oMath>
        <m:r>
          <w:rPr>
            <w:rFonts w:ascii="Cambria Math" w:hAnsi="Cambria Math" w:cs="Times New Roman"/>
          </w:rPr>
          <m:t>γ=m/n</m:t>
        </m:r>
      </m:oMath>
      <w:r w:rsidRPr="002D74C7">
        <w:rPr>
          <w:rFonts w:cs="Times New Roman"/>
        </w:rPr>
        <w:t xml:space="preserve"> is the matrix aspect ratio, </w:t>
      </w:r>
      <w:proofErr w:type="gramStart"/>
      <w:r w:rsidRPr="002D74C7">
        <w:rPr>
          <w:rFonts w:cs="Times New Roman"/>
        </w:rPr>
        <w:t>and</w:t>
      </w:r>
      <w:proofErr w:type="gramEnd"/>
      <w:r w:rsidRPr="002D74C7">
        <w:rPr>
          <w:rFonts w:cs="Times New Roman"/>
        </w:rPr>
        <w:t xml:space="preserve"> </w:t>
      </w:r>
    </w:p>
    <w:p w14:paraId="349A98D9" w14:textId="77777777" w:rsidR="007F6E00" w:rsidRPr="002D74C7" w:rsidRDefault="007F6E00" w:rsidP="0098594D">
      <w:pPr>
        <w:tabs>
          <w:tab w:val="center" w:pos="4080"/>
          <w:tab w:val="right" w:pos="8160"/>
        </w:tabs>
        <w:rPr>
          <w:rFonts w:cs="Times New Roman"/>
        </w:rPr>
      </w:pPr>
      <w:r w:rsidRPr="002D74C7">
        <w:rPr>
          <w:rFonts w:cs="Times New Roman"/>
        </w:rPr>
        <w:tab/>
      </w:r>
      <m:oMath>
        <m:r>
          <w:rPr>
            <w:rFonts w:ascii="Cambria Math" w:hAnsi="Cambria Math" w:cs="Times New Roman"/>
          </w:rPr>
          <m:t>ω</m:t>
        </m:r>
        <m:d>
          <m:dPr>
            <m:ctrlPr>
              <w:rPr>
                <w:rFonts w:ascii="Cambria Math" w:hAnsi="Cambria Math" w:cs="Times New Roman"/>
                <w:i/>
              </w:rPr>
            </m:ctrlPr>
          </m:dPr>
          <m:e>
            <m:r>
              <w:rPr>
                <w:rFonts w:ascii="Cambria Math" w:hAnsi="Cambria Math" w:cs="Times New Roman"/>
              </w:rPr>
              <m:t>γ</m:t>
            </m:r>
          </m:e>
        </m:d>
        <m:r>
          <w:rPr>
            <w:rFonts w:ascii="Cambria Math" w:hAnsi="Cambria Math" w:cs="Times New Roman"/>
          </w:rPr>
          <m:t>≈0.56</m:t>
        </m:r>
        <m:sSup>
          <m:sSupPr>
            <m:ctrlPr>
              <w:rPr>
                <w:rFonts w:ascii="Cambria Math" w:hAnsi="Cambria Math" w:cs="Times New Roman"/>
                <w:i/>
              </w:rPr>
            </m:ctrlPr>
          </m:sSupPr>
          <m:e>
            <m:r>
              <w:rPr>
                <w:rFonts w:ascii="Cambria Math" w:hAnsi="Cambria Math" w:cs="Times New Roman"/>
              </w:rPr>
              <m:t>γ</m:t>
            </m:r>
          </m:e>
          <m:sup>
            <m:r>
              <w:rPr>
                <w:rFonts w:ascii="Cambria Math" w:hAnsi="Cambria Math" w:cs="Times New Roman"/>
              </w:rPr>
              <m:t>3</m:t>
            </m:r>
          </m:sup>
        </m:sSup>
        <m:r>
          <w:rPr>
            <w:rFonts w:ascii="Cambria Math" w:hAnsi="Cambria Math" w:cs="Times New Roman"/>
          </w:rPr>
          <m:t>-0.95</m:t>
        </m:r>
        <m:sSup>
          <m:sSupPr>
            <m:ctrlPr>
              <w:rPr>
                <w:rFonts w:ascii="Cambria Math" w:hAnsi="Cambria Math" w:cs="Times New Roman"/>
                <w:i/>
              </w:rPr>
            </m:ctrlPr>
          </m:sSupPr>
          <m:e>
            <m:r>
              <w:rPr>
                <w:rFonts w:ascii="Cambria Math" w:hAnsi="Cambria Math" w:cs="Times New Roman"/>
              </w:rPr>
              <m:t>γ</m:t>
            </m:r>
          </m:e>
          <m:sup>
            <m:r>
              <w:rPr>
                <w:rFonts w:ascii="Cambria Math" w:hAnsi="Cambria Math" w:cs="Times New Roman"/>
              </w:rPr>
              <m:t>2</m:t>
            </m:r>
          </m:sup>
        </m:sSup>
        <m:r>
          <w:rPr>
            <w:rFonts w:ascii="Cambria Math" w:hAnsi="Cambria Math" w:cs="Times New Roman"/>
          </w:rPr>
          <m:t>+1.82γ+1.43.</m:t>
        </m:r>
      </m:oMath>
      <w:r w:rsidRPr="002D74C7">
        <w:rPr>
          <w:rFonts w:cs="Times New Roman"/>
        </w:rPr>
        <w:tab/>
        <w:t>(</w:t>
      </w:r>
      <w:r>
        <w:rPr>
          <w:rFonts w:cs="Times New Roman"/>
        </w:rPr>
        <w:t>7</w:t>
      </w:r>
      <w:r w:rsidRPr="002D74C7">
        <w:rPr>
          <w:rFonts w:cs="Times New Roman"/>
        </w:rPr>
        <w:t>)</w:t>
      </w:r>
    </w:p>
    <w:p w14:paraId="29E684D7" w14:textId="77777777" w:rsidR="007F6E00" w:rsidRPr="002D74C7" w:rsidRDefault="007F6E00" w:rsidP="0098594D">
      <w:pPr>
        <w:tabs>
          <w:tab w:val="center" w:pos="4080"/>
          <w:tab w:val="right" w:pos="8160"/>
        </w:tabs>
        <w:rPr>
          <w:rFonts w:cs="Times New Roman"/>
        </w:rPr>
      </w:pPr>
      <w:r w:rsidRPr="002D74C7">
        <w:rPr>
          <w:rFonts w:cs="Times New Roman"/>
        </w:rPr>
        <w:t xml:space="preserve">The truncated singular values are </w:t>
      </w:r>
    </w:p>
    <w:p w14:paraId="0B82F4F0" w14:textId="77777777" w:rsidR="007F6E00" w:rsidRPr="002D74C7" w:rsidRDefault="007F6E00" w:rsidP="0098594D">
      <w:pPr>
        <w:tabs>
          <w:tab w:val="center" w:pos="4080"/>
          <w:tab w:val="right" w:pos="8160"/>
        </w:tabs>
        <w:rPr>
          <w:rFonts w:cs="Times New Roman"/>
        </w:rPr>
      </w:pPr>
      <w:r w:rsidRPr="002D74C7">
        <w:rPr>
          <w:rFonts w:cs="Times New Roman"/>
        </w:rPr>
        <w:tab/>
      </w:r>
      <m:oMath>
        <m:sSub>
          <m:sSubPr>
            <m:ctrlPr>
              <w:rPr>
                <w:rFonts w:ascii="Cambria Math" w:hAnsi="Cambria Math" w:cs="Times New Roman"/>
              </w:rPr>
            </m:ctrlPr>
          </m:sSubPr>
          <m:e>
            <m:r>
              <w:rPr>
                <w:rFonts w:ascii="Cambria Math" w:hAnsi="Cambria Math" w:cs="Times New Roman"/>
              </w:rPr>
              <m:t>x</m:t>
            </m:r>
          </m:e>
          <m:sub>
            <m:r>
              <w:rPr>
                <w:rFonts w:ascii="Cambria Math" w:hAnsi="Cambria Math" w:cs="Times New Roman"/>
              </w:rPr>
              <m:t>i</m:t>
            </m:r>
          </m:sub>
        </m:sSub>
        <m:r>
          <w:rPr>
            <w:rFonts w:ascii="Cambria Math" w:hAnsi="Cambria Math" w:cs="Times New Roman"/>
          </w:rPr>
          <m:t>=</m:t>
        </m:r>
        <m:d>
          <m:dPr>
            <m:begChr m:val="{"/>
            <m:endChr m:val=""/>
            <m:ctrlPr>
              <w:rPr>
                <w:rFonts w:ascii="Cambria Math" w:hAnsi="Cambria Math" w:cs="Times New Roman"/>
                <w:i/>
              </w:rPr>
            </m:ctrlPr>
          </m:dPr>
          <m:e>
            <m:eqArr>
              <m:eqArrPr>
                <m:ctrlPr>
                  <w:rPr>
                    <w:rFonts w:ascii="Cambria Math" w:hAnsi="Cambria Math" w:cs="Times New Roman"/>
                    <w:i/>
                  </w:rPr>
                </m:ctrlPr>
              </m:eqArrPr>
              <m:e>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i</m:t>
                    </m:r>
                  </m:sub>
                </m:sSub>
                <m:r>
                  <w:rPr>
                    <w:rFonts w:ascii="Cambria Math" w:hAnsi="Cambria Math" w:cs="Times New Roman"/>
                  </w:rPr>
                  <m:t xml:space="preserve">, if </m:t>
                </m:r>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i</m:t>
                    </m:r>
                  </m:sub>
                </m:sSub>
                <m:r>
                  <w:rPr>
                    <w:rFonts w:ascii="Cambria Math" w:hAnsi="Cambria Math" w:cs="Times New Roman"/>
                  </w:rPr>
                  <m:t>≥τ</m:t>
                </m:r>
              </m:e>
              <m:e>
                <m:r>
                  <w:rPr>
                    <w:rFonts w:ascii="Cambria Math" w:hAnsi="Cambria Math" w:cs="Times New Roman"/>
                  </w:rPr>
                  <m:t xml:space="preserve">0, if </m:t>
                </m:r>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i</m:t>
                    </m:r>
                  </m:sub>
                </m:sSub>
                <m:r>
                  <w:rPr>
                    <w:rFonts w:ascii="Cambria Math" w:hAnsi="Cambria Math" w:cs="Times New Roman"/>
                  </w:rPr>
                  <m:t>&lt;τ</m:t>
                </m:r>
              </m:e>
            </m:eqArr>
          </m:e>
        </m:d>
        <m:r>
          <w:rPr>
            <w:rFonts w:ascii="Cambria Math" w:hAnsi="Cambria Math" w:cs="Times New Roman"/>
          </w:rPr>
          <m:t>, for i=1, 2, ⋯, m.</m:t>
        </m:r>
      </m:oMath>
      <w:r w:rsidRPr="002D74C7">
        <w:rPr>
          <w:rFonts w:cs="Times New Roman"/>
        </w:rPr>
        <w:tab/>
        <w:t>(</w:t>
      </w:r>
      <w:r>
        <w:rPr>
          <w:rFonts w:cs="Times New Roman"/>
        </w:rPr>
        <w:t>8</w:t>
      </w:r>
      <w:r w:rsidRPr="002D74C7">
        <w:rPr>
          <w:rFonts w:cs="Times New Roman"/>
        </w:rPr>
        <w:t>)</w:t>
      </w:r>
    </w:p>
    <w:p w14:paraId="39FB63F2" w14:textId="77777777" w:rsidR="007F6E00" w:rsidRPr="002D74C7" w:rsidRDefault="007F6E00" w:rsidP="0098594D">
      <w:pPr>
        <w:tabs>
          <w:tab w:val="center" w:pos="4080"/>
          <w:tab w:val="right" w:pos="8160"/>
        </w:tabs>
        <w:rPr>
          <w:rFonts w:cs="Times New Roman"/>
        </w:rPr>
      </w:pPr>
      <w:r w:rsidRPr="002D74C7">
        <w:rPr>
          <w:rFonts w:cs="Times New Roman"/>
        </w:rPr>
        <w:t xml:space="preserve">Then, we reconstruct the RF data matrix as </w:t>
      </w:r>
    </w:p>
    <w:p w14:paraId="7C35FCB3" w14:textId="77777777" w:rsidR="007F6E00" w:rsidRPr="006245D4" w:rsidRDefault="007F6E00" w:rsidP="0098594D">
      <w:pPr>
        <w:tabs>
          <w:tab w:val="center" w:pos="4080"/>
          <w:tab w:val="right" w:pos="8160"/>
        </w:tabs>
        <w:rPr>
          <w:rFonts w:cs="Times New Roman"/>
        </w:rPr>
      </w:pPr>
      <w:r w:rsidRPr="002D74C7">
        <w:rPr>
          <w:rFonts w:cs="Times New Roman"/>
        </w:rPr>
        <w:tab/>
      </w:r>
      <m:oMath>
        <m:sSub>
          <m:sSubPr>
            <m:ctrlPr>
              <w:rPr>
                <w:rFonts w:ascii="Cambria Math" w:hAnsi="Cambria Math" w:cs="Times New Roman"/>
              </w:rPr>
            </m:ctrlPr>
          </m:sSubPr>
          <m:e>
            <m:acc>
              <m:accPr>
                <m:ctrlPr>
                  <w:rPr>
                    <w:rFonts w:ascii="Cambria Math" w:hAnsi="Cambria Math" w:cs="Times New Roman"/>
                    <w:i/>
                  </w:rPr>
                </m:ctrlPr>
              </m:accPr>
              <m:e>
                <m:r>
                  <w:rPr>
                    <w:rFonts w:ascii="Cambria Math" w:hAnsi="Cambria Math" w:cs="Times New Roman"/>
                  </w:rPr>
                  <m:t>X</m:t>
                </m:r>
              </m:e>
            </m:acc>
          </m:e>
          <m:sub>
            <m:r>
              <w:rPr>
                <w:rFonts w:ascii="Cambria Math" w:hAnsi="Cambria Math" w:cs="Times New Roman"/>
              </w:rPr>
              <m:t>n×m</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U</m:t>
            </m:r>
          </m:e>
          <m:sub>
            <m:r>
              <w:rPr>
                <w:rFonts w:ascii="Cambria Math" w:hAnsi="Cambria Math" w:cs="Times New Roman"/>
              </w:rPr>
              <m:t>n×n</m:t>
            </m:r>
          </m:sub>
        </m:sSub>
        <m:r>
          <w:rPr>
            <w:rFonts w:ascii="Cambria Math" w:hAnsi="Cambria Math" w:cs="Times New Roman"/>
          </w:rPr>
          <m:t>∙</m:t>
        </m:r>
        <m:sSub>
          <m:sSubPr>
            <m:ctrlPr>
              <w:rPr>
                <w:rFonts w:ascii="Cambria Math" w:hAnsi="Cambria Math" w:cs="Times New Roman"/>
                <w:i/>
              </w:rPr>
            </m:ctrlPr>
          </m:sSubPr>
          <m:e>
            <m:d>
              <m:dPr>
                <m:begChr m:val="["/>
                <m:endChr m:val="]"/>
                <m:ctrlPr>
                  <w:rPr>
                    <w:rFonts w:ascii="Cambria Math" w:hAnsi="Cambria Math" w:cs="Times New Roman"/>
                    <w:i/>
                  </w:rPr>
                </m:ctrlPr>
              </m:dPr>
              <m:e>
                <m:m>
                  <m:mPr>
                    <m:mcs>
                      <m:mc>
                        <m:mcPr>
                          <m:count m:val="1"/>
                          <m:mcJc m:val="center"/>
                        </m:mcPr>
                      </m:mc>
                    </m:mcs>
                    <m:ctrlPr>
                      <w:rPr>
                        <w:rFonts w:ascii="Cambria Math" w:hAnsi="Cambria Math" w:cs="Times New Roman"/>
                        <w:i/>
                      </w:rPr>
                    </m:ctrlPr>
                  </m:mPr>
                  <m:mr>
                    <m:e>
                      <m:m>
                        <m:mPr>
                          <m:mcs>
                            <m:mc>
                              <m:mcPr>
                                <m:count m:val="3"/>
                                <m:mcJc m:val="center"/>
                              </m:mcPr>
                            </m:mc>
                          </m:mcs>
                          <m:ctrlPr>
                            <w:rPr>
                              <w:rFonts w:ascii="Cambria Math" w:hAnsi="Cambria Math" w:cs="Times New Roman"/>
                              <w:i/>
                            </w:rPr>
                          </m:ctrlPr>
                        </m:mPr>
                        <m:mr>
                          <m:e>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1</m:t>
                                </m:r>
                              </m:sub>
                            </m:sSub>
                          </m:e>
                          <m:e>
                            <m:r>
                              <w:rPr>
                                <w:rFonts w:ascii="Cambria Math" w:hAnsi="Cambria Math" w:cs="Times New Roman"/>
                              </w:rPr>
                              <m:t>…</m:t>
                            </m:r>
                          </m:e>
                          <m:e>
                            <m:r>
                              <w:rPr>
                                <w:rFonts w:ascii="Cambria Math" w:hAnsi="Cambria Math" w:cs="Times New Roman"/>
                              </w:rPr>
                              <m:t>0</m:t>
                            </m:r>
                          </m:e>
                        </m:mr>
                        <m:mr>
                          <m:e>
                            <m:r>
                              <w:rPr>
                                <w:rFonts w:ascii="Cambria Math" w:hAnsi="Cambria Math" w:cs="Times New Roman"/>
                              </w:rPr>
                              <m:t>⋮</m:t>
                            </m:r>
                          </m:e>
                          <m:e>
                            <m:r>
                              <w:rPr>
                                <w:rFonts w:ascii="Cambria Math" w:hAnsi="Cambria Math" w:cs="Times New Roman"/>
                              </w:rPr>
                              <m:t>⋱</m:t>
                            </m:r>
                          </m:e>
                          <m:e>
                            <m:r>
                              <w:rPr>
                                <w:rFonts w:ascii="Cambria Math" w:hAnsi="Cambria Math" w:cs="Times New Roman"/>
                              </w:rPr>
                              <m:t>⋮</m:t>
                            </m:r>
                          </m:e>
                        </m:mr>
                        <m:mr>
                          <m:e>
                            <m:r>
                              <w:rPr>
                                <w:rFonts w:ascii="Cambria Math" w:hAnsi="Cambria Math" w:cs="Times New Roman"/>
                              </w:rPr>
                              <m:t>0</m:t>
                            </m:r>
                          </m:e>
                          <m:e>
                            <m:r>
                              <w:rPr>
                                <w:rFonts w:ascii="Cambria Math" w:hAnsi="Cambria Math" w:cs="Times New Roman"/>
                              </w:rPr>
                              <m:t>…</m:t>
                            </m:r>
                          </m:e>
                          <m:e>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m</m:t>
                                </m:r>
                              </m:sub>
                            </m:sSub>
                          </m:e>
                        </m:mr>
                      </m:m>
                    </m:e>
                  </m:mr>
                  <m:mr>
                    <m:e>
                      <m:m>
                        <m:mPr>
                          <m:mcs>
                            <m:mc>
                              <m:mcPr>
                                <m:count m:val="3"/>
                                <m:mcJc m:val="center"/>
                              </m:mcPr>
                            </m:mc>
                          </m:mcs>
                          <m:ctrlPr>
                            <w:rPr>
                              <w:rFonts w:ascii="Cambria Math" w:hAnsi="Cambria Math" w:cs="Times New Roman"/>
                              <w:i/>
                            </w:rPr>
                          </m:ctrlPr>
                        </m:mPr>
                        <m:mr>
                          <m:e>
                            <m:r>
                              <w:rPr>
                                <w:rFonts w:ascii="Cambria Math" w:hAnsi="Cambria Math" w:cs="Times New Roman"/>
                              </w:rPr>
                              <m:t>0</m:t>
                            </m:r>
                          </m:e>
                          <m:e>
                            <m:r>
                              <w:rPr>
                                <w:rFonts w:ascii="Cambria Math" w:hAnsi="Cambria Math" w:cs="Times New Roman"/>
                              </w:rPr>
                              <m:t>…</m:t>
                            </m:r>
                          </m:e>
                          <m:e>
                            <m:r>
                              <w:rPr>
                                <w:rFonts w:ascii="Cambria Math" w:hAnsi="Cambria Math" w:cs="Times New Roman"/>
                              </w:rPr>
                              <m:t>0</m:t>
                            </m:r>
                          </m:e>
                        </m:mr>
                        <m:mr>
                          <m:e>
                            <m:r>
                              <w:rPr>
                                <w:rFonts w:ascii="Cambria Math" w:hAnsi="Cambria Math" w:cs="Times New Roman"/>
                              </w:rPr>
                              <m:t>⋮</m:t>
                            </m:r>
                          </m:e>
                          <m:e>
                            <m:r>
                              <w:rPr>
                                <w:rFonts w:ascii="Cambria Math" w:hAnsi="Cambria Math" w:cs="Times New Roman"/>
                              </w:rPr>
                              <m:t>⋱</m:t>
                            </m:r>
                          </m:e>
                          <m:e>
                            <m:r>
                              <w:rPr>
                                <w:rFonts w:ascii="Cambria Math" w:hAnsi="Cambria Math" w:cs="Times New Roman"/>
                              </w:rPr>
                              <m:t>⋮</m:t>
                            </m:r>
                          </m:e>
                        </m:mr>
                        <m:mr>
                          <m:e>
                            <m:r>
                              <w:rPr>
                                <w:rFonts w:ascii="Cambria Math" w:hAnsi="Cambria Math" w:cs="Times New Roman"/>
                              </w:rPr>
                              <m:t>0</m:t>
                            </m:r>
                          </m:e>
                          <m:e>
                            <m:r>
                              <w:rPr>
                                <w:rFonts w:ascii="Cambria Math" w:hAnsi="Cambria Math" w:cs="Times New Roman"/>
                              </w:rPr>
                              <m:t>…</m:t>
                            </m:r>
                          </m:e>
                          <m:e>
                            <m:r>
                              <w:rPr>
                                <w:rFonts w:ascii="Cambria Math" w:hAnsi="Cambria Math" w:cs="Times New Roman"/>
                              </w:rPr>
                              <m:t>0</m:t>
                            </m:r>
                          </m:e>
                        </m:mr>
                      </m:m>
                    </m:e>
                  </m:mr>
                </m:m>
              </m:e>
            </m:d>
          </m:e>
          <m:sub>
            <m:r>
              <w:rPr>
                <w:rFonts w:ascii="Cambria Math" w:hAnsi="Cambria Math" w:cs="Times New Roman"/>
              </w:rPr>
              <m:t>n×m</m:t>
            </m:r>
          </m:sub>
        </m:sSub>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V</m:t>
            </m:r>
          </m:e>
          <m:sub>
            <m:r>
              <w:rPr>
                <w:rFonts w:ascii="Cambria Math" w:hAnsi="Cambria Math" w:cs="Times New Roman"/>
              </w:rPr>
              <m:t>m×m</m:t>
            </m:r>
          </m:sub>
          <m:sup>
            <m:r>
              <w:rPr>
                <w:rFonts w:ascii="Cambria Math" w:hAnsi="Cambria Math" w:cs="Times New Roman"/>
              </w:rPr>
              <m:t>T</m:t>
            </m:r>
          </m:sup>
        </m:sSubSup>
      </m:oMath>
      <w:r w:rsidRPr="002D74C7">
        <w:rPr>
          <w:rFonts w:cs="Times New Roman"/>
        </w:rPr>
        <w:t>.</w:t>
      </w:r>
      <w:r w:rsidRPr="002D74C7">
        <w:rPr>
          <w:rFonts w:cs="Times New Roman"/>
        </w:rPr>
        <w:tab/>
        <w:t>(</w:t>
      </w:r>
      <w:r>
        <w:rPr>
          <w:rFonts w:cs="Times New Roman"/>
        </w:rPr>
        <w:t>9</w:t>
      </w:r>
      <w:r w:rsidRPr="002D74C7">
        <w:rPr>
          <w:rFonts w:cs="Times New Roman"/>
        </w:rPr>
        <w:t>)</w:t>
      </w:r>
    </w:p>
    <w:p w14:paraId="3E2C4B4D" w14:textId="77777777" w:rsidR="007F6E00" w:rsidRDefault="007F6E00" w:rsidP="0098594D">
      <w:pPr>
        <w:tabs>
          <w:tab w:val="center" w:pos="4080"/>
          <w:tab w:val="right" w:pos="8160"/>
        </w:tabs>
        <w:rPr>
          <w:rFonts w:cs="Times New Roman"/>
          <w:color w:val="000000" w:themeColor="text1"/>
        </w:rPr>
      </w:pPr>
      <w:r>
        <w:rPr>
          <w:rFonts w:cs="Times New Roman"/>
          <w:color w:val="000000" w:themeColor="text1"/>
        </w:rPr>
        <w:t xml:space="preserve">The reconstructed RFs show consistent waveforms up to 35 s after the direct P wave </w:t>
      </w:r>
      <w:r w:rsidRPr="00EC408D">
        <w:rPr>
          <w:rFonts w:cs="Times New Roman"/>
          <w:color w:val="FF0000"/>
        </w:rPr>
        <w:t xml:space="preserve">(Extended Data Fig. </w:t>
      </w:r>
      <w:r>
        <w:rPr>
          <w:rFonts w:cs="Times New Roman"/>
          <w:color w:val="FF0000"/>
        </w:rPr>
        <w:t>1b</w:t>
      </w:r>
      <w:r w:rsidRPr="00EC408D">
        <w:rPr>
          <w:rFonts w:cs="Times New Roman"/>
          <w:color w:val="FF0000"/>
        </w:rPr>
        <w:t>)</w:t>
      </w:r>
      <w:r>
        <w:rPr>
          <w:rFonts w:cs="Times New Roman"/>
          <w:color w:val="000000" w:themeColor="text1"/>
        </w:rPr>
        <w:t xml:space="preserve">. Except for the prominent phases within 10 s, highly coherent arrivals are observed subsequently, among which two positive phases </w:t>
      </w:r>
      <w:r w:rsidRPr="002D74C7">
        <w:rPr>
          <w:rFonts w:cs="Times New Roman"/>
        </w:rPr>
        <w:t>at ~15 s and ~24 s are previously identified</w:t>
      </w:r>
      <w:r w:rsidRPr="00B11BE5">
        <w:rPr>
          <w:rFonts w:cs="Times New Roman"/>
          <w:noProof/>
          <w:vertAlign w:val="superscript"/>
        </w:rPr>
        <w:t>22</w:t>
      </w:r>
      <w:r>
        <w:rPr>
          <w:rFonts w:cs="Times New Roman"/>
        </w:rPr>
        <w:t xml:space="preserve">. Notably, our observations reveal two coherent phases at </w:t>
      </w:r>
      <w:r>
        <w:rPr>
          <w:rFonts w:cs="Times New Roman"/>
        </w:rPr>
        <w:lastRenderedPageBreak/>
        <w:t>~11 s and ~31 s with negative polarities.</w:t>
      </w:r>
    </w:p>
    <w:p w14:paraId="44518E95" w14:textId="77777777" w:rsidR="007F6E00" w:rsidRDefault="007F6E00" w:rsidP="000F69FD">
      <w:pPr>
        <w:widowControl/>
        <w:spacing w:line="240" w:lineRule="auto"/>
        <w:jc w:val="left"/>
        <w:rPr>
          <w:rFonts w:cs="Times New Roman"/>
          <w:color w:val="000000" w:themeColor="text1"/>
        </w:rPr>
      </w:pPr>
      <w:bookmarkStart w:id="7" w:name="_Toc202208112"/>
    </w:p>
    <w:p w14:paraId="07D7BA28" w14:textId="77777777" w:rsidR="007F6E00" w:rsidRPr="000F69FD" w:rsidRDefault="007F6E00" w:rsidP="000F69FD">
      <w:pPr>
        <w:pStyle w:val="2"/>
        <w:rPr>
          <w:rFonts w:cs="Times New Roman"/>
          <w:color w:val="000000" w:themeColor="text1"/>
        </w:rPr>
      </w:pPr>
      <w:r>
        <w:t>2.3. Bootstrap test</w:t>
      </w:r>
      <w:bookmarkEnd w:id="7"/>
    </w:p>
    <w:p w14:paraId="7A0D43B4" w14:textId="77777777" w:rsidR="007F6E00" w:rsidRDefault="007F6E00" w:rsidP="0098594D">
      <w:pPr>
        <w:ind w:firstLineChars="200" w:firstLine="480"/>
        <w:rPr>
          <w:rFonts w:cs="Times New Roman"/>
        </w:rPr>
      </w:pPr>
      <w:r w:rsidRPr="002D74C7">
        <w:rPr>
          <w:rFonts w:cs="Times New Roman"/>
        </w:rPr>
        <w:t xml:space="preserve">To evaluate the effect of deconvolution window and the robustness of identified RF phases, we implement a bootstrap strategy </w:t>
      </w:r>
      <w:r>
        <w:rPr>
          <w:rFonts w:cs="Times New Roman"/>
        </w:rPr>
        <w:t xml:space="preserve">involving 200 realizations. In each iteration, the start </w:t>
      </w:r>
      <w:r w:rsidRPr="002D74C7">
        <w:rPr>
          <w:rFonts w:cs="Times New Roman"/>
        </w:rPr>
        <w:t xml:space="preserve">and end times </w:t>
      </w:r>
      <w:r>
        <w:rPr>
          <w:rFonts w:cs="Times New Roman"/>
        </w:rPr>
        <w:t xml:space="preserve">of </w:t>
      </w:r>
      <w:r w:rsidRPr="002D74C7">
        <w:rPr>
          <w:rFonts w:cs="Times New Roman"/>
        </w:rPr>
        <w:t>the deconvolution window</w:t>
      </w:r>
      <w:r>
        <w:rPr>
          <w:rFonts w:cs="Times New Roman"/>
        </w:rPr>
        <w:t xml:space="preserve"> are</w:t>
      </w:r>
      <w:r w:rsidRPr="002D74C7">
        <w:rPr>
          <w:rFonts w:cs="Times New Roman"/>
        </w:rPr>
        <w:t xml:space="preserve"> randomly </w:t>
      </w:r>
      <w:r>
        <w:rPr>
          <w:rFonts w:cs="Times New Roman"/>
        </w:rPr>
        <w:t>selected</w:t>
      </w:r>
      <w:r w:rsidRPr="002D74C7">
        <w:rPr>
          <w:rFonts w:cs="Times New Roman"/>
        </w:rPr>
        <w:t xml:space="preserve"> within the range of -25 s to -15 s, and 50 s to 90 s, respectively</w:t>
      </w:r>
      <w:r>
        <w:rPr>
          <w:rFonts w:cs="Times New Roman"/>
        </w:rPr>
        <w:t>,</w:t>
      </w:r>
      <w:r w:rsidRPr="002D74C7">
        <w:rPr>
          <w:rFonts w:cs="Times New Roman"/>
        </w:rPr>
        <w:t xml:space="preserve"> relative to the direct P </w:t>
      </w:r>
      <w:r>
        <w:rPr>
          <w:rFonts w:cs="Times New Roman"/>
        </w:rPr>
        <w:t>arrival</w:t>
      </w:r>
      <w:r w:rsidRPr="002D74C7">
        <w:rPr>
          <w:rFonts w:cs="Times New Roman"/>
        </w:rPr>
        <w:t>s.</w:t>
      </w:r>
      <w:r>
        <w:rPr>
          <w:rFonts w:cs="Times New Roman"/>
        </w:rPr>
        <w:t xml:space="preserve"> Compared to the raw RFs</w:t>
      </w:r>
      <w:r w:rsidRPr="002D74C7">
        <w:rPr>
          <w:rFonts w:cs="Times New Roman"/>
        </w:rPr>
        <w:t>, the SV</w:t>
      </w:r>
      <w:r>
        <w:rPr>
          <w:rFonts w:cs="Times New Roman"/>
        </w:rPr>
        <w:t>D</w:t>
      </w:r>
      <w:r w:rsidRPr="002D74C7">
        <w:rPr>
          <w:rFonts w:cs="Times New Roman"/>
        </w:rPr>
        <w:t xml:space="preserve"> </w:t>
      </w:r>
      <w:r>
        <w:rPr>
          <w:rFonts w:cs="Times New Roman"/>
        </w:rPr>
        <w:t>reconstructed</w:t>
      </w:r>
      <w:r w:rsidRPr="002D74C7">
        <w:rPr>
          <w:rFonts w:cs="Times New Roman"/>
        </w:rPr>
        <w:t xml:space="preserve"> RFs</w:t>
      </w:r>
      <w:r>
        <w:rPr>
          <w:rFonts w:cs="Times New Roman"/>
        </w:rPr>
        <w:t xml:space="preserve"> are less affected by the deconvolution window,</w:t>
      </w:r>
      <w:r w:rsidRPr="002D74C7">
        <w:rPr>
          <w:rFonts w:cs="Times New Roman"/>
        </w:rPr>
        <w:t xml:space="preserve"> </w:t>
      </w:r>
      <w:r>
        <w:rPr>
          <w:rFonts w:cs="Times New Roman"/>
        </w:rPr>
        <w:t xml:space="preserve">showing much greater </w:t>
      </w:r>
      <w:r w:rsidRPr="002D74C7">
        <w:rPr>
          <w:rFonts w:cs="Times New Roman"/>
        </w:rPr>
        <w:t>coheren</w:t>
      </w:r>
      <w:r>
        <w:rPr>
          <w:rFonts w:cs="Times New Roman"/>
        </w:rPr>
        <w:t xml:space="preserve">ce and </w:t>
      </w:r>
      <w:r w:rsidRPr="002D74C7">
        <w:rPr>
          <w:rFonts w:cs="Times New Roman"/>
        </w:rPr>
        <w:t>consisten</w:t>
      </w:r>
      <w:r>
        <w:rPr>
          <w:rFonts w:cs="Times New Roman"/>
        </w:rPr>
        <w:t>ce</w:t>
      </w:r>
      <w:r w:rsidRPr="002D74C7">
        <w:rPr>
          <w:rFonts w:cs="Times New Roman"/>
        </w:rPr>
        <w:t xml:space="preserve">, except for event S0820a </w:t>
      </w:r>
      <w:r w:rsidRPr="00760EEA">
        <w:rPr>
          <w:rFonts w:cs="Times New Roman"/>
          <w:color w:val="FF0000"/>
        </w:rPr>
        <w:t>(</w:t>
      </w:r>
      <w:r>
        <w:rPr>
          <w:rFonts w:cs="Times New Roman"/>
          <w:color w:val="FF0000"/>
        </w:rPr>
        <w:t>Supplementary Fig. 3</w:t>
      </w:r>
      <w:r w:rsidRPr="00760EEA">
        <w:rPr>
          <w:rFonts w:cs="Times New Roman"/>
          <w:color w:val="FF0000"/>
        </w:rPr>
        <w:t>)</w:t>
      </w:r>
      <w:r w:rsidRPr="002D74C7">
        <w:rPr>
          <w:rFonts w:cs="Times New Roman"/>
        </w:rPr>
        <w:t xml:space="preserve">. Typically, only the largest singular value is retained in the RF reconstruction </w:t>
      </w:r>
      <w:r w:rsidRPr="00760EEA">
        <w:rPr>
          <w:rFonts w:cs="Times New Roman"/>
          <w:color w:val="FF0000"/>
        </w:rPr>
        <w:t>(</w:t>
      </w:r>
      <w:r>
        <w:rPr>
          <w:rFonts w:cs="Times New Roman"/>
          <w:color w:val="FF0000"/>
        </w:rPr>
        <w:t>Extended Data</w:t>
      </w:r>
      <w:r w:rsidRPr="00760EEA">
        <w:rPr>
          <w:rFonts w:cs="Times New Roman"/>
          <w:color w:val="FF0000"/>
        </w:rPr>
        <w:t xml:space="preserve"> Fig. </w:t>
      </w:r>
      <w:r>
        <w:rPr>
          <w:rFonts w:cs="Times New Roman"/>
          <w:color w:val="FF0000"/>
        </w:rPr>
        <w:t>1c</w:t>
      </w:r>
      <w:r w:rsidRPr="00760EEA">
        <w:rPr>
          <w:rFonts w:cs="Times New Roman"/>
          <w:color w:val="FF0000"/>
        </w:rPr>
        <w:t>)</w:t>
      </w:r>
      <w:r w:rsidRPr="002D74C7">
        <w:rPr>
          <w:rFonts w:cs="Times New Roman"/>
        </w:rPr>
        <w:t xml:space="preserve">. However, </w:t>
      </w:r>
      <w:r>
        <w:rPr>
          <w:rFonts w:cs="Times New Roman"/>
        </w:rPr>
        <w:t xml:space="preserve">due to </w:t>
      </w:r>
      <w:r w:rsidRPr="002D74C7">
        <w:rPr>
          <w:rFonts w:cs="Times New Roman"/>
        </w:rPr>
        <w:t xml:space="preserve">the </w:t>
      </w:r>
      <w:r>
        <w:rPr>
          <w:rFonts w:cs="Times New Roman"/>
        </w:rPr>
        <w:t xml:space="preserve">relatively </w:t>
      </w:r>
      <w:r w:rsidRPr="002D74C7">
        <w:rPr>
          <w:rFonts w:cs="Times New Roman"/>
        </w:rPr>
        <w:t xml:space="preserve">noisy raw RF of S0820a and its </w:t>
      </w:r>
      <w:r>
        <w:rPr>
          <w:rFonts w:cs="Times New Roman"/>
        </w:rPr>
        <w:t>lower</w:t>
      </w:r>
      <w:r w:rsidRPr="002D74C7">
        <w:rPr>
          <w:rFonts w:cs="Times New Roman"/>
        </w:rPr>
        <w:t xml:space="preserve"> similarit</w:t>
      </w:r>
      <w:r>
        <w:rPr>
          <w:rFonts w:cs="Times New Roman"/>
        </w:rPr>
        <w:t>y</w:t>
      </w:r>
      <w:r w:rsidRPr="002D74C7">
        <w:rPr>
          <w:rFonts w:cs="Times New Roman"/>
        </w:rPr>
        <w:t xml:space="preserve"> </w:t>
      </w:r>
      <w:r>
        <w:rPr>
          <w:rFonts w:cs="Times New Roman"/>
        </w:rPr>
        <w:t>to</w:t>
      </w:r>
      <w:r w:rsidRPr="002D74C7">
        <w:rPr>
          <w:rFonts w:cs="Times New Roman"/>
        </w:rPr>
        <w:t xml:space="preserve"> other events </w:t>
      </w:r>
      <w:r w:rsidRPr="00760EEA">
        <w:rPr>
          <w:rFonts w:cs="Times New Roman"/>
          <w:color w:val="FF0000"/>
        </w:rPr>
        <w:t>(</w:t>
      </w:r>
      <w:r>
        <w:rPr>
          <w:rFonts w:cs="Times New Roman"/>
          <w:color w:val="FF0000"/>
        </w:rPr>
        <w:t>Supplementary Fig. 2e</w:t>
      </w:r>
      <w:r w:rsidRPr="00760EEA">
        <w:rPr>
          <w:rFonts w:cs="Times New Roman"/>
          <w:color w:val="FF0000"/>
        </w:rPr>
        <w:t>)</w:t>
      </w:r>
      <w:r>
        <w:rPr>
          <w:rFonts w:cs="Times New Roman"/>
          <w:color w:val="FF0000"/>
        </w:rPr>
        <w:t>,</w:t>
      </w:r>
      <w:r w:rsidRPr="002D74C7">
        <w:rPr>
          <w:rFonts w:cs="Times New Roman"/>
        </w:rPr>
        <w:t xml:space="preserve"> the second singular value </w:t>
      </w:r>
      <w:r>
        <w:rPr>
          <w:rFonts w:cs="Times New Roman"/>
        </w:rPr>
        <w:t xml:space="preserve">is included </w:t>
      </w:r>
      <w:r w:rsidRPr="002D74C7">
        <w:rPr>
          <w:rFonts w:cs="Times New Roman"/>
        </w:rPr>
        <w:t xml:space="preserve">in the SVHT in a few cases </w:t>
      </w:r>
      <w:r>
        <w:rPr>
          <w:rFonts w:cs="Times New Roman"/>
        </w:rPr>
        <w:t>under</w:t>
      </w:r>
      <w:r w:rsidRPr="002D74C7">
        <w:rPr>
          <w:rFonts w:cs="Times New Roman"/>
        </w:rPr>
        <w:t xml:space="preserve"> medium to long deconvolution windows </w:t>
      </w:r>
      <w:r w:rsidRPr="00760EEA">
        <w:rPr>
          <w:rFonts w:cs="Times New Roman"/>
          <w:color w:val="FF0000"/>
        </w:rPr>
        <w:t>(</w:t>
      </w:r>
      <w:r>
        <w:rPr>
          <w:rFonts w:cs="Times New Roman"/>
          <w:color w:val="FF0000"/>
        </w:rPr>
        <w:t>Supplementary Fig. 3c</w:t>
      </w:r>
      <w:r w:rsidRPr="00760EEA">
        <w:rPr>
          <w:rFonts w:cs="Times New Roman"/>
          <w:color w:val="FF0000"/>
        </w:rPr>
        <w:t>)</w:t>
      </w:r>
      <w:r w:rsidRPr="002D74C7">
        <w:rPr>
          <w:rFonts w:cs="Times New Roman"/>
        </w:rPr>
        <w:t xml:space="preserve">. </w:t>
      </w:r>
      <w:r>
        <w:rPr>
          <w:rFonts w:cs="Times New Roman"/>
        </w:rPr>
        <w:t>Overall, t</w:t>
      </w:r>
      <w:r w:rsidRPr="002D74C7">
        <w:rPr>
          <w:rFonts w:cs="Times New Roman"/>
        </w:rPr>
        <w:t>he bootstrap results suggest that</w:t>
      </w:r>
      <w:r>
        <w:rPr>
          <w:rFonts w:cs="Times New Roman"/>
        </w:rPr>
        <w:t xml:space="preserve">, while </w:t>
      </w:r>
      <w:r w:rsidRPr="002D74C7">
        <w:rPr>
          <w:rFonts w:cs="Times New Roman"/>
        </w:rPr>
        <w:t>the raw RF</w:t>
      </w:r>
      <w:r>
        <w:rPr>
          <w:rFonts w:cs="Times New Roman"/>
        </w:rPr>
        <w:t>s</w:t>
      </w:r>
      <w:r w:rsidRPr="002D74C7">
        <w:rPr>
          <w:rFonts w:cs="Times New Roman"/>
        </w:rPr>
        <w:t xml:space="preserve"> </w:t>
      </w:r>
      <w:r>
        <w:rPr>
          <w:rFonts w:cs="Times New Roman"/>
        </w:rPr>
        <w:t>are affected by the choice of the</w:t>
      </w:r>
      <w:r w:rsidRPr="002D74C7">
        <w:rPr>
          <w:rFonts w:cs="Times New Roman"/>
        </w:rPr>
        <w:t xml:space="preserve"> deconvolution window, the reconstructed RFs and our identified phases</w:t>
      </w:r>
      <w:r>
        <w:rPr>
          <w:rFonts w:cs="Times New Roman"/>
        </w:rPr>
        <w:t xml:space="preserve"> remains stable and </w:t>
      </w:r>
      <w:r w:rsidRPr="002D74C7">
        <w:rPr>
          <w:rFonts w:cs="Times New Roman"/>
        </w:rPr>
        <w:t>reliable.</w:t>
      </w:r>
    </w:p>
    <w:p w14:paraId="69EB52EA" w14:textId="77777777" w:rsidR="007F6E00" w:rsidRDefault="007F6E00">
      <w:pPr>
        <w:widowControl/>
        <w:spacing w:line="240" w:lineRule="auto"/>
        <w:jc w:val="left"/>
        <w:rPr>
          <w:rFonts w:cs="Times New Roman"/>
        </w:rPr>
      </w:pPr>
      <w:r>
        <w:rPr>
          <w:rFonts w:cs="Times New Roman"/>
        </w:rPr>
        <w:br w:type="page"/>
      </w:r>
    </w:p>
    <w:p w14:paraId="03D8C509" w14:textId="77777777" w:rsidR="007F6E00" w:rsidRPr="002D74C7" w:rsidRDefault="007F6E00" w:rsidP="00F66CEE">
      <w:pPr>
        <w:tabs>
          <w:tab w:val="center" w:pos="4080"/>
          <w:tab w:val="right" w:pos="8160"/>
        </w:tabs>
        <w:spacing w:line="240" w:lineRule="auto"/>
        <w:jc w:val="center"/>
        <w:rPr>
          <w:rFonts w:cs="Times New Roman"/>
        </w:rPr>
      </w:pPr>
      <w:r w:rsidRPr="002D74C7">
        <w:rPr>
          <w:rFonts w:cs="Times New Roman"/>
          <w:noProof/>
        </w:rPr>
        <w:lastRenderedPageBreak/>
        <w:drawing>
          <wp:inline distT="0" distB="0" distL="0" distR="0" wp14:anchorId="470ADDBD" wp14:editId="06E96C10">
            <wp:extent cx="3600000" cy="5824321"/>
            <wp:effectExtent l="0" t="0" r="0" b="508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_obs_PRF_test.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00000" cy="5824321"/>
                    </a:xfrm>
                    <a:prstGeom prst="rect">
                      <a:avLst/>
                    </a:prstGeom>
                  </pic:spPr>
                </pic:pic>
              </a:graphicData>
            </a:graphic>
          </wp:inline>
        </w:drawing>
      </w:r>
    </w:p>
    <w:p w14:paraId="2E0B9E92" w14:textId="77777777" w:rsidR="007F6E00" w:rsidRDefault="007F6E00" w:rsidP="00286E90">
      <w:pPr>
        <w:tabs>
          <w:tab w:val="center" w:pos="4080"/>
          <w:tab w:val="right" w:pos="8160"/>
        </w:tabs>
        <w:spacing w:line="240" w:lineRule="auto"/>
        <w:rPr>
          <w:rFonts w:cs="Times New Roman"/>
        </w:rPr>
      </w:pPr>
      <w:bookmarkStart w:id="8" w:name="_Toc167205918"/>
      <w:r>
        <w:rPr>
          <w:b/>
          <w:bCs/>
        </w:rPr>
        <w:t>Supplementary Fig. 3</w:t>
      </w:r>
      <w:r w:rsidRPr="000D5F60">
        <w:rPr>
          <w:b/>
          <w:bCs/>
        </w:rPr>
        <w:t xml:space="preserve"> | Bootstrap test on the deconvolution window.</w:t>
      </w:r>
      <w:bookmarkEnd w:id="8"/>
      <w:r w:rsidRPr="000D5F60">
        <w:rPr>
          <w:b/>
          <w:bCs/>
        </w:rPr>
        <w:t xml:space="preserve"> </w:t>
      </w:r>
      <w:r w:rsidRPr="00286E90">
        <w:rPr>
          <w:rFonts w:cs="Times New Roman"/>
        </w:rPr>
        <w:t>(a) Raw RF waveforms obtained using different deconvolution windows, with colors indicating window length.</w:t>
      </w:r>
      <w:r>
        <w:rPr>
          <w:rFonts w:cs="Times New Roman"/>
        </w:rPr>
        <w:t xml:space="preserve"> </w:t>
      </w:r>
      <w:r w:rsidRPr="00286E90">
        <w:rPr>
          <w:rFonts w:cs="Times New Roman"/>
        </w:rPr>
        <w:t>(b) Corresponding RFs after singular value decomposition (SVD) denoising.</w:t>
      </w:r>
      <w:r>
        <w:rPr>
          <w:rFonts w:cs="Times New Roman" w:hint="eastAsia"/>
        </w:rPr>
        <w:t xml:space="preserve"> </w:t>
      </w:r>
      <w:r w:rsidRPr="00286E90">
        <w:rPr>
          <w:rFonts w:cs="Times New Roman"/>
        </w:rPr>
        <w:t>(c) Singular value distributions from 200 bootstrap samples.</w:t>
      </w:r>
      <w:r>
        <w:rPr>
          <w:rFonts w:cs="Times New Roman"/>
        </w:rPr>
        <w:t xml:space="preserve"> </w:t>
      </w:r>
      <w:r w:rsidRPr="002D74C7">
        <w:rPr>
          <w:rFonts w:cs="Times New Roman"/>
        </w:rPr>
        <w:t>Grey shaded zone bounds the upper and lower limits of the hard threshold values.</w:t>
      </w:r>
    </w:p>
    <w:p w14:paraId="0ECF18A4" w14:textId="77777777" w:rsidR="007F6E00" w:rsidRDefault="007F6E00">
      <w:pPr>
        <w:widowControl/>
        <w:spacing w:line="240" w:lineRule="auto"/>
        <w:jc w:val="left"/>
        <w:rPr>
          <w:rFonts w:cs="Times New Roman"/>
        </w:rPr>
      </w:pPr>
      <w:r>
        <w:rPr>
          <w:rFonts w:cs="Times New Roman"/>
        </w:rPr>
        <w:br w:type="page"/>
      </w:r>
    </w:p>
    <w:p w14:paraId="39F0F7A3" w14:textId="77777777" w:rsidR="007F6E00" w:rsidRDefault="007F6E00" w:rsidP="00F66CEE">
      <w:pPr>
        <w:pStyle w:val="2"/>
      </w:pPr>
      <w:bookmarkStart w:id="9" w:name="_Toc202208113"/>
      <w:r>
        <w:lastRenderedPageBreak/>
        <w:t>2.4. Upper mantle conversion or crustal multiple reflection</w:t>
      </w:r>
      <w:bookmarkEnd w:id="9"/>
    </w:p>
    <w:p w14:paraId="6C58FA8F" w14:textId="77777777" w:rsidR="007F6E00" w:rsidRDefault="007F6E00" w:rsidP="00F66CEE">
      <w:pPr>
        <w:tabs>
          <w:tab w:val="center" w:pos="4080"/>
          <w:tab w:val="right" w:pos="8160"/>
        </w:tabs>
        <w:ind w:firstLineChars="200" w:firstLine="480"/>
        <w:rPr>
          <w:rFonts w:cs="Times New Roman"/>
        </w:rPr>
      </w:pPr>
      <w:r>
        <w:rPr>
          <w:rFonts w:cs="Times New Roman"/>
        </w:rPr>
        <w:t>Joshi et al.</w:t>
      </w:r>
      <w:r w:rsidRPr="00B11BE5">
        <w:rPr>
          <w:rFonts w:cs="Times New Roman"/>
          <w:noProof/>
          <w:vertAlign w:val="superscript"/>
        </w:rPr>
        <w:t xml:space="preserve"> 22</w:t>
      </w:r>
      <w:r>
        <w:rPr>
          <w:rFonts w:cs="Times New Roman"/>
        </w:rPr>
        <w:t xml:space="preserve"> also report the </w:t>
      </w:r>
      <w:r w:rsidRPr="002D74C7">
        <w:rPr>
          <w:rFonts w:cs="Times New Roman"/>
        </w:rPr>
        <w:t>identifi</w:t>
      </w:r>
      <w:r>
        <w:rPr>
          <w:rFonts w:cs="Times New Roman"/>
        </w:rPr>
        <w:t>cation of a</w:t>
      </w:r>
      <w:r w:rsidRPr="002D74C7">
        <w:rPr>
          <w:rFonts w:cs="Times New Roman"/>
        </w:rPr>
        <w:t xml:space="preserve"> negative arrival</w:t>
      </w:r>
      <w:r>
        <w:rPr>
          <w:rFonts w:cs="Times New Roman"/>
        </w:rPr>
        <w:t xml:space="preserve"> at ~11 s in the RFs, which t</w:t>
      </w:r>
      <w:r w:rsidRPr="002D74C7">
        <w:rPr>
          <w:rFonts w:cs="Times New Roman"/>
        </w:rPr>
        <w:t xml:space="preserve">hey </w:t>
      </w:r>
      <w:r>
        <w:rPr>
          <w:rFonts w:cs="Times New Roman"/>
        </w:rPr>
        <w:t>interpret</w:t>
      </w:r>
      <w:r w:rsidRPr="002D74C7">
        <w:rPr>
          <w:rFonts w:cs="Times New Roman"/>
        </w:rPr>
        <w:t xml:space="preserve"> it as a P</w:t>
      </w:r>
      <w:r>
        <w:rPr>
          <w:rFonts w:cs="Times New Roman"/>
        </w:rPr>
        <w:t>-to-S</w:t>
      </w:r>
      <w:r w:rsidRPr="002D74C7">
        <w:rPr>
          <w:rFonts w:cs="Times New Roman"/>
        </w:rPr>
        <w:t xml:space="preserve"> </w:t>
      </w:r>
      <w:r>
        <w:rPr>
          <w:rFonts w:cs="Times New Roman"/>
        </w:rPr>
        <w:t>conversion</w:t>
      </w:r>
      <w:r w:rsidRPr="002D74C7">
        <w:rPr>
          <w:rFonts w:cs="Times New Roman"/>
        </w:rPr>
        <w:t xml:space="preserve"> </w:t>
      </w:r>
      <w:r>
        <w:rPr>
          <w:rFonts w:cs="Times New Roman"/>
        </w:rPr>
        <w:t>from a</w:t>
      </w:r>
      <w:r w:rsidRPr="002D74C7">
        <w:rPr>
          <w:rFonts w:cs="Times New Roman"/>
        </w:rPr>
        <w:t xml:space="preserve"> LVZ </w:t>
      </w:r>
      <w:r>
        <w:rPr>
          <w:rFonts w:cs="Times New Roman"/>
        </w:rPr>
        <w:t>at</w:t>
      </w:r>
      <w:r w:rsidRPr="002D74C7">
        <w:rPr>
          <w:rFonts w:cs="Times New Roman"/>
        </w:rPr>
        <w:t xml:space="preserve"> a depth of ~70–75 km</w:t>
      </w:r>
      <w:r>
        <w:rPr>
          <w:rFonts w:cs="Times New Roman"/>
        </w:rPr>
        <w:t>. They</w:t>
      </w:r>
      <w:r w:rsidRPr="002D74C7">
        <w:rPr>
          <w:rFonts w:cs="Times New Roman"/>
        </w:rPr>
        <w:t xml:space="preserve"> </w:t>
      </w:r>
      <w:r>
        <w:rPr>
          <w:rFonts w:cs="Times New Roman"/>
        </w:rPr>
        <w:t>discount</w:t>
      </w:r>
      <w:r w:rsidRPr="002D74C7">
        <w:rPr>
          <w:rFonts w:cs="Times New Roman"/>
        </w:rPr>
        <w:t xml:space="preserve"> the possibility </w:t>
      </w:r>
      <w:r>
        <w:rPr>
          <w:rFonts w:cs="Times New Roman"/>
        </w:rPr>
        <w:t xml:space="preserve">that this negative phase corresponds to crustal multiples (e.g., </w:t>
      </w:r>
      <w:proofErr w:type="spellStart"/>
      <w:r w:rsidRPr="002D74C7">
        <w:rPr>
          <w:rFonts w:cs="Times New Roman"/>
        </w:rPr>
        <w:t>PpSs</w:t>
      </w:r>
      <w:proofErr w:type="spellEnd"/>
      <w:r w:rsidRPr="002D74C7">
        <w:rPr>
          <w:rFonts w:cs="Times New Roman"/>
        </w:rPr>
        <w:t xml:space="preserve"> </w:t>
      </w:r>
      <w:r>
        <w:rPr>
          <w:rFonts w:cs="Times New Roman"/>
        </w:rPr>
        <w:t xml:space="preserve">or </w:t>
      </w:r>
      <w:proofErr w:type="spellStart"/>
      <w:r>
        <w:rPr>
          <w:rFonts w:cs="Times New Roman"/>
        </w:rPr>
        <w:t>PsPs</w:t>
      </w:r>
      <w:proofErr w:type="spellEnd"/>
      <w:r>
        <w:rPr>
          <w:rFonts w:cs="Times New Roman"/>
        </w:rPr>
        <w:t>) from</w:t>
      </w:r>
      <w:r w:rsidRPr="002D74C7">
        <w:rPr>
          <w:rFonts w:cs="Times New Roman"/>
        </w:rPr>
        <w:t xml:space="preserve"> the ~8</w:t>
      </w:r>
      <w:r>
        <w:rPr>
          <w:rFonts w:cs="Times New Roman"/>
        </w:rPr>
        <w:t>–10</w:t>
      </w:r>
      <w:r w:rsidRPr="002D74C7">
        <w:rPr>
          <w:rFonts w:cs="Times New Roman"/>
        </w:rPr>
        <w:t xml:space="preserve"> km discontinuity.</w:t>
      </w:r>
      <w:r>
        <w:rPr>
          <w:rFonts w:cs="Times New Roman"/>
        </w:rPr>
        <w:t xml:space="preserve"> To further investigate this, we compute the RFs and differential travel times for crustal multiples using three- and four-layer Martian crustal models in previous studies</w:t>
      </w:r>
      <w:r w:rsidRPr="00B11BE5">
        <w:rPr>
          <w:rFonts w:cs="Times New Roman"/>
          <w:noProof/>
          <w:vertAlign w:val="superscript"/>
        </w:rPr>
        <w:t>22,24,25,28-30</w:t>
      </w:r>
      <w:r>
        <w:rPr>
          <w:rFonts w:cs="Times New Roman"/>
        </w:rPr>
        <w:t xml:space="preserve">, and compare the results with our observations. None of the existing models successfully reproduces the negative phases observed at both ~11 s and ~31 s </w:t>
      </w:r>
      <w:r w:rsidRPr="00946F67">
        <w:rPr>
          <w:rFonts w:cs="Times New Roman"/>
          <w:color w:val="FF0000"/>
        </w:rPr>
        <w:t>(</w:t>
      </w:r>
      <w:r>
        <w:rPr>
          <w:rFonts w:cs="Times New Roman"/>
          <w:color w:val="FF0000"/>
        </w:rPr>
        <w:t>Supplementary Fig. 4a–b</w:t>
      </w:r>
      <w:r w:rsidRPr="00946F67">
        <w:rPr>
          <w:rFonts w:cs="Times New Roman"/>
          <w:color w:val="FF0000"/>
        </w:rPr>
        <w:t>)</w:t>
      </w:r>
      <w:r>
        <w:rPr>
          <w:rFonts w:cs="Times New Roman"/>
        </w:rPr>
        <w:t xml:space="preserve">. Specifically, the </w:t>
      </w:r>
      <w:proofErr w:type="spellStart"/>
      <w:r>
        <w:rPr>
          <w:rFonts w:cs="Times New Roman"/>
        </w:rPr>
        <w:t>PpSs</w:t>
      </w:r>
      <w:proofErr w:type="spellEnd"/>
      <w:r>
        <w:rPr>
          <w:rFonts w:cs="Times New Roman"/>
        </w:rPr>
        <w:t xml:space="preserve"> or </w:t>
      </w:r>
      <w:proofErr w:type="spellStart"/>
      <w:r>
        <w:rPr>
          <w:rFonts w:cs="Times New Roman"/>
        </w:rPr>
        <w:t>PsPs</w:t>
      </w:r>
      <w:proofErr w:type="spellEnd"/>
      <w:r>
        <w:rPr>
          <w:rFonts w:cs="Times New Roman"/>
        </w:rPr>
        <w:t xml:space="preserve"> converted at the ~8–10 km discontinuity arrives ~9–10 s after the direct P wave, earlier than the observed negative phase at ~11 s. Moreover, the amplitude of this crustal multiple is highly model dependent. Three-layer crustal models produce distinct and strong negative arrivals at ~9 s. In contrast, four-layer crustal models, either incorporating a shallow interface at ~2–4 km depth or a gradient uppermost crustal structure, predict weak amplitudes of this phase. The lack of pronounced negative multiples at ~9 s in the observed RFs supports the preference for a four-layer crustal structure beneath the InSight landing site. However, aside from the model proposed by ref.</w:t>
      </w:r>
      <w:r w:rsidRPr="00B11BE5">
        <w:rPr>
          <w:rFonts w:cs="Times New Roman"/>
          <w:noProof/>
          <w:vertAlign w:val="superscript"/>
        </w:rPr>
        <w:t xml:space="preserve"> 22</w:t>
      </w:r>
      <w:r>
        <w:rPr>
          <w:rFonts w:cs="Times New Roman"/>
        </w:rPr>
        <w:t xml:space="preserve">, which includes a RF time window to 30 s in the inversion, none of the previously published crustal models adequately fit for the observed RFs beyond 10 s, especially for the negative arrivals at ~11 s and ~31 s </w:t>
      </w:r>
      <w:r w:rsidRPr="00946F67">
        <w:rPr>
          <w:rFonts w:cs="Times New Roman"/>
          <w:color w:val="FF0000"/>
        </w:rPr>
        <w:t>(</w:t>
      </w:r>
      <w:r>
        <w:rPr>
          <w:rFonts w:cs="Times New Roman"/>
          <w:color w:val="FF0000"/>
        </w:rPr>
        <w:t>Supplementary Fig. 4a</w:t>
      </w:r>
      <w:r w:rsidRPr="00946F67">
        <w:rPr>
          <w:rFonts w:cs="Times New Roman"/>
          <w:color w:val="FF0000"/>
        </w:rPr>
        <w:t>)</w:t>
      </w:r>
      <w:r>
        <w:rPr>
          <w:rFonts w:cs="Times New Roman"/>
        </w:rPr>
        <w:t>.</w:t>
      </w:r>
    </w:p>
    <w:p w14:paraId="2C9131B1" w14:textId="77777777" w:rsidR="007F6E00" w:rsidRDefault="007F6E00" w:rsidP="00F66CEE">
      <w:pPr>
        <w:tabs>
          <w:tab w:val="center" w:pos="4080"/>
          <w:tab w:val="right" w:pos="8160"/>
        </w:tabs>
        <w:ind w:firstLineChars="200" w:firstLine="480"/>
        <w:rPr>
          <w:rFonts w:cs="Times New Roman"/>
        </w:rPr>
      </w:pPr>
      <w:r>
        <w:rPr>
          <w:rFonts w:cs="Times New Roman"/>
        </w:rPr>
        <w:t xml:space="preserve">An alternative explanation for the observed negative phase at 11 s is that it </w:t>
      </w:r>
      <w:r>
        <w:rPr>
          <w:rFonts w:cs="Times New Roman"/>
        </w:rPr>
        <w:lastRenderedPageBreak/>
        <w:t>represents a multiple (</w:t>
      </w:r>
      <w:proofErr w:type="spellStart"/>
      <w:r>
        <w:rPr>
          <w:rFonts w:cs="Times New Roman" w:hint="eastAsia"/>
        </w:rPr>
        <w:t>P</w:t>
      </w:r>
      <w:r>
        <w:rPr>
          <w:rFonts w:cs="Times New Roman"/>
        </w:rPr>
        <w:t>pPs</w:t>
      </w:r>
      <w:proofErr w:type="spellEnd"/>
      <w:r>
        <w:rPr>
          <w:rFonts w:cs="Times New Roman"/>
        </w:rPr>
        <w:t xml:space="preserve">) converted at an </w:t>
      </w:r>
      <w:proofErr w:type="spellStart"/>
      <w:r>
        <w:rPr>
          <w:rFonts w:cs="Times New Roman"/>
        </w:rPr>
        <w:t>intracrustal</w:t>
      </w:r>
      <w:proofErr w:type="spellEnd"/>
      <w:r>
        <w:rPr>
          <w:rFonts w:cs="Times New Roman"/>
        </w:rPr>
        <w:t xml:space="preserve"> LVZ. In this case, the associated direct conversion (Ps) would arrive at ~3–4 s after the P wave with a negative polarity, potentially obscured between the two observed positive phases at </w:t>
      </w:r>
      <w:r w:rsidRPr="002D74C7">
        <w:rPr>
          <w:rFonts w:cs="Times New Roman"/>
        </w:rPr>
        <w:t>2.4 s</w:t>
      </w:r>
      <w:r>
        <w:rPr>
          <w:rFonts w:cs="Times New Roman"/>
        </w:rPr>
        <w:t xml:space="preserve"> and</w:t>
      </w:r>
      <w:r w:rsidRPr="002D74C7">
        <w:rPr>
          <w:rFonts w:cs="Times New Roman"/>
        </w:rPr>
        <w:t xml:space="preserve"> 4.7</w:t>
      </w:r>
      <w:r>
        <w:rPr>
          <w:rFonts w:cs="Times New Roman"/>
        </w:rPr>
        <w:t xml:space="preserve"> s. This would imply a mid-crust LVZ between the ~10-km and ~20-km interfaces. However, RF inversion results for such a five-layer crust suggests </w:t>
      </w:r>
      <w:r>
        <w:t>unrealistically</w:t>
      </w:r>
      <w:r>
        <w:rPr>
          <w:rFonts w:cs="Times New Roman"/>
        </w:rPr>
        <w:t xml:space="preserve"> low velocities in the lower crust and also fails to produce the observed negative phase at 31 s </w:t>
      </w:r>
      <w:r w:rsidRPr="004F3D54">
        <w:rPr>
          <w:rFonts w:cs="Times New Roman"/>
          <w:color w:val="FF0000"/>
        </w:rPr>
        <w:t>(</w:t>
      </w:r>
      <w:r>
        <w:rPr>
          <w:rFonts w:cs="Times New Roman"/>
          <w:color w:val="FF0000"/>
        </w:rPr>
        <w:t>Supplementary Text 4.2</w:t>
      </w:r>
      <w:r w:rsidRPr="004F3D54">
        <w:rPr>
          <w:rFonts w:cs="Times New Roman"/>
          <w:color w:val="FF0000"/>
        </w:rPr>
        <w:t>)</w:t>
      </w:r>
      <w:r>
        <w:rPr>
          <w:rFonts w:cs="Times New Roman"/>
        </w:rPr>
        <w:t>.</w:t>
      </w:r>
      <w:r w:rsidRPr="002D74C7">
        <w:rPr>
          <w:rFonts w:cs="Times New Roman"/>
        </w:rPr>
        <w:t xml:space="preserve"> </w:t>
      </w:r>
      <w:r>
        <w:rPr>
          <w:rFonts w:cs="Times New Roman"/>
        </w:rPr>
        <w:t xml:space="preserve">In summary, we interpret the negative arrivals at ~ 11 s and ~31 s as deeper mantle conversions rather than crustal multiple reflections </w:t>
      </w:r>
      <w:r w:rsidRPr="00786205">
        <w:rPr>
          <w:rFonts w:cs="Times New Roman"/>
          <w:color w:val="FF0000"/>
        </w:rPr>
        <w:t>(</w:t>
      </w:r>
      <w:r>
        <w:rPr>
          <w:rFonts w:cs="Times New Roman"/>
          <w:color w:val="FF0000"/>
        </w:rPr>
        <w:t>Supplementary Fig. 4</w:t>
      </w:r>
      <w:r w:rsidRPr="00786205">
        <w:rPr>
          <w:rFonts w:cs="Times New Roman"/>
          <w:color w:val="FF0000"/>
        </w:rPr>
        <w:t>c)</w:t>
      </w:r>
      <w:r>
        <w:rPr>
          <w:rFonts w:cs="Times New Roman"/>
        </w:rPr>
        <w:t>, highlighting the need for further investigations into the upper mantle structure.</w:t>
      </w:r>
    </w:p>
    <w:p w14:paraId="592C22F3" w14:textId="77777777" w:rsidR="007F6E00" w:rsidRDefault="007F6E00">
      <w:pPr>
        <w:widowControl/>
        <w:spacing w:line="240" w:lineRule="auto"/>
        <w:jc w:val="left"/>
        <w:rPr>
          <w:rFonts w:cs="Times New Roman"/>
        </w:rPr>
      </w:pPr>
      <w:r>
        <w:rPr>
          <w:rFonts w:cs="Times New Roman"/>
        </w:rPr>
        <w:br w:type="page"/>
      </w:r>
    </w:p>
    <w:p w14:paraId="0D45A157" w14:textId="77777777" w:rsidR="007F6E00" w:rsidRDefault="007F6E00" w:rsidP="00F66CEE">
      <w:pPr>
        <w:tabs>
          <w:tab w:val="center" w:pos="4080"/>
          <w:tab w:val="right" w:pos="8160"/>
        </w:tabs>
        <w:spacing w:line="240" w:lineRule="auto"/>
        <w:jc w:val="center"/>
        <w:rPr>
          <w:rFonts w:cs="Times New Roman"/>
        </w:rPr>
      </w:pPr>
      <w:r>
        <w:rPr>
          <w:rFonts w:cs="Times New Roman"/>
          <w:noProof/>
        </w:rPr>
        <w:lastRenderedPageBreak/>
        <w:drawing>
          <wp:inline distT="0" distB="0" distL="0" distR="0" wp14:anchorId="43E35178" wp14:editId="02B93028">
            <wp:extent cx="4320000" cy="4349126"/>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320000" cy="4349126"/>
                    </a:xfrm>
                    <a:prstGeom prst="rect">
                      <a:avLst/>
                    </a:prstGeom>
                  </pic:spPr>
                </pic:pic>
              </a:graphicData>
            </a:graphic>
          </wp:inline>
        </w:drawing>
      </w:r>
    </w:p>
    <w:p w14:paraId="434B5102" w14:textId="77777777" w:rsidR="007F6E00" w:rsidRDefault="007F6E00" w:rsidP="00F66CEE">
      <w:pPr>
        <w:tabs>
          <w:tab w:val="center" w:pos="4080"/>
          <w:tab w:val="right" w:pos="8160"/>
        </w:tabs>
        <w:spacing w:line="240" w:lineRule="auto"/>
        <w:rPr>
          <w:rFonts w:cs="Times New Roman"/>
        </w:rPr>
      </w:pPr>
      <w:r>
        <w:rPr>
          <w:rFonts w:hint="eastAsia"/>
          <w:b/>
          <w:bCs/>
        </w:rPr>
        <w:t>Supplementary Fig. 4</w:t>
      </w:r>
      <w:r w:rsidRPr="000D5F60">
        <w:rPr>
          <w:b/>
          <w:bCs/>
        </w:rPr>
        <w:t xml:space="preserve"> | Comparison of the negative phase in RF with crustal multiples. </w:t>
      </w:r>
      <w:r>
        <w:rPr>
          <w:rFonts w:cs="Times New Roman"/>
        </w:rPr>
        <w:t>(a) Observed mean RF in this study (</w:t>
      </w:r>
      <w:proofErr w:type="spellStart"/>
      <w:r>
        <w:rPr>
          <w:rFonts w:cs="Times New Roman"/>
        </w:rPr>
        <w:t>Obs</w:t>
      </w:r>
      <w:proofErr w:type="spellEnd"/>
      <w:r>
        <w:rPr>
          <w:rFonts w:cs="Times New Roman"/>
        </w:rPr>
        <w:t xml:space="preserve">) and synthetic RFs calculated using published three- and four-layer crustal models from refs. </w:t>
      </w:r>
      <w:r w:rsidRPr="00B11BE5">
        <w:rPr>
          <w:rFonts w:cs="Times New Roman"/>
          <w:noProof/>
          <w:vertAlign w:val="superscript"/>
        </w:rPr>
        <w:t>25</w:t>
      </w:r>
      <w:r>
        <w:rPr>
          <w:rFonts w:cs="Times New Roman"/>
        </w:rPr>
        <w:t xml:space="preserve"> (K21), </w:t>
      </w:r>
      <w:r w:rsidRPr="00B11BE5">
        <w:rPr>
          <w:rFonts w:cs="Times New Roman"/>
          <w:noProof/>
          <w:vertAlign w:val="superscript"/>
        </w:rPr>
        <w:t>28</w:t>
      </w:r>
      <w:r>
        <w:rPr>
          <w:rFonts w:cs="Times New Roman"/>
        </w:rPr>
        <w:t xml:space="preserve"> (D22), </w:t>
      </w:r>
      <w:r w:rsidRPr="00B11BE5">
        <w:rPr>
          <w:rFonts w:cs="Times New Roman"/>
          <w:noProof/>
          <w:vertAlign w:val="superscript"/>
        </w:rPr>
        <w:t>22</w:t>
      </w:r>
      <w:r>
        <w:rPr>
          <w:rFonts w:cs="Times New Roman"/>
        </w:rPr>
        <w:t xml:space="preserve"> (J23), </w:t>
      </w:r>
      <w:r w:rsidRPr="00B11BE5">
        <w:rPr>
          <w:rFonts w:cs="Times New Roman"/>
          <w:noProof/>
          <w:vertAlign w:val="superscript"/>
        </w:rPr>
        <w:t>29</w:t>
      </w:r>
      <w:r>
        <w:rPr>
          <w:rFonts w:cs="Times New Roman"/>
        </w:rPr>
        <w:t xml:space="preserve"> (C23), </w:t>
      </w:r>
      <w:r w:rsidRPr="00B11BE5">
        <w:rPr>
          <w:rFonts w:cs="Times New Roman"/>
          <w:noProof/>
          <w:vertAlign w:val="superscript"/>
        </w:rPr>
        <w:t>24</w:t>
      </w:r>
      <w:r>
        <w:rPr>
          <w:rFonts w:cs="Times New Roman"/>
        </w:rPr>
        <w:t xml:space="preserve"> (D23_SM and D23_GM), and </w:t>
      </w:r>
      <w:r w:rsidRPr="00B11BE5">
        <w:rPr>
          <w:rFonts w:cs="Times New Roman"/>
          <w:noProof/>
          <w:vertAlign w:val="superscript"/>
        </w:rPr>
        <w:t>30</w:t>
      </w:r>
      <w:r>
        <w:rPr>
          <w:rFonts w:cs="Times New Roman"/>
        </w:rPr>
        <w:t xml:space="preserve"> (Dr23). Black triangles mark the observed negative phases at ~11 s and ~31 s. Colored triangles indicate predicted arrivals of crustal multiples from the 8–10 km interface (PpS</w:t>
      </w:r>
      <w:r w:rsidRPr="006B4A35">
        <w:rPr>
          <w:rFonts w:cs="Times New Roman"/>
          <w:vertAlign w:val="subscript"/>
        </w:rPr>
        <w:t>2</w:t>
      </w:r>
      <w:r>
        <w:rPr>
          <w:rFonts w:cs="Times New Roman"/>
        </w:rPr>
        <w:t>s and P</w:t>
      </w:r>
      <w:r w:rsidRPr="006B4A35">
        <w:rPr>
          <w:rFonts w:cs="Times New Roman"/>
          <w:vertAlign w:val="subscript"/>
        </w:rPr>
        <w:t>2</w:t>
      </w:r>
      <w:r>
        <w:rPr>
          <w:rFonts w:cs="Times New Roman"/>
        </w:rPr>
        <w:t xml:space="preserve">sPs). (b) </w:t>
      </w:r>
      <w:r w:rsidRPr="00731FB0">
        <w:rPr>
          <w:rFonts w:cs="Times New Roman"/>
          <w:i/>
          <w:iCs/>
        </w:rPr>
        <w:t>Vs</w:t>
      </w:r>
      <w:r>
        <w:rPr>
          <w:rFonts w:cs="Times New Roman"/>
        </w:rPr>
        <w:t xml:space="preserve"> structures of the Martian crustal models derived from previous RF inversions. Dashed lines represent the three-layer-crust model, while solid lines denote the four-layer-crust model. (c) Ray paths of crustal multiples (PpS</w:t>
      </w:r>
      <w:r w:rsidRPr="006B4A35">
        <w:rPr>
          <w:rFonts w:cs="Times New Roman"/>
          <w:vertAlign w:val="subscript"/>
        </w:rPr>
        <w:t>2</w:t>
      </w:r>
      <w:r>
        <w:rPr>
          <w:rFonts w:cs="Times New Roman"/>
        </w:rPr>
        <w:t>s and P</w:t>
      </w:r>
      <w:r w:rsidRPr="006B4A35">
        <w:rPr>
          <w:rFonts w:cs="Times New Roman"/>
          <w:vertAlign w:val="subscript"/>
        </w:rPr>
        <w:t>2</w:t>
      </w:r>
      <w:r>
        <w:rPr>
          <w:rFonts w:cs="Times New Roman"/>
        </w:rPr>
        <w:t>sPs), the Ps phase converted at the top of LVZ (P</w:t>
      </w:r>
      <w:r w:rsidRPr="00A37102">
        <w:rPr>
          <w:rFonts w:cs="Times New Roman"/>
          <w:vertAlign w:val="subscript"/>
        </w:rPr>
        <w:t>5</w:t>
      </w:r>
      <w:r>
        <w:rPr>
          <w:rFonts w:cs="Times New Roman"/>
        </w:rPr>
        <w:t>s), and its multiple (PpP</w:t>
      </w:r>
      <w:r w:rsidRPr="00A37102">
        <w:rPr>
          <w:rFonts w:cs="Times New Roman"/>
          <w:vertAlign w:val="subscript"/>
        </w:rPr>
        <w:t>5</w:t>
      </w:r>
      <w:r>
        <w:rPr>
          <w:rFonts w:cs="Times New Roman"/>
        </w:rPr>
        <w:t>s). Solid lines indicate the P wave segments; dashed lines indicate converted S wave segments. Numbers represent the index of crustal and upper mantle interfaces.</w:t>
      </w:r>
    </w:p>
    <w:p w14:paraId="3B6FA1BA" w14:textId="77777777" w:rsidR="007F6E00" w:rsidRDefault="007F6E00">
      <w:pPr>
        <w:widowControl/>
        <w:spacing w:line="240" w:lineRule="auto"/>
        <w:jc w:val="left"/>
        <w:rPr>
          <w:rFonts w:cs="Times New Roman"/>
        </w:rPr>
      </w:pPr>
      <w:r>
        <w:rPr>
          <w:rFonts w:cs="Times New Roman"/>
        </w:rPr>
        <w:br w:type="page"/>
      </w:r>
    </w:p>
    <w:p w14:paraId="449C3AE8" w14:textId="77777777" w:rsidR="007F6E00" w:rsidRPr="00F83665" w:rsidRDefault="007F6E00" w:rsidP="00690290">
      <w:pPr>
        <w:pStyle w:val="1"/>
      </w:pPr>
      <w:bookmarkStart w:id="10" w:name="_Toc202208114"/>
      <w:r>
        <w:lastRenderedPageBreak/>
        <w:t>3.</w:t>
      </w:r>
      <w:r w:rsidRPr="00F83665">
        <w:t xml:space="preserve"> </w:t>
      </w:r>
      <w:r>
        <w:t>P</w:t>
      </w:r>
      <w:r w:rsidRPr="00F83665">
        <w:t xml:space="preserve">hase picking </w:t>
      </w:r>
      <w:r>
        <w:t>of PP/SS precursors</w:t>
      </w:r>
      <w:bookmarkEnd w:id="10"/>
    </w:p>
    <w:p w14:paraId="388CA40F" w14:textId="77777777" w:rsidR="007F6E00" w:rsidRPr="00F83665" w:rsidRDefault="007F6E00" w:rsidP="00690290">
      <w:pPr>
        <w:pStyle w:val="2"/>
      </w:pPr>
      <w:bookmarkStart w:id="11" w:name="_Toc202208115"/>
      <w:r>
        <w:t>3</w:t>
      </w:r>
      <w:r w:rsidRPr="00F83665">
        <w:t>.1. SS precursors of event S0976a</w:t>
      </w:r>
      <w:bookmarkEnd w:id="11"/>
    </w:p>
    <w:p w14:paraId="067E9BC2" w14:textId="77777777" w:rsidR="007F6E00" w:rsidRDefault="007F6E00" w:rsidP="00CF5FBF">
      <w:pPr>
        <w:tabs>
          <w:tab w:val="center" w:pos="4080"/>
          <w:tab w:val="right" w:pos="8160"/>
        </w:tabs>
        <w:ind w:firstLineChars="200" w:firstLine="480"/>
        <w:rPr>
          <w:rFonts w:cs="Times New Roman"/>
        </w:rPr>
      </w:pPr>
      <w:r w:rsidRPr="002D74C7">
        <w:rPr>
          <w:rFonts w:cs="Times New Roman"/>
        </w:rPr>
        <w:t xml:space="preserve">We </w:t>
      </w:r>
      <w:r>
        <w:rPr>
          <w:rFonts w:cs="Times New Roman"/>
        </w:rPr>
        <w:t>analyze</w:t>
      </w:r>
      <w:r w:rsidRPr="002D74C7">
        <w:rPr>
          <w:rFonts w:cs="Times New Roman"/>
        </w:rPr>
        <w:t xml:space="preserve"> the transverse component displacement waveform to detect SS precursor phases</w:t>
      </w:r>
      <w:r>
        <w:rPr>
          <w:rFonts w:cs="Times New Roman"/>
        </w:rPr>
        <w:t xml:space="preserve"> from event S0976a</w:t>
      </w:r>
      <w:r w:rsidRPr="002D74C7">
        <w:rPr>
          <w:rFonts w:cs="Times New Roman"/>
        </w:rPr>
        <w:t xml:space="preserve">. Considering the location uncertainties, we </w:t>
      </w:r>
      <w:r>
        <w:rPr>
          <w:rFonts w:cs="Times New Roman"/>
        </w:rPr>
        <w:t>consider</w:t>
      </w:r>
      <w:r w:rsidRPr="002D74C7">
        <w:rPr>
          <w:rFonts w:cs="Times New Roman"/>
        </w:rPr>
        <w:t xml:space="preserve"> five back azimuth values</w:t>
      </w:r>
      <w:r>
        <w:rPr>
          <w:rFonts w:cs="Times New Roman"/>
        </w:rPr>
        <w:t xml:space="preserve"> evenly spaced within the </w:t>
      </w:r>
      <w:r w:rsidRPr="002D74C7">
        <w:rPr>
          <w:rFonts w:cs="Times New Roman"/>
        </w:rPr>
        <w:t>3</w:t>
      </w:r>
      <w:r w:rsidRPr="002D74C7">
        <w:rPr>
          <w:rFonts w:eastAsia="DengXian" w:cs="Times New Roman"/>
        </w:rPr>
        <w:t>σ</w:t>
      </w:r>
      <w:r w:rsidRPr="002D74C7">
        <w:rPr>
          <w:rFonts w:cs="Times New Roman"/>
        </w:rPr>
        <w:t xml:space="preserve"> </w:t>
      </w:r>
      <w:r>
        <w:rPr>
          <w:rFonts w:cs="Times New Roman"/>
        </w:rPr>
        <w:t xml:space="preserve">uncertainty </w:t>
      </w:r>
      <w:r w:rsidRPr="002D74C7">
        <w:rPr>
          <w:rFonts w:cs="Times New Roman"/>
        </w:rPr>
        <w:t>range</w:t>
      </w:r>
      <w:r>
        <w:rPr>
          <w:rFonts w:cs="Times New Roman"/>
        </w:rPr>
        <w:t xml:space="preserve"> of 91.08</w:t>
      </w:r>
      <w:r w:rsidRPr="002D74C7">
        <w:rPr>
          <w:rFonts w:cs="Times New Roman"/>
        </w:rPr>
        <w:t>º</w:t>
      </w:r>
      <w:r>
        <w:rPr>
          <w:rFonts w:cs="Times New Roman"/>
        </w:rPr>
        <w:t xml:space="preserve"> to 104.16</w:t>
      </w:r>
      <w:r w:rsidRPr="002D74C7">
        <w:rPr>
          <w:rFonts w:cs="Times New Roman"/>
        </w:rPr>
        <w:t>º</w:t>
      </w:r>
      <w:r>
        <w:rPr>
          <w:rFonts w:cs="Times New Roman"/>
        </w:rPr>
        <w:t>. D</w:t>
      </w:r>
      <w:r w:rsidRPr="002D74C7">
        <w:rPr>
          <w:rFonts w:cs="Times New Roman"/>
        </w:rPr>
        <w:t>ifferent corner frequencies for bandpass filtering</w:t>
      </w:r>
      <w:r>
        <w:rPr>
          <w:rFonts w:cs="Times New Roman"/>
        </w:rPr>
        <w:t xml:space="preserve"> are applied</w:t>
      </w:r>
      <w:r w:rsidRPr="002D74C7">
        <w:rPr>
          <w:rFonts w:cs="Times New Roman"/>
        </w:rPr>
        <w:t>, followed by a polarization filter</w:t>
      </w:r>
      <w:r>
        <w:rPr>
          <w:rFonts w:cs="Times New Roman"/>
        </w:rPr>
        <w:t xml:space="preserve"> </w:t>
      </w:r>
      <w:r w:rsidRPr="00D66FC2">
        <w:rPr>
          <w:rFonts w:cs="Times New Roman"/>
          <w:color w:val="FF0000"/>
        </w:rPr>
        <w:t>(</w:t>
      </w:r>
      <w:r>
        <w:rPr>
          <w:rFonts w:cs="Times New Roman"/>
          <w:color w:val="FF0000"/>
        </w:rPr>
        <w:t>Supplementary Fig. 5</w:t>
      </w:r>
      <w:r w:rsidRPr="00D66FC2">
        <w:rPr>
          <w:rFonts w:cs="Times New Roman"/>
          <w:color w:val="FF0000"/>
        </w:rPr>
        <w:t>)</w:t>
      </w:r>
      <w:r>
        <w:rPr>
          <w:rFonts w:cs="Times New Roman"/>
        </w:rPr>
        <w:t>.</w:t>
      </w:r>
      <w:r>
        <w:rPr>
          <w:rFonts w:cs="Times New Roman" w:hint="eastAsia"/>
          <w:color w:val="FF0000"/>
        </w:rPr>
        <w:t xml:space="preserve"> Supplementary Fig. 6</w:t>
      </w:r>
      <w:r>
        <w:rPr>
          <w:rFonts w:cs="Times New Roman"/>
        </w:rPr>
        <w:t xml:space="preserve"> </w:t>
      </w:r>
      <w:r w:rsidRPr="002D74C7">
        <w:rPr>
          <w:rFonts w:cs="Times New Roman"/>
        </w:rPr>
        <w:t>shows an example of waveform matching within a 3.0–6.5 s band. For this analysis, we use the filtered waveform from -6 s to 8</w:t>
      </w:r>
      <w:r>
        <w:rPr>
          <w:rFonts w:cs="Times New Roman"/>
        </w:rPr>
        <w:t xml:space="preserve"> </w:t>
      </w:r>
      <w:r w:rsidRPr="002D74C7">
        <w:rPr>
          <w:rFonts w:cs="Times New Roman"/>
        </w:rPr>
        <w:t xml:space="preserve">s relative to the SS peak as the template. </w:t>
      </w:r>
      <w:r>
        <w:rPr>
          <w:rFonts w:cs="Times New Roman"/>
        </w:rPr>
        <w:t xml:space="preserve">Using a threshold </w:t>
      </w:r>
      <m:oMath>
        <m:sSub>
          <m:sSubPr>
            <m:ctrlPr>
              <w:rPr>
                <w:rFonts w:ascii="Cambria Math" w:hAnsi="Cambria Math" w:cs="Times New Roman"/>
              </w:rPr>
            </m:ctrlPr>
          </m:sSubPr>
          <m:e>
            <m:r>
              <w:rPr>
                <w:rFonts w:ascii="Cambria Math" w:hAnsi="Cambria Math" w:cs="Times New Roman"/>
              </w:rPr>
              <m:t>C</m:t>
            </m:r>
          </m:e>
          <m:sub>
            <m:r>
              <w:rPr>
                <w:rFonts w:ascii="Cambria Math" w:hAnsi="Cambria Math" w:cs="Times New Roman"/>
              </w:rPr>
              <m:t>lim</m:t>
            </m:r>
          </m:sub>
        </m:sSub>
      </m:oMath>
      <w:r w:rsidRPr="002D74C7">
        <w:rPr>
          <w:rFonts w:cs="Times New Roman"/>
        </w:rPr>
        <w:t xml:space="preserve"> of 0.6</w:t>
      </w:r>
      <w:r>
        <w:rPr>
          <w:rFonts w:cs="Times New Roman"/>
        </w:rPr>
        <w:t xml:space="preserve"> </w:t>
      </w:r>
      <w:r w:rsidRPr="00F66CEE">
        <w:rPr>
          <w:rFonts w:cs="Times New Roman"/>
          <w:color w:val="FF0000"/>
        </w:rPr>
        <w:t>(Methods)</w:t>
      </w:r>
      <w:r w:rsidRPr="002D74C7">
        <w:rPr>
          <w:rFonts w:cs="Times New Roman"/>
        </w:rPr>
        <w:t>, we identify two potential precursor intervals, occurring ~19 s and ~40–50 s before the SS peak. Within these intervals, we observe waveforms that closely resemble the SS wave</w:t>
      </w:r>
      <w:r>
        <w:rPr>
          <w:rFonts w:cs="Times New Roman"/>
        </w:rPr>
        <w:t>form</w:t>
      </w:r>
      <w:r w:rsidRPr="002D74C7">
        <w:rPr>
          <w:rFonts w:cs="Times New Roman"/>
        </w:rPr>
        <w:t xml:space="preserve">, exhibiting alternating positive and negative </w:t>
      </w:r>
      <w:r w:rsidRPr="002D74C7">
        <w:rPr>
          <w:rFonts w:cs="Times New Roman"/>
          <w:i/>
        </w:rPr>
        <w:t>CC</w:t>
      </w:r>
      <w:r w:rsidRPr="002D74C7">
        <w:rPr>
          <w:rFonts w:cs="Times New Roman"/>
        </w:rPr>
        <w:t xml:space="preserve"> peaks. This pattern is indicative of the cycle skipping, which could potentially lead to a false precursor pick. </w:t>
      </w:r>
      <w:r>
        <w:rPr>
          <w:rFonts w:cs="Times New Roman"/>
        </w:rPr>
        <w:t>After</w:t>
      </w:r>
      <w:r w:rsidRPr="002D74C7">
        <w:rPr>
          <w:rFonts w:cs="Times New Roman"/>
        </w:rPr>
        <w:t xml:space="preserve"> comparing results </w:t>
      </w:r>
      <w:r>
        <w:rPr>
          <w:rFonts w:cs="Times New Roman"/>
        </w:rPr>
        <w:t>across</w:t>
      </w:r>
      <w:r w:rsidRPr="002D74C7">
        <w:rPr>
          <w:rFonts w:cs="Times New Roman"/>
        </w:rPr>
        <w:t xml:space="preserve"> different frequency bands, </w:t>
      </w:r>
      <w:r>
        <w:rPr>
          <w:rFonts w:cs="Times New Roman"/>
        </w:rPr>
        <w:t xml:space="preserve">we identify consistent </w:t>
      </w:r>
      <w:r w:rsidRPr="002D74C7">
        <w:rPr>
          <w:rFonts w:cs="Times New Roman"/>
        </w:rPr>
        <w:t>peaks at -19.00 s and -46.55 s as two SS precursor signals</w:t>
      </w:r>
      <w:r>
        <w:rPr>
          <w:rFonts w:cs="Times New Roman"/>
        </w:rPr>
        <w:t xml:space="preserve">, while </w:t>
      </w:r>
      <w:r w:rsidRPr="00330951">
        <w:rPr>
          <w:rFonts w:cs="Times New Roman" w:hint="eastAsia"/>
          <w:i/>
          <w:iCs/>
        </w:rPr>
        <w:t>CC</w:t>
      </w:r>
      <w:r>
        <w:rPr>
          <w:rFonts w:cs="Times New Roman"/>
        </w:rPr>
        <w:t xml:space="preserve"> peaks </w:t>
      </w:r>
      <w:r w:rsidRPr="002D74C7">
        <w:rPr>
          <w:rFonts w:cs="Times New Roman"/>
        </w:rPr>
        <w:t xml:space="preserve">with </w:t>
      </w:r>
      <w:r>
        <w:rPr>
          <w:rFonts w:cs="Times New Roman"/>
        </w:rPr>
        <w:t xml:space="preserve">inverted </w:t>
      </w:r>
      <w:r w:rsidRPr="002D74C7">
        <w:rPr>
          <w:rFonts w:cs="Times New Roman"/>
        </w:rPr>
        <w:t xml:space="preserve">polarity </w:t>
      </w:r>
      <w:r>
        <w:rPr>
          <w:rFonts w:cs="Times New Roman"/>
        </w:rPr>
        <w:t xml:space="preserve">observed </w:t>
      </w:r>
      <w:r w:rsidRPr="002D74C7">
        <w:rPr>
          <w:rFonts w:cs="Times New Roman"/>
        </w:rPr>
        <w:t>at -21.3 s, and -44.1 s and -48.9 s</w:t>
      </w:r>
      <w:r>
        <w:rPr>
          <w:rFonts w:cs="Times New Roman"/>
        </w:rPr>
        <w:t xml:space="preserve"> are considered as corresponding </w:t>
      </w:r>
      <w:r w:rsidRPr="002D74C7">
        <w:rPr>
          <w:rFonts w:cs="Times New Roman"/>
        </w:rPr>
        <w:t>sidelobes.</w:t>
      </w:r>
      <w:r>
        <w:rPr>
          <w:rFonts w:cs="Times New Roman"/>
        </w:rPr>
        <w:t xml:space="preserve"> </w:t>
      </w:r>
      <w:r w:rsidRPr="002D74C7">
        <w:rPr>
          <w:rFonts w:cs="Times New Roman"/>
        </w:rPr>
        <w:t xml:space="preserve">In contrast to the </w:t>
      </w:r>
      <w:r>
        <w:rPr>
          <w:rFonts w:cs="Times New Roman"/>
        </w:rPr>
        <w:t>robust identification</w:t>
      </w:r>
      <w:r w:rsidRPr="002D74C7">
        <w:rPr>
          <w:rFonts w:cs="Times New Roman"/>
        </w:rPr>
        <w:t xml:space="preserve"> of the two SS precursors across all frequencies, other signals, such as the </w:t>
      </w:r>
      <w:r>
        <w:rPr>
          <w:rFonts w:cs="Times New Roman"/>
        </w:rPr>
        <w:t>arrivals</w:t>
      </w:r>
      <w:r w:rsidRPr="002D74C7">
        <w:rPr>
          <w:rFonts w:cs="Times New Roman"/>
        </w:rPr>
        <w:t xml:space="preserve"> from -3 s to -12 s, the negative pulse at -32.7 s, and the positive pulse at -39.5 s, are only prominent on a few limited frequency bands and/or show </w:t>
      </w:r>
      <w:r>
        <w:rPr>
          <w:rFonts w:cs="Times New Roman"/>
        </w:rPr>
        <w:t>considerable</w:t>
      </w:r>
      <w:r w:rsidRPr="002D74C7">
        <w:rPr>
          <w:rFonts w:cs="Times New Roman"/>
        </w:rPr>
        <w:t xml:space="preserve"> amplitude reduction after polarization filtering </w:t>
      </w:r>
      <w:r w:rsidRPr="00F83665">
        <w:rPr>
          <w:rFonts w:cs="Times New Roman"/>
          <w:color w:val="FF0000"/>
        </w:rPr>
        <w:t>(</w:t>
      </w:r>
      <w:r>
        <w:rPr>
          <w:rFonts w:cs="Times New Roman"/>
          <w:color w:val="FF0000"/>
        </w:rPr>
        <w:t>Supplementary Fig. 5</w:t>
      </w:r>
      <w:r w:rsidRPr="00F83665">
        <w:rPr>
          <w:rFonts w:cs="Times New Roman"/>
          <w:color w:val="FF0000"/>
        </w:rPr>
        <w:t>b–f)</w:t>
      </w:r>
      <w:r w:rsidRPr="002D74C7">
        <w:rPr>
          <w:rFonts w:cs="Times New Roman"/>
        </w:rPr>
        <w:t xml:space="preserve">. </w:t>
      </w:r>
      <w:r>
        <w:rPr>
          <w:rFonts w:cs="Times New Roman"/>
        </w:rPr>
        <w:t xml:space="preserve">Thus, </w:t>
      </w:r>
      <w:r>
        <w:rPr>
          <w:rFonts w:cs="Times New Roman"/>
        </w:rPr>
        <w:lastRenderedPageBreak/>
        <w:t>d</w:t>
      </w:r>
      <w:r w:rsidRPr="002D74C7">
        <w:rPr>
          <w:rFonts w:cs="Times New Roman"/>
        </w:rPr>
        <w:t xml:space="preserve">espite their high </w:t>
      </w:r>
      <w:r>
        <w:rPr>
          <w:rFonts w:cs="Times New Roman"/>
        </w:rPr>
        <w:t xml:space="preserve">waveform </w:t>
      </w:r>
      <w:r w:rsidRPr="002D74C7">
        <w:rPr>
          <w:rFonts w:cs="Times New Roman"/>
        </w:rPr>
        <w:t>similarities to the SS</w:t>
      </w:r>
      <w:r>
        <w:rPr>
          <w:rFonts w:cs="Times New Roman"/>
        </w:rPr>
        <w:t xml:space="preserve"> at certain frequencies</w:t>
      </w:r>
      <w:r w:rsidRPr="002D74C7">
        <w:rPr>
          <w:rFonts w:cs="Times New Roman"/>
        </w:rPr>
        <w:t xml:space="preserve">, they are not considered as </w:t>
      </w:r>
      <w:r>
        <w:rPr>
          <w:rFonts w:cs="Times New Roman"/>
        </w:rPr>
        <w:t xml:space="preserve">valid </w:t>
      </w:r>
      <w:r w:rsidRPr="002D74C7">
        <w:rPr>
          <w:rFonts w:cs="Times New Roman"/>
        </w:rPr>
        <w:t>SS precursors.</w:t>
      </w:r>
    </w:p>
    <w:p w14:paraId="422A1FD1" w14:textId="77777777" w:rsidR="007F6E00" w:rsidRDefault="007F6E00" w:rsidP="00CF5FBF">
      <w:pPr>
        <w:tabs>
          <w:tab w:val="center" w:pos="4080"/>
          <w:tab w:val="right" w:pos="8160"/>
        </w:tabs>
        <w:ind w:firstLineChars="200" w:firstLine="480"/>
        <w:rPr>
          <w:rFonts w:cs="Times New Roman"/>
        </w:rPr>
      </w:pPr>
      <w:r w:rsidRPr="00F83665">
        <w:rPr>
          <w:rFonts w:cs="Times New Roman"/>
        </w:rPr>
        <w:t xml:space="preserve">We further </w:t>
      </w:r>
      <w:r>
        <w:rPr>
          <w:rFonts w:cs="Times New Roman"/>
        </w:rPr>
        <w:t xml:space="preserve">evaluate </w:t>
      </w:r>
      <w:r w:rsidRPr="00F83665">
        <w:rPr>
          <w:rFonts w:cs="Times New Roman"/>
        </w:rPr>
        <w:t xml:space="preserve">the identified two SS precursors </w:t>
      </w:r>
      <w:r>
        <w:rPr>
          <w:rFonts w:cs="Times New Roman"/>
        </w:rPr>
        <w:t>by calculating</w:t>
      </w:r>
      <w:r w:rsidRPr="00F83665">
        <w:rPr>
          <w:rFonts w:cs="Times New Roman"/>
        </w:rPr>
        <w:t xml:space="preserve"> the probability density functions of </w:t>
      </w:r>
      <w:r>
        <w:rPr>
          <w:rFonts w:cs="Times New Roman"/>
        </w:rPr>
        <w:t xml:space="preserve">their </w:t>
      </w:r>
      <w:r w:rsidRPr="00F83665">
        <w:rPr>
          <w:rFonts w:cs="Times New Roman"/>
        </w:rPr>
        <w:t xml:space="preserve">delay times and amplitude ratios </w:t>
      </w:r>
      <w:r>
        <w:rPr>
          <w:rFonts w:cs="Times New Roman"/>
        </w:rPr>
        <w:t>relative</w:t>
      </w:r>
      <w:r w:rsidRPr="00F83665">
        <w:rPr>
          <w:rFonts w:cs="Times New Roman"/>
        </w:rPr>
        <w:t xml:space="preserve"> to the SS</w:t>
      </w:r>
      <w:r>
        <w:rPr>
          <w:rFonts w:cs="Times New Roman"/>
        </w:rPr>
        <w:t>,</w:t>
      </w:r>
      <w:r w:rsidRPr="00F83665">
        <w:rPr>
          <w:rFonts w:cs="Times New Roman"/>
        </w:rPr>
        <w:t xml:space="preserve"> by varying the back azimuth and corner frequencies of bandpass filtering </w:t>
      </w:r>
      <w:r w:rsidRPr="00F83665">
        <w:rPr>
          <w:rFonts w:cs="Times New Roman"/>
          <w:color w:val="FF0000"/>
        </w:rPr>
        <w:t>(</w:t>
      </w:r>
      <w:r>
        <w:rPr>
          <w:rFonts w:cs="Times New Roman"/>
          <w:color w:val="FF0000"/>
        </w:rPr>
        <w:t>Supplementary Fig. 7</w:t>
      </w:r>
      <w:r w:rsidRPr="00F83665">
        <w:rPr>
          <w:rFonts w:cs="Times New Roman"/>
          <w:color w:val="FF0000"/>
        </w:rPr>
        <w:t>b–</w:t>
      </w:r>
      <w:r>
        <w:rPr>
          <w:rFonts w:cs="Times New Roman"/>
          <w:color w:val="FF0000"/>
        </w:rPr>
        <w:t>c</w:t>
      </w:r>
      <w:r w:rsidRPr="00F83665">
        <w:rPr>
          <w:rFonts w:cs="Times New Roman"/>
          <w:color w:val="FF0000"/>
        </w:rPr>
        <w:t>)</w:t>
      </w:r>
      <w:r w:rsidRPr="00F83665">
        <w:rPr>
          <w:rFonts w:cs="Times New Roman"/>
        </w:rPr>
        <w:t xml:space="preserve">. The first SS precursor arrives 18.85 ± 0.09 s before the SS with an amplitude ratio of </w:t>
      </w:r>
      <w:r>
        <w:rPr>
          <w:rFonts w:cs="Times New Roman"/>
        </w:rPr>
        <w:t>0.</w:t>
      </w:r>
      <w:r w:rsidRPr="00F83665">
        <w:rPr>
          <w:rFonts w:cs="Times New Roman"/>
        </w:rPr>
        <w:t xml:space="preserve">29 ± </w:t>
      </w:r>
      <w:r>
        <w:rPr>
          <w:rFonts w:cs="Times New Roman"/>
        </w:rPr>
        <w:t>0.</w:t>
      </w:r>
      <w:r w:rsidRPr="00F83665">
        <w:rPr>
          <w:rFonts w:cs="Times New Roman"/>
        </w:rPr>
        <w:t>11. The second one arrives 46.25 ± 0.06 s before the SS with an amplitude ratio of -</w:t>
      </w:r>
      <w:r>
        <w:rPr>
          <w:rFonts w:cs="Times New Roman"/>
        </w:rPr>
        <w:t>0.</w:t>
      </w:r>
      <w:r w:rsidRPr="00F83665">
        <w:rPr>
          <w:rFonts w:cs="Times New Roman"/>
        </w:rPr>
        <w:t xml:space="preserve">25 ± </w:t>
      </w:r>
      <w:r>
        <w:rPr>
          <w:rFonts w:cs="Times New Roman"/>
        </w:rPr>
        <w:t>0.</w:t>
      </w:r>
      <w:r w:rsidRPr="00F83665">
        <w:rPr>
          <w:rFonts w:cs="Times New Roman"/>
        </w:rPr>
        <w:t>10.</w:t>
      </w:r>
    </w:p>
    <w:p w14:paraId="6513738F" w14:textId="77777777" w:rsidR="007F6E00" w:rsidRDefault="007F6E00" w:rsidP="00F83665">
      <w:pPr>
        <w:tabs>
          <w:tab w:val="center" w:pos="4080"/>
          <w:tab w:val="right" w:pos="8160"/>
        </w:tabs>
        <w:ind w:firstLineChars="200" w:firstLine="480"/>
        <w:rPr>
          <w:rFonts w:cs="Times New Roman"/>
        </w:rPr>
      </w:pPr>
      <w:r w:rsidRPr="002D74C7">
        <w:rPr>
          <w:rFonts w:cs="Times New Roman"/>
        </w:rPr>
        <w:t>Similar</w:t>
      </w:r>
      <w:r>
        <w:rPr>
          <w:rFonts w:cs="Times New Roman"/>
        </w:rPr>
        <w:t xml:space="preserve"> to the previous study</w:t>
      </w:r>
      <w:r w:rsidRPr="00B11BE5">
        <w:rPr>
          <w:rFonts w:cs="Times New Roman"/>
          <w:noProof/>
          <w:vertAlign w:val="superscript"/>
        </w:rPr>
        <w:t>31</w:t>
      </w:r>
      <w:r w:rsidRPr="002D74C7">
        <w:rPr>
          <w:rFonts w:cs="Times New Roman"/>
        </w:rPr>
        <w:t xml:space="preserve">, we do not detect consistent positive signals </w:t>
      </w:r>
      <w:r>
        <w:rPr>
          <w:rFonts w:cs="Times New Roman"/>
        </w:rPr>
        <w:t xml:space="preserve">indicative of </w:t>
      </w:r>
      <w:r w:rsidRPr="002D74C7">
        <w:rPr>
          <w:rFonts w:cs="Times New Roman"/>
        </w:rPr>
        <w:t xml:space="preserve">precursors from a Moho interface, likely due to </w:t>
      </w:r>
      <w:r>
        <w:rPr>
          <w:rFonts w:cs="Times New Roman"/>
        </w:rPr>
        <w:t>the weak</w:t>
      </w:r>
      <w:r w:rsidRPr="002D74C7">
        <w:rPr>
          <w:rFonts w:cs="Times New Roman"/>
        </w:rPr>
        <w:t xml:space="preserve"> velocity jump across it</w:t>
      </w:r>
      <w:r w:rsidRPr="00B11BE5">
        <w:rPr>
          <w:rFonts w:cs="Times New Roman"/>
          <w:noProof/>
          <w:vertAlign w:val="superscript"/>
        </w:rPr>
        <w:t>24,25,31</w:t>
      </w:r>
      <w:r w:rsidRPr="002D74C7">
        <w:rPr>
          <w:rFonts w:cs="Times New Roman"/>
        </w:rPr>
        <w:t xml:space="preserve">. A small positive signal at </w:t>
      </w:r>
      <w:r>
        <w:rPr>
          <w:rFonts w:cs="Times New Roman"/>
        </w:rPr>
        <w:t>-</w:t>
      </w:r>
      <w:r w:rsidRPr="002D74C7">
        <w:rPr>
          <w:rFonts w:cs="Times New Roman"/>
        </w:rPr>
        <w:t xml:space="preserve">39.5 s with high similarity to the SS is the most probable Moho-related precursor </w:t>
      </w:r>
      <w:r w:rsidRPr="00F83665">
        <w:rPr>
          <w:rFonts w:cs="Times New Roman"/>
          <w:color w:val="FF0000"/>
        </w:rPr>
        <w:t>(</w:t>
      </w:r>
      <w:r>
        <w:rPr>
          <w:rFonts w:cs="Times New Roman"/>
          <w:color w:val="FF0000"/>
        </w:rPr>
        <w:t>Supplementary Fig. 6</w:t>
      </w:r>
      <w:r w:rsidRPr="00F83665">
        <w:rPr>
          <w:rFonts w:cs="Times New Roman"/>
          <w:color w:val="FF0000"/>
        </w:rPr>
        <w:t>b)</w:t>
      </w:r>
      <w:r w:rsidRPr="002D74C7">
        <w:rPr>
          <w:rFonts w:cs="Times New Roman"/>
        </w:rPr>
        <w:t xml:space="preserve">. However, polarization analysis indicates that the corresponding rectilinearity is </w:t>
      </w:r>
      <w:r>
        <w:rPr>
          <w:rFonts w:cs="Times New Roman"/>
        </w:rPr>
        <w:t>below</w:t>
      </w:r>
      <w:r w:rsidRPr="002D74C7">
        <w:rPr>
          <w:rFonts w:cs="Times New Roman"/>
        </w:rPr>
        <w:t xml:space="preserve"> 0.4 </w:t>
      </w:r>
      <w:r w:rsidRPr="00F83665">
        <w:rPr>
          <w:rFonts w:cs="Times New Roman"/>
          <w:color w:val="FF0000"/>
        </w:rPr>
        <w:t>(</w:t>
      </w:r>
      <w:r>
        <w:rPr>
          <w:rFonts w:cs="Times New Roman"/>
          <w:color w:val="FF0000"/>
        </w:rPr>
        <w:t>Supplementary Fig. 6c</w:t>
      </w:r>
      <w:r w:rsidRPr="00F83665">
        <w:rPr>
          <w:rFonts w:cs="Times New Roman"/>
          <w:color w:val="FF0000"/>
        </w:rPr>
        <w:t>)</w:t>
      </w:r>
      <w:r w:rsidRPr="002D74C7">
        <w:rPr>
          <w:rFonts w:cs="Times New Roman"/>
        </w:rPr>
        <w:t xml:space="preserve">, resulting in a significant amplitude reduction after the polarization filter </w:t>
      </w:r>
      <w:r w:rsidRPr="00F83665">
        <w:rPr>
          <w:rFonts w:cs="Times New Roman"/>
          <w:color w:val="FF0000"/>
        </w:rPr>
        <w:t>(</w:t>
      </w:r>
      <w:r>
        <w:rPr>
          <w:rFonts w:cs="Times New Roman"/>
          <w:color w:val="FF0000"/>
        </w:rPr>
        <w:t>Supplementary Fig. 5b–f</w:t>
      </w:r>
      <w:r w:rsidRPr="00F83665">
        <w:rPr>
          <w:rFonts w:cs="Times New Roman"/>
          <w:color w:val="FF0000"/>
        </w:rPr>
        <w:t>)</w:t>
      </w:r>
      <w:r w:rsidRPr="002D74C7">
        <w:rPr>
          <w:rFonts w:cs="Times New Roman"/>
        </w:rPr>
        <w:t xml:space="preserve">. Consequently, we exclude it as a </w:t>
      </w:r>
      <w:r>
        <w:rPr>
          <w:rFonts w:cs="Times New Roman"/>
        </w:rPr>
        <w:t>reliable</w:t>
      </w:r>
      <w:r w:rsidRPr="002D74C7">
        <w:rPr>
          <w:rFonts w:cs="Times New Roman"/>
        </w:rPr>
        <w:t xml:space="preserve"> detection of </w:t>
      </w:r>
      <w:r>
        <w:rPr>
          <w:rFonts w:cs="Times New Roman"/>
        </w:rPr>
        <w:t>an</w:t>
      </w:r>
      <w:r w:rsidRPr="002D74C7">
        <w:rPr>
          <w:rFonts w:cs="Times New Roman"/>
        </w:rPr>
        <w:t xml:space="preserve"> SS precursor.</w:t>
      </w:r>
    </w:p>
    <w:p w14:paraId="36451E99" w14:textId="77777777" w:rsidR="007F6E00" w:rsidRDefault="007F6E00">
      <w:pPr>
        <w:widowControl/>
        <w:spacing w:line="240" w:lineRule="auto"/>
        <w:jc w:val="left"/>
        <w:rPr>
          <w:rFonts w:cs="Times New Roman"/>
        </w:rPr>
      </w:pPr>
      <w:r>
        <w:rPr>
          <w:rFonts w:cs="Times New Roman"/>
        </w:rPr>
        <w:br w:type="page"/>
      </w:r>
    </w:p>
    <w:p w14:paraId="14B3B1C5" w14:textId="77777777" w:rsidR="007F6E00" w:rsidRDefault="007F6E00" w:rsidP="00F66CEE">
      <w:pPr>
        <w:tabs>
          <w:tab w:val="center" w:pos="4080"/>
          <w:tab w:val="right" w:pos="8160"/>
        </w:tabs>
        <w:spacing w:line="240" w:lineRule="auto"/>
        <w:jc w:val="center"/>
        <w:rPr>
          <w:rFonts w:cs="Times New Roman"/>
        </w:rPr>
      </w:pPr>
      <w:r>
        <w:rPr>
          <w:rFonts w:cs="Times New Roman" w:hint="eastAsia"/>
          <w:noProof/>
        </w:rPr>
        <w:lastRenderedPageBreak/>
        <w:drawing>
          <wp:inline distT="0" distB="0" distL="0" distR="0" wp14:anchorId="15790D8E" wp14:editId="6009BBB4">
            <wp:extent cx="5040000" cy="6049091"/>
            <wp:effectExtent l="0" t="0" r="1905"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40000" cy="6049091"/>
                    </a:xfrm>
                    <a:prstGeom prst="rect">
                      <a:avLst/>
                    </a:prstGeom>
                  </pic:spPr>
                </pic:pic>
              </a:graphicData>
            </a:graphic>
          </wp:inline>
        </w:drawing>
      </w:r>
    </w:p>
    <w:p w14:paraId="4CB79268" w14:textId="77777777" w:rsidR="007F6E00" w:rsidRDefault="007F6E00" w:rsidP="00F66CEE">
      <w:pPr>
        <w:tabs>
          <w:tab w:val="center" w:pos="4080"/>
          <w:tab w:val="right" w:pos="8160"/>
        </w:tabs>
        <w:spacing w:line="240" w:lineRule="auto"/>
        <w:rPr>
          <w:rFonts w:cs="Times New Roman"/>
        </w:rPr>
      </w:pPr>
      <w:r>
        <w:rPr>
          <w:rFonts w:cs="Times New Roman" w:hint="eastAsia"/>
          <w:b/>
          <w:bCs/>
        </w:rPr>
        <w:t>Supplementary Fig. 5</w:t>
      </w:r>
      <w:r w:rsidRPr="00E84C44">
        <w:rPr>
          <w:rFonts w:cs="Times New Roman"/>
          <w:b/>
          <w:bCs/>
        </w:rPr>
        <w:t xml:space="preserve"> | </w:t>
      </w:r>
      <w:r w:rsidRPr="000D61E6">
        <w:rPr>
          <w:rStyle w:val="20"/>
        </w:rPr>
        <w:t xml:space="preserve">Picking of </w:t>
      </w:r>
      <w:r>
        <w:rPr>
          <w:rStyle w:val="20"/>
        </w:rPr>
        <w:t xml:space="preserve">the </w:t>
      </w:r>
      <w:r w:rsidRPr="000D61E6">
        <w:rPr>
          <w:rStyle w:val="20"/>
        </w:rPr>
        <w:t>PP and SS precursors of event S0976a.</w:t>
      </w:r>
      <w:r w:rsidRPr="00E84C44">
        <w:rPr>
          <w:rStyle w:val="20"/>
        </w:rPr>
        <w:t xml:space="preserve"> </w:t>
      </w:r>
      <w:r w:rsidRPr="00E84C44">
        <w:rPr>
          <w:rFonts w:cs="Times New Roman"/>
        </w:rPr>
        <w:t xml:space="preserve">(a) </w:t>
      </w:r>
      <w:r w:rsidRPr="002D74C7">
        <w:rPr>
          <w:rFonts w:cs="Times New Roman"/>
        </w:rPr>
        <w:t>PP and its precursors on vertical component filtered within different frequency bands.</w:t>
      </w:r>
      <w:r>
        <w:rPr>
          <w:rFonts w:cs="Times New Roman"/>
        </w:rPr>
        <w:t xml:space="preserve"> (b)–(f) </w:t>
      </w:r>
      <w:r w:rsidRPr="002D74C7">
        <w:rPr>
          <w:rFonts w:cs="Times New Roman"/>
        </w:rPr>
        <w:t xml:space="preserve">SS and its precursors on transverse component filtered within different frequency bands. Five different values of the back azimuth are used to rotate the waveforms into radial and transverse directions. </w:t>
      </w:r>
      <w:r>
        <w:rPr>
          <w:rFonts w:cs="Times New Roman"/>
        </w:rPr>
        <w:t>G</w:t>
      </w:r>
      <w:r w:rsidRPr="002D74C7">
        <w:rPr>
          <w:rFonts w:cs="Times New Roman"/>
        </w:rPr>
        <w:t xml:space="preserve">ray lines represent bandpass filtered </w:t>
      </w:r>
      <w:r>
        <w:rPr>
          <w:rFonts w:cs="Times New Roman"/>
        </w:rPr>
        <w:t>trace</w:t>
      </w:r>
      <w:r w:rsidRPr="002D74C7">
        <w:rPr>
          <w:rFonts w:cs="Times New Roman"/>
        </w:rPr>
        <w:t>s</w:t>
      </w:r>
      <w:r>
        <w:rPr>
          <w:rFonts w:cs="Times New Roman"/>
        </w:rPr>
        <w:t>;</w:t>
      </w:r>
      <w:r w:rsidRPr="002D74C7">
        <w:rPr>
          <w:rFonts w:cs="Times New Roman"/>
        </w:rPr>
        <w:t xml:space="preserve"> colored lines </w:t>
      </w:r>
      <w:r>
        <w:rPr>
          <w:rFonts w:cs="Times New Roman"/>
        </w:rPr>
        <w:t>show</w:t>
      </w:r>
      <w:r w:rsidRPr="002D74C7">
        <w:rPr>
          <w:rFonts w:cs="Times New Roman"/>
        </w:rPr>
        <w:t xml:space="preserve"> polarization filtered </w:t>
      </w:r>
      <w:r>
        <w:rPr>
          <w:rFonts w:cs="Times New Roman"/>
        </w:rPr>
        <w:t>trace</w:t>
      </w:r>
      <w:r w:rsidRPr="002D74C7">
        <w:rPr>
          <w:rFonts w:cs="Times New Roman"/>
        </w:rPr>
        <w:t xml:space="preserve">s. All traces are normalized to the peak amplitude of the PP/SS </w:t>
      </w:r>
      <w:r>
        <w:rPr>
          <w:rFonts w:cs="Times New Roman"/>
        </w:rPr>
        <w:t>phase and</w:t>
      </w:r>
      <w:r w:rsidRPr="002D74C7">
        <w:rPr>
          <w:rFonts w:cs="Times New Roman"/>
        </w:rPr>
        <w:t xml:space="preserve"> aligned to the</w:t>
      </w:r>
      <w:r>
        <w:rPr>
          <w:rFonts w:cs="Times New Roman"/>
        </w:rPr>
        <w:t>ir respective</w:t>
      </w:r>
      <w:r w:rsidRPr="002D74C7">
        <w:rPr>
          <w:rFonts w:cs="Times New Roman"/>
        </w:rPr>
        <w:t xml:space="preserve"> peak time</w:t>
      </w:r>
      <w:r>
        <w:rPr>
          <w:rFonts w:cs="Times New Roman"/>
        </w:rPr>
        <w:t>s</w:t>
      </w:r>
      <w:r w:rsidRPr="002D74C7">
        <w:rPr>
          <w:rFonts w:cs="Times New Roman"/>
        </w:rPr>
        <w:t xml:space="preserve">. </w:t>
      </w:r>
      <w:r>
        <w:rPr>
          <w:rFonts w:cs="Times New Roman"/>
        </w:rPr>
        <w:t>G</w:t>
      </w:r>
      <w:r w:rsidRPr="002D74C7">
        <w:rPr>
          <w:rFonts w:cs="Times New Roman"/>
        </w:rPr>
        <w:t xml:space="preserve">ray vertical bands </w:t>
      </w:r>
      <w:r w:rsidRPr="00577D17">
        <w:rPr>
          <w:rFonts w:cs="Times New Roman"/>
        </w:rPr>
        <w:t>highlight the PP/SS arrivals and associated precursors.</w:t>
      </w:r>
      <w:r w:rsidRPr="002D74C7">
        <w:rPr>
          <w:rFonts w:cs="Times New Roman"/>
        </w:rPr>
        <w:t xml:space="preserve"> </w:t>
      </w:r>
      <w:r w:rsidRPr="00577D17">
        <w:rPr>
          <w:rFonts w:cs="Times New Roman"/>
        </w:rPr>
        <w:t xml:space="preserve">No definitive PP precursor </w:t>
      </w:r>
      <w:r>
        <w:rPr>
          <w:rFonts w:cs="Times New Roman"/>
        </w:rPr>
        <w:t xml:space="preserve">associated with LVZ </w:t>
      </w:r>
      <w:r w:rsidRPr="00577D17">
        <w:rPr>
          <w:rFonts w:cs="Times New Roman"/>
        </w:rPr>
        <w:t xml:space="preserve">is identified. The root </w:t>
      </w:r>
      <w:proofErr w:type="gramStart"/>
      <w:r w:rsidRPr="00577D17">
        <w:rPr>
          <w:rFonts w:cs="Times New Roman"/>
        </w:rPr>
        <w:t>mean</w:t>
      </w:r>
      <w:proofErr w:type="gramEnd"/>
      <w:r w:rsidRPr="00577D17">
        <w:rPr>
          <w:rFonts w:cs="Times New Roman"/>
        </w:rPr>
        <w:t xml:space="preserve"> square amplitude within 20–30 s before the PP arrival is used to estimate the uncertainty of a zero-amplitude ratio</w:t>
      </w:r>
      <w:r>
        <w:rPr>
          <w:rFonts w:cs="Times New Roman"/>
        </w:rPr>
        <w:t xml:space="preserve"> of this phase</w:t>
      </w:r>
      <w:r w:rsidRPr="00577D17">
        <w:rPr>
          <w:rFonts w:cs="Times New Roman"/>
        </w:rPr>
        <w:t>.</w:t>
      </w:r>
    </w:p>
    <w:p w14:paraId="39787054" w14:textId="77777777" w:rsidR="007F6E00" w:rsidRDefault="007F6E00">
      <w:pPr>
        <w:widowControl/>
        <w:spacing w:line="240" w:lineRule="auto"/>
        <w:jc w:val="left"/>
        <w:rPr>
          <w:rFonts w:cs="Times New Roman"/>
        </w:rPr>
      </w:pPr>
      <w:r>
        <w:rPr>
          <w:rFonts w:cs="Times New Roman"/>
        </w:rPr>
        <w:br w:type="page"/>
      </w:r>
    </w:p>
    <w:p w14:paraId="5C7A2A78" w14:textId="77777777" w:rsidR="007F6E00" w:rsidRPr="002D74C7" w:rsidRDefault="007F6E00" w:rsidP="00F66CEE">
      <w:pPr>
        <w:tabs>
          <w:tab w:val="center" w:pos="4080"/>
          <w:tab w:val="right" w:pos="8160"/>
        </w:tabs>
        <w:spacing w:line="240" w:lineRule="auto"/>
        <w:jc w:val="center"/>
        <w:rPr>
          <w:rFonts w:cs="Times New Roman"/>
        </w:rPr>
      </w:pPr>
      <w:r>
        <w:rPr>
          <w:rFonts w:cs="Times New Roman"/>
          <w:noProof/>
        </w:rPr>
        <w:lastRenderedPageBreak/>
        <w:drawing>
          <wp:inline distT="0" distB="0" distL="0" distR="0" wp14:anchorId="7072E54B" wp14:editId="02D36696">
            <wp:extent cx="3600000" cy="4317313"/>
            <wp:effectExtent l="0" t="0" r="0" b="127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00000" cy="4317313"/>
                    </a:xfrm>
                    <a:prstGeom prst="rect">
                      <a:avLst/>
                    </a:prstGeom>
                  </pic:spPr>
                </pic:pic>
              </a:graphicData>
            </a:graphic>
          </wp:inline>
        </w:drawing>
      </w:r>
    </w:p>
    <w:p w14:paraId="55BC2345" w14:textId="77777777" w:rsidR="007F6E00" w:rsidRDefault="007F6E00" w:rsidP="00F66CEE">
      <w:pPr>
        <w:tabs>
          <w:tab w:val="center" w:pos="4080"/>
          <w:tab w:val="right" w:pos="8160"/>
        </w:tabs>
        <w:spacing w:line="240" w:lineRule="auto"/>
        <w:rPr>
          <w:rFonts w:cs="Times New Roman"/>
        </w:rPr>
      </w:pPr>
      <w:bookmarkStart w:id="12" w:name="_Toc167205908"/>
      <w:r>
        <w:rPr>
          <w:b/>
          <w:bCs/>
        </w:rPr>
        <w:t>Supplementary Fig. 6</w:t>
      </w:r>
      <w:r w:rsidRPr="000D5F60">
        <w:rPr>
          <w:b/>
          <w:bCs/>
        </w:rPr>
        <w:t xml:space="preserve"> | Picks of </w:t>
      </w:r>
      <w:r>
        <w:rPr>
          <w:b/>
          <w:bCs/>
        </w:rPr>
        <w:t xml:space="preserve">the </w:t>
      </w:r>
      <w:r w:rsidRPr="000D5F60">
        <w:rPr>
          <w:b/>
          <w:bCs/>
        </w:rPr>
        <w:t>SS precursors of event S0976a.</w:t>
      </w:r>
      <w:bookmarkEnd w:id="12"/>
      <w:r w:rsidRPr="000D5F60">
        <w:rPr>
          <w:b/>
          <w:bCs/>
        </w:rPr>
        <w:t xml:space="preserve"> </w:t>
      </w:r>
      <w:r w:rsidRPr="002D74C7">
        <w:rPr>
          <w:rFonts w:cs="Times New Roman"/>
        </w:rPr>
        <w:t xml:space="preserve">(a) Bandpass and polarization filtered waveform on transverse component. The corner frequencies for bandpass filtering </w:t>
      </w:r>
      <w:r>
        <w:rPr>
          <w:rFonts w:cs="Times New Roman"/>
        </w:rPr>
        <w:t>are</w:t>
      </w:r>
      <w:r w:rsidRPr="002D74C7">
        <w:rPr>
          <w:rFonts w:cs="Times New Roman"/>
        </w:rPr>
        <w:t xml:space="preserve"> 1/6.</w:t>
      </w:r>
      <w:r>
        <w:rPr>
          <w:rFonts w:cs="Times New Roman"/>
        </w:rPr>
        <w:t>8</w:t>
      </w:r>
      <w:r w:rsidRPr="002D74C7">
        <w:rPr>
          <w:rFonts w:cs="Times New Roman"/>
        </w:rPr>
        <w:t xml:space="preserve"> Hz and 1/2.5 Hz. The amplitude is normalized to the peak amplitude of SS wave. Red line represents the template waveform between -6 s and 8 s. </w:t>
      </w:r>
      <w:proofErr w:type="gramStart"/>
      <w:r w:rsidRPr="002D74C7">
        <w:rPr>
          <w:rFonts w:cs="Times New Roman"/>
        </w:rPr>
        <w:t>Blue and orange</w:t>
      </w:r>
      <w:proofErr w:type="gramEnd"/>
      <w:r w:rsidRPr="002D74C7">
        <w:rPr>
          <w:rFonts w:cs="Times New Roman"/>
        </w:rPr>
        <w:t xml:space="preserve"> lines represent the template waveforms scaled to the precursor amplitudes with corresponding time shifts. The adjacent texts denote the values of time shift, amplitude ratio, and cross-correlation coefficient. (b) The </w:t>
      </w:r>
      <w:r>
        <w:rPr>
          <w:rFonts w:cs="Times New Roman"/>
        </w:rPr>
        <w:t xml:space="preserve">values of </w:t>
      </w:r>
      <w:r w:rsidRPr="002D74C7">
        <w:rPr>
          <w:rFonts w:cs="Times New Roman"/>
        </w:rPr>
        <w:t>cross-correlation coefficient (</w:t>
      </w:r>
      <w:r w:rsidRPr="002D74C7">
        <w:rPr>
          <w:rFonts w:cs="Times New Roman"/>
          <w:i/>
        </w:rPr>
        <w:t>CC</w:t>
      </w:r>
      <w:r w:rsidRPr="002D74C7">
        <w:rPr>
          <w:rFonts w:cs="Times New Roman"/>
        </w:rPr>
        <w:t xml:space="preserve">). Blue dashed lines represent the threshold value </w:t>
      </w:r>
      <w:proofErr w:type="spellStart"/>
      <w:r w:rsidRPr="002D74C7">
        <w:rPr>
          <w:rFonts w:cs="Times New Roman"/>
          <w:i/>
        </w:rPr>
        <w:t>C</w:t>
      </w:r>
      <w:r w:rsidRPr="002D74C7">
        <w:rPr>
          <w:rFonts w:cs="Times New Roman"/>
          <w:i/>
          <w:vertAlign w:val="subscript"/>
        </w:rPr>
        <w:t>lim</w:t>
      </w:r>
      <w:proofErr w:type="spellEnd"/>
      <w:r w:rsidRPr="002D74C7">
        <w:rPr>
          <w:rFonts w:cs="Times New Roman"/>
        </w:rPr>
        <w:t xml:space="preserve"> of 0.6. Circles denote the peaks with the absolute </w:t>
      </w:r>
      <w:r w:rsidRPr="002D74C7">
        <w:rPr>
          <w:rFonts w:cs="Times New Roman"/>
          <w:i/>
        </w:rPr>
        <w:t>CC</w:t>
      </w:r>
      <w:r w:rsidRPr="002D74C7">
        <w:rPr>
          <w:rFonts w:cs="Times New Roman"/>
        </w:rPr>
        <w:t xml:space="preserve"> values above the </w:t>
      </w:r>
      <w:proofErr w:type="spellStart"/>
      <w:r w:rsidRPr="002D74C7">
        <w:rPr>
          <w:rFonts w:cs="Times New Roman"/>
          <w:i/>
        </w:rPr>
        <w:t>C</w:t>
      </w:r>
      <w:r w:rsidRPr="002D74C7">
        <w:rPr>
          <w:rFonts w:cs="Times New Roman"/>
          <w:i/>
          <w:vertAlign w:val="subscript"/>
        </w:rPr>
        <w:t>lim</w:t>
      </w:r>
      <w:proofErr w:type="spellEnd"/>
      <w:r w:rsidRPr="002D74C7">
        <w:rPr>
          <w:rFonts w:cs="Times New Roman"/>
        </w:rPr>
        <w:t xml:space="preserve">, of which the red ones stand for the final picks of SS wave and its precursors. (c) Rectilinearity </w:t>
      </w:r>
      <w:r>
        <w:rPr>
          <w:rFonts w:cs="Times New Roman"/>
        </w:rPr>
        <w:t>derived from polarization</w:t>
      </w:r>
      <w:r w:rsidRPr="002D74C7">
        <w:rPr>
          <w:rFonts w:cs="Times New Roman"/>
        </w:rPr>
        <w:t xml:space="preserve">. Blue dashed line represents a value of 0.6. (d) Incidence angle calculated from the eigenvector associated with the principal direction. Blue dashed line represents a value of 45º. Red shaded areas denote the intervals of SS waves and its precursors. Dashed red lines denote the </w:t>
      </w:r>
      <w:r w:rsidRPr="002D74C7">
        <w:rPr>
          <w:rFonts w:cs="Times New Roman"/>
          <w:i/>
        </w:rPr>
        <w:t>CC</w:t>
      </w:r>
      <w:r w:rsidRPr="002D74C7">
        <w:rPr>
          <w:rFonts w:cs="Times New Roman"/>
        </w:rPr>
        <w:t xml:space="preserve"> peak times of SS waves and its precursors.</w:t>
      </w:r>
    </w:p>
    <w:p w14:paraId="2DA1FA90" w14:textId="77777777" w:rsidR="007F6E00" w:rsidRDefault="007F6E00">
      <w:pPr>
        <w:widowControl/>
        <w:spacing w:line="240" w:lineRule="auto"/>
        <w:jc w:val="left"/>
        <w:rPr>
          <w:rFonts w:cs="Times New Roman"/>
        </w:rPr>
      </w:pPr>
      <w:r>
        <w:rPr>
          <w:rFonts w:cs="Times New Roman"/>
        </w:rPr>
        <w:br w:type="page"/>
      </w:r>
    </w:p>
    <w:p w14:paraId="3A1640C0" w14:textId="77777777" w:rsidR="007F6E00" w:rsidRPr="002D74C7" w:rsidRDefault="007F6E00" w:rsidP="00F66CEE">
      <w:pPr>
        <w:tabs>
          <w:tab w:val="center" w:pos="4080"/>
          <w:tab w:val="right" w:pos="8160"/>
        </w:tabs>
        <w:spacing w:line="240" w:lineRule="auto"/>
        <w:jc w:val="center"/>
        <w:rPr>
          <w:rFonts w:cs="Times New Roman"/>
        </w:rPr>
      </w:pPr>
      <w:r w:rsidRPr="002D74C7">
        <w:rPr>
          <w:rFonts w:cs="Times New Roman"/>
          <w:noProof/>
        </w:rPr>
        <w:lastRenderedPageBreak/>
        <w:drawing>
          <wp:inline distT="0" distB="0" distL="0" distR="0" wp14:anchorId="0313312F" wp14:editId="12527D65">
            <wp:extent cx="3600000" cy="4801012"/>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_obs_S0976a_result.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00000" cy="4801012"/>
                    </a:xfrm>
                    <a:prstGeom prst="rect">
                      <a:avLst/>
                    </a:prstGeom>
                  </pic:spPr>
                </pic:pic>
              </a:graphicData>
            </a:graphic>
          </wp:inline>
        </w:drawing>
      </w:r>
    </w:p>
    <w:p w14:paraId="02BEE8CF" w14:textId="77777777" w:rsidR="007F6E00" w:rsidRDefault="007F6E00" w:rsidP="00F66CEE">
      <w:pPr>
        <w:tabs>
          <w:tab w:val="center" w:pos="4080"/>
          <w:tab w:val="right" w:pos="8160"/>
        </w:tabs>
        <w:spacing w:line="240" w:lineRule="auto"/>
        <w:rPr>
          <w:rFonts w:cs="Times New Roman"/>
        </w:rPr>
      </w:pPr>
      <w:bookmarkStart w:id="13" w:name="_Toc167205910"/>
      <w:r>
        <w:rPr>
          <w:b/>
          <w:bCs/>
        </w:rPr>
        <w:t>Supplementary Fig. 7</w:t>
      </w:r>
      <w:r w:rsidRPr="000D5F60">
        <w:rPr>
          <w:b/>
          <w:bCs/>
        </w:rPr>
        <w:t xml:space="preserve"> | The distributions of delay times and amplitude ratios of the PP and SS precursors of event S0976a.</w:t>
      </w:r>
      <w:bookmarkEnd w:id="13"/>
      <w:r w:rsidRPr="000D5F60">
        <w:rPr>
          <w:b/>
          <w:bCs/>
        </w:rPr>
        <w:t xml:space="preserve"> </w:t>
      </w:r>
      <w:r w:rsidRPr="002D74C7">
        <w:rPr>
          <w:rFonts w:cs="Times New Roman"/>
        </w:rPr>
        <w:t xml:space="preserve">(a)–(c) are for the first PP precursor, the first SS precursor, and the second SS precursor, respectively. The blue lines denote the probability density functions. Horizontal orange </w:t>
      </w:r>
      <w:proofErr w:type="spellStart"/>
      <w:r w:rsidRPr="002D74C7">
        <w:rPr>
          <w:rFonts w:cs="Times New Roman"/>
        </w:rPr>
        <w:t>errorbars</w:t>
      </w:r>
      <w:proofErr w:type="spellEnd"/>
      <w:r w:rsidRPr="002D74C7">
        <w:rPr>
          <w:rFonts w:cs="Times New Roman"/>
        </w:rPr>
        <w:t xml:space="preserve"> denote the median values with their 1</w:t>
      </w:r>
      <w:r w:rsidRPr="002D74C7">
        <w:rPr>
          <w:rFonts w:eastAsia="DengXian" w:cs="Times New Roman"/>
        </w:rPr>
        <w:t>σ</w:t>
      </w:r>
      <w:r w:rsidRPr="002D74C7">
        <w:rPr>
          <w:rFonts w:cs="Times New Roman"/>
        </w:rPr>
        <w:t xml:space="preserve"> intervals.</w:t>
      </w:r>
    </w:p>
    <w:p w14:paraId="70F6059E" w14:textId="77777777" w:rsidR="007F6E00" w:rsidRDefault="007F6E00">
      <w:pPr>
        <w:widowControl/>
        <w:spacing w:line="240" w:lineRule="auto"/>
        <w:jc w:val="left"/>
        <w:rPr>
          <w:rFonts w:cs="Times New Roman"/>
        </w:rPr>
      </w:pPr>
      <w:r>
        <w:rPr>
          <w:rFonts w:cs="Times New Roman"/>
        </w:rPr>
        <w:br w:type="page"/>
      </w:r>
    </w:p>
    <w:p w14:paraId="294275FD" w14:textId="77777777" w:rsidR="007F6E00" w:rsidRPr="00F83665" w:rsidRDefault="007F6E00" w:rsidP="00690290">
      <w:pPr>
        <w:pStyle w:val="2"/>
      </w:pPr>
      <w:bookmarkStart w:id="14" w:name="_Toc202208116"/>
      <w:r>
        <w:lastRenderedPageBreak/>
        <w:t>3</w:t>
      </w:r>
      <w:r w:rsidRPr="00F83665">
        <w:t>.2. PP precursor of event S0976a</w:t>
      </w:r>
      <w:bookmarkEnd w:id="14"/>
    </w:p>
    <w:p w14:paraId="75B53191" w14:textId="77777777" w:rsidR="007F6E00" w:rsidRPr="002D74C7" w:rsidRDefault="007F6E00" w:rsidP="00F83665">
      <w:pPr>
        <w:tabs>
          <w:tab w:val="center" w:pos="4080"/>
          <w:tab w:val="right" w:pos="8160"/>
        </w:tabs>
        <w:ind w:firstLineChars="200" w:firstLine="480"/>
        <w:rPr>
          <w:rFonts w:cs="Times New Roman"/>
        </w:rPr>
      </w:pPr>
      <w:r w:rsidRPr="002D74C7">
        <w:rPr>
          <w:rFonts w:cs="Times New Roman"/>
        </w:rPr>
        <w:t>To detect the PP precursor phases</w:t>
      </w:r>
      <w:r>
        <w:rPr>
          <w:rFonts w:cs="Times New Roman"/>
        </w:rPr>
        <w:t xml:space="preserve"> of S0976a</w:t>
      </w:r>
      <w:r w:rsidRPr="002D74C7">
        <w:rPr>
          <w:rFonts w:cs="Times New Roman"/>
        </w:rPr>
        <w:t xml:space="preserve">, we </w:t>
      </w:r>
      <w:r>
        <w:rPr>
          <w:rFonts w:cs="Times New Roman"/>
        </w:rPr>
        <w:t>analyze</w:t>
      </w:r>
      <w:r w:rsidRPr="002D74C7">
        <w:rPr>
          <w:rFonts w:cs="Times New Roman"/>
        </w:rPr>
        <w:t xml:space="preserve"> the vertical component displacement waveforms filtered within different frequency bands </w:t>
      </w:r>
      <w:r w:rsidRPr="00F83665">
        <w:rPr>
          <w:rFonts w:cs="Times New Roman"/>
          <w:color w:val="FF0000"/>
        </w:rPr>
        <w:t>(</w:t>
      </w:r>
      <w:r>
        <w:rPr>
          <w:rFonts w:cs="Times New Roman"/>
          <w:color w:val="FF0000"/>
        </w:rPr>
        <w:t>Supplementary Fig. 5</w:t>
      </w:r>
      <w:r w:rsidRPr="00F83665">
        <w:rPr>
          <w:rFonts w:cs="Times New Roman"/>
          <w:color w:val="FF0000"/>
        </w:rPr>
        <w:t>a)</w:t>
      </w:r>
      <w:r w:rsidRPr="002D74C7">
        <w:rPr>
          <w:rFonts w:cs="Times New Roman"/>
        </w:rPr>
        <w:t xml:space="preserve">. </w:t>
      </w:r>
      <w:r>
        <w:rPr>
          <w:rFonts w:cs="Times New Roman"/>
          <w:color w:val="FF0000"/>
        </w:rPr>
        <w:t>Supplementary Fig. 8</w:t>
      </w:r>
      <w:r w:rsidRPr="002D74C7">
        <w:rPr>
          <w:rFonts w:cs="Times New Roman"/>
        </w:rPr>
        <w:t xml:space="preserve"> shows an example of waveform matching at the frequency band of 2.5–7.0 s. The template waveform is cut within a window from -4 s to 4 s relative to the PP peak. A clear precursor phase is observed at 9.6 s before the PP wave, which is aligned with</w:t>
      </w:r>
      <w:r>
        <w:rPr>
          <w:rFonts w:cs="Times New Roman"/>
        </w:rPr>
        <w:t xml:space="preserve"> the pick in previous study and </w:t>
      </w:r>
      <w:r w:rsidRPr="002D74C7">
        <w:rPr>
          <w:rFonts w:cs="Times New Roman"/>
        </w:rPr>
        <w:t>is confirmed as the precursor related to the 20-km interface</w:t>
      </w:r>
      <w:r w:rsidRPr="00B11BE5">
        <w:rPr>
          <w:rFonts w:cs="Times New Roman"/>
          <w:noProof/>
          <w:vertAlign w:val="superscript"/>
        </w:rPr>
        <w:t>31</w:t>
      </w:r>
      <w:r>
        <w:rPr>
          <w:rFonts w:cs="Times New Roman"/>
        </w:rPr>
        <w:t>.</w:t>
      </w:r>
      <w:r w:rsidRPr="002D74C7">
        <w:rPr>
          <w:rFonts w:cs="Times New Roman"/>
        </w:rPr>
        <w:t xml:space="preserve"> For a </w:t>
      </w:r>
      <m:oMath>
        <m:sSub>
          <m:sSubPr>
            <m:ctrlPr>
              <w:rPr>
                <w:rFonts w:ascii="Cambria Math" w:hAnsi="Cambria Math" w:cs="Times New Roman"/>
              </w:rPr>
            </m:ctrlPr>
          </m:sSubPr>
          <m:e>
            <m:r>
              <w:rPr>
                <w:rFonts w:ascii="Cambria Math" w:hAnsi="Cambria Math" w:cs="Times New Roman"/>
              </w:rPr>
              <m:t>C</m:t>
            </m:r>
          </m:e>
          <m:sub>
            <m:r>
              <w:rPr>
                <w:rFonts w:ascii="Cambria Math" w:hAnsi="Cambria Math" w:cs="Times New Roman"/>
              </w:rPr>
              <m:t>lim</m:t>
            </m:r>
          </m:sub>
        </m:sSub>
      </m:oMath>
      <w:r w:rsidRPr="002D74C7">
        <w:rPr>
          <w:rFonts w:cs="Times New Roman"/>
        </w:rPr>
        <w:t xml:space="preserve"> of 0.6, we also </w:t>
      </w:r>
      <w:r>
        <w:rPr>
          <w:rFonts w:cs="Times New Roman"/>
        </w:rPr>
        <w:t>identify</w:t>
      </w:r>
      <w:r w:rsidRPr="002D74C7">
        <w:rPr>
          <w:rFonts w:cs="Times New Roman"/>
        </w:rPr>
        <w:t xml:space="preserve"> two negative </w:t>
      </w:r>
      <w:r w:rsidRPr="002D74C7">
        <w:rPr>
          <w:rFonts w:cs="Times New Roman"/>
          <w:i/>
        </w:rPr>
        <w:t>CC</w:t>
      </w:r>
      <w:r w:rsidRPr="002D74C7">
        <w:rPr>
          <w:rFonts w:cs="Times New Roman"/>
        </w:rPr>
        <w:t xml:space="preserve"> peaks at 7.6 s and 20.9 s before the PP. </w:t>
      </w:r>
      <w:r>
        <w:rPr>
          <w:rFonts w:cs="Times New Roman"/>
        </w:rPr>
        <w:t>T</w:t>
      </w:r>
      <w:r w:rsidRPr="002D74C7">
        <w:rPr>
          <w:rFonts w:cs="Times New Roman"/>
        </w:rPr>
        <w:t xml:space="preserve">he negative peak </w:t>
      </w:r>
      <w:r>
        <w:rPr>
          <w:rFonts w:cs="Times New Roman"/>
        </w:rPr>
        <w:t xml:space="preserve">at </w:t>
      </w:r>
      <w:r w:rsidRPr="002D74C7">
        <w:rPr>
          <w:rFonts w:cs="Times New Roman"/>
        </w:rPr>
        <w:t xml:space="preserve">7.6 s is </w:t>
      </w:r>
      <w:r>
        <w:rPr>
          <w:rFonts w:cs="Times New Roman"/>
        </w:rPr>
        <w:t xml:space="preserve">likely </w:t>
      </w:r>
      <w:r w:rsidRPr="002D74C7">
        <w:rPr>
          <w:rFonts w:cs="Times New Roman"/>
        </w:rPr>
        <w:t>the sidelobe of the PP precursor</w:t>
      </w:r>
      <w:r>
        <w:rPr>
          <w:rFonts w:cs="Times New Roman"/>
        </w:rPr>
        <w:t xml:space="preserve">, despite </w:t>
      </w:r>
      <w:r w:rsidRPr="002D74C7">
        <w:rPr>
          <w:rFonts w:cs="Times New Roman"/>
        </w:rPr>
        <w:t>it</w:t>
      </w:r>
      <w:r>
        <w:rPr>
          <w:rFonts w:cs="Times New Roman"/>
        </w:rPr>
        <w:t>s</w:t>
      </w:r>
      <w:r w:rsidRPr="002D74C7">
        <w:rPr>
          <w:rFonts w:cs="Times New Roman"/>
        </w:rPr>
        <w:t xml:space="preserve"> </w:t>
      </w:r>
      <w:r>
        <w:rPr>
          <w:rFonts w:cs="Times New Roman"/>
        </w:rPr>
        <w:t>high</w:t>
      </w:r>
      <w:r w:rsidRPr="002D74C7">
        <w:rPr>
          <w:rFonts w:cs="Times New Roman"/>
        </w:rPr>
        <w:t xml:space="preserve"> </w:t>
      </w:r>
      <w:r w:rsidRPr="002D74C7">
        <w:rPr>
          <w:rFonts w:cs="Times New Roman"/>
          <w:i/>
        </w:rPr>
        <w:t>CC</w:t>
      </w:r>
      <w:r w:rsidRPr="002D74C7">
        <w:rPr>
          <w:rFonts w:cs="Times New Roman"/>
        </w:rPr>
        <w:t xml:space="preserve"> peak value at this frequency. The negative </w:t>
      </w:r>
      <w:r w:rsidRPr="002D74C7">
        <w:rPr>
          <w:rFonts w:cs="Times New Roman"/>
          <w:i/>
        </w:rPr>
        <w:t>CC</w:t>
      </w:r>
      <w:r w:rsidRPr="002D74C7">
        <w:rPr>
          <w:rFonts w:cs="Times New Roman"/>
        </w:rPr>
        <w:t xml:space="preserve"> peak </w:t>
      </w:r>
      <w:r>
        <w:rPr>
          <w:rFonts w:cs="Times New Roman"/>
        </w:rPr>
        <w:t xml:space="preserve">at </w:t>
      </w:r>
      <w:r w:rsidRPr="002D74C7">
        <w:rPr>
          <w:rFonts w:cs="Times New Roman"/>
        </w:rPr>
        <w:t>20.9 s is presumably associated with a deeper low velocity interface, corroborated by the observed negative SS precursor at 46.3 s before SS. However, its amplitude is weak to definitively confirm it as the precursor phase.</w:t>
      </w:r>
    </w:p>
    <w:p w14:paraId="433B6C88" w14:textId="77777777" w:rsidR="007F6E00" w:rsidRDefault="007F6E00" w:rsidP="00F83665">
      <w:pPr>
        <w:tabs>
          <w:tab w:val="center" w:pos="4080"/>
          <w:tab w:val="right" w:pos="8160"/>
        </w:tabs>
        <w:ind w:firstLineChars="200" w:firstLine="480"/>
        <w:rPr>
          <w:rFonts w:cs="Times New Roman"/>
        </w:rPr>
      </w:pPr>
      <w:r w:rsidRPr="00F83665">
        <w:rPr>
          <w:rFonts w:cs="Times New Roman"/>
          <w:color w:val="000000" w:themeColor="text1"/>
        </w:rPr>
        <w:t xml:space="preserve">Similarly, the probability density functions of delay time and amplitude ratio of the picked PP precursor are measured </w:t>
      </w:r>
      <w:r>
        <w:rPr>
          <w:rFonts w:cs="Times New Roman"/>
          <w:color w:val="000000" w:themeColor="text1"/>
        </w:rPr>
        <w:t>across different</w:t>
      </w:r>
      <w:r w:rsidRPr="00F83665">
        <w:rPr>
          <w:rFonts w:cs="Times New Roman"/>
          <w:color w:val="000000" w:themeColor="text1"/>
        </w:rPr>
        <w:t xml:space="preserve"> filtering band</w:t>
      </w:r>
      <w:r>
        <w:rPr>
          <w:rFonts w:cs="Times New Roman"/>
          <w:color w:val="000000" w:themeColor="text1"/>
        </w:rPr>
        <w:t>s</w:t>
      </w:r>
      <w:r w:rsidRPr="00F83665">
        <w:rPr>
          <w:rFonts w:cs="Times New Roman"/>
          <w:color w:val="000000" w:themeColor="text1"/>
        </w:rPr>
        <w:t xml:space="preserve"> </w:t>
      </w:r>
      <w:r w:rsidRPr="00F83665">
        <w:rPr>
          <w:rFonts w:cs="Times New Roman"/>
          <w:color w:val="FF0000"/>
        </w:rPr>
        <w:t>(</w:t>
      </w:r>
      <w:r>
        <w:rPr>
          <w:rFonts w:cs="Times New Roman"/>
          <w:color w:val="FF0000"/>
        </w:rPr>
        <w:t>Supplementary Fig. 7</w:t>
      </w:r>
      <w:r w:rsidRPr="00F83665">
        <w:rPr>
          <w:rFonts w:cs="Times New Roman"/>
          <w:color w:val="FF0000"/>
        </w:rPr>
        <w:t>a)</w:t>
      </w:r>
      <w:r w:rsidRPr="00F83665">
        <w:rPr>
          <w:rFonts w:cs="Times New Roman"/>
          <w:color w:val="000000" w:themeColor="text1"/>
        </w:rPr>
        <w:t xml:space="preserve">. The PP precursor arrives 9.45 ± 0.15 s before the PP with an amplitude ratio of </w:t>
      </w:r>
      <w:r>
        <w:rPr>
          <w:rFonts w:cs="Times New Roman"/>
          <w:color w:val="000000" w:themeColor="text1"/>
        </w:rPr>
        <w:t>0.</w:t>
      </w:r>
      <w:r w:rsidRPr="00F83665">
        <w:rPr>
          <w:rFonts w:cs="Times New Roman"/>
          <w:color w:val="000000" w:themeColor="text1"/>
        </w:rPr>
        <w:t xml:space="preserve">41 ± </w:t>
      </w:r>
      <w:r>
        <w:rPr>
          <w:rFonts w:cs="Times New Roman"/>
          <w:color w:val="000000" w:themeColor="text1"/>
        </w:rPr>
        <w:t>0.0</w:t>
      </w:r>
      <w:r w:rsidRPr="00F83665">
        <w:rPr>
          <w:rFonts w:cs="Times New Roman"/>
          <w:color w:val="000000" w:themeColor="text1"/>
        </w:rPr>
        <w:t xml:space="preserve">6. </w:t>
      </w:r>
      <w:r w:rsidRPr="002D74C7">
        <w:rPr>
          <w:rFonts w:cs="Times New Roman"/>
        </w:rPr>
        <w:t>In</w:t>
      </w:r>
      <w:r>
        <w:rPr>
          <w:rFonts w:cs="Times New Roman"/>
        </w:rPr>
        <w:t xml:space="preserve"> contrast to</w:t>
      </w:r>
      <w:r w:rsidRPr="002D74C7">
        <w:rPr>
          <w:rFonts w:cs="Times New Roman"/>
        </w:rPr>
        <w:t xml:space="preserve"> the SS precursor</w:t>
      </w:r>
      <w:r>
        <w:rPr>
          <w:rFonts w:cs="Times New Roman"/>
        </w:rPr>
        <w:t>,</w:t>
      </w:r>
      <w:r w:rsidRPr="002D74C7">
        <w:rPr>
          <w:rFonts w:cs="Times New Roman"/>
        </w:rPr>
        <w:t xml:space="preserve"> </w:t>
      </w:r>
      <w:r>
        <w:rPr>
          <w:rFonts w:cs="Times New Roman"/>
        </w:rPr>
        <w:t xml:space="preserve">an </w:t>
      </w:r>
      <w:r w:rsidRPr="002D74C7">
        <w:rPr>
          <w:rFonts w:cs="Times New Roman"/>
        </w:rPr>
        <w:t xml:space="preserve">observable PP precursor associated with the deeper </w:t>
      </w:r>
      <w:r>
        <w:rPr>
          <w:rFonts w:cs="Times New Roman"/>
        </w:rPr>
        <w:t>LVZ is lack</w:t>
      </w:r>
      <w:r w:rsidRPr="002D74C7">
        <w:rPr>
          <w:rFonts w:cs="Times New Roman"/>
        </w:rPr>
        <w:t xml:space="preserve">, </w:t>
      </w:r>
      <w:r>
        <w:rPr>
          <w:rFonts w:cs="Times New Roman"/>
        </w:rPr>
        <w:t xml:space="preserve">which suggests that the reflection coefficient at </w:t>
      </w:r>
      <w:r w:rsidRPr="002D74C7">
        <w:rPr>
          <w:rFonts w:cs="Times New Roman"/>
        </w:rPr>
        <w:t xml:space="preserve">the low-velocity zone is </w:t>
      </w:r>
      <w:r>
        <w:rPr>
          <w:rFonts w:cs="Times New Roman"/>
        </w:rPr>
        <w:t xml:space="preserve">small and the corresponding </w:t>
      </w:r>
      <w:r w:rsidRPr="002D74C7">
        <w:rPr>
          <w:rFonts w:cs="Times New Roman"/>
        </w:rPr>
        <w:t>PP precursor</w:t>
      </w:r>
      <w:r>
        <w:rPr>
          <w:rFonts w:cs="Times New Roman"/>
        </w:rPr>
        <w:t xml:space="preserve"> amplitude falls below the noise level</w:t>
      </w:r>
      <w:r w:rsidRPr="002D74C7">
        <w:rPr>
          <w:rFonts w:cs="Times New Roman"/>
        </w:rPr>
        <w:t xml:space="preserve">. </w:t>
      </w:r>
      <w:r>
        <w:rPr>
          <w:rFonts w:cs="Times New Roman"/>
        </w:rPr>
        <w:t xml:space="preserve">Nevertheless, </w:t>
      </w:r>
      <w:r w:rsidRPr="002D74C7">
        <w:rPr>
          <w:rFonts w:cs="Times New Roman"/>
        </w:rPr>
        <w:t xml:space="preserve">the </w:t>
      </w:r>
      <w:r>
        <w:rPr>
          <w:rFonts w:cs="Times New Roman"/>
        </w:rPr>
        <w:t xml:space="preserve">weak </w:t>
      </w:r>
      <w:r w:rsidRPr="002D74C7">
        <w:rPr>
          <w:rFonts w:cs="Times New Roman"/>
        </w:rPr>
        <w:t xml:space="preserve">amplitude of the PP precursor </w:t>
      </w:r>
      <w:r>
        <w:rPr>
          <w:rFonts w:cs="Times New Roman"/>
        </w:rPr>
        <w:t xml:space="preserve">can be used a proxy to better constrain the velocity and density jump across the </w:t>
      </w:r>
      <w:r w:rsidRPr="002D74C7">
        <w:rPr>
          <w:rFonts w:cs="Times New Roman"/>
        </w:rPr>
        <w:t xml:space="preserve">deeper low velocity interface </w:t>
      </w:r>
      <w:r>
        <w:rPr>
          <w:rFonts w:cs="Times New Roman"/>
          <w:iCs/>
        </w:rPr>
        <w:lastRenderedPageBreak/>
        <w:t xml:space="preserve">(see further discussion in </w:t>
      </w:r>
      <w:r w:rsidRPr="000E38F8">
        <w:rPr>
          <w:rFonts w:cs="Times New Roman"/>
          <w:iCs/>
          <w:color w:val="FF0000"/>
        </w:rPr>
        <w:t>Supplementary Text 4.</w:t>
      </w:r>
      <w:r>
        <w:rPr>
          <w:rFonts w:cs="Times New Roman"/>
          <w:iCs/>
          <w:color w:val="FF0000"/>
        </w:rPr>
        <w:t>2</w:t>
      </w:r>
      <w:r>
        <w:rPr>
          <w:rFonts w:cs="Times New Roman"/>
          <w:iCs/>
        </w:rPr>
        <w:t>)</w:t>
      </w:r>
      <w:r w:rsidRPr="002D74C7">
        <w:rPr>
          <w:rFonts w:cs="Times New Roman"/>
        </w:rPr>
        <w:t xml:space="preserve">. </w:t>
      </w:r>
      <w:r>
        <w:rPr>
          <w:rFonts w:cs="Times New Roman"/>
        </w:rPr>
        <w:t>For simplicity</w:t>
      </w:r>
      <w:r w:rsidRPr="002D74C7">
        <w:rPr>
          <w:rFonts w:cs="Times New Roman"/>
        </w:rPr>
        <w:t xml:space="preserve">, we assign </w:t>
      </w:r>
      <w:r>
        <w:rPr>
          <w:rFonts w:cs="Times New Roman"/>
        </w:rPr>
        <w:t>an</w:t>
      </w:r>
      <w:r w:rsidRPr="002D74C7">
        <w:rPr>
          <w:rFonts w:cs="Times New Roman"/>
        </w:rPr>
        <w:t xml:space="preserve"> amplitude ratio of </w:t>
      </w:r>
      <w:r>
        <w:rPr>
          <w:rFonts w:cs="Times New Roman"/>
        </w:rPr>
        <w:t xml:space="preserve">zero for </w:t>
      </w:r>
      <w:r w:rsidRPr="002D74C7">
        <w:rPr>
          <w:rFonts w:cs="Times New Roman"/>
        </w:rPr>
        <w:t>this hypothetical PP precursor</w:t>
      </w:r>
      <w:r>
        <w:rPr>
          <w:rFonts w:cs="Times New Roman"/>
        </w:rPr>
        <w:t xml:space="preserve"> and define its </w:t>
      </w:r>
      <w:r w:rsidRPr="002D74C7">
        <w:rPr>
          <w:rFonts w:cs="Times New Roman"/>
        </w:rPr>
        <w:t xml:space="preserve">uncertainty </w:t>
      </w:r>
      <w:r>
        <w:rPr>
          <w:rFonts w:cs="Times New Roman"/>
        </w:rPr>
        <w:t>using</w:t>
      </w:r>
      <w:r w:rsidRPr="002D74C7">
        <w:rPr>
          <w:rFonts w:cs="Times New Roman"/>
        </w:rPr>
        <w:t xml:space="preserve"> the noise level</w:t>
      </w:r>
      <w:r>
        <w:rPr>
          <w:rFonts w:cs="Times New Roman"/>
        </w:rPr>
        <w:t>, which</w:t>
      </w:r>
      <w:r w:rsidRPr="002D74C7">
        <w:rPr>
          <w:rFonts w:cs="Times New Roman"/>
        </w:rPr>
        <w:t xml:space="preserve"> is </w:t>
      </w:r>
      <w:r>
        <w:rPr>
          <w:rFonts w:cs="Times New Roman"/>
        </w:rPr>
        <w:t>quantified</w:t>
      </w:r>
      <w:r w:rsidRPr="002D74C7">
        <w:rPr>
          <w:rFonts w:cs="Times New Roman"/>
        </w:rPr>
        <w:t xml:space="preserve"> as the mean value of the root mean square amplitudes of the waveforms</w:t>
      </w:r>
      <w:r>
        <w:rPr>
          <w:rFonts w:cs="Times New Roman"/>
        </w:rPr>
        <w:t xml:space="preserve"> </w:t>
      </w:r>
      <w:r w:rsidRPr="002D74C7">
        <w:rPr>
          <w:rFonts w:cs="Times New Roman"/>
        </w:rPr>
        <w:t>filtered across various frequency bands within a window 20–30 s before the PP.</w:t>
      </w:r>
    </w:p>
    <w:p w14:paraId="59BF63C3" w14:textId="77777777" w:rsidR="007F6E00" w:rsidRDefault="007F6E00" w:rsidP="00F83665">
      <w:pPr>
        <w:tabs>
          <w:tab w:val="center" w:pos="4080"/>
          <w:tab w:val="right" w:pos="8160"/>
        </w:tabs>
        <w:ind w:firstLineChars="200" w:firstLine="480"/>
        <w:rPr>
          <w:rFonts w:cs="Times New Roman"/>
        </w:rPr>
      </w:pPr>
    </w:p>
    <w:p w14:paraId="1E631F30" w14:textId="77777777" w:rsidR="007F6E00" w:rsidRDefault="007F6E00">
      <w:pPr>
        <w:widowControl/>
        <w:spacing w:line="240" w:lineRule="auto"/>
        <w:jc w:val="left"/>
        <w:rPr>
          <w:rFonts w:cs="Times New Roman"/>
        </w:rPr>
      </w:pPr>
    </w:p>
    <w:p w14:paraId="5BB024C4" w14:textId="77777777" w:rsidR="007F6E00" w:rsidRPr="002D74C7" w:rsidRDefault="007F6E00" w:rsidP="00F66CEE">
      <w:pPr>
        <w:tabs>
          <w:tab w:val="center" w:pos="4080"/>
          <w:tab w:val="right" w:pos="8160"/>
        </w:tabs>
        <w:spacing w:line="240" w:lineRule="auto"/>
        <w:jc w:val="center"/>
        <w:rPr>
          <w:rFonts w:cs="Times New Roman"/>
        </w:rPr>
      </w:pPr>
      <w:r w:rsidRPr="002D74C7">
        <w:rPr>
          <w:rFonts w:cs="Times New Roman"/>
          <w:noProof/>
        </w:rPr>
        <w:drawing>
          <wp:inline distT="0" distB="0" distL="0" distR="0" wp14:anchorId="01A14157" wp14:editId="2254548F">
            <wp:extent cx="3600000" cy="4317314"/>
            <wp:effectExtent l="0" t="0" r="0" b="127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_obs_S0976a_PP.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00000" cy="4317314"/>
                    </a:xfrm>
                    <a:prstGeom prst="rect">
                      <a:avLst/>
                    </a:prstGeom>
                  </pic:spPr>
                </pic:pic>
              </a:graphicData>
            </a:graphic>
          </wp:inline>
        </w:drawing>
      </w:r>
    </w:p>
    <w:p w14:paraId="0F7F531D" w14:textId="77777777" w:rsidR="007F6E00" w:rsidRDefault="007F6E00" w:rsidP="00F66CEE">
      <w:pPr>
        <w:tabs>
          <w:tab w:val="center" w:pos="4080"/>
          <w:tab w:val="right" w:pos="8160"/>
        </w:tabs>
        <w:spacing w:line="240" w:lineRule="auto"/>
        <w:rPr>
          <w:rFonts w:cs="Times New Roman"/>
        </w:rPr>
      </w:pPr>
      <w:bookmarkStart w:id="15" w:name="_Toc167205909"/>
      <w:r>
        <w:rPr>
          <w:b/>
          <w:bCs/>
        </w:rPr>
        <w:t>Supplementary Fig. 8</w:t>
      </w:r>
      <w:r w:rsidRPr="000D5F60">
        <w:rPr>
          <w:b/>
          <w:bCs/>
        </w:rPr>
        <w:t xml:space="preserve"> | Pick of the PP precursor of event S0976a.</w:t>
      </w:r>
      <w:bookmarkEnd w:id="15"/>
      <w:r w:rsidRPr="000D5F60">
        <w:rPr>
          <w:b/>
          <w:bCs/>
        </w:rPr>
        <w:t xml:space="preserve"> </w:t>
      </w:r>
      <w:r w:rsidRPr="002D74C7">
        <w:rPr>
          <w:rFonts w:cs="Times New Roman"/>
        </w:rPr>
        <w:t>Detailed figure captions are same as</w:t>
      </w:r>
      <w:r>
        <w:rPr>
          <w:rFonts w:cs="Times New Roman"/>
        </w:rPr>
        <w:t xml:space="preserve"> in</w:t>
      </w:r>
      <w:r w:rsidRPr="002D74C7">
        <w:rPr>
          <w:rFonts w:cs="Times New Roman"/>
        </w:rPr>
        <w:t xml:space="preserve"> </w:t>
      </w:r>
      <w:r>
        <w:rPr>
          <w:rFonts w:cs="Times New Roman"/>
          <w:color w:val="FF0000"/>
        </w:rPr>
        <w:t>Supplementary Fig. 6</w:t>
      </w:r>
      <w:r w:rsidRPr="002D74C7">
        <w:rPr>
          <w:rFonts w:cs="Times New Roman"/>
        </w:rPr>
        <w:t>.</w:t>
      </w:r>
    </w:p>
    <w:p w14:paraId="22A44632" w14:textId="77777777" w:rsidR="007F6E00" w:rsidRDefault="007F6E00">
      <w:pPr>
        <w:widowControl/>
        <w:spacing w:line="240" w:lineRule="auto"/>
        <w:jc w:val="left"/>
        <w:rPr>
          <w:rFonts w:cs="Times New Roman"/>
          <w:color w:val="FF0000"/>
        </w:rPr>
      </w:pPr>
      <w:r>
        <w:rPr>
          <w:rFonts w:cs="Times New Roman"/>
          <w:color w:val="FF0000"/>
        </w:rPr>
        <w:br w:type="page"/>
      </w:r>
    </w:p>
    <w:p w14:paraId="1325AAA8" w14:textId="77777777" w:rsidR="007F6E00" w:rsidRPr="00155223" w:rsidRDefault="007F6E00" w:rsidP="00690290">
      <w:pPr>
        <w:pStyle w:val="2"/>
      </w:pPr>
      <w:bookmarkStart w:id="16" w:name="_Toc202208117"/>
      <w:r>
        <w:lastRenderedPageBreak/>
        <w:t>3</w:t>
      </w:r>
      <w:r w:rsidRPr="00155223">
        <w:t xml:space="preserve">.3. SS </w:t>
      </w:r>
      <w:r>
        <w:t>precursors</w:t>
      </w:r>
      <w:r w:rsidRPr="00155223">
        <w:t xml:space="preserve"> of event S1153a</w:t>
      </w:r>
      <w:bookmarkEnd w:id="16"/>
    </w:p>
    <w:p w14:paraId="2710B53E" w14:textId="77777777" w:rsidR="007F6E00" w:rsidRPr="002D74C7" w:rsidRDefault="007F6E00" w:rsidP="00155223">
      <w:pPr>
        <w:tabs>
          <w:tab w:val="center" w:pos="4080"/>
          <w:tab w:val="right" w:pos="8160"/>
        </w:tabs>
        <w:ind w:firstLineChars="200" w:firstLine="480"/>
        <w:rPr>
          <w:rFonts w:cs="Times New Roman"/>
        </w:rPr>
      </w:pPr>
      <w:r w:rsidRPr="002D74C7">
        <w:rPr>
          <w:rFonts w:cs="Times New Roman"/>
        </w:rPr>
        <w:t xml:space="preserve">Event S1153a </w:t>
      </w:r>
      <w:r>
        <w:rPr>
          <w:rFonts w:cs="Times New Roman"/>
        </w:rPr>
        <w:t>has</w:t>
      </w:r>
      <w:r w:rsidRPr="002D74C7">
        <w:rPr>
          <w:rFonts w:cs="Times New Roman"/>
        </w:rPr>
        <w:t xml:space="preserve"> a distance of ~84.8º and a back azimuth of ~87.2º relative to the InSight lander</w:t>
      </w:r>
      <w:r w:rsidRPr="0020344F">
        <w:rPr>
          <w:rFonts w:cs="Times New Roman"/>
          <w:noProof/>
          <w:vertAlign w:val="superscript"/>
        </w:rPr>
        <w:t>2,5</w:t>
      </w:r>
      <w:r w:rsidRPr="002D74C7">
        <w:rPr>
          <w:rFonts w:cs="Times New Roman"/>
        </w:rPr>
        <w:t xml:space="preserve">. </w:t>
      </w:r>
      <w:r>
        <w:rPr>
          <w:rFonts w:cs="Times New Roman"/>
        </w:rPr>
        <w:t>T</w:t>
      </w:r>
      <w:r w:rsidRPr="002D74C7">
        <w:rPr>
          <w:rFonts w:cs="Times New Roman"/>
        </w:rPr>
        <w:t>he SS wave and its precursors</w:t>
      </w:r>
      <w:r>
        <w:rPr>
          <w:rFonts w:cs="Times New Roman"/>
        </w:rPr>
        <w:t xml:space="preserve"> of S1153a</w:t>
      </w:r>
      <w:r w:rsidRPr="002D74C7">
        <w:rPr>
          <w:rFonts w:cs="Times New Roman"/>
        </w:rPr>
        <w:t xml:space="preserve"> provide us an opportunity to illuminate the subsurface structure in the eastern region of Elysium Planitia and to the east of Cerberus Fossae, an area characterized by active seismicity and the potential presence of a mantle plume</w:t>
      </w:r>
      <w:r w:rsidRPr="0020344F">
        <w:rPr>
          <w:rFonts w:cs="Times New Roman"/>
          <w:noProof/>
          <w:vertAlign w:val="superscript"/>
        </w:rPr>
        <w:t>7,9,11</w:t>
      </w:r>
      <w:r>
        <w:rPr>
          <w:rFonts w:cs="Times New Roman"/>
        </w:rPr>
        <w:t xml:space="preserve"> </w:t>
      </w:r>
      <w:r w:rsidRPr="00F66CEE">
        <w:rPr>
          <w:rFonts w:cs="Times New Roman"/>
          <w:color w:val="FF0000"/>
        </w:rPr>
        <w:t>(Fig. 1)</w:t>
      </w:r>
      <w:r w:rsidRPr="002D74C7">
        <w:rPr>
          <w:rFonts w:cs="Times New Roman"/>
        </w:rPr>
        <w:t>. The P</w:t>
      </w:r>
      <w:r>
        <w:rPr>
          <w:rFonts w:cs="Times New Roman"/>
        </w:rPr>
        <w:t>P</w:t>
      </w:r>
      <w:r w:rsidRPr="002D74C7">
        <w:rPr>
          <w:rFonts w:cs="Times New Roman"/>
        </w:rPr>
        <w:t xml:space="preserve"> wave of S1153a </w:t>
      </w:r>
      <w:r>
        <w:rPr>
          <w:rFonts w:cs="Times New Roman"/>
        </w:rPr>
        <w:t>is</w:t>
      </w:r>
      <w:r w:rsidRPr="002D74C7">
        <w:rPr>
          <w:rFonts w:cs="Times New Roman"/>
        </w:rPr>
        <w:t xml:space="preserve"> not explored in current study considering its observed weak amplitude.</w:t>
      </w:r>
    </w:p>
    <w:p w14:paraId="4705C691" w14:textId="77777777" w:rsidR="007F6E00" w:rsidRDefault="007F6E00" w:rsidP="00155223">
      <w:pPr>
        <w:tabs>
          <w:tab w:val="center" w:pos="4080"/>
          <w:tab w:val="right" w:pos="8160"/>
        </w:tabs>
        <w:ind w:firstLineChars="200" w:firstLine="480"/>
        <w:rPr>
          <w:rFonts w:cs="Times New Roman"/>
        </w:rPr>
      </w:pPr>
      <w:r w:rsidRPr="002D74C7">
        <w:rPr>
          <w:rFonts w:cs="Times New Roman"/>
        </w:rPr>
        <w:t>Here, we identify the SS wave by employing the waveform matching</w:t>
      </w:r>
      <w:r>
        <w:rPr>
          <w:rFonts w:cs="Times New Roman"/>
        </w:rPr>
        <w:t xml:space="preserve"> based on the</w:t>
      </w:r>
      <w:r w:rsidRPr="002D74C7">
        <w:rPr>
          <w:rFonts w:cs="Times New Roman"/>
        </w:rPr>
        <w:t xml:space="preserve"> Hilbert transform of the S wave</w:t>
      </w:r>
      <w:r>
        <w:rPr>
          <w:rFonts w:cs="Times New Roman"/>
        </w:rPr>
        <w:t xml:space="preserve"> within a 10 s window</w:t>
      </w:r>
      <w:r w:rsidRPr="00B11BE5">
        <w:rPr>
          <w:rFonts w:cs="Times New Roman"/>
          <w:noProof/>
          <w:vertAlign w:val="superscript"/>
        </w:rPr>
        <w:t>28,32-34</w:t>
      </w:r>
      <w:r>
        <w:rPr>
          <w:rFonts w:cs="Times New Roman"/>
        </w:rPr>
        <w:t xml:space="preserve"> </w:t>
      </w:r>
      <w:r w:rsidRPr="00155223">
        <w:rPr>
          <w:rFonts w:cs="Times New Roman"/>
          <w:color w:val="FF0000"/>
        </w:rPr>
        <w:t>(</w:t>
      </w:r>
      <w:r>
        <w:rPr>
          <w:rFonts w:cs="Times New Roman"/>
          <w:color w:val="FF0000"/>
        </w:rPr>
        <w:t>Supplementary Fig. 9</w:t>
      </w:r>
      <w:r w:rsidRPr="00155223">
        <w:rPr>
          <w:rFonts w:cs="Times New Roman"/>
          <w:color w:val="FF0000"/>
        </w:rPr>
        <w:t>)</w:t>
      </w:r>
      <w:r w:rsidRPr="002D74C7">
        <w:rPr>
          <w:rFonts w:cs="Times New Roman"/>
        </w:rPr>
        <w:t xml:space="preserve">. </w:t>
      </w:r>
      <w:r>
        <w:rPr>
          <w:rFonts w:cs="Times New Roman"/>
        </w:rPr>
        <w:t xml:space="preserve">The </w:t>
      </w:r>
      <w:r w:rsidRPr="006B3717">
        <w:rPr>
          <w:rFonts w:cs="Times New Roman"/>
        </w:rPr>
        <w:t xml:space="preserve">transverse component is </w:t>
      </w:r>
      <w:r>
        <w:rPr>
          <w:rFonts w:cs="Times New Roman"/>
        </w:rPr>
        <w:t xml:space="preserve">used and </w:t>
      </w:r>
      <w:r w:rsidRPr="006B3717">
        <w:rPr>
          <w:rFonts w:cs="Times New Roman"/>
        </w:rPr>
        <w:t>bandpass filtered to 0.2–0.8 Hz</w:t>
      </w:r>
      <w:r>
        <w:rPr>
          <w:rFonts w:cs="Times New Roman"/>
        </w:rPr>
        <w:t xml:space="preserve">. </w:t>
      </w:r>
      <w:r w:rsidRPr="002D74C7">
        <w:rPr>
          <w:rFonts w:cs="Times New Roman"/>
        </w:rPr>
        <w:t xml:space="preserve">Considering a possible polarity reversal due to the difference of take-off angles between the SS and S waves, we keep all </w:t>
      </w:r>
      <w:r w:rsidRPr="002D74C7">
        <w:rPr>
          <w:rFonts w:cs="Times New Roman"/>
          <w:i/>
        </w:rPr>
        <w:t>CC</w:t>
      </w:r>
      <w:r w:rsidRPr="002D74C7">
        <w:rPr>
          <w:rFonts w:cs="Times New Roman"/>
        </w:rPr>
        <w:t xml:space="preserve"> peaks that satisfy |</w:t>
      </w:r>
      <w:r w:rsidRPr="002D74C7">
        <w:rPr>
          <w:rFonts w:cs="Times New Roman"/>
          <w:i/>
        </w:rPr>
        <w:t>CC</w:t>
      </w:r>
      <w:r w:rsidRPr="002D74C7">
        <w:rPr>
          <w:rFonts w:cs="Times New Roman"/>
        </w:rPr>
        <w:t>| &gt; 0.6 on both bandpass and polarization filtered traces as candidates</w:t>
      </w:r>
      <w:r>
        <w:rPr>
          <w:rFonts w:cs="Times New Roman"/>
        </w:rPr>
        <w:t xml:space="preserve"> </w:t>
      </w:r>
      <w:r w:rsidRPr="00F66CEE">
        <w:rPr>
          <w:rFonts w:cs="Times New Roman"/>
          <w:color w:val="FF0000"/>
        </w:rPr>
        <w:t>(Methods)</w:t>
      </w:r>
      <w:r w:rsidRPr="002D74C7">
        <w:rPr>
          <w:rFonts w:cs="Times New Roman"/>
        </w:rPr>
        <w:t xml:space="preserve">. The waveforms at ~45 s, ~70 s, ~90 s, and ~113 s after the S wave show high similarities with the template </w:t>
      </w:r>
      <w:r w:rsidRPr="00155223">
        <w:rPr>
          <w:rFonts w:cs="Times New Roman"/>
          <w:color w:val="FF0000"/>
        </w:rPr>
        <w:t>(</w:t>
      </w:r>
      <w:r>
        <w:rPr>
          <w:rFonts w:cs="Times New Roman"/>
          <w:color w:val="FF0000"/>
        </w:rPr>
        <w:t>Supplementary Fig. 9</w:t>
      </w:r>
      <w:r w:rsidRPr="00155223">
        <w:rPr>
          <w:rFonts w:cs="Times New Roman"/>
          <w:color w:val="FF0000"/>
        </w:rPr>
        <w:t>a)</w:t>
      </w:r>
      <w:r w:rsidRPr="002D74C7">
        <w:rPr>
          <w:rFonts w:cs="Times New Roman"/>
        </w:rPr>
        <w:t>.</w:t>
      </w:r>
      <w:r>
        <w:rPr>
          <w:rFonts w:cs="Times New Roman"/>
        </w:rPr>
        <w:t xml:space="preserve"> </w:t>
      </w:r>
      <w:r w:rsidRPr="002D74C7">
        <w:rPr>
          <w:rFonts w:cs="Times New Roman"/>
        </w:rPr>
        <w:t>T</w:t>
      </w:r>
      <w:r>
        <w:rPr>
          <w:rFonts w:cs="Times New Roman"/>
        </w:rPr>
        <w:t>ravel time calculation results using</w:t>
      </w:r>
      <w:r w:rsidRPr="002D74C7">
        <w:rPr>
          <w:rFonts w:cs="Times New Roman"/>
        </w:rPr>
        <w:t xml:space="preserve"> updated Martian interior models</w:t>
      </w:r>
      <w:r w:rsidRPr="006B3717">
        <w:rPr>
          <w:rFonts w:cs="Times New Roman"/>
          <w:noProof/>
          <w:vertAlign w:val="superscript"/>
        </w:rPr>
        <w:t>28,35</w:t>
      </w:r>
      <w:r w:rsidRPr="002D74C7">
        <w:rPr>
          <w:rFonts w:cs="Times New Roman"/>
        </w:rPr>
        <w:t xml:space="preserve"> suggest that the SS wave</w:t>
      </w:r>
      <w:r>
        <w:rPr>
          <w:rFonts w:cs="Times New Roman"/>
        </w:rPr>
        <w:t xml:space="preserve"> of S1153a</w:t>
      </w:r>
      <w:r w:rsidRPr="002D74C7">
        <w:rPr>
          <w:rFonts w:cs="Times New Roman"/>
        </w:rPr>
        <w:t xml:space="preserve"> is most likely to arrive ~82 s </w:t>
      </w:r>
      <w:r>
        <w:rPr>
          <w:rFonts w:cs="Times New Roman"/>
        </w:rPr>
        <w:t>after</w:t>
      </w:r>
      <w:r w:rsidRPr="002D74C7">
        <w:rPr>
          <w:rFonts w:cs="Times New Roman"/>
        </w:rPr>
        <w:t xml:space="preserve"> the S wave</w:t>
      </w:r>
      <w:r>
        <w:rPr>
          <w:rFonts w:cs="Times New Roman"/>
        </w:rPr>
        <w:t xml:space="preserve"> </w:t>
      </w:r>
      <w:r w:rsidRPr="00155223">
        <w:rPr>
          <w:rFonts w:cs="Times New Roman"/>
          <w:color w:val="FF0000"/>
        </w:rPr>
        <w:t>(</w:t>
      </w:r>
      <w:r>
        <w:rPr>
          <w:rFonts w:cs="Times New Roman"/>
          <w:color w:val="FF0000"/>
        </w:rPr>
        <w:t>Supplementary Fig. 10c</w:t>
      </w:r>
      <w:r w:rsidRPr="00155223">
        <w:rPr>
          <w:rFonts w:cs="Times New Roman"/>
          <w:color w:val="FF0000"/>
        </w:rPr>
        <w:t>)</w:t>
      </w:r>
      <w:r w:rsidRPr="002D74C7">
        <w:rPr>
          <w:rFonts w:cs="Times New Roman"/>
        </w:rPr>
        <w:t xml:space="preserve">. The </w:t>
      </w:r>
      <w:r w:rsidRPr="002D74C7">
        <w:rPr>
          <w:rFonts w:cs="Times New Roman"/>
          <w:i/>
        </w:rPr>
        <w:t>CC</w:t>
      </w:r>
      <w:r w:rsidRPr="002D74C7">
        <w:rPr>
          <w:rFonts w:cs="Times New Roman"/>
        </w:rPr>
        <w:t xml:space="preserve"> peaks, which occur 90 s after S wave, display the highest PDF of the SS wave’s arrival time. Therefore, we designate the phase at 90 s as the SS wave, categorizing the first two phases as SS precursors and the last phase as a potential postcursor.</w:t>
      </w:r>
    </w:p>
    <w:p w14:paraId="439F879C" w14:textId="77777777" w:rsidR="007F6E00" w:rsidRPr="002D74C7" w:rsidRDefault="007F6E00" w:rsidP="006B3717">
      <w:pPr>
        <w:tabs>
          <w:tab w:val="center" w:pos="4080"/>
          <w:tab w:val="right" w:pos="8160"/>
        </w:tabs>
        <w:ind w:firstLineChars="200" w:firstLine="480"/>
        <w:rPr>
          <w:rFonts w:cs="Times New Roman"/>
        </w:rPr>
      </w:pPr>
      <w:r w:rsidRPr="002D74C7">
        <w:rPr>
          <w:rFonts w:cs="Times New Roman"/>
        </w:rPr>
        <w:t xml:space="preserve">Analogous to the procedure </w:t>
      </w:r>
      <w:r>
        <w:rPr>
          <w:rFonts w:cs="Times New Roman"/>
        </w:rPr>
        <w:t>for</w:t>
      </w:r>
      <w:r w:rsidRPr="002D74C7">
        <w:rPr>
          <w:rFonts w:cs="Times New Roman"/>
        </w:rPr>
        <w:t xml:space="preserve"> S0976a, we </w:t>
      </w:r>
      <w:r>
        <w:rPr>
          <w:rFonts w:cs="Times New Roman"/>
        </w:rPr>
        <w:t>use</w:t>
      </w:r>
      <w:r w:rsidRPr="002D74C7">
        <w:rPr>
          <w:rFonts w:cs="Times New Roman"/>
        </w:rPr>
        <w:t xml:space="preserve"> varying back azimuths </w:t>
      </w:r>
      <w:r>
        <w:rPr>
          <w:rFonts w:cs="Times New Roman"/>
        </w:rPr>
        <w:t xml:space="preserve">and </w:t>
      </w:r>
      <w:r w:rsidRPr="002D74C7">
        <w:rPr>
          <w:rFonts w:cs="Times New Roman"/>
        </w:rPr>
        <w:lastRenderedPageBreak/>
        <w:t>frequency bands</w:t>
      </w:r>
      <w:r>
        <w:rPr>
          <w:rFonts w:cs="Times New Roman"/>
        </w:rPr>
        <w:t xml:space="preserve"> to pick S1153a’s SS precursors </w:t>
      </w:r>
      <w:r w:rsidRPr="006B3717">
        <w:rPr>
          <w:rFonts w:cs="Times New Roman"/>
          <w:color w:val="FF0000"/>
        </w:rPr>
        <w:t>(</w:t>
      </w:r>
      <w:r>
        <w:rPr>
          <w:rFonts w:cs="Times New Roman"/>
          <w:color w:val="FF0000"/>
        </w:rPr>
        <w:t>Supplementary Fig. 11)</w:t>
      </w:r>
      <w:r w:rsidRPr="002D74C7">
        <w:rPr>
          <w:rFonts w:cs="Times New Roman"/>
        </w:rPr>
        <w:t xml:space="preserve">. </w:t>
      </w:r>
      <w:r>
        <w:rPr>
          <w:rFonts w:cs="Times New Roman"/>
          <w:color w:val="FF0000"/>
        </w:rPr>
        <w:t>Supplementary Fig. 12</w:t>
      </w:r>
      <w:r w:rsidRPr="002D74C7">
        <w:rPr>
          <w:rFonts w:cs="Times New Roman"/>
        </w:rPr>
        <w:t xml:space="preserve"> displays an example of the waveform matching with a back azimuth of 87.17º and a frequency band of 0.2–0.8 Hz. The template waveform is chosen within a 6 s window centered at the SS peak. </w:t>
      </w:r>
      <w:r>
        <w:rPr>
          <w:rFonts w:cs="Times New Roman"/>
        </w:rPr>
        <w:t>With</w:t>
      </w:r>
      <w:r w:rsidRPr="002D74C7">
        <w:rPr>
          <w:rFonts w:cs="Times New Roman"/>
        </w:rPr>
        <w:t xml:space="preserve"> </w:t>
      </w:r>
      <w:r w:rsidRPr="002D74C7">
        <w:rPr>
          <w:rFonts w:cs="Times New Roman"/>
          <w:i/>
        </w:rPr>
        <w:t>CC</w:t>
      </w:r>
      <w:r w:rsidRPr="002D74C7">
        <w:rPr>
          <w:rFonts w:cs="Times New Roman"/>
        </w:rPr>
        <w:t xml:space="preserve"> peaks </w:t>
      </w:r>
      <w:r>
        <w:rPr>
          <w:rFonts w:cs="Times New Roman"/>
        </w:rPr>
        <w:t>larger than</w:t>
      </w:r>
      <w:r w:rsidRPr="002D74C7">
        <w:rPr>
          <w:rFonts w:cs="Times New Roman"/>
        </w:rPr>
        <w:t xml:space="preserve"> 0.6, we identify two SS precursor phases given their consistent existences a</w:t>
      </w:r>
      <w:r>
        <w:rPr>
          <w:rFonts w:cs="Times New Roman"/>
        </w:rPr>
        <w:t>cross</w:t>
      </w:r>
      <w:r w:rsidRPr="002D74C7">
        <w:rPr>
          <w:rFonts w:cs="Times New Roman"/>
        </w:rPr>
        <w:t xml:space="preserve"> different frequencies and back azimuths </w:t>
      </w:r>
      <w:r w:rsidRPr="00155223">
        <w:rPr>
          <w:rFonts w:cs="Times New Roman"/>
          <w:color w:val="FF0000"/>
        </w:rPr>
        <w:t>(</w:t>
      </w:r>
      <w:r>
        <w:rPr>
          <w:rFonts w:cs="Times New Roman"/>
          <w:color w:val="FF0000"/>
        </w:rPr>
        <w:t>Supplementary Fig. 11)</w:t>
      </w:r>
      <w:r w:rsidRPr="002D74C7">
        <w:rPr>
          <w:rFonts w:cs="Times New Roman"/>
        </w:rPr>
        <w:t xml:space="preserve">. The </w:t>
      </w:r>
      <w:r>
        <w:rPr>
          <w:rFonts w:cs="Times New Roman"/>
        </w:rPr>
        <w:t>first</w:t>
      </w:r>
      <w:r w:rsidRPr="002D74C7">
        <w:rPr>
          <w:rFonts w:cs="Times New Roman"/>
        </w:rPr>
        <w:t xml:space="preserve"> is observed to </w:t>
      </w:r>
      <w:r>
        <w:rPr>
          <w:rFonts w:cs="Times New Roman"/>
        </w:rPr>
        <w:t>arrive</w:t>
      </w:r>
      <w:r w:rsidRPr="002D74C7">
        <w:rPr>
          <w:rFonts w:cs="Times New Roman"/>
        </w:rPr>
        <w:t xml:space="preserve"> 45.1 s </w:t>
      </w:r>
      <w:r>
        <w:rPr>
          <w:rFonts w:cs="Times New Roman"/>
        </w:rPr>
        <w:t xml:space="preserve">before SS wave </w:t>
      </w:r>
      <w:r w:rsidRPr="002D74C7">
        <w:rPr>
          <w:rFonts w:cs="Times New Roman"/>
        </w:rPr>
        <w:t xml:space="preserve">and exhibits a negative polarity, while the </w:t>
      </w:r>
      <w:r>
        <w:rPr>
          <w:rFonts w:cs="Times New Roman"/>
        </w:rPr>
        <w:t>second</w:t>
      </w:r>
      <w:r w:rsidRPr="002D74C7">
        <w:rPr>
          <w:rFonts w:cs="Times New Roman"/>
        </w:rPr>
        <w:t xml:space="preserve"> is a positive phase that arrives 20.9 s </w:t>
      </w:r>
      <w:r>
        <w:rPr>
          <w:rFonts w:cs="Times New Roman"/>
        </w:rPr>
        <w:t>before</w:t>
      </w:r>
      <w:r w:rsidRPr="002D74C7">
        <w:rPr>
          <w:rFonts w:cs="Times New Roman"/>
        </w:rPr>
        <w:t xml:space="preserve"> the SS wave. </w:t>
      </w:r>
      <w:r>
        <w:rPr>
          <w:rFonts w:cs="Times New Roman"/>
        </w:rPr>
        <w:t>O</w:t>
      </w:r>
      <w:r w:rsidRPr="002D74C7">
        <w:rPr>
          <w:rFonts w:cs="Times New Roman"/>
        </w:rPr>
        <w:t xml:space="preserve">ther </w:t>
      </w:r>
      <w:r w:rsidRPr="002D74C7">
        <w:rPr>
          <w:rFonts w:cs="Times New Roman"/>
          <w:i/>
        </w:rPr>
        <w:t>CC</w:t>
      </w:r>
      <w:r w:rsidRPr="002D74C7">
        <w:rPr>
          <w:rFonts w:cs="Times New Roman"/>
        </w:rPr>
        <w:t xml:space="preserve"> peaks</w:t>
      </w:r>
      <w:r>
        <w:rPr>
          <w:rFonts w:cs="Times New Roman"/>
        </w:rPr>
        <w:t xml:space="preserve"> </w:t>
      </w:r>
      <w:r w:rsidRPr="002D74C7">
        <w:rPr>
          <w:rFonts w:cs="Times New Roman"/>
        </w:rPr>
        <w:t>at 38.3 s, 31.6 s, and 14.4 s before the SS wave are not classified as SS precursors due to the diminished amplitudes after polarization filter</w:t>
      </w:r>
      <w:r>
        <w:rPr>
          <w:rFonts w:cs="Times New Roman"/>
        </w:rPr>
        <w:t>ing</w:t>
      </w:r>
      <w:r w:rsidRPr="002D74C7">
        <w:rPr>
          <w:rFonts w:cs="Times New Roman"/>
        </w:rPr>
        <w:t xml:space="preserve"> </w:t>
      </w:r>
      <w:r w:rsidRPr="00155223">
        <w:rPr>
          <w:rFonts w:cs="Times New Roman"/>
          <w:color w:val="FF0000"/>
        </w:rPr>
        <w:t>(</w:t>
      </w:r>
      <w:r>
        <w:rPr>
          <w:rFonts w:cs="Times New Roman"/>
          <w:color w:val="FF0000"/>
        </w:rPr>
        <w:t>Supplementary Fig. 11)</w:t>
      </w:r>
      <w:r w:rsidRPr="002D74C7">
        <w:rPr>
          <w:rFonts w:cs="Times New Roman"/>
        </w:rPr>
        <w:t>.</w:t>
      </w:r>
    </w:p>
    <w:p w14:paraId="5A224AD4" w14:textId="77777777" w:rsidR="007F6E00" w:rsidRDefault="007F6E00" w:rsidP="006B3717">
      <w:pPr>
        <w:tabs>
          <w:tab w:val="center" w:pos="4080"/>
          <w:tab w:val="right" w:pos="8160"/>
        </w:tabs>
        <w:ind w:firstLineChars="200" w:firstLine="480"/>
        <w:rPr>
          <w:rFonts w:cs="Times New Roman"/>
        </w:rPr>
      </w:pPr>
      <w:r w:rsidRPr="002D74C7">
        <w:rPr>
          <w:rFonts w:cs="Times New Roman"/>
        </w:rPr>
        <w:t xml:space="preserve">Finally, we pick one negative and one positive SS precursor from the waveform of S1153a, both of which exhibit time shifts comparable to those observed in event S0976a, suggesting the existence of a </w:t>
      </w:r>
      <w:r>
        <w:rPr>
          <w:rFonts w:cs="Times New Roman"/>
        </w:rPr>
        <w:t>similar</w:t>
      </w:r>
      <w:r w:rsidRPr="002D74C7">
        <w:rPr>
          <w:rFonts w:cs="Times New Roman"/>
        </w:rPr>
        <w:t xml:space="preserve"> subsurface structure beneath the bounce points of the two events. We further obtain the PDFs of their delay times and amplitude ratios relative to the SS wave </w:t>
      </w:r>
      <w:r w:rsidRPr="00155223">
        <w:rPr>
          <w:rFonts w:cs="Times New Roman"/>
          <w:color w:val="FF0000"/>
        </w:rPr>
        <w:t>(</w:t>
      </w:r>
      <w:r>
        <w:rPr>
          <w:rFonts w:cs="Times New Roman"/>
          <w:color w:val="FF0000"/>
        </w:rPr>
        <w:t>Supplementary Fig. 13)</w:t>
      </w:r>
      <w:r w:rsidRPr="002D74C7">
        <w:rPr>
          <w:rFonts w:cs="Times New Roman"/>
        </w:rPr>
        <w:t xml:space="preserve">. The first SS precursor arrives 20.90 ± 0.04 s before the SS wave with an amplitude ratio of </w:t>
      </w:r>
      <w:r>
        <w:rPr>
          <w:rFonts w:cs="Times New Roman"/>
        </w:rPr>
        <w:t>0.</w:t>
      </w:r>
      <w:r w:rsidRPr="002D74C7">
        <w:rPr>
          <w:rFonts w:cs="Times New Roman"/>
        </w:rPr>
        <w:t xml:space="preserve">67 ± </w:t>
      </w:r>
      <w:r>
        <w:rPr>
          <w:rFonts w:cs="Times New Roman"/>
        </w:rPr>
        <w:t>0.</w:t>
      </w:r>
      <w:r w:rsidRPr="002D74C7">
        <w:rPr>
          <w:rFonts w:cs="Times New Roman"/>
        </w:rPr>
        <w:t>14. The second one arrives 45.10 ± 0.03 s before the SS wave with an amplitude ratio of -</w:t>
      </w:r>
      <w:r>
        <w:rPr>
          <w:rFonts w:cs="Times New Roman"/>
        </w:rPr>
        <w:t>0.</w:t>
      </w:r>
      <w:r w:rsidRPr="002D74C7">
        <w:rPr>
          <w:rFonts w:cs="Times New Roman"/>
        </w:rPr>
        <w:t xml:space="preserve">42 ± </w:t>
      </w:r>
      <w:r>
        <w:rPr>
          <w:rFonts w:cs="Times New Roman"/>
        </w:rPr>
        <w:t>0.</w:t>
      </w:r>
      <w:r w:rsidRPr="002D74C7">
        <w:rPr>
          <w:rFonts w:cs="Times New Roman"/>
        </w:rPr>
        <w:t>16.</w:t>
      </w:r>
    </w:p>
    <w:p w14:paraId="709D9B14" w14:textId="77777777" w:rsidR="007F6E00" w:rsidRDefault="007F6E00">
      <w:pPr>
        <w:widowControl/>
        <w:spacing w:line="240" w:lineRule="auto"/>
        <w:jc w:val="left"/>
        <w:rPr>
          <w:rFonts w:cs="Times New Roman"/>
        </w:rPr>
      </w:pPr>
      <w:r>
        <w:rPr>
          <w:rFonts w:cs="Times New Roman"/>
        </w:rPr>
        <w:br w:type="page"/>
      </w:r>
    </w:p>
    <w:p w14:paraId="695335F7" w14:textId="77777777" w:rsidR="007F6E00" w:rsidRPr="002D74C7" w:rsidRDefault="007F6E00" w:rsidP="00F66CEE">
      <w:pPr>
        <w:tabs>
          <w:tab w:val="center" w:pos="4080"/>
          <w:tab w:val="right" w:pos="8160"/>
        </w:tabs>
        <w:spacing w:line="240" w:lineRule="auto"/>
        <w:jc w:val="center"/>
        <w:rPr>
          <w:rFonts w:cs="Times New Roman"/>
        </w:rPr>
      </w:pPr>
      <w:r w:rsidRPr="002D74C7">
        <w:rPr>
          <w:rFonts w:cs="Times New Roman"/>
          <w:noProof/>
        </w:rPr>
        <w:lastRenderedPageBreak/>
        <w:drawing>
          <wp:inline distT="0" distB="0" distL="0" distR="0" wp14:anchorId="183CAAD8" wp14:editId="6A72D268">
            <wp:extent cx="5040000" cy="3465986"/>
            <wp:effectExtent l="0" t="0" r="8255" b="127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_obs_S1153a_SS_0.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0" cy="3465986"/>
                    </a:xfrm>
                    <a:prstGeom prst="rect">
                      <a:avLst/>
                    </a:prstGeom>
                  </pic:spPr>
                </pic:pic>
              </a:graphicData>
            </a:graphic>
          </wp:inline>
        </w:drawing>
      </w:r>
    </w:p>
    <w:p w14:paraId="384A2D8E" w14:textId="77777777" w:rsidR="007F6E00" w:rsidRDefault="007F6E00" w:rsidP="00F66CEE">
      <w:pPr>
        <w:tabs>
          <w:tab w:val="center" w:pos="4080"/>
          <w:tab w:val="right" w:pos="8160"/>
        </w:tabs>
        <w:spacing w:line="240" w:lineRule="auto"/>
        <w:rPr>
          <w:rFonts w:cs="Times New Roman"/>
        </w:rPr>
      </w:pPr>
      <w:bookmarkStart w:id="17" w:name="_Toc167205911"/>
      <w:r>
        <w:rPr>
          <w:b/>
          <w:bCs/>
        </w:rPr>
        <w:t>Supplementary Fig. 9</w:t>
      </w:r>
      <w:r w:rsidRPr="000D5F60">
        <w:rPr>
          <w:b/>
          <w:bCs/>
        </w:rPr>
        <w:t xml:space="preserve"> | Picks of the SS wave and its precursors of event S1153a.</w:t>
      </w:r>
      <w:bookmarkEnd w:id="17"/>
      <w:r w:rsidRPr="000D5F60">
        <w:rPr>
          <w:b/>
          <w:bCs/>
        </w:rPr>
        <w:t xml:space="preserve"> </w:t>
      </w:r>
      <w:r w:rsidRPr="002D74C7">
        <w:rPr>
          <w:rFonts w:cs="Times New Roman"/>
        </w:rPr>
        <w:t xml:space="preserve">(a) Bandpass (blue line) and polarization (orange line) filtered transverse component velocity waveforms. Waveforms are filtered into 0.2–0.8 Hz. Amplitudes are normalized to the peak values of the direct S wave. Bottom part shows the </w:t>
      </w:r>
      <w:r w:rsidRPr="002D74C7">
        <w:rPr>
          <w:rFonts w:cs="Times New Roman"/>
          <w:i/>
        </w:rPr>
        <w:t>CC</w:t>
      </w:r>
      <w:r w:rsidRPr="002D74C7">
        <w:rPr>
          <w:rFonts w:cs="Times New Roman"/>
        </w:rPr>
        <w:t xml:space="preserve"> peaks (blue and orange lines) and smoothed relative PDF of the SS arrival times (purple dot line and area). (b) Bandpass filtered direct S wave (blue line) and its Hilbert transformed (red line) waveforms. (c) </w:t>
      </w:r>
      <w:r w:rsidRPr="002D74C7">
        <w:rPr>
          <w:rFonts w:cs="Times New Roman"/>
          <w:i/>
        </w:rPr>
        <w:t>CC</w:t>
      </w:r>
      <w:r w:rsidRPr="002D74C7">
        <w:rPr>
          <w:rFonts w:cs="Times New Roman"/>
        </w:rPr>
        <w:t xml:space="preserve"> values of the waveform matching using the bandpass filtered and Hilbert transformed S wave. (d)–(e) is the same as (b)–(c) but for the polarization filtered waveform. Waveforms at 45 s, 70 s, and 90 s after the S wave have high similarities with the template in both bandpass and polarization filtered traces. The final observation exhibits the greatest likelihood of being an SS wave, given that it has the maximum PDF associated with its arrival time.</w:t>
      </w:r>
    </w:p>
    <w:p w14:paraId="10C27ED9" w14:textId="77777777" w:rsidR="007F6E00" w:rsidRDefault="007F6E00">
      <w:pPr>
        <w:widowControl/>
        <w:spacing w:line="240" w:lineRule="auto"/>
        <w:jc w:val="left"/>
        <w:rPr>
          <w:rFonts w:cs="Times New Roman"/>
        </w:rPr>
      </w:pPr>
      <w:r>
        <w:rPr>
          <w:rFonts w:cs="Times New Roman"/>
        </w:rPr>
        <w:br w:type="page"/>
      </w:r>
    </w:p>
    <w:p w14:paraId="108911A4" w14:textId="77777777" w:rsidR="007F6E00" w:rsidRPr="002D74C7" w:rsidRDefault="007F6E00" w:rsidP="00F66CEE">
      <w:pPr>
        <w:tabs>
          <w:tab w:val="center" w:pos="4080"/>
          <w:tab w:val="right" w:pos="8160"/>
        </w:tabs>
        <w:spacing w:line="240" w:lineRule="auto"/>
        <w:jc w:val="center"/>
        <w:rPr>
          <w:rFonts w:cs="Times New Roman"/>
        </w:rPr>
      </w:pPr>
      <w:r w:rsidRPr="002D74C7">
        <w:rPr>
          <w:rFonts w:cs="Times New Roman"/>
          <w:noProof/>
        </w:rPr>
        <w:lastRenderedPageBreak/>
        <w:drawing>
          <wp:inline distT="0" distB="0" distL="0" distR="0" wp14:anchorId="51FECF3C" wp14:editId="37612516">
            <wp:extent cx="5040000" cy="4489640"/>
            <wp:effectExtent l="0" t="0" r="8255" b="635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_obs_ray_parameter.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40000" cy="4489640"/>
                    </a:xfrm>
                    <a:prstGeom prst="rect">
                      <a:avLst/>
                    </a:prstGeom>
                  </pic:spPr>
                </pic:pic>
              </a:graphicData>
            </a:graphic>
          </wp:inline>
        </w:drawing>
      </w:r>
    </w:p>
    <w:p w14:paraId="75768D01" w14:textId="77777777" w:rsidR="007F6E00" w:rsidRDefault="007F6E00" w:rsidP="00F66CEE">
      <w:pPr>
        <w:tabs>
          <w:tab w:val="center" w:pos="4080"/>
          <w:tab w:val="right" w:pos="8160"/>
        </w:tabs>
        <w:spacing w:line="240" w:lineRule="auto"/>
        <w:rPr>
          <w:rFonts w:cs="Times New Roman"/>
        </w:rPr>
      </w:pPr>
      <w:bookmarkStart w:id="18" w:name="_Toc167205912"/>
      <w:r>
        <w:rPr>
          <w:b/>
          <w:bCs/>
        </w:rPr>
        <w:t>Supplementary Fig. 10</w:t>
      </w:r>
      <w:r w:rsidRPr="000D5F60">
        <w:rPr>
          <w:b/>
          <w:bCs/>
        </w:rPr>
        <w:t xml:space="preserve"> | Distributions of ray parameters and SS-S travel time difference of events S0976a and S1153a.</w:t>
      </w:r>
      <w:bookmarkEnd w:id="18"/>
      <w:r w:rsidRPr="000D5F60">
        <w:rPr>
          <w:b/>
          <w:bCs/>
        </w:rPr>
        <w:t xml:space="preserve"> </w:t>
      </w:r>
      <w:r w:rsidRPr="002D74C7">
        <w:rPr>
          <w:rFonts w:cs="Times New Roman"/>
        </w:rPr>
        <w:t>In each subfigure, top left panel shows the normalized PDF of epicentral distance from MQS Catalog</w:t>
      </w:r>
      <w:r w:rsidRPr="00954CBB">
        <w:rPr>
          <w:rFonts w:cs="Times New Roman"/>
          <w:noProof/>
          <w:vertAlign w:val="superscript"/>
        </w:rPr>
        <w:t>2</w:t>
      </w:r>
      <w:r w:rsidRPr="002D74C7">
        <w:rPr>
          <w:rFonts w:cs="Times New Roman"/>
        </w:rPr>
        <w:t xml:space="preserve">; bottom left panel shows the normalized joint PDF of epicentral distance and ray parameters or SS-S travel time difference, which are calculated using </w:t>
      </w:r>
      <w:proofErr w:type="spellStart"/>
      <w:r w:rsidRPr="002D74C7">
        <w:rPr>
          <w:rFonts w:cs="Times New Roman"/>
        </w:rPr>
        <w:t>Taup</w:t>
      </w:r>
      <w:proofErr w:type="spellEnd"/>
      <w:r w:rsidRPr="002D74C7">
        <w:rPr>
          <w:rFonts w:cs="Times New Roman"/>
        </w:rPr>
        <w:t xml:space="preserve"> by setting a variety of source depth from 0 to 100 km; bottom right panel shows the normalized PDF of ray parameters or SS-S travel time difference.</w:t>
      </w:r>
    </w:p>
    <w:p w14:paraId="600C43B1" w14:textId="77777777" w:rsidR="007F6E00" w:rsidRDefault="007F6E00">
      <w:pPr>
        <w:widowControl/>
        <w:spacing w:line="240" w:lineRule="auto"/>
        <w:jc w:val="left"/>
        <w:rPr>
          <w:rFonts w:cs="Times New Roman"/>
        </w:rPr>
      </w:pPr>
      <w:r>
        <w:rPr>
          <w:rFonts w:cs="Times New Roman"/>
        </w:rPr>
        <w:br w:type="page"/>
      </w:r>
    </w:p>
    <w:p w14:paraId="518DBF88" w14:textId="77777777" w:rsidR="007F6E00" w:rsidRPr="002D74C7" w:rsidRDefault="007F6E00" w:rsidP="0026277B">
      <w:pPr>
        <w:tabs>
          <w:tab w:val="center" w:pos="4080"/>
          <w:tab w:val="right" w:pos="8160"/>
        </w:tabs>
        <w:spacing w:line="240" w:lineRule="auto"/>
        <w:jc w:val="center"/>
        <w:rPr>
          <w:rFonts w:cs="Times New Roman"/>
        </w:rPr>
      </w:pPr>
      <w:r w:rsidRPr="002D74C7">
        <w:rPr>
          <w:rFonts w:cs="Times New Roman"/>
          <w:noProof/>
        </w:rPr>
        <w:lastRenderedPageBreak/>
        <w:drawing>
          <wp:inline distT="0" distB="0" distL="0" distR="0" wp14:anchorId="24D8933D" wp14:editId="23954143">
            <wp:extent cx="5040000" cy="6046668"/>
            <wp:effectExtent l="0" t="0" r="825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_obs_S1153a_all.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40000" cy="6046668"/>
                    </a:xfrm>
                    <a:prstGeom prst="rect">
                      <a:avLst/>
                    </a:prstGeom>
                  </pic:spPr>
                </pic:pic>
              </a:graphicData>
            </a:graphic>
          </wp:inline>
        </w:drawing>
      </w:r>
    </w:p>
    <w:p w14:paraId="45F9A344" w14:textId="77777777" w:rsidR="007F6E00" w:rsidRDefault="007F6E00" w:rsidP="00F66CEE">
      <w:pPr>
        <w:tabs>
          <w:tab w:val="center" w:pos="4080"/>
          <w:tab w:val="right" w:pos="8160"/>
        </w:tabs>
        <w:spacing w:line="240" w:lineRule="auto"/>
        <w:rPr>
          <w:rFonts w:cs="Times New Roman"/>
        </w:rPr>
      </w:pPr>
      <w:bookmarkStart w:id="19" w:name="_Toc167205913"/>
      <w:r>
        <w:rPr>
          <w:b/>
          <w:bCs/>
        </w:rPr>
        <w:t>Supplementary Fig. 11</w:t>
      </w:r>
      <w:r w:rsidRPr="000D5F60">
        <w:rPr>
          <w:b/>
          <w:bCs/>
        </w:rPr>
        <w:t xml:space="preserve"> | Picking of the SS precursors of event S1153a.</w:t>
      </w:r>
      <w:bookmarkEnd w:id="19"/>
      <w:r w:rsidRPr="000D5F60">
        <w:rPr>
          <w:b/>
          <w:bCs/>
        </w:rPr>
        <w:t xml:space="preserve"> </w:t>
      </w:r>
      <w:r w:rsidRPr="002D74C7">
        <w:rPr>
          <w:rFonts w:cs="Times New Roman"/>
        </w:rPr>
        <w:t>(a)–(e) SS and its precursors on transverse component filtered within different frequency bands. Five different values of the back azimuth are used to rotate the waveforms into radial and transverse directions. The gray lines represent the bandpass filtered waveforms, while the colored lines represent the polarization filtered waveforms. All traces are normalized to the peak amplitude of the SS wave. The time is aligned to the peak time of the SS wave. The gray vertical bands denote the SS waves and their identified precursor phases.</w:t>
      </w:r>
    </w:p>
    <w:p w14:paraId="14F93FE6" w14:textId="77777777" w:rsidR="007F6E00" w:rsidRDefault="007F6E00">
      <w:pPr>
        <w:widowControl/>
        <w:spacing w:line="240" w:lineRule="auto"/>
        <w:jc w:val="left"/>
        <w:rPr>
          <w:rFonts w:cs="Times New Roman"/>
        </w:rPr>
      </w:pPr>
      <w:r>
        <w:rPr>
          <w:rFonts w:cs="Times New Roman"/>
        </w:rPr>
        <w:br w:type="page"/>
      </w:r>
    </w:p>
    <w:p w14:paraId="39150604" w14:textId="77777777" w:rsidR="007F6E00" w:rsidRPr="002D74C7" w:rsidRDefault="007F6E00" w:rsidP="00F66CEE">
      <w:pPr>
        <w:tabs>
          <w:tab w:val="center" w:pos="4080"/>
          <w:tab w:val="right" w:pos="8160"/>
        </w:tabs>
        <w:spacing w:line="240" w:lineRule="auto"/>
        <w:jc w:val="center"/>
        <w:rPr>
          <w:rFonts w:cs="Times New Roman"/>
        </w:rPr>
      </w:pPr>
      <w:r w:rsidRPr="002D74C7">
        <w:rPr>
          <w:rFonts w:cs="Times New Roman"/>
          <w:noProof/>
        </w:rPr>
        <w:lastRenderedPageBreak/>
        <w:drawing>
          <wp:inline distT="0" distB="0" distL="0" distR="0" wp14:anchorId="2FF5605D" wp14:editId="737E8C06">
            <wp:extent cx="3600000" cy="4319049"/>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_obs_S1153a_SS.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00000" cy="4319049"/>
                    </a:xfrm>
                    <a:prstGeom prst="rect">
                      <a:avLst/>
                    </a:prstGeom>
                  </pic:spPr>
                </pic:pic>
              </a:graphicData>
            </a:graphic>
          </wp:inline>
        </w:drawing>
      </w:r>
    </w:p>
    <w:p w14:paraId="7694886A" w14:textId="77777777" w:rsidR="007F6E00" w:rsidRDefault="007F6E00" w:rsidP="00F66CEE">
      <w:pPr>
        <w:tabs>
          <w:tab w:val="center" w:pos="4080"/>
          <w:tab w:val="right" w:pos="8160"/>
        </w:tabs>
        <w:spacing w:line="240" w:lineRule="auto"/>
        <w:rPr>
          <w:rFonts w:cs="Times New Roman"/>
        </w:rPr>
      </w:pPr>
      <w:bookmarkStart w:id="20" w:name="_Toc167205914"/>
      <w:r>
        <w:rPr>
          <w:b/>
          <w:bCs/>
        </w:rPr>
        <w:t>Supplementary Fig. 12</w:t>
      </w:r>
      <w:r w:rsidRPr="000D5F60">
        <w:rPr>
          <w:b/>
          <w:bCs/>
        </w:rPr>
        <w:t xml:space="preserve"> | Picks of the SS precursors of event S1153a.</w:t>
      </w:r>
      <w:bookmarkEnd w:id="20"/>
      <w:r w:rsidRPr="000D5F60">
        <w:rPr>
          <w:b/>
          <w:bCs/>
        </w:rPr>
        <w:t xml:space="preserve"> </w:t>
      </w:r>
      <w:r w:rsidRPr="002D74C7">
        <w:rPr>
          <w:rFonts w:cs="Times New Roman"/>
        </w:rPr>
        <w:t xml:space="preserve">Detailed figure captions are same </w:t>
      </w:r>
      <w:r>
        <w:rPr>
          <w:rFonts w:cs="Times New Roman"/>
        </w:rPr>
        <w:t>in</w:t>
      </w:r>
      <w:r w:rsidRPr="002D74C7">
        <w:rPr>
          <w:rFonts w:cs="Times New Roman"/>
        </w:rPr>
        <w:t xml:space="preserve"> </w:t>
      </w:r>
      <w:r>
        <w:rPr>
          <w:rStyle w:val="20"/>
          <w:color w:val="FF0000"/>
        </w:rPr>
        <w:t>Supplementary Fig. 6</w:t>
      </w:r>
      <w:r w:rsidRPr="002D74C7">
        <w:rPr>
          <w:rFonts w:cs="Times New Roman"/>
        </w:rPr>
        <w:t>.</w:t>
      </w:r>
    </w:p>
    <w:p w14:paraId="3B4236DB" w14:textId="77777777" w:rsidR="007F6E00" w:rsidRDefault="007F6E00">
      <w:pPr>
        <w:widowControl/>
        <w:spacing w:line="240" w:lineRule="auto"/>
        <w:jc w:val="left"/>
        <w:rPr>
          <w:rFonts w:cs="Times New Roman"/>
        </w:rPr>
      </w:pPr>
      <w:r>
        <w:rPr>
          <w:rFonts w:cs="Times New Roman"/>
        </w:rPr>
        <w:br w:type="page"/>
      </w:r>
    </w:p>
    <w:p w14:paraId="763F3C35" w14:textId="77777777" w:rsidR="007F6E00" w:rsidRPr="002D74C7" w:rsidRDefault="007F6E00" w:rsidP="00F66CEE">
      <w:pPr>
        <w:tabs>
          <w:tab w:val="center" w:pos="4080"/>
          <w:tab w:val="right" w:pos="8160"/>
        </w:tabs>
        <w:spacing w:line="240" w:lineRule="auto"/>
        <w:jc w:val="center"/>
        <w:rPr>
          <w:rFonts w:cs="Times New Roman"/>
        </w:rPr>
      </w:pPr>
      <w:r w:rsidRPr="002D74C7">
        <w:rPr>
          <w:rFonts w:cs="Times New Roman"/>
          <w:noProof/>
        </w:rPr>
        <w:lastRenderedPageBreak/>
        <w:drawing>
          <wp:inline distT="0" distB="0" distL="0" distR="0" wp14:anchorId="58CEC3E1" wp14:editId="0F3D78C4">
            <wp:extent cx="3600000" cy="3224224"/>
            <wp:effectExtent l="0" t="0" r="0" b="190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_obs_S1153a_result.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600000" cy="3224224"/>
                    </a:xfrm>
                    <a:prstGeom prst="rect">
                      <a:avLst/>
                    </a:prstGeom>
                  </pic:spPr>
                </pic:pic>
              </a:graphicData>
            </a:graphic>
          </wp:inline>
        </w:drawing>
      </w:r>
    </w:p>
    <w:p w14:paraId="72F5B67C" w14:textId="77777777" w:rsidR="007F6E00" w:rsidRDefault="007F6E00" w:rsidP="00F66CEE">
      <w:pPr>
        <w:tabs>
          <w:tab w:val="center" w:pos="4080"/>
          <w:tab w:val="right" w:pos="8160"/>
        </w:tabs>
        <w:spacing w:line="240" w:lineRule="auto"/>
        <w:rPr>
          <w:rFonts w:cs="Times New Roman"/>
        </w:rPr>
      </w:pPr>
      <w:bookmarkStart w:id="21" w:name="_Toc167205915"/>
      <w:r>
        <w:rPr>
          <w:b/>
          <w:bCs/>
        </w:rPr>
        <w:t>Supplementary Fig. 13</w:t>
      </w:r>
      <w:r w:rsidRPr="000D5F60">
        <w:rPr>
          <w:b/>
          <w:bCs/>
        </w:rPr>
        <w:t xml:space="preserve"> | The distributions of delay times and amplitude ratios of the SS precursors of event S1153a.</w:t>
      </w:r>
      <w:bookmarkEnd w:id="21"/>
      <w:r w:rsidRPr="000D5F60">
        <w:rPr>
          <w:b/>
          <w:bCs/>
        </w:rPr>
        <w:t xml:space="preserve"> </w:t>
      </w:r>
      <w:r w:rsidRPr="002D74C7">
        <w:rPr>
          <w:rFonts w:cs="Times New Roman"/>
        </w:rPr>
        <w:t xml:space="preserve">(a) and (b) are for the first and second SS precursors, respectively. Detailed figure captions are the same as </w:t>
      </w:r>
      <w:r>
        <w:rPr>
          <w:rStyle w:val="20"/>
          <w:color w:val="FF0000"/>
        </w:rPr>
        <w:t>Supplementary Fig. 7</w:t>
      </w:r>
      <w:r w:rsidRPr="002D74C7">
        <w:rPr>
          <w:rFonts w:cs="Times New Roman"/>
        </w:rPr>
        <w:t xml:space="preserve">. </w:t>
      </w:r>
    </w:p>
    <w:p w14:paraId="5766AF5A" w14:textId="77777777" w:rsidR="007F6E00" w:rsidRDefault="007F6E00">
      <w:pPr>
        <w:widowControl/>
        <w:spacing w:line="240" w:lineRule="auto"/>
        <w:jc w:val="left"/>
        <w:rPr>
          <w:rFonts w:cs="Times New Roman"/>
        </w:rPr>
      </w:pPr>
      <w:r>
        <w:rPr>
          <w:rFonts w:cs="Times New Roman"/>
        </w:rPr>
        <w:br w:type="page"/>
      </w:r>
    </w:p>
    <w:p w14:paraId="1961F6B9" w14:textId="77777777" w:rsidR="007F6E00" w:rsidRPr="00155223" w:rsidRDefault="007F6E00" w:rsidP="00690290">
      <w:pPr>
        <w:pStyle w:val="2"/>
      </w:pPr>
      <w:bookmarkStart w:id="22" w:name="_Toc202208118"/>
      <w:r>
        <w:lastRenderedPageBreak/>
        <w:t>3</w:t>
      </w:r>
      <w:r w:rsidRPr="00155223">
        <w:t>.</w:t>
      </w:r>
      <w:r>
        <w:t>4</w:t>
      </w:r>
      <w:r w:rsidRPr="00155223">
        <w:t xml:space="preserve">. </w:t>
      </w:r>
      <w:proofErr w:type="spellStart"/>
      <w:r w:rsidRPr="00155223">
        <w:t>Comodulation</w:t>
      </w:r>
      <w:proofErr w:type="spellEnd"/>
      <w:r w:rsidRPr="00155223">
        <w:t xml:space="preserve"> analysis</w:t>
      </w:r>
      <w:bookmarkEnd w:id="22"/>
    </w:p>
    <w:p w14:paraId="5E42E7AE" w14:textId="77777777" w:rsidR="007F6E00" w:rsidRDefault="007F6E00" w:rsidP="00155223">
      <w:pPr>
        <w:tabs>
          <w:tab w:val="center" w:pos="4080"/>
          <w:tab w:val="right" w:pos="8160"/>
        </w:tabs>
        <w:ind w:firstLineChars="200" w:firstLine="480"/>
        <w:rPr>
          <w:rFonts w:cs="Times New Roman"/>
        </w:rPr>
      </w:pPr>
      <w:r>
        <w:rPr>
          <w:rFonts w:cs="Times New Roman"/>
        </w:rPr>
        <w:t>In addition to marsquake signals, the InSight seismometer has captured noise arising from atmospheric energy injection, rendering the identification of seismic phases a challenging task</w:t>
      </w:r>
      <w:r w:rsidRPr="00B11BE5">
        <w:rPr>
          <w:rFonts w:cs="Times New Roman"/>
          <w:noProof/>
          <w:vertAlign w:val="superscript"/>
        </w:rPr>
        <w:t>19</w:t>
      </w:r>
      <w:r>
        <w:rPr>
          <w:rFonts w:cs="Times New Roman"/>
        </w:rPr>
        <w:t xml:space="preserve">. To address this, </w:t>
      </w:r>
      <w:proofErr w:type="spellStart"/>
      <w:r>
        <w:rPr>
          <w:rFonts w:cs="Times New Roman"/>
        </w:rPr>
        <w:t>comodulation</w:t>
      </w:r>
      <w:proofErr w:type="spellEnd"/>
      <w:r>
        <w:rPr>
          <w:rFonts w:cs="Times New Roman"/>
        </w:rPr>
        <w:t xml:space="preserve"> analysis has been extensively employed to assess the contributions of atmospheric injection into the InSight seismic records, helping to distinguish true marsquake signals characterized by energy exceeding the ambient environmental noise</w:t>
      </w:r>
      <w:r w:rsidRPr="006B3717">
        <w:rPr>
          <w:rFonts w:cs="Times New Roman"/>
          <w:noProof/>
          <w:vertAlign w:val="superscript"/>
        </w:rPr>
        <w:t>36</w:t>
      </w:r>
      <w:r>
        <w:rPr>
          <w:rFonts w:cs="Times New Roman"/>
        </w:rPr>
        <w:t>.</w:t>
      </w:r>
      <w:r w:rsidRPr="00C935EF">
        <w:rPr>
          <w:rFonts w:cs="Times New Roman"/>
        </w:rPr>
        <w:t xml:space="preserve"> </w:t>
      </w:r>
      <w:r>
        <w:rPr>
          <w:rFonts w:cs="Times New Roman"/>
        </w:rPr>
        <w:t xml:space="preserve">In the </w:t>
      </w:r>
      <w:proofErr w:type="spellStart"/>
      <w:r>
        <w:rPr>
          <w:rFonts w:cs="Times New Roman"/>
        </w:rPr>
        <w:t>comodulation</w:t>
      </w:r>
      <w:proofErr w:type="spellEnd"/>
      <w:r>
        <w:rPr>
          <w:rFonts w:cs="Times New Roman"/>
        </w:rPr>
        <w:t xml:space="preserve"> analysis, environmental variables such as pressure, wind speed, and wind-excited weather-sensitive lander modes serve as proxies for atmospheric effects. These variables are used to estimate injected ground motion by matching the statistical moments (mean and variance) of seismic and environmental signals</w:t>
      </w:r>
      <w:r w:rsidRPr="006B3717">
        <w:rPr>
          <w:rFonts w:cs="Times New Roman"/>
          <w:noProof/>
          <w:vertAlign w:val="superscript"/>
        </w:rPr>
        <w:t>20,31,36-39</w:t>
      </w:r>
      <w:r>
        <w:rPr>
          <w:rFonts w:cs="Times New Roman"/>
        </w:rPr>
        <w:t>.</w:t>
      </w:r>
    </w:p>
    <w:p w14:paraId="47BEDB32" w14:textId="77777777" w:rsidR="007F6E00" w:rsidRDefault="007F6E00" w:rsidP="00155223">
      <w:pPr>
        <w:tabs>
          <w:tab w:val="center" w:pos="4080"/>
          <w:tab w:val="right" w:pos="8160"/>
        </w:tabs>
        <w:ind w:firstLineChars="200" w:firstLine="480"/>
        <w:rPr>
          <w:rFonts w:cs="Times New Roman"/>
        </w:rPr>
      </w:pPr>
      <w:r>
        <w:rPr>
          <w:rFonts w:cs="Times New Roman"/>
        </w:rPr>
        <w:t xml:space="preserve">Here, we apply the </w:t>
      </w:r>
      <w:proofErr w:type="spellStart"/>
      <w:r>
        <w:rPr>
          <w:rFonts w:cs="Times New Roman"/>
        </w:rPr>
        <w:t>comodulation</w:t>
      </w:r>
      <w:proofErr w:type="spellEnd"/>
      <w:r>
        <w:rPr>
          <w:rFonts w:cs="Times New Roman"/>
        </w:rPr>
        <w:t xml:space="preserve"> analysis to investigate the body wave phases of two distant marsquakes S0976a and S1153a, focusing on the PP, SS, and their precursors. Considering the absence of pressure and wind speed data for event S1153a due to power limitation, we only use the weather-sensitive lander mode at ~4 Hz as the proxy for atmospheric injection in this study. The seismic power envelopes are calculated in discrete half-octave frequency bands and compared with the environmental noise, which is computed as the combined power energy envelope of ZNE three component waveforms within the 3.7–4.3 Hz range </w:t>
      </w:r>
      <w:r w:rsidRPr="00155223">
        <w:rPr>
          <w:rFonts w:cs="Times New Roman"/>
          <w:color w:val="FF0000"/>
        </w:rPr>
        <w:t xml:space="preserve">(Supplementary Figs. </w:t>
      </w:r>
      <w:r>
        <w:rPr>
          <w:rFonts w:cs="Times New Roman"/>
          <w:color w:val="FF0000"/>
        </w:rPr>
        <w:t>14–15</w:t>
      </w:r>
      <w:r w:rsidRPr="00155223">
        <w:rPr>
          <w:rFonts w:cs="Times New Roman"/>
          <w:color w:val="FF0000"/>
        </w:rPr>
        <w:t>)</w:t>
      </w:r>
      <w:r>
        <w:rPr>
          <w:rFonts w:cs="Times New Roman"/>
        </w:rPr>
        <w:t>.</w:t>
      </w:r>
    </w:p>
    <w:p w14:paraId="7FEBF6F6" w14:textId="77777777" w:rsidR="007F6E00" w:rsidRDefault="007F6E00" w:rsidP="00155223">
      <w:pPr>
        <w:tabs>
          <w:tab w:val="center" w:pos="4080"/>
          <w:tab w:val="right" w:pos="8160"/>
        </w:tabs>
        <w:ind w:firstLineChars="200" w:firstLine="480"/>
        <w:rPr>
          <w:rFonts w:cs="Times New Roman"/>
        </w:rPr>
      </w:pPr>
      <w:r>
        <w:rPr>
          <w:rFonts w:cs="Times New Roman"/>
        </w:rPr>
        <w:t xml:space="preserve">As an LF event, S0976a is characterized by pronounced seismic energy within the </w:t>
      </w:r>
      <w:r>
        <w:rPr>
          <w:rFonts w:cs="Times New Roman"/>
        </w:rPr>
        <w:lastRenderedPageBreak/>
        <w:t xml:space="preserve">period range of 1.4–8.0 s, with environmental noise predominating above 1 Hz </w:t>
      </w:r>
      <w:r w:rsidRPr="00155223">
        <w:rPr>
          <w:rFonts w:cs="Times New Roman"/>
          <w:color w:val="FF0000"/>
        </w:rPr>
        <w:t>(</w:t>
      </w:r>
      <w:r>
        <w:rPr>
          <w:rFonts w:cs="Times New Roman"/>
          <w:color w:val="FF0000"/>
        </w:rPr>
        <w:t>Supplementary Fig. 14a–b</w:t>
      </w:r>
      <w:r w:rsidRPr="00155223">
        <w:rPr>
          <w:rFonts w:cs="Times New Roman"/>
          <w:color w:val="FF0000"/>
        </w:rPr>
        <w:t>)</w:t>
      </w:r>
      <w:r>
        <w:rPr>
          <w:rFonts w:cs="Times New Roman"/>
        </w:rPr>
        <w:t xml:space="preserve">. In the vertical component, the PP wave exhibits an energy peak that surpasses the atmospheric injection within the 1.4–5.7 s period. However, at this frequency band, the precursor at ~9.5 s before PP shows comparable energy to the environmental noise </w:t>
      </w:r>
      <w:r w:rsidRPr="00155223">
        <w:rPr>
          <w:rFonts w:cs="Times New Roman"/>
          <w:color w:val="FF0000"/>
        </w:rPr>
        <w:t>(</w:t>
      </w:r>
      <w:r>
        <w:rPr>
          <w:rFonts w:cs="Times New Roman"/>
          <w:color w:val="FF0000"/>
        </w:rPr>
        <w:t>Supplementary Fig. 14c–d</w:t>
      </w:r>
      <w:r w:rsidRPr="00155223">
        <w:rPr>
          <w:rFonts w:cs="Times New Roman"/>
          <w:color w:val="FF0000"/>
        </w:rPr>
        <w:t>)</w:t>
      </w:r>
      <w:r>
        <w:rPr>
          <w:rFonts w:cs="Times New Roman"/>
        </w:rPr>
        <w:t xml:space="preserve">, likely due to a significant atmospheric energy injection occurring between the arrivals of the precursor and PP. Another earlier atmospheric injection peak, ~20–35 s prior to the PP arrival, would further obscures the detection of an earlier precursor. In contrast, the tangential component analysis reveals robust and consistent seismic peak energies for both the SS and its two identified precursors, all exceeding the environmental noise levels at periods of 2.0–5.7 s </w:t>
      </w:r>
      <w:r w:rsidRPr="00155223">
        <w:rPr>
          <w:rFonts w:cs="Times New Roman"/>
          <w:color w:val="FF0000"/>
        </w:rPr>
        <w:t>(</w:t>
      </w:r>
      <w:r>
        <w:rPr>
          <w:rFonts w:cs="Times New Roman"/>
          <w:color w:val="FF0000"/>
        </w:rPr>
        <w:t>Supplementary Fig. 14e–f</w:t>
      </w:r>
      <w:r w:rsidRPr="00155223">
        <w:rPr>
          <w:rFonts w:cs="Times New Roman"/>
          <w:color w:val="FF0000"/>
        </w:rPr>
        <w:t>)</w:t>
      </w:r>
      <w:r>
        <w:rPr>
          <w:rFonts w:cs="Times New Roman"/>
        </w:rPr>
        <w:t>.</w:t>
      </w:r>
    </w:p>
    <w:p w14:paraId="1A6E277E" w14:textId="77777777" w:rsidR="007F6E00" w:rsidRDefault="007F6E00" w:rsidP="00155223">
      <w:pPr>
        <w:tabs>
          <w:tab w:val="center" w:pos="4080"/>
          <w:tab w:val="right" w:pos="8160"/>
        </w:tabs>
        <w:ind w:firstLineChars="200" w:firstLine="480"/>
        <w:rPr>
          <w:rFonts w:cs="Times New Roman"/>
        </w:rPr>
      </w:pPr>
      <w:r>
        <w:rPr>
          <w:rFonts w:cs="Times New Roman"/>
        </w:rPr>
        <w:t xml:space="preserve">Unlike S0976a, event S1153a displays considerably higher frequency energy above 1 Hz and a distinct amplification of the 2.4 Hz resonance </w:t>
      </w:r>
      <w:r w:rsidRPr="00155223">
        <w:rPr>
          <w:rFonts w:cs="Times New Roman"/>
          <w:color w:val="FF0000"/>
        </w:rPr>
        <w:t>(</w:t>
      </w:r>
      <w:r>
        <w:rPr>
          <w:rFonts w:cs="Times New Roman"/>
          <w:color w:val="FF0000"/>
        </w:rPr>
        <w:t>Supplementary Fig. 15a–b</w:t>
      </w:r>
      <w:r w:rsidRPr="00155223">
        <w:rPr>
          <w:rFonts w:cs="Times New Roman"/>
          <w:color w:val="FF0000"/>
        </w:rPr>
        <w:t>)</w:t>
      </w:r>
      <w:r w:rsidRPr="006F5F08">
        <w:rPr>
          <w:rFonts w:cs="Times New Roman"/>
          <w:color w:val="000000" w:themeColor="text1"/>
        </w:rPr>
        <w:t>.</w:t>
      </w:r>
      <w:r>
        <w:rPr>
          <w:rFonts w:cs="Times New Roman"/>
        </w:rPr>
        <w:t xml:space="preserve"> Below 1 Hz, the energy of the P wave is not significantly larger than the environmental noise, making it difficult to identify PP or PP precursors through waveform matching </w:t>
      </w:r>
      <w:r w:rsidRPr="00155223">
        <w:rPr>
          <w:rFonts w:cs="Times New Roman"/>
          <w:color w:val="FF0000"/>
        </w:rPr>
        <w:t>(</w:t>
      </w:r>
      <w:r>
        <w:rPr>
          <w:rFonts w:cs="Times New Roman"/>
          <w:color w:val="FF0000"/>
        </w:rPr>
        <w:t>Supplementary Fig. 15c–d</w:t>
      </w:r>
      <w:r w:rsidRPr="00155223">
        <w:rPr>
          <w:rFonts w:cs="Times New Roman"/>
          <w:color w:val="FF0000"/>
        </w:rPr>
        <w:t>)</w:t>
      </w:r>
      <w:r>
        <w:rPr>
          <w:rFonts w:cs="Times New Roman"/>
        </w:rPr>
        <w:t xml:space="preserve">. In contrast, the S wave exhibits a pronounced energy peak between 1.4 and 4.0 s, and both the SS and its two precursors have amplitudes surpassing atmospheric injections, confirming their marsquake origins </w:t>
      </w:r>
      <w:r w:rsidRPr="00155223">
        <w:rPr>
          <w:rFonts w:cs="Times New Roman"/>
          <w:color w:val="FF0000"/>
        </w:rPr>
        <w:t>(</w:t>
      </w:r>
      <w:r>
        <w:rPr>
          <w:rFonts w:cs="Times New Roman"/>
          <w:color w:val="FF0000"/>
        </w:rPr>
        <w:t>Supplementary Fig. 15e–f</w:t>
      </w:r>
      <w:r w:rsidRPr="00155223">
        <w:rPr>
          <w:rFonts w:cs="Times New Roman"/>
          <w:color w:val="FF0000"/>
        </w:rPr>
        <w:t>)</w:t>
      </w:r>
      <w:r>
        <w:rPr>
          <w:rFonts w:cs="Times New Roman"/>
        </w:rPr>
        <w:t>.</w:t>
      </w:r>
    </w:p>
    <w:p w14:paraId="0EEDC473" w14:textId="77777777" w:rsidR="007F6E00" w:rsidRDefault="007F6E00">
      <w:pPr>
        <w:widowControl/>
        <w:spacing w:line="240" w:lineRule="auto"/>
        <w:jc w:val="left"/>
        <w:rPr>
          <w:rFonts w:cs="Times New Roman"/>
        </w:rPr>
      </w:pPr>
      <w:r>
        <w:rPr>
          <w:rFonts w:cs="Times New Roman"/>
        </w:rPr>
        <w:br w:type="page"/>
      </w:r>
    </w:p>
    <w:p w14:paraId="529621AE" w14:textId="77777777" w:rsidR="007F6E00" w:rsidRDefault="007F6E00" w:rsidP="00F66CEE">
      <w:pPr>
        <w:spacing w:line="240" w:lineRule="auto"/>
        <w:jc w:val="center"/>
        <w:rPr>
          <w:rFonts w:cs="Times New Roman"/>
        </w:rPr>
      </w:pPr>
      <w:r>
        <w:rPr>
          <w:rFonts w:cs="Times New Roman"/>
          <w:noProof/>
        </w:rPr>
        <w:lastRenderedPageBreak/>
        <w:drawing>
          <wp:inline distT="0" distB="0" distL="0" distR="0" wp14:anchorId="444EAB81" wp14:editId="19164577">
            <wp:extent cx="5040000" cy="2952034"/>
            <wp:effectExtent l="0" t="0" r="8255" b="127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_comodulation_S0976a.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40000" cy="2952034"/>
                    </a:xfrm>
                    <a:prstGeom prst="rect">
                      <a:avLst/>
                    </a:prstGeom>
                  </pic:spPr>
                </pic:pic>
              </a:graphicData>
            </a:graphic>
          </wp:inline>
        </w:drawing>
      </w:r>
    </w:p>
    <w:p w14:paraId="6496E900" w14:textId="77777777" w:rsidR="007F6E00" w:rsidRDefault="007F6E00" w:rsidP="00F66CEE">
      <w:pPr>
        <w:spacing w:line="240" w:lineRule="auto"/>
        <w:rPr>
          <w:rFonts w:cs="Times New Roman"/>
        </w:rPr>
      </w:pPr>
      <w:bookmarkStart w:id="23" w:name="_Toc167205905"/>
      <w:r>
        <w:rPr>
          <w:b/>
          <w:bCs/>
        </w:rPr>
        <w:t>Supplementary Fig. 14</w:t>
      </w:r>
      <w:r w:rsidRPr="000D5F60">
        <w:rPr>
          <w:b/>
          <w:bCs/>
        </w:rPr>
        <w:t xml:space="preserve"> | </w:t>
      </w:r>
      <w:proofErr w:type="spellStart"/>
      <w:r w:rsidRPr="000D5F60">
        <w:rPr>
          <w:b/>
          <w:bCs/>
        </w:rPr>
        <w:t>Comodulation</w:t>
      </w:r>
      <w:proofErr w:type="spellEnd"/>
      <w:r w:rsidRPr="000D5F60">
        <w:rPr>
          <w:b/>
          <w:bCs/>
        </w:rPr>
        <w:t xml:space="preserve"> analysis of event S0976a.</w:t>
      </w:r>
      <w:bookmarkEnd w:id="23"/>
      <w:r w:rsidRPr="000D5F60">
        <w:rPr>
          <w:b/>
          <w:bCs/>
        </w:rPr>
        <w:t xml:space="preserve"> </w:t>
      </w:r>
      <w:r>
        <w:rPr>
          <w:rFonts w:cs="Times New Roman"/>
        </w:rPr>
        <w:t>(a) Spectrogram of the combined energy power in ZNE three directions. (b) Comparison of the combined seismic energy power in ZNE three directions (colored lines) and atmospheric energy power (black lines). The seismic energy power is calculated in half-octave frequency bands centered from 1/8.0 to 2.0 Hz. The atmospheric energy power is calculated in the frequency range of 3.7–4.3 Hz and then smoothed to corresponding central frequencies. Magenta and blue dashed vertical lines denote the arrivals of PP and SS waves, respectively. (c) Spectrogram of the vertical direction</w:t>
      </w:r>
      <w:r w:rsidRPr="00417193">
        <w:rPr>
          <w:rFonts w:cs="Times New Roman"/>
        </w:rPr>
        <w:t xml:space="preserve"> </w:t>
      </w:r>
      <w:r>
        <w:rPr>
          <w:rFonts w:cs="Times New Roman"/>
        </w:rPr>
        <w:t>energy power around PP wave. (d) Comparison of the seismic energy power in vertical direction (colored lines) and atmospheric energy power (black dashed lines). Magenta dashed vertical line denotes the PP arrival. Red dashed vertical line denotes the identified PP precursor arrival at ~9.5 s before the PP wave. Red dot-dashed rectangle denotes the time window 20–30 s before the PP wave, within which a possible PP precursor phase may exist. (e) Spectrogram of the tangential direction energy power around SS wave. (f) Comparison of the seismic energy power in tangential direction (colored lines) and atmospheric energy power (black dashed lines). Blue dashed vertical line denotes the SS arrival. Red dashed vertical line denotes the identified SS precursor arrival at ~18.9 s before the SS wave. Red dot-dashed vertical line denotes the identified SS precursor arrival at ~46.3 s before the SS wave.</w:t>
      </w:r>
    </w:p>
    <w:p w14:paraId="0C758835" w14:textId="77777777" w:rsidR="007F6E00" w:rsidRDefault="007F6E00">
      <w:pPr>
        <w:widowControl/>
        <w:spacing w:line="240" w:lineRule="auto"/>
        <w:jc w:val="left"/>
        <w:rPr>
          <w:rFonts w:cs="Times New Roman"/>
        </w:rPr>
      </w:pPr>
      <w:r>
        <w:rPr>
          <w:rFonts w:cs="Times New Roman"/>
        </w:rPr>
        <w:br w:type="page"/>
      </w:r>
    </w:p>
    <w:p w14:paraId="13F71F9D" w14:textId="77777777" w:rsidR="007F6E00" w:rsidRDefault="007F6E00" w:rsidP="00F66CEE">
      <w:pPr>
        <w:tabs>
          <w:tab w:val="center" w:pos="4080"/>
          <w:tab w:val="right" w:pos="8160"/>
        </w:tabs>
        <w:spacing w:line="240" w:lineRule="auto"/>
        <w:jc w:val="center"/>
        <w:rPr>
          <w:rFonts w:cs="Times New Roman"/>
        </w:rPr>
      </w:pPr>
      <w:r>
        <w:rPr>
          <w:rFonts w:cs="Times New Roman"/>
          <w:noProof/>
        </w:rPr>
        <w:lastRenderedPageBreak/>
        <w:drawing>
          <wp:inline distT="0" distB="0" distL="0" distR="0" wp14:anchorId="0673924B" wp14:editId="1ABFF33B">
            <wp:extent cx="5040000" cy="2943541"/>
            <wp:effectExtent l="0" t="0" r="8255" b="952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_comodulation_S1153a.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40000" cy="2943541"/>
                    </a:xfrm>
                    <a:prstGeom prst="rect">
                      <a:avLst/>
                    </a:prstGeom>
                  </pic:spPr>
                </pic:pic>
              </a:graphicData>
            </a:graphic>
          </wp:inline>
        </w:drawing>
      </w:r>
    </w:p>
    <w:p w14:paraId="0A849305" w14:textId="77777777" w:rsidR="007F6E00" w:rsidRPr="00F66CEE" w:rsidRDefault="007F6E00" w:rsidP="00F66CEE">
      <w:pPr>
        <w:tabs>
          <w:tab w:val="center" w:pos="4080"/>
          <w:tab w:val="right" w:pos="8160"/>
        </w:tabs>
        <w:spacing w:line="240" w:lineRule="auto"/>
        <w:rPr>
          <w:rFonts w:cs="Times New Roman"/>
        </w:rPr>
      </w:pPr>
      <w:bookmarkStart w:id="24" w:name="_Toc167205906"/>
      <w:r>
        <w:rPr>
          <w:b/>
          <w:bCs/>
        </w:rPr>
        <w:t>Supplementary Fig. 15</w:t>
      </w:r>
      <w:r w:rsidRPr="000D5F60">
        <w:rPr>
          <w:b/>
          <w:bCs/>
        </w:rPr>
        <w:t xml:space="preserve"> | </w:t>
      </w:r>
      <w:proofErr w:type="spellStart"/>
      <w:r w:rsidRPr="000D5F60">
        <w:rPr>
          <w:b/>
          <w:bCs/>
        </w:rPr>
        <w:t>Comodulation</w:t>
      </w:r>
      <w:proofErr w:type="spellEnd"/>
      <w:r w:rsidRPr="000D5F60">
        <w:rPr>
          <w:b/>
          <w:bCs/>
        </w:rPr>
        <w:t xml:space="preserve"> analysis of event S1153a.</w:t>
      </w:r>
      <w:bookmarkEnd w:id="24"/>
      <w:r w:rsidRPr="000D5F60">
        <w:rPr>
          <w:b/>
          <w:bCs/>
        </w:rPr>
        <w:t xml:space="preserve"> </w:t>
      </w:r>
      <w:r>
        <w:rPr>
          <w:rFonts w:cs="Times New Roman"/>
        </w:rPr>
        <w:t xml:space="preserve">Detailed figure caption is same as in </w:t>
      </w:r>
      <w:r>
        <w:rPr>
          <w:rStyle w:val="20"/>
          <w:color w:val="FF0000"/>
        </w:rPr>
        <w:t>Supplementary Fig. 14</w:t>
      </w:r>
      <w:r>
        <w:rPr>
          <w:rFonts w:cs="Times New Roman"/>
        </w:rPr>
        <w:t>. Magenta and cyan dashed vertical lines denote the P and S wave arrivals, respectively. Blue dashed vertical line denotes the identified SS wave arrival. Red dashed vertical line denotes the identified SS precursor arrival at ~20.9 s before the SS wave. Red dot-dashed vertical line denotes the identified SS precursor arrival at ~45.1 s before the SS wave.</w:t>
      </w:r>
    </w:p>
    <w:p w14:paraId="1B08D726" w14:textId="77777777" w:rsidR="007F6E00" w:rsidRDefault="007F6E00">
      <w:pPr>
        <w:widowControl/>
        <w:spacing w:line="240" w:lineRule="auto"/>
        <w:jc w:val="left"/>
        <w:rPr>
          <w:rFonts w:cs="Times New Roman"/>
        </w:rPr>
      </w:pPr>
      <w:r>
        <w:rPr>
          <w:rFonts w:cs="Times New Roman"/>
        </w:rPr>
        <w:br w:type="page"/>
      </w:r>
    </w:p>
    <w:p w14:paraId="3D32865A" w14:textId="77777777" w:rsidR="007F6E00" w:rsidRDefault="007F6E00" w:rsidP="00690290">
      <w:pPr>
        <w:pStyle w:val="1"/>
      </w:pPr>
      <w:bookmarkStart w:id="25" w:name="_Toc202208119"/>
      <w:r>
        <w:lastRenderedPageBreak/>
        <w:t>4.</w:t>
      </w:r>
      <w:r w:rsidRPr="00690290">
        <w:t xml:space="preserve"> </w:t>
      </w:r>
      <w:r>
        <w:rPr>
          <w:rFonts w:hint="eastAsia"/>
        </w:rPr>
        <w:t>S</w:t>
      </w:r>
      <w:r>
        <w:t>eismic inversion results</w:t>
      </w:r>
      <w:bookmarkEnd w:id="25"/>
    </w:p>
    <w:p w14:paraId="5658F15A" w14:textId="77777777" w:rsidR="007F6E00" w:rsidRDefault="007F6E00" w:rsidP="005D5ED1">
      <w:pPr>
        <w:pStyle w:val="2"/>
      </w:pPr>
      <w:bookmarkStart w:id="26" w:name="_Toc202208120"/>
      <w:r>
        <w:rPr>
          <w:rFonts w:hint="eastAsia"/>
        </w:rPr>
        <w:t>4</w:t>
      </w:r>
      <w:r>
        <w:t>.1. Crustal structure beneath the InSight lander</w:t>
      </w:r>
      <w:bookmarkEnd w:id="26"/>
    </w:p>
    <w:p w14:paraId="2D2FEE8D" w14:textId="77777777" w:rsidR="007F6E00" w:rsidRDefault="007F6E00" w:rsidP="005D5ED1">
      <w:pPr>
        <w:ind w:firstLineChars="200" w:firstLine="480"/>
        <w:rPr>
          <w:rFonts w:cs="Times New Roman"/>
        </w:rPr>
      </w:pPr>
      <w:r>
        <w:rPr>
          <w:rFonts w:cs="Times New Roman"/>
        </w:rPr>
        <w:t xml:space="preserve">Our </w:t>
      </w:r>
      <w:r>
        <w:rPr>
          <w:rFonts w:cs="Times New Roman" w:hint="eastAsia"/>
        </w:rPr>
        <w:t>RF</w:t>
      </w:r>
      <w:r>
        <w:rPr>
          <w:rFonts w:cs="Times New Roman"/>
        </w:rPr>
        <w:t xml:space="preserve"> inversion results</w:t>
      </w:r>
      <w:r w:rsidRPr="003226B5">
        <w:rPr>
          <w:rFonts w:cs="Times New Roman"/>
        </w:rPr>
        <w:t xml:space="preserve"> </w:t>
      </w:r>
      <w:r>
        <w:rPr>
          <w:rFonts w:cs="Times New Roman"/>
        </w:rPr>
        <w:t>show</w:t>
      </w:r>
      <w:r w:rsidRPr="003226B5">
        <w:rPr>
          <w:rFonts w:cs="Times New Roman"/>
        </w:rPr>
        <w:t xml:space="preserve"> </w:t>
      </w:r>
      <w:r>
        <w:rPr>
          <w:rFonts w:cs="Times New Roman"/>
        </w:rPr>
        <w:t xml:space="preserve">a </w:t>
      </w:r>
      <w:r w:rsidRPr="003226B5">
        <w:rPr>
          <w:rFonts w:cs="Times New Roman"/>
        </w:rPr>
        <w:t xml:space="preserve">crustal structure </w:t>
      </w:r>
      <w:r>
        <w:rPr>
          <w:rFonts w:cs="Times New Roman"/>
        </w:rPr>
        <w:t>similar to previous findings</w:t>
      </w:r>
      <w:r w:rsidRPr="00B11BE5">
        <w:rPr>
          <w:rFonts w:cs="Times New Roman"/>
          <w:noProof/>
          <w:vertAlign w:val="superscript"/>
        </w:rPr>
        <w:t>24,29</w:t>
      </w:r>
      <w:r>
        <w:rPr>
          <w:rFonts w:cs="Times New Roman"/>
        </w:rPr>
        <w:t>. The S-wave velocities of the four crustal layers and the uppermost mantle are 1.5 ± 0.1 km/s, 2.0 ± 0.2 km/s, 2.9 ± 0.2 km/s, 3.4 ± 0.2 km/s, and 3.7 ± 0.2 km/s,</w:t>
      </w:r>
      <w:r w:rsidRPr="004B4720">
        <w:rPr>
          <w:rFonts w:cs="Times New Roman"/>
        </w:rPr>
        <w:t xml:space="preserve"> </w:t>
      </w:r>
      <w:r>
        <w:rPr>
          <w:rFonts w:cs="Times New Roman"/>
        </w:rPr>
        <w:t xml:space="preserve">respectively. The depths of the </w:t>
      </w:r>
      <w:proofErr w:type="spellStart"/>
      <w:r>
        <w:rPr>
          <w:rFonts w:cs="Times New Roman"/>
        </w:rPr>
        <w:t>intracrustal</w:t>
      </w:r>
      <w:proofErr w:type="spellEnd"/>
      <w:r>
        <w:rPr>
          <w:rFonts w:cs="Times New Roman"/>
        </w:rPr>
        <w:t xml:space="preserve"> interfaces and the Moho are 4.5 ± 0.8 km, 7.9 ± 0.4 km, 23.6 ± 1.6 km, and 46.2 ± 3.3 km, respectively. Notably, the deep crustal structures, </w:t>
      </w:r>
      <w:r w:rsidRPr="003226B5">
        <w:rPr>
          <w:rFonts w:cs="Times New Roman"/>
        </w:rPr>
        <w:t>specifically</w:t>
      </w:r>
      <w:r>
        <w:rPr>
          <w:rFonts w:cs="Times New Roman"/>
        </w:rPr>
        <w:t xml:space="preserve"> the ~20-km interface and the Moho, have depths and velocities in close agreement with the results of ref.</w:t>
      </w:r>
      <w:r w:rsidRPr="00B11BE5">
        <w:rPr>
          <w:rFonts w:cs="Times New Roman"/>
          <w:noProof/>
          <w:vertAlign w:val="superscript"/>
        </w:rPr>
        <w:t xml:space="preserve"> 22</w:t>
      </w:r>
      <w:r>
        <w:rPr>
          <w:rFonts w:cs="Times New Roman"/>
        </w:rPr>
        <w:t xml:space="preserve"> and</w:t>
      </w:r>
      <w:r w:rsidRPr="003226B5">
        <w:rPr>
          <w:rFonts w:cs="Times New Roman"/>
        </w:rPr>
        <w:t xml:space="preserve"> are </w:t>
      </w:r>
      <w:r>
        <w:rPr>
          <w:rFonts w:cs="Times New Roman"/>
        </w:rPr>
        <w:t>exhibit less uncertainties</w:t>
      </w:r>
      <w:r w:rsidRPr="003226B5">
        <w:rPr>
          <w:rFonts w:cs="Times New Roman"/>
        </w:rPr>
        <w:t xml:space="preserve"> than those</w:t>
      </w:r>
      <w:r>
        <w:rPr>
          <w:rFonts w:cs="Times New Roman"/>
        </w:rPr>
        <w:t xml:space="preserve"> in refs.</w:t>
      </w:r>
      <w:r w:rsidRPr="00B11BE5">
        <w:rPr>
          <w:rFonts w:cs="Times New Roman"/>
          <w:noProof/>
          <w:vertAlign w:val="superscript"/>
        </w:rPr>
        <w:t xml:space="preserve"> 24,25,28</w:t>
      </w:r>
      <w:r>
        <w:rPr>
          <w:rFonts w:cs="Times New Roman"/>
        </w:rPr>
        <w:t>. Such an improvement likely results from stronger constraints</w:t>
      </w:r>
      <w:r w:rsidRPr="003226B5">
        <w:rPr>
          <w:rFonts w:cs="Times New Roman"/>
        </w:rPr>
        <w:t xml:space="preserve"> </w:t>
      </w:r>
      <w:r>
        <w:rPr>
          <w:rFonts w:cs="Times New Roman"/>
        </w:rPr>
        <w:t>provided by multiples at two deeper crustal layers.</w:t>
      </w:r>
    </w:p>
    <w:p w14:paraId="22DF5D6F" w14:textId="77777777" w:rsidR="007F6E00" w:rsidRDefault="007F6E00" w:rsidP="005D5ED1">
      <w:pPr>
        <w:ind w:firstLineChars="200" w:firstLine="480"/>
        <w:rPr>
          <w:rFonts w:cs="Times New Roman"/>
        </w:rPr>
      </w:pPr>
      <w:r>
        <w:rPr>
          <w:rFonts w:cs="Times New Roman"/>
        </w:rPr>
        <w:t>It is also worth mentioning that the depth of the first layer in our inversion (~4.5 km) is close</w:t>
      </w:r>
      <w:r w:rsidRPr="003226B5">
        <w:rPr>
          <w:rFonts w:cs="Times New Roman"/>
        </w:rPr>
        <w:t xml:space="preserve"> to</w:t>
      </w:r>
      <w:r>
        <w:rPr>
          <w:rFonts w:cs="Times New Roman"/>
        </w:rPr>
        <w:t xml:space="preserve"> that derived from the joint inversion of RF and </w:t>
      </w:r>
      <w:proofErr w:type="spellStart"/>
      <w:proofErr w:type="gramStart"/>
      <w:r w:rsidRPr="008D2FD8">
        <w:rPr>
          <w:rFonts w:cs="Times New Roman"/>
          <w:i/>
        </w:rPr>
        <w:t>Vs,app</w:t>
      </w:r>
      <w:proofErr w:type="spellEnd"/>
      <w:proofErr w:type="gramEnd"/>
      <w:r>
        <w:rPr>
          <w:rFonts w:cs="Times New Roman"/>
        </w:rPr>
        <w:t xml:space="preserve"> (~4.0 km)</w:t>
      </w:r>
      <w:r w:rsidRPr="00B11BE5">
        <w:rPr>
          <w:rFonts w:cs="Times New Roman"/>
          <w:noProof/>
          <w:vertAlign w:val="superscript"/>
        </w:rPr>
        <w:t xml:space="preserve"> 24</w:t>
      </w:r>
      <w:r>
        <w:rPr>
          <w:rFonts w:cs="Times New Roman"/>
        </w:rPr>
        <w:t xml:space="preserve">, but is </w:t>
      </w:r>
      <w:r w:rsidRPr="003226B5">
        <w:rPr>
          <w:rFonts w:cs="Times New Roman"/>
        </w:rPr>
        <w:t>considerably</w:t>
      </w:r>
      <w:r>
        <w:rPr>
          <w:rFonts w:cs="Times New Roman"/>
        </w:rPr>
        <w:t xml:space="preserve"> greater than those from Rayleigh wave ellipticity (~2–3 km)</w:t>
      </w:r>
      <w:r w:rsidRPr="00B11BE5">
        <w:rPr>
          <w:rFonts w:cs="Times New Roman"/>
          <w:noProof/>
          <w:vertAlign w:val="superscript"/>
        </w:rPr>
        <w:t xml:space="preserve"> 29</w:t>
      </w:r>
      <w:r>
        <w:rPr>
          <w:rFonts w:cs="Times New Roman"/>
        </w:rPr>
        <w:t>, surface wave dispersion and body wave travel times from nearby impacts (~1.2 km)</w:t>
      </w:r>
      <w:r w:rsidRPr="00B11BE5">
        <w:rPr>
          <w:rFonts w:cs="Times New Roman"/>
          <w:noProof/>
          <w:vertAlign w:val="superscript"/>
        </w:rPr>
        <w:t xml:space="preserve"> 30</w:t>
      </w:r>
      <w:r>
        <w:rPr>
          <w:rFonts w:cs="Times New Roman"/>
        </w:rPr>
        <w:t>, and P wave particle motions (~0.75 km)</w:t>
      </w:r>
      <w:r w:rsidRPr="006B3717">
        <w:rPr>
          <w:rFonts w:cs="Times New Roman"/>
          <w:noProof/>
          <w:vertAlign w:val="superscript"/>
        </w:rPr>
        <w:t xml:space="preserve"> 40</w:t>
      </w:r>
      <w:r>
        <w:rPr>
          <w:rFonts w:cs="Times New Roman"/>
        </w:rPr>
        <w:t xml:space="preserve">. While a minor peak at ~2–3 km appears in the PDF of the thickness of the shallow layer, the </w:t>
      </w:r>
      <w:proofErr w:type="spellStart"/>
      <w:r w:rsidRPr="00F17842">
        <w:rPr>
          <w:rFonts w:cs="Times New Roman"/>
          <w:i/>
        </w:rPr>
        <w:t>Vp</w:t>
      </w:r>
      <w:proofErr w:type="spellEnd"/>
      <w:r w:rsidRPr="00F17842">
        <w:rPr>
          <w:rFonts w:cs="Times New Roman"/>
          <w:i/>
        </w:rPr>
        <w:t>/Vs</w:t>
      </w:r>
      <w:r>
        <w:rPr>
          <w:rFonts w:cs="Times New Roman"/>
        </w:rPr>
        <w:t xml:space="preserve"> ratio and the depth of the first layer remain poorly resolved </w:t>
      </w:r>
      <w:r w:rsidRPr="005D5ED1">
        <w:rPr>
          <w:rFonts w:cs="Times New Roman"/>
          <w:color w:val="FF0000"/>
        </w:rPr>
        <w:t>(</w:t>
      </w:r>
      <w:r>
        <w:rPr>
          <w:rFonts w:cs="Times New Roman"/>
          <w:color w:val="FF0000"/>
        </w:rPr>
        <w:t>Supplementary Fig. 16</w:t>
      </w:r>
      <w:r w:rsidRPr="005D5ED1">
        <w:rPr>
          <w:rFonts w:cs="Times New Roman"/>
          <w:color w:val="FF0000"/>
        </w:rPr>
        <w:t>c–d)</w:t>
      </w:r>
      <w:r>
        <w:rPr>
          <w:rFonts w:cs="Times New Roman"/>
        </w:rPr>
        <w:t xml:space="preserve">. This is due to </w:t>
      </w:r>
      <w:r w:rsidRPr="00683CAD">
        <w:rPr>
          <w:rFonts w:cs="Times New Roman"/>
        </w:rPr>
        <w:t>the absence of</w:t>
      </w:r>
      <w:r>
        <w:rPr>
          <w:rFonts w:cs="Times New Roman"/>
        </w:rPr>
        <w:t xml:space="preserve"> a distinct</w:t>
      </w:r>
      <w:r>
        <w:rPr>
          <w:rFonts w:cs="Times New Roman" w:hint="eastAsia"/>
        </w:rPr>
        <w:t xml:space="preserve"> </w:t>
      </w:r>
      <w:r>
        <w:rPr>
          <w:rFonts w:cs="Times New Roman"/>
        </w:rPr>
        <w:t xml:space="preserve">~1 s arrival in our observed mean RFs within the frequency band of 0.15–0.85 Hz </w:t>
      </w:r>
      <w:r w:rsidRPr="005D5ED1">
        <w:rPr>
          <w:rFonts w:cs="Times New Roman"/>
          <w:color w:val="FF0000"/>
        </w:rPr>
        <w:t xml:space="preserve">(Extended Data Fig. </w:t>
      </w:r>
      <w:r>
        <w:rPr>
          <w:rFonts w:cs="Times New Roman"/>
          <w:color w:val="FF0000"/>
        </w:rPr>
        <w:t>1</w:t>
      </w:r>
      <w:r w:rsidRPr="005D5ED1">
        <w:rPr>
          <w:rFonts w:cs="Times New Roman"/>
          <w:color w:val="FF0000"/>
        </w:rPr>
        <w:t>)</w:t>
      </w:r>
      <w:r>
        <w:rPr>
          <w:rFonts w:cs="Times New Roman"/>
        </w:rPr>
        <w:t>, which is, however, evident in the high frequency RFs</w:t>
      </w:r>
      <w:r w:rsidRPr="00B11BE5">
        <w:rPr>
          <w:rFonts w:cs="Times New Roman"/>
          <w:noProof/>
          <w:vertAlign w:val="superscript"/>
        </w:rPr>
        <w:t>15</w:t>
      </w:r>
      <w:r>
        <w:rPr>
          <w:rFonts w:cs="Times New Roman"/>
        </w:rPr>
        <w:t>.</w:t>
      </w:r>
    </w:p>
    <w:p w14:paraId="6E10265D" w14:textId="77777777" w:rsidR="007F6E00" w:rsidRDefault="007F6E00">
      <w:pPr>
        <w:widowControl/>
        <w:spacing w:line="240" w:lineRule="auto"/>
        <w:jc w:val="left"/>
        <w:rPr>
          <w:rFonts w:cs="Times New Roman"/>
        </w:rPr>
      </w:pPr>
      <w:r>
        <w:rPr>
          <w:rFonts w:cs="Times New Roman"/>
        </w:rPr>
        <w:br w:type="page"/>
      </w:r>
    </w:p>
    <w:p w14:paraId="7C9CC314" w14:textId="77777777" w:rsidR="007F6E00" w:rsidRDefault="007F6E00" w:rsidP="00F66CEE">
      <w:pPr>
        <w:tabs>
          <w:tab w:val="center" w:pos="4080"/>
          <w:tab w:val="right" w:pos="8160"/>
        </w:tabs>
        <w:spacing w:line="240" w:lineRule="auto"/>
        <w:jc w:val="center"/>
        <w:rPr>
          <w:rFonts w:cs="Times New Roman"/>
        </w:rPr>
      </w:pPr>
      <w:r>
        <w:rPr>
          <w:rFonts w:cs="Times New Roman"/>
          <w:noProof/>
        </w:rPr>
        <w:lastRenderedPageBreak/>
        <w:drawing>
          <wp:inline distT="0" distB="0" distL="0" distR="0" wp14:anchorId="50E2E9D0" wp14:editId="2C30A010">
            <wp:extent cx="5040000" cy="8206231"/>
            <wp:effectExtent l="0" t="0" r="1905"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40000" cy="8206231"/>
                    </a:xfrm>
                    <a:prstGeom prst="rect">
                      <a:avLst/>
                    </a:prstGeom>
                  </pic:spPr>
                </pic:pic>
              </a:graphicData>
            </a:graphic>
          </wp:inline>
        </w:drawing>
      </w:r>
    </w:p>
    <w:p w14:paraId="24F4DBDD" w14:textId="77777777" w:rsidR="007F6E00" w:rsidRPr="00F66CEE" w:rsidRDefault="007F6E00" w:rsidP="00F66CEE">
      <w:pPr>
        <w:tabs>
          <w:tab w:val="center" w:pos="4080"/>
          <w:tab w:val="right" w:pos="8160"/>
        </w:tabs>
        <w:spacing w:line="240" w:lineRule="auto"/>
        <w:rPr>
          <w:rFonts w:cs="Times New Roman"/>
        </w:rPr>
      </w:pPr>
      <w:bookmarkStart w:id="27" w:name="_Toc167205919"/>
      <w:r>
        <w:rPr>
          <w:b/>
          <w:bCs/>
        </w:rPr>
        <w:t>Supplementary Fig. 16</w:t>
      </w:r>
      <w:r w:rsidRPr="000D5F60">
        <w:rPr>
          <w:b/>
          <w:bCs/>
        </w:rPr>
        <w:t xml:space="preserve"> | Misfit of the RF inversion and posterior distributions of model parameters.</w:t>
      </w:r>
      <w:bookmarkEnd w:id="27"/>
      <w:r w:rsidRPr="000D5F60">
        <w:rPr>
          <w:b/>
          <w:bCs/>
        </w:rPr>
        <w:t xml:space="preserve"> </w:t>
      </w:r>
      <w:r>
        <w:rPr>
          <w:rFonts w:cs="Times New Roman"/>
        </w:rPr>
        <w:t xml:space="preserve">(a) Misfit changes of all accepted models in ten parallel Markov </w:t>
      </w:r>
      <w:r>
        <w:rPr>
          <w:rFonts w:cs="Times New Roman"/>
        </w:rPr>
        <w:lastRenderedPageBreak/>
        <w:t xml:space="preserve">chains. Red dashed line separates the first 30 models in each chain, which are regarded as in the burn-in phases. (b)–(r) Marginal PDFs of the posterior distributions for all model parameters. R stands for the </w:t>
      </w:r>
      <w:proofErr w:type="spellStart"/>
      <w:r w:rsidRPr="000B5349">
        <w:rPr>
          <w:rFonts w:cs="Times New Roman"/>
          <w:i/>
        </w:rPr>
        <w:t>Vp</w:t>
      </w:r>
      <w:proofErr w:type="spellEnd"/>
      <w:r w:rsidRPr="000B5349">
        <w:rPr>
          <w:rFonts w:cs="Times New Roman"/>
          <w:i/>
        </w:rPr>
        <w:t>/Vs</w:t>
      </w:r>
      <w:r>
        <w:rPr>
          <w:rFonts w:cs="Times New Roman"/>
        </w:rPr>
        <w:t xml:space="preserve"> ratio. The error bar in each subfigure shows the mean value and the standard deviation.</w:t>
      </w:r>
    </w:p>
    <w:p w14:paraId="60A38207" w14:textId="77777777" w:rsidR="007F6E00" w:rsidRDefault="007F6E00">
      <w:pPr>
        <w:widowControl/>
        <w:spacing w:line="240" w:lineRule="auto"/>
        <w:jc w:val="left"/>
        <w:rPr>
          <w:rFonts w:cs="Times New Roman"/>
        </w:rPr>
      </w:pPr>
      <w:r>
        <w:rPr>
          <w:rFonts w:cs="Times New Roman"/>
        </w:rPr>
        <w:br w:type="page"/>
      </w:r>
    </w:p>
    <w:p w14:paraId="7BC03116" w14:textId="77777777" w:rsidR="007F6E00" w:rsidRPr="00F66CEE" w:rsidRDefault="007F6E00" w:rsidP="00F66CEE">
      <w:pPr>
        <w:pStyle w:val="2"/>
      </w:pPr>
      <w:bookmarkStart w:id="28" w:name="_Toc202208121"/>
      <w:r>
        <w:rPr>
          <w:rFonts w:hint="eastAsia"/>
        </w:rPr>
        <w:lastRenderedPageBreak/>
        <w:t>4</w:t>
      </w:r>
      <w:r>
        <w:t>.2. Additional RF inversions</w:t>
      </w:r>
      <w:bookmarkEnd w:id="28"/>
    </w:p>
    <w:p w14:paraId="17282470" w14:textId="77777777" w:rsidR="007F6E00" w:rsidRDefault="007F6E00" w:rsidP="00F66CEE">
      <w:pPr>
        <w:ind w:firstLineChars="200" w:firstLine="480"/>
        <w:rPr>
          <w:rFonts w:cs="Times New Roman"/>
        </w:rPr>
      </w:pPr>
      <w:r>
        <w:rPr>
          <w:rFonts w:cs="Times New Roman"/>
        </w:rPr>
        <w:t>The RF inversion e</w:t>
      </w:r>
      <w:r w:rsidRPr="00683CAD">
        <w:rPr>
          <w:rFonts w:cs="Times New Roman"/>
        </w:rPr>
        <w:t xml:space="preserve">mploying a three-layer crust </w:t>
      </w:r>
      <w:r>
        <w:rPr>
          <w:rFonts w:cs="Times New Roman"/>
        </w:rPr>
        <w:t xml:space="preserve">leads to a </w:t>
      </w:r>
      <w:r w:rsidRPr="00683CAD">
        <w:rPr>
          <w:rFonts w:cs="Times New Roman"/>
        </w:rPr>
        <w:t>substantial increase in misfit</w:t>
      </w:r>
      <w:r>
        <w:rPr>
          <w:rFonts w:cs="Times New Roman"/>
        </w:rPr>
        <w:t xml:space="preserve"> compared to the reference inversion using four</w:t>
      </w:r>
      <w:r w:rsidRPr="00683CAD">
        <w:rPr>
          <w:rFonts w:cs="Times New Roman"/>
        </w:rPr>
        <w:t>-layer crust</w:t>
      </w:r>
      <w:r>
        <w:rPr>
          <w:rFonts w:cs="Times New Roman"/>
        </w:rPr>
        <w:t xml:space="preserve"> </w:t>
      </w:r>
      <w:r w:rsidRPr="005D5ED1">
        <w:rPr>
          <w:rFonts w:cs="Times New Roman"/>
          <w:color w:val="FF0000"/>
        </w:rPr>
        <w:t>(</w:t>
      </w:r>
      <w:r>
        <w:rPr>
          <w:rFonts w:cs="Times New Roman"/>
          <w:color w:val="FF0000"/>
        </w:rPr>
        <w:t>Supplementary Fig. 17</w:t>
      </w:r>
      <w:r w:rsidRPr="005D5ED1">
        <w:rPr>
          <w:rFonts w:cs="Times New Roman"/>
          <w:color w:val="FF0000"/>
        </w:rPr>
        <w:t>)</w:t>
      </w:r>
      <w:r>
        <w:rPr>
          <w:rFonts w:cs="Times New Roman"/>
        </w:rPr>
        <w:t xml:space="preserve">. In particular, the </w:t>
      </w:r>
      <w:r w:rsidRPr="00683CAD">
        <w:rPr>
          <w:rFonts w:cs="Times New Roman"/>
        </w:rPr>
        <w:t xml:space="preserve">three-layer crust </w:t>
      </w:r>
      <w:r>
        <w:rPr>
          <w:rFonts w:cs="Times New Roman"/>
        </w:rPr>
        <w:t xml:space="preserve">model predicts a larger amplitude of direct P </w:t>
      </w:r>
      <w:r w:rsidRPr="006E2E67">
        <w:rPr>
          <w:rFonts w:cs="Times New Roman"/>
          <w:color w:val="FF0000"/>
        </w:rPr>
        <w:t>(</w:t>
      </w:r>
      <w:r>
        <w:rPr>
          <w:rFonts w:cs="Times New Roman"/>
          <w:color w:val="FF0000"/>
        </w:rPr>
        <w:t>Supplementary Figs. 17e-f)</w:t>
      </w:r>
      <w:r>
        <w:rPr>
          <w:rFonts w:cs="Times New Roman"/>
        </w:rPr>
        <w:t>. Such a misfit argues for the requirement of</w:t>
      </w:r>
      <w:r w:rsidRPr="00683CAD">
        <w:rPr>
          <w:rFonts w:cs="Times New Roman"/>
        </w:rPr>
        <w:t xml:space="preserve"> a</w:t>
      </w:r>
      <w:r>
        <w:rPr>
          <w:rFonts w:cs="Times New Roman"/>
        </w:rPr>
        <w:t xml:space="preserve"> much lower velocity in the shallowest crust, which</w:t>
      </w:r>
      <w:r w:rsidRPr="00683CAD">
        <w:rPr>
          <w:rFonts w:cs="Times New Roman"/>
        </w:rPr>
        <w:t xml:space="preserve"> </w:t>
      </w:r>
      <w:r>
        <w:rPr>
          <w:rFonts w:cs="Times New Roman"/>
        </w:rPr>
        <w:t xml:space="preserve">further </w:t>
      </w:r>
      <w:r w:rsidRPr="00683CAD">
        <w:rPr>
          <w:rFonts w:cs="Times New Roman"/>
        </w:rPr>
        <w:t xml:space="preserve">supports </w:t>
      </w:r>
      <w:r>
        <w:rPr>
          <w:rFonts w:cs="Times New Roman"/>
        </w:rPr>
        <w:t>our choice of a four-layer crust as proposed by refs.</w:t>
      </w:r>
      <w:r w:rsidRPr="006B3717">
        <w:rPr>
          <w:rFonts w:cs="Times New Roman"/>
          <w:noProof/>
          <w:vertAlign w:val="superscript"/>
        </w:rPr>
        <w:t xml:space="preserve"> 15,24,29,30,40</w:t>
      </w:r>
      <w:r>
        <w:rPr>
          <w:rFonts w:cs="Times New Roman"/>
        </w:rPr>
        <w:t>. Moreover, omitting this uppermost crustal layer leads to much lower velocities for deeper layers and shallower interface depths, due to the inherent trade-offs in the RF analysis</w:t>
      </w:r>
      <w:r w:rsidRPr="006B3717">
        <w:rPr>
          <w:rFonts w:cs="Times New Roman"/>
          <w:noProof/>
          <w:vertAlign w:val="superscript"/>
        </w:rPr>
        <w:t>41</w:t>
      </w:r>
      <w:r>
        <w:rPr>
          <w:rFonts w:cs="Times New Roman"/>
        </w:rPr>
        <w:t xml:space="preserve"> </w:t>
      </w:r>
      <w:r w:rsidRPr="005D5ED1">
        <w:rPr>
          <w:rFonts w:cs="Times New Roman"/>
          <w:color w:val="FF0000"/>
        </w:rPr>
        <w:t>(</w:t>
      </w:r>
      <w:r>
        <w:rPr>
          <w:rFonts w:cs="Times New Roman"/>
          <w:color w:val="FF0000"/>
        </w:rPr>
        <w:t>Supplementary Fig. 17a</w:t>
      </w:r>
      <w:r w:rsidRPr="005D5ED1">
        <w:rPr>
          <w:rFonts w:cs="Times New Roman"/>
          <w:color w:val="FF0000"/>
        </w:rPr>
        <w:t>)</w:t>
      </w:r>
      <w:r>
        <w:rPr>
          <w:rFonts w:cs="Times New Roman"/>
        </w:rPr>
        <w:t xml:space="preserve">. </w:t>
      </w:r>
      <w:r w:rsidRPr="005D5ED1">
        <w:rPr>
          <w:rFonts w:cs="Times New Roman"/>
        </w:rPr>
        <w:t xml:space="preserve">Therefore, a four-layer crust can provide a more </w:t>
      </w:r>
      <w:r>
        <w:rPr>
          <w:rFonts w:cs="Times New Roman"/>
        </w:rPr>
        <w:t xml:space="preserve">accurate </w:t>
      </w:r>
      <w:r w:rsidRPr="005D5ED1">
        <w:rPr>
          <w:rFonts w:cs="Times New Roman"/>
        </w:rPr>
        <w:t xml:space="preserve">shallow </w:t>
      </w:r>
      <w:r>
        <w:rPr>
          <w:rFonts w:cs="Times New Roman"/>
        </w:rPr>
        <w:t>structure</w:t>
      </w:r>
      <w:r w:rsidRPr="005D5ED1">
        <w:rPr>
          <w:rFonts w:cs="Times New Roman"/>
        </w:rPr>
        <w:t xml:space="preserve"> and simultaneously better resolve the deep structures</w:t>
      </w:r>
      <w:r>
        <w:rPr>
          <w:rFonts w:cs="Times New Roman"/>
        </w:rPr>
        <w:t xml:space="preserve">, </w:t>
      </w:r>
      <w:r w:rsidRPr="005D5ED1">
        <w:rPr>
          <w:rFonts w:cs="Times New Roman"/>
        </w:rPr>
        <w:t>including the upper mantle LVZ, which is the primary focus of this study.</w:t>
      </w:r>
    </w:p>
    <w:p w14:paraId="7A0A9182" w14:textId="77777777" w:rsidR="007F6E00" w:rsidRDefault="007F6E00" w:rsidP="006E2E67">
      <w:pPr>
        <w:ind w:firstLineChars="200" w:firstLine="480"/>
        <w:rPr>
          <w:rFonts w:cs="Times New Roman"/>
        </w:rPr>
      </w:pPr>
      <w:r>
        <w:rPr>
          <w:rFonts w:cs="Times New Roman"/>
        </w:rPr>
        <w:t xml:space="preserve">We also perform additional inversion for models </w:t>
      </w:r>
      <w:r w:rsidRPr="00055363">
        <w:rPr>
          <w:rFonts w:cs="Times New Roman"/>
        </w:rPr>
        <w:t xml:space="preserve">without </w:t>
      </w:r>
      <w:r>
        <w:rPr>
          <w:rFonts w:cs="Times New Roman"/>
        </w:rPr>
        <w:t xml:space="preserve">an upper mantle LVZ. Such an inversion </w:t>
      </w:r>
      <w:r w:rsidRPr="00055363">
        <w:rPr>
          <w:rFonts w:cs="Times New Roman"/>
        </w:rPr>
        <w:t xml:space="preserve">yields </w:t>
      </w:r>
      <w:r>
        <w:rPr>
          <w:rFonts w:cs="Times New Roman"/>
        </w:rPr>
        <w:t>a nearly</w:t>
      </w:r>
      <w:r w:rsidRPr="00055363">
        <w:rPr>
          <w:rFonts w:cs="Times New Roman"/>
        </w:rPr>
        <w:t xml:space="preserve"> identical crustal structure</w:t>
      </w:r>
      <w:r>
        <w:rPr>
          <w:rFonts w:cs="Times New Roman"/>
        </w:rPr>
        <w:t xml:space="preserve"> but increase the misfit and fails to predict the negative arrivals at ~11 s and ~31 s </w:t>
      </w:r>
      <w:r w:rsidRPr="00D220C6">
        <w:rPr>
          <w:rFonts w:cs="Times New Roman"/>
          <w:color w:val="FF0000"/>
        </w:rPr>
        <w:t>(</w:t>
      </w:r>
      <w:r>
        <w:rPr>
          <w:rFonts w:cs="Times New Roman"/>
          <w:color w:val="FF0000"/>
        </w:rPr>
        <w:t>Supplementary Fig. 18</w:t>
      </w:r>
      <w:r w:rsidRPr="00D220C6">
        <w:rPr>
          <w:rFonts w:cs="Times New Roman"/>
          <w:color w:val="FF0000"/>
        </w:rPr>
        <w:t>)</w:t>
      </w:r>
      <w:r>
        <w:rPr>
          <w:rFonts w:cs="Times New Roman"/>
        </w:rPr>
        <w:t>.</w:t>
      </w:r>
      <w:r>
        <w:rPr>
          <w:rFonts w:cs="Times New Roman" w:hint="eastAsia"/>
        </w:rPr>
        <w:t xml:space="preserve"> T</w:t>
      </w:r>
      <w:r>
        <w:rPr>
          <w:rFonts w:cs="Times New Roman"/>
        </w:rPr>
        <w:t xml:space="preserve">o further explore the possibility that the observed negative phase at ~11 s is a multiple converted from an </w:t>
      </w:r>
      <w:proofErr w:type="spellStart"/>
      <w:r>
        <w:rPr>
          <w:rFonts w:cs="Times New Roman"/>
        </w:rPr>
        <w:t>intracrustal</w:t>
      </w:r>
      <w:proofErr w:type="spellEnd"/>
      <w:r>
        <w:rPr>
          <w:rFonts w:cs="Times New Roman"/>
        </w:rPr>
        <w:t xml:space="preserve"> LVZ, we also perform an inversion with a five-layer crust with a mid-crust LVZ lies between the ~10-km and ~20-km interfaces </w:t>
      </w:r>
      <w:r w:rsidRPr="00FD031F">
        <w:rPr>
          <w:rFonts w:cs="Times New Roman"/>
          <w:color w:val="FF0000"/>
        </w:rPr>
        <w:t>(</w:t>
      </w:r>
      <w:r>
        <w:rPr>
          <w:rFonts w:cs="Times New Roman"/>
          <w:color w:val="FF0000"/>
        </w:rPr>
        <w:t>Supplementary Fig. 19</w:t>
      </w:r>
      <w:r w:rsidRPr="00FD031F">
        <w:rPr>
          <w:rFonts w:cs="Times New Roman"/>
          <w:color w:val="FF0000"/>
        </w:rPr>
        <w:t>a)</w:t>
      </w:r>
      <w:r>
        <w:rPr>
          <w:rFonts w:cs="Times New Roman"/>
        </w:rPr>
        <w:t xml:space="preserve">. While this model can reasonably reproduce the RF waveform up to 25 s, it fails to fit the negative phase at ~31 s </w:t>
      </w:r>
      <w:r w:rsidRPr="00FD031F">
        <w:rPr>
          <w:rFonts w:cs="Times New Roman"/>
          <w:color w:val="FF0000"/>
        </w:rPr>
        <w:t>(</w:t>
      </w:r>
      <w:r>
        <w:rPr>
          <w:rFonts w:cs="Times New Roman"/>
          <w:color w:val="FF0000"/>
        </w:rPr>
        <w:t>Supplementary Fig. 19b</w:t>
      </w:r>
      <w:r w:rsidRPr="00FD031F">
        <w:rPr>
          <w:rFonts w:cs="Times New Roman"/>
          <w:color w:val="FF0000"/>
        </w:rPr>
        <w:t>–d)</w:t>
      </w:r>
      <w:r>
        <w:rPr>
          <w:rFonts w:cs="Times New Roman"/>
        </w:rPr>
        <w:t xml:space="preserve">. In addition, the introduced mid-crust LVZ at ~15–20 km depth in the inversion </w:t>
      </w:r>
      <w:r>
        <w:rPr>
          <w:rFonts w:cs="Times New Roman"/>
        </w:rPr>
        <w:lastRenderedPageBreak/>
        <w:t xml:space="preserve">generates extreme low velocities in the lower crust and shallower Moho depth </w:t>
      </w:r>
      <w:r w:rsidRPr="004C3719">
        <w:rPr>
          <w:rFonts w:cs="Times New Roman"/>
          <w:color w:val="FF0000"/>
        </w:rPr>
        <w:t>(</w:t>
      </w:r>
      <w:r>
        <w:rPr>
          <w:rFonts w:cs="Times New Roman"/>
          <w:color w:val="FF0000"/>
        </w:rPr>
        <w:t>Supplementary Fig. 19</w:t>
      </w:r>
      <w:r w:rsidRPr="004C3719">
        <w:rPr>
          <w:rFonts w:cs="Times New Roman"/>
          <w:color w:val="FF0000"/>
        </w:rPr>
        <w:t>a)</w:t>
      </w:r>
      <w:r>
        <w:rPr>
          <w:rFonts w:cs="Times New Roman"/>
        </w:rPr>
        <w:t>.</w:t>
      </w:r>
    </w:p>
    <w:p w14:paraId="027D2A9B" w14:textId="77777777" w:rsidR="007F6E00" w:rsidRDefault="007F6E00" w:rsidP="006E2E67">
      <w:pPr>
        <w:ind w:firstLineChars="200" w:firstLine="480"/>
        <w:rPr>
          <w:rFonts w:cs="Times New Roman"/>
        </w:rPr>
      </w:pPr>
      <w:r>
        <w:rPr>
          <w:rFonts w:cs="Times New Roman" w:hint="eastAsia"/>
        </w:rPr>
        <w:t>T</w:t>
      </w:r>
      <w:r>
        <w:rPr>
          <w:rFonts w:cs="Times New Roman"/>
        </w:rPr>
        <w:t xml:space="preserve">o balance model complexity and data fit, we further employ the </w:t>
      </w:r>
      <w:r w:rsidRPr="007215B7">
        <w:rPr>
          <w:rFonts w:cs="Times New Roman"/>
        </w:rPr>
        <w:t>Akaike Information Criterion</w:t>
      </w:r>
      <w:r w:rsidRPr="00D27662">
        <w:rPr>
          <w:rFonts w:cs="Times New Roman"/>
          <w:noProof/>
          <w:vertAlign w:val="superscript"/>
        </w:rPr>
        <w:t>42</w:t>
      </w:r>
      <w:r w:rsidRPr="007215B7">
        <w:rPr>
          <w:rFonts w:cs="Times New Roman"/>
        </w:rPr>
        <w:t xml:space="preserve"> (AIC) and the Bayesian Information Criterion</w:t>
      </w:r>
      <w:r w:rsidRPr="00D27662">
        <w:rPr>
          <w:rFonts w:cs="Times New Roman"/>
          <w:noProof/>
          <w:vertAlign w:val="superscript"/>
        </w:rPr>
        <w:t>43</w:t>
      </w:r>
      <w:r w:rsidRPr="007215B7">
        <w:rPr>
          <w:rFonts w:cs="Times New Roman"/>
        </w:rPr>
        <w:t xml:space="preserve"> (BIC)</w:t>
      </w:r>
      <w:r>
        <w:rPr>
          <w:rFonts w:cs="Times New Roman"/>
        </w:rPr>
        <w:t xml:space="preserve"> to evaluate and compare different model configurations. </w:t>
      </w:r>
      <w:r w:rsidRPr="00D27662">
        <w:rPr>
          <w:rFonts w:cs="Times New Roman"/>
        </w:rPr>
        <w:t>These criteria quantify how well a model explains the observed data while penalizing excessive complexity to avoid overfitting.</w:t>
      </w:r>
      <w:r>
        <w:rPr>
          <w:rFonts w:cs="Times New Roman"/>
        </w:rPr>
        <w:t xml:space="preserve"> The AIC and BIC are defined as</w:t>
      </w:r>
    </w:p>
    <w:p w14:paraId="16D831E3" w14:textId="77777777" w:rsidR="007F6E00" w:rsidRDefault="007F6E00" w:rsidP="00D27662">
      <w:pPr>
        <w:tabs>
          <w:tab w:val="center" w:pos="4080"/>
          <w:tab w:val="right" w:pos="8160"/>
        </w:tabs>
        <w:rPr>
          <w:rFonts w:cs="Times New Roman"/>
        </w:rPr>
      </w:pPr>
      <w:r>
        <w:rPr>
          <w:rFonts w:cs="Times New Roman"/>
        </w:rPr>
        <w:tab/>
      </w:r>
      <m:oMath>
        <m:r>
          <m:rPr>
            <m:sty m:val="p"/>
          </m:rPr>
          <w:rPr>
            <w:rFonts w:ascii="Cambria Math" w:hAnsi="Cambria Math" w:cs="Times New Roman"/>
          </w:rPr>
          <m:t>AIC</m:t>
        </m:r>
        <m:r>
          <w:rPr>
            <w:rFonts w:ascii="Cambria Math" w:hAnsi="Cambria Math" w:cs="Times New Roman"/>
          </w:rPr>
          <m:t>=2k-2</m:t>
        </m:r>
        <m:r>
          <m:rPr>
            <m:sty m:val="p"/>
          </m:rPr>
          <w:rPr>
            <w:rFonts w:ascii="Cambria Math" w:hAnsi="Cambria Math" w:cs="Times New Roman"/>
          </w:rPr>
          <m:t>ln⁡</m:t>
        </m:r>
        <m:r>
          <w:rPr>
            <w:rFonts w:ascii="Cambria Math" w:hAnsi="Cambria Math" w:cs="Times New Roman"/>
          </w:rPr>
          <m:t>(L)</m:t>
        </m:r>
      </m:oMath>
      <w:r w:rsidRPr="002D74C7">
        <w:rPr>
          <w:rFonts w:cs="Times New Roman"/>
        </w:rPr>
        <w:t>,</w:t>
      </w:r>
      <w:r w:rsidRPr="002D74C7">
        <w:rPr>
          <w:rFonts w:cs="Times New Roman"/>
        </w:rPr>
        <w:tab/>
        <w:t>(</w:t>
      </w:r>
      <w:r>
        <w:rPr>
          <w:rFonts w:cs="Times New Roman"/>
        </w:rPr>
        <w:t>10</w:t>
      </w:r>
      <w:r w:rsidRPr="002D74C7">
        <w:rPr>
          <w:rFonts w:cs="Times New Roman"/>
        </w:rPr>
        <w:t>)</w:t>
      </w:r>
    </w:p>
    <w:p w14:paraId="7EFE8012" w14:textId="77777777" w:rsidR="007F6E00" w:rsidRDefault="007F6E00" w:rsidP="00D27662">
      <w:pPr>
        <w:tabs>
          <w:tab w:val="center" w:pos="4080"/>
          <w:tab w:val="right" w:pos="8160"/>
        </w:tabs>
        <w:rPr>
          <w:rFonts w:cs="Times New Roman"/>
        </w:rPr>
      </w:pPr>
      <w:r>
        <w:rPr>
          <w:rFonts w:cs="Times New Roman"/>
        </w:rPr>
        <w:tab/>
      </w:r>
      <m:oMath>
        <m:r>
          <m:rPr>
            <m:sty m:val="p"/>
          </m:rPr>
          <w:rPr>
            <w:rFonts w:ascii="Cambria Math" w:hAnsi="Cambria Math" w:cs="Times New Roman"/>
          </w:rPr>
          <m:t>BIC</m:t>
        </m:r>
        <m:r>
          <w:rPr>
            <w:rFonts w:ascii="Cambria Math" w:hAnsi="Cambria Math" w:cs="Times New Roman"/>
          </w:rPr>
          <m:t>=kln(n)-2</m:t>
        </m:r>
        <m:r>
          <m:rPr>
            <m:sty m:val="p"/>
          </m:rPr>
          <w:rPr>
            <w:rFonts w:ascii="Cambria Math" w:hAnsi="Cambria Math" w:cs="Times New Roman"/>
          </w:rPr>
          <m:t>ln⁡</m:t>
        </m:r>
        <m:r>
          <w:rPr>
            <w:rFonts w:ascii="Cambria Math" w:hAnsi="Cambria Math" w:cs="Times New Roman"/>
          </w:rPr>
          <m:t>(L)</m:t>
        </m:r>
      </m:oMath>
      <w:r>
        <w:rPr>
          <w:rFonts w:cs="Times New Roman"/>
        </w:rPr>
        <w:t>,</w:t>
      </w:r>
      <w:r>
        <w:rPr>
          <w:rFonts w:cs="Times New Roman"/>
        </w:rPr>
        <w:tab/>
        <w:t>(11)</w:t>
      </w:r>
    </w:p>
    <w:p w14:paraId="048422A3" w14:textId="77777777" w:rsidR="007F6E00" w:rsidRDefault="007F6E00" w:rsidP="00D27662">
      <w:pPr>
        <w:tabs>
          <w:tab w:val="center" w:pos="4080"/>
          <w:tab w:val="right" w:pos="8160"/>
        </w:tabs>
        <w:rPr>
          <w:rFonts w:cs="Times New Roman"/>
        </w:rPr>
      </w:pPr>
      <w:r>
        <w:rPr>
          <w:rFonts w:cs="Times New Roman"/>
        </w:rPr>
        <w:t xml:space="preserve">where </w:t>
      </w:r>
      <w:r w:rsidRPr="00B21FFC">
        <w:rPr>
          <w:rFonts w:cs="Times New Roman"/>
          <w:i/>
          <w:iCs/>
        </w:rPr>
        <w:t>k</w:t>
      </w:r>
      <w:r>
        <w:rPr>
          <w:rFonts w:cs="Times New Roman"/>
        </w:rPr>
        <w:t xml:space="preserve"> is the number of model parameters, </w:t>
      </w:r>
      <w:r w:rsidRPr="00B21FFC">
        <w:rPr>
          <w:rFonts w:cs="Times New Roman"/>
          <w:i/>
          <w:iCs/>
        </w:rPr>
        <w:t>L</w:t>
      </w:r>
      <w:r>
        <w:rPr>
          <w:rFonts w:cs="Times New Roman"/>
        </w:rPr>
        <w:t xml:space="preserve"> is the likelihood, and </w:t>
      </w:r>
      <w:r w:rsidRPr="00B21FFC">
        <w:rPr>
          <w:rFonts w:cs="Times New Roman"/>
          <w:i/>
          <w:iCs/>
        </w:rPr>
        <w:t>n</w:t>
      </w:r>
      <w:r>
        <w:rPr>
          <w:rFonts w:cs="Times New Roman"/>
        </w:rPr>
        <w:t xml:space="preserve"> is the </w:t>
      </w:r>
      <w:proofErr w:type="gramStart"/>
      <w:r>
        <w:rPr>
          <w:rFonts w:cs="Times New Roman"/>
        </w:rPr>
        <w:t>number</w:t>
      </w:r>
      <w:proofErr w:type="gramEnd"/>
      <w:r>
        <w:rPr>
          <w:rFonts w:cs="Times New Roman"/>
        </w:rPr>
        <w:t xml:space="preserve"> of data. Given the definition of misfit function and its relationship with the likelihood, these expressions can be reformulated as</w:t>
      </w:r>
    </w:p>
    <w:p w14:paraId="5C317080" w14:textId="77777777" w:rsidR="007F6E00" w:rsidRDefault="007F6E00" w:rsidP="00B21FFC">
      <w:pPr>
        <w:tabs>
          <w:tab w:val="center" w:pos="4080"/>
          <w:tab w:val="right" w:pos="8160"/>
        </w:tabs>
        <w:rPr>
          <w:rFonts w:cs="Times New Roman"/>
        </w:rPr>
      </w:pPr>
      <w:r>
        <w:rPr>
          <w:rFonts w:cs="Times New Roman"/>
        </w:rPr>
        <w:tab/>
      </w:r>
      <m:oMath>
        <m:r>
          <m:rPr>
            <m:sty m:val="p"/>
          </m:rPr>
          <w:rPr>
            <w:rFonts w:ascii="Cambria Math" w:hAnsi="Cambria Math" w:cs="Times New Roman"/>
          </w:rPr>
          <m:t>AIC</m:t>
        </m:r>
        <m:r>
          <w:rPr>
            <w:rFonts w:ascii="Cambria Math" w:hAnsi="Cambria Math" w:cs="Times New Roman"/>
          </w:rPr>
          <m:t>=2k+misfit</m:t>
        </m:r>
      </m:oMath>
      <w:r w:rsidRPr="002D74C7">
        <w:rPr>
          <w:rFonts w:cs="Times New Roman"/>
        </w:rPr>
        <w:t>,</w:t>
      </w:r>
      <w:r w:rsidRPr="002D74C7">
        <w:rPr>
          <w:rFonts w:cs="Times New Roman"/>
        </w:rPr>
        <w:tab/>
        <w:t>(</w:t>
      </w:r>
      <w:r>
        <w:rPr>
          <w:rFonts w:cs="Times New Roman"/>
        </w:rPr>
        <w:t>12</w:t>
      </w:r>
      <w:r w:rsidRPr="002D74C7">
        <w:rPr>
          <w:rFonts w:cs="Times New Roman"/>
        </w:rPr>
        <w:t>)</w:t>
      </w:r>
    </w:p>
    <w:p w14:paraId="6FB5BB8F" w14:textId="77777777" w:rsidR="007F6E00" w:rsidRDefault="007F6E00" w:rsidP="00B21FFC">
      <w:pPr>
        <w:tabs>
          <w:tab w:val="center" w:pos="4080"/>
          <w:tab w:val="right" w:pos="8160"/>
        </w:tabs>
        <w:rPr>
          <w:rFonts w:cs="Times New Roman"/>
        </w:rPr>
      </w:pPr>
      <w:r>
        <w:rPr>
          <w:rFonts w:cs="Times New Roman"/>
        </w:rPr>
        <w:tab/>
      </w:r>
      <m:oMath>
        <m:r>
          <m:rPr>
            <m:sty m:val="p"/>
          </m:rPr>
          <w:rPr>
            <w:rFonts w:ascii="Cambria Math" w:hAnsi="Cambria Math" w:cs="Times New Roman"/>
          </w:rPr>
          <m:t>BIC</m:t>
        </m:r>
        <m:r>
          <w:rPr>
            <w:rFonts w:ascii="Cambria Math" w:hAnsi="Cambria Math" w:cs="Times New Roman"/>
          </w:rPr>
          <m:t>=kln</m:t>
        </m:r>
        <m:d>
          <m:dPr>
            <m:ctrlPr>
              <w:rPr>
                <w:rFonts w:ascii="Cambria Math" w:hAnsi="Cambria Math" w:cs="Times New Roman"/>
                <w:i/>
              </w:rPr>
            </m:ctrlPr>
          </m:dPr>
          <m:e>
            <m:r>
              <w:rPr>
                <w:rFonts w:ascii="Cambria Math" w:hAnsi="Cambria Math" w:cs="Times New Roman"/>
              </w:rPr>
              <m:t>n</m:t>
            </m:r>
          </m:e>
        </m:d>
        <m:r>
          <w:rPr>
            <w:rFonts w:ascii="Cambria Math" w:hAnsi="Cambria Math" w:cs="Times New Roman"/>
          </w:rPr>
          <m:t>+misfit</m:t>
        </m:r>
      </m:oMath>
      <w:r>
        <w:rPr>
          <w:rFonts w:cs="Times New Roman"/>
        </w:rPr>
        <w:t>.</w:t>
      </w:r>
      <w:r>
        <w:rPr>
          <w:rFonts w:cs="Times New Roman"/>
        </w:rPr>
        <w:tab/>
        <w:t>(13)</w:t>
      </w:r>
    </w:p>
    <w:p w14:paraId="29E94DB8" w14:textId="77777777" w:rsidR="007F6E00" w:rsidRPr="00D27662" w:rsidRDefault="007F6E00" w:rsidP="00310883">
      <w:pPr>
        <w:tabs>
          <w:tab w:val="center" w:pos="4080"/>
          <w:tab w:val="right" w:pos="8160"/>
        </w:tabs>
        <w:rPr>
          <w:rFonts w:cs="Times New Roman"/>
        </w:rPr>
      </w:pPr>
      <w:r w:rsidRPr="003173B1">
        <w:rPr>
          <w:rFonts w:cs="Times New Roman"/>
        </w:rPr>
        <w:t xml:space="preserve">Both AIC and BIC consistently </w:t>
      </w:r>
      <w:r>
        <w:rPr>
          <w:rFonts w:cs="Times New Roman"/>
        </w:rPr>
        <w:t>favor</w:t>
      </w:r>
      <w:r w:rsidRPr="003173B1">
        <w:rPr>
          <w:rFonts w:cs="Times New Roman"/>
        </w:rPr>
        <w:t xml:space="preserve"> the </w:t>
      </w:r>
      <w:r>
        <w:rPr>
          <w:rFonts w:cs="Times New Roman"/>
        </w:rPr>
        <w:t>four</w:t>
      </w:r>
      <w:r w:rsidRPr="003173B1">
        <w:rPr>
          <w:rFonts w:cs="Times New Roman"/>
        </w:rPr>
        <w:t xml:space="preserve">-layer crust with an upper mantle LVZ as the </w:t>
      </w:r>
      <w:r>
        <w:rPr>
          <w:rFonts w:cs="Times New Roman"/>
        </w:rPr>
        <w:t>optimal configuration</w:t>
      </w:r>
      <w:r w:rsidRPr="003173B1">
        <w:rPr>
          <w:rFonts w:cs="Times New Roman"/>
        </w:rPr>
        <w:t xml:space="preserve"> for RF inversion</w:t>
      </w:r>
      <w:r>
        <w:rPr>
          <w:rFonts w:cs="Times New Roman"/>
        </w:rPr>
        <w:t xml:space="preserve"> </w:t>
      </w:r>
      <w:r w:rsidRPr="00A40E8A">
        <w:rPr>
          <w:rFonts w:cs="Times New Roman"/>
          <w:color w:val="FF0000"/>
        </w:rPr>
        <w:t>(Supplementary Fig. 20)</w:t>
      </w:r>
      <w:r w:rsidRPr="003173B1">
        <w:rPr>
          <w:rFonts w:cs="Times New Roman"/>
        </w:rPr>
        <w:t>.</w:t>
      </w:r>
      <w:r>
        <w:rPr>
          <w:rFonts w:cs="Times New Roman"/>
        </w:rPr>
        <w:t xml:space="preserve"> </w:t>
      </w:r>
      <w:r w:rsidRPr="00673D6E">
        <w:rPr>
          <w:rFonts w:cs="Times New Roman"/>
        </w:rPr>
        <w:t>This model offers the best trade-off between fit and complexity. In contrast, the three-layer crustal model is strongly disfavored. Alternative models</w:t>
      </w:r>
      <w:r>
        <w:rPr>
          <w:rFonts w:cs="Times New Roman"/>
        </w:rPr>
        <w:t xml:space="preserve">, </w:t>
      </w:r>
      <w:r w:rsidRPr="00673D6E">
        <w:rPr>
          <w:rFonts w:cs="Times New Roman"/>
        </w:rPr>
        <w:t>such as those omitting the upper mantle LVZ or introducing a mid-crustal LVZ</w:t>
      </w:r>
      <w:r>
        <w:rPr>
          <w:rFonts w:cs="Times New Roman"/>
        </w:rPr>
        <w:t xml:space="preserve">, </w:t>
      </w:r>
      <w:r w:rsidRPr="00673D6E">
        <w:rPr>
          <w:rFonts w:cs="Times New Roman"/>
        </w:rPr>
        <w:t>produce intermediate results but fail to outperform the four-layer crust model with an upper mantle LVZ.</w:t>
      </w:r>
    </w:p>
    <w:p w14:paraId="76574D8E" w14:textId="77777777" w:rsidR="007F6E00" w:rsidRDefault="007F6E00" w:rsidP="006E2E67">
      <w:pPr>
        <w:ind w:firstLineChars="200" w:firstLine="480"/>
        <w:rPr>
          <w:rFonts w:cs="Times New Roman"/>
        </w:rPr>
      </w:pPr>
      <w:r>
        <w:rPr>
          <w:rFonts w:cs="Times New Roman"/>
        </w:rPr>
        <w:br w:type="page"/>
      </w:r>
    </w:p>
    <w:p w14:paraId="0E4725E4" w14:textId="77777777" w:rsidR="007F6E00" w:rsidRDefault="007F6E00" w:rsidP="00124AD6">
      <w:pPr>
        <w:tabs>
          <w:tab w:val="center" w:pos="4080"/>
          <w:tab w:val="right" w:pos="8160"/>
        </w:tabs>
        <w:spacing w:line="240" w:lineRule="auto"/>
        <w:jc w:val="center"/>
        <w:rPr>
          <w:rFonts w:cs="Times New Roman"/>
        </w:rPr>
      </w:pPr>
      <w:r>
        <w:rPr>
          <w:rFonts w:cs="Times New Roman"/>
          <w:noProof/>
        </w:rPr>
        <w:lastRenderedPageBreak/>
        <w:drawing>
          <wp:inline distT="0" distB="0" distL="0" distR="0" wp14:anchorId="607954EF" wp14:editId="29BC4DD6">
            <wp:extent cx="5274310" cy="5723890"/>
            <wp:effectExtent l="0" t="0" r="0" b="38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74310" cy="5723890"/>
                    </a:xfrm>
                    <a:prstGeom prst="rect">
                      <a:avLst/>
                    </a:prstGeom>
                  </pic:spPr>
                </pic:pic>
              </a:graphicData>
            </a:graphic>
          </wp:inline>
        </w:drawing>
      </w:r>
    </w:p>
    <w:p w14:paraId="5A85657B" w14:textId="77777777" w:rsidR="007F6E00" w:rsidRDefault="007F6E00" w:rsidP="00124AD6">
      <w:pPr>
        <w:tabs>
          <w:tab w:val="center" w:pos="4080"/>
          <w:tab w:val="right" w:pos="8160"/>
        </w:tabs>
        <w:spacing w:line="240" w:lineRule="auto"/>
        <w:rPr>
          <w:rFonts w:cs="Times New Roman"/>
        </w:rPr>
      </w:pPr>
      <w:bookmarkStart w:id="29" w:name="_Toc167205920"/>
      <w:r>
        <w:rPr>
          <w:b/>
          <w:bCs/>
        </w:rPr>
        <w:t>Supplementary Fig. 17</w:t>
      </w:r>
      <w:r w:rsidRPr="000D5F60">
        <w:rPr>
          <w:b/>
          <w:bCs/>
        </w:rPr>
        <w:t xml:space="preserve"> | Results of the RF inversion with a three-layer crust setting.</w:t>
      </w:r>
      <w:bookmarkEnd w:id="29"/>
      <w:r w:rsidRPr="000D5F60">
        <w:rPr>
          <w:b/>
          <w:bCs/>
        </w:rPr>
        <w:t xml:space="preserve"> </w:t>
      </w:r>
      <w:r>
        <w:rPr>
          <w:rFonts w:cs="Times New Roman"/>
        </w:rPr>
        <w:t xml:space="preserve">(a) Normalized PDF of the </w:t>
      </w:r>
      <w:r w:rsidRPr="00882A67">
        <w:rPr>
          <w:rFonts w:cs="Times New Roman"/>
          <w:i/>
        </w:rPr>
        <w:t>Vs</w:t>
      </w:r>
      <w:r>
        <w:rPr>
          <w:rFonts w:cs="Times New Roman"/>
        </w:rPr>
        <w:t xml:space="preserve"> posterior distribution</w:t>
      </w:r>
      <w:r w:rsidRPr="008408A8">
        <w:rPr>
          <w:rFonts w:cs="Times New Roman"/>
        </w:rPr>
        <w:t xml:space="preserve"> </w:t>
      </w:r>
      <w:r>
        <w:rPr>
          <w:rFonts w:cs="Times New Roman"/>
        </w:rPr>
        <w:t>for one thousand models in a single Markov chain. Orange dashed line denotes the mean model from this inversion (three-layer crust or 3C). Purple dashed line denotes the mean model from the reference inversion (four-layer crust or 4C). (b) Comparison of the</w:t>
      </w:r>
      <w:r w:rsidRPr="008408A8">
        <w:rPr>
          <w:rFonts w:cs="Times New Roman"/>
        </w:rPr>
        <w:t xml:space="preserve"> </w:t>
      </w:r>
      <w:r>
        <w:rPr>
          <w:rFonts w:cs="Times New Roman"/>
        </w:rPr>
        <w:t xml:space="preserve">LVZ </w:t>
      </w:r>
      <w:r w:rsidRPr="008408A8">
        <w:rPr>
          <w:rFonts w:cs="Times New Roman"/>
          <w:i/>
        </w:rPr>
        <w:t>Vs</w:t>
      </w:r>
      <w:r>
        <w:rPr>
          <w:rFonts w:cs="Times New Roman"/>
        </w:rPr>
        <w:t xml:space="preserve"> reductions derived from this inversion and the reference inversion. (c) Comparison of the LVZ depths derived from this inversion and the reference inversion. (d) Comparison of the RF fits for the first 12 s between this inversion and the reference inversion. (e) Comparison of the misfit distributions between this inversion and the reference inversion. The misfit of reference inversion with a four-layer crust is much smaller than that of the inversion with a three-layer crust. (f) RF fit and misfit distribution of this inversion. </w:t>
      </w:r>
      <w:proofErr w:type="spellStart"/>
      <w:r>
        <w:rPr>
          <w:rFonts w:cs="Times New Roman"/>
        </w:rPr>
        <w:t>Colorbar</w:t>
      </w:r>
      <w:proofErr w:type="spellEnd"/>
      <w:r>
        <w:rPr>
          <w:rFonts w:cs="Times New Roman"/>
        </w:rPr>
        <w:t xml:space="preserve"> shows the range of misfit values, which is set to 130–250 for a better visional comparison.</w:t>
      </w:r>
    </w:p>
    <w:p w14:paraId="4A930EBA" w14:textId="77777777" w:rsidR="007F6E00" w:rsidRDefault="007F6E00">
      <w:pPr>
        <w:widowControl/>
        <w:spacing w:line="240" w:lineRule="auto"/>
        <w:jc w:val="left"/>
        <w:rPr>
          <w:rFonts w:cs="Times New Roman"/>
        </w:rPr>
      </w:pPr>
      <w:r>
        <w:rPr>
          <w:rFonts w:cs="Times New Roman"/>
        </w:rPr>
        <w:br w:type="page"/>
      </w:r>
    </w:p>
    <w:p w14:paraId="06A8D6C2" w14:textId="77777777" w:rsidR="007F6E00" w:rsidRDefault="007F6E00" w:rsidP="00124AD6">
      <w:pPr>
        <w:tabs>
          <w:tab w:val="center" w:pos="4080"/>
          <w:tab w:val="right" w:pos="8160"/>
        </w:tabs>
        <w:spacing w:line="240" w:lineRule="auto"/>
        <w:jc w:val="center"/>
        <w:rPr>
          <w:rFonts w:cs="Times New Roman"/>
        </w:rPr>
      </w:pPr>
      <w:r>
        <w:rPr>
          <w:rFonts w:cs="Times New Roman" w:hint="eastAsia"/>
          <w:noProof/>
        </w:rPr>
        <w:lastRenderedPageBreak/>
        <w:drawing>
          <wp:inline distT="0" distB="0" distL="0" distR="0" wp14:anchorId="3802CBA2" wp14:editId="5E4AC4DD">
            <wp:extent cx="5040000" cy="5040000"/>
            <wp:effectExtent l="0" t="0" r="1905" b="190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40000" cy="5040000"/>
                    </a:xfrm>
                    <a:prstGeom prst="rect">
                      <a:avLst/>
                    </a:prstGeom>
                  </pic:spPr>
                </pic:pic>
              </a:graphicData>
            </a:graphic>
          </wp:inline>
        </w:drawing>
      </w:r>
    </w:p>
    <w:p w14:paraId="16437425" w14:textId="77777777" w:rsidR="007F6E00" w:rsidRDefault="007F6E00" w:rsidP="00124AD6">
      <w:pPr>
        <w:tabs>
          <w:tab w:val="center" w:pos="4080"/>
          <w:tab w:val="right" w:pos="8160"/>
        </w:tabs>
        <w:spacing w:line="240" w:lineRule="auto"/>
        <w:rPr>
          <w:rFonts w:cs="Times New Roman"/>
        </w:rPr>
      </w:pPr>
      <w:r>
        <w:rPr>
          <w:b/>
          <w:bCs/>
        </w:rPr>
        <w:t>Supplementary Fig. 18</w:t>
      </w:r>
      <w:r w:rsidRPr="000D5F60">
        <w:rPr>
          <w:b/>
          <w:bCs/>
        </w:rPr>
        <w:t xml:space="preserve"> | Results of the RF inversion without an upper mantle LVZ setting. </w:t>
      </w:r>
      <w:r>
        <w:rPr>
          <w:rFonts w:cs="Times New Roman"/>
        </w:rPr>
        <w:t xml:space="preserve">(a) Normalized PDF of the </w:t>
      </w:r>
      <w:r w:rsidRPr="00882A67">
        <w:rPr>
          <w:rFonts w:cs="Times New Roman"/>
          <w:i/>
        </w:rPr>
        <w:t>Vs</w:t>
      </w:r>
      <w:r>
        <w:rPr>
          <w:rFonts w:cs="Times New Roman"/>
        </w:rPr>
        <w:t xml:space="preserve"> posterior distribution for one thousand models in a single Markov chain. Orange dashed line denotes the mean model from this inversion (no LVZ). Purple dashed line denotes the mean model from the reference inversion (LVZ). Two inversions have the same initial models except for the upper mantle LVZ. (b) Comparison of the misfit distributions between this inversion and the reference inversion. (c) Comparison of the fits for the two negative arrivals at ~11 s and ~31 s between this inversion and the reference inversion. (d) RF fit and misfit distribution of this inversion. </w:t>
      </w:r>
      <w:proofErr w:type="spellStart"/>
      <w:r>
        <w:rPr>
          <w:rFonts w:cs="Times New Roman"/>
        </w:rPr>
        <w:t>Colorbar</w:t>
      </w:r>
      <w:proofErr w:type="spellEnd"/>
      <w:r>
        <w:rPr>
          <w:rFonts w:cs="Times New Roman"/>
        </w:rPr>
        <w:t xml:space="preserve"> shows the range of misfit values, which is set to 130–190 for a better visional comparison in (c). Names of phases are annotated. Orange shaded areas in (c) and (d) show the position of two negative arrivals. In this inversion, the negative phase at ~11 s is regarded as a possible crustal multiple. The synthetic RFs of inverted models exhibit no energy at ~31 s and an extremely weak negative wiggle at ~11 s.</w:t>
      </w:r>
    </w:p>
    <w:p w14:paraId="34CB749A" w14:textId="77777777" w:rsidR="007F6E00" w:rsidRDefault="007F6E00">
      <w:pPr>
        <w:widowControl/>
        <w:spacing w:line="240" w:lineRule="auto"/>
        <w:jc w:val="left"/>
        <w:rPr>
          <w:rFonts w:cs="Times New Roman"/>
        </w:rPr>
      </w:pPr>
      <w:r>
        <w:rPr>
          <w:rFonts w:cs="Times New Roman"/>
        </w:rPr>
        <w:br w:type="page"/>
      </w:r>
    </w:p>
    <w:p w14:paraId="7C450485" w14:textId="77777777" w:rsidR="007F6E00" w:rsidRDefault="007F6E00" w:rsidP="00124AD6">
      <w:pPr>
        <w:tabs>
          <w:tab w:val="center" w:pos="4080"/>
          <w:tab w:val="right" w:pos="8160"/>
        </w:tabs>
        <w:spacing w:line="240" w:lineRule="auto"/>
        <w:rPr>
          <w:rFonts w:cs="Times New Roman"/>
        </w:rPr>
      </w:pPr>
      <w:r>
        <w:rPr>
          <w:rFonts w:cs="Times New Roman" w:hint="eastAsia"/>
          <w:noProof/>
        </w:rPr>
        <w:lastRenderedPageBreak/>
        <w:drawing>
          <wp:inline distT="0" distB="0" distL="0" distR="0" wp14:anchorId="756F4945" wp14:editId="495AC6FD">
            <wp:extent cx="5274310" cy="527431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74310" cy="5274310"/>
                    </a:xfrm>
                    <a:prstGeom prst="rect">
                      <a:avLst/>
                    </a:prstGeom>
                  </pic:spPr>
                </pic:pic>
              </a:graphicData>
            </a:graphic>
          </wp:inline>
        </w:drawing>
      </w:r>
    </w:p>
    <w:p w14:paraId="7ECB5494" w14:textId="77777777" w:rsidR="007F6E00" w:rsidRPr="00124AD6" w:rsidRDefault="007F6E00" w:rsidP="00124AD6">
      <w:pPr>
        <w:tabs>
          <w:tab w:val="center" w:pos="4080"/>
          <w:tab w:val="right" w:pos="8160"/>
        </w:tabs>
        <w:spacing w:line="240" w:lineRule="auto"/>
        <w:rPr>
          <w:rFonts w:cs="Times New Roman"/>
        </w:rPr>
      </w:pPr>
      <w:r>
        <w:rPr>
          <w:b/>
          <w:bCs/>
        </w:rPr>
        <w:t>Supplementary Fig. 19</w:t>
      </w:r>
      <w:r w:rsidRPr="000D5F60">
        <w:rPr>
          <w:b/>
          <w:bCs/>
        </w:rPr>
        <w:t xml:space="preserve"> | Results of the RF inversion with</w:t>
      </w:r>
      <w:r>
        <w:rPr>
          <w:b/>
          <w:bCs/>
        </w:rPr>
        <w:t xml:space="preserve"> a middle crustal</w:t>
      </w:r>
      <w:r w:rsidRPr="000D5F60">
        <w:rPr>
          <w:b/>
          <w:bCs/>
        </w:rPr>
        <w:t xml:space="preserve"> LVZ setting. </w:t>
      </w:r>
      <w:r>
        <w:rPr>
          <w:rFonts w:cs="Times New Roman"/>
        </w:rPr>
        <w:t xml:space="preserve">(a) Normalized PDF of the </w:t>
      </w:r>
      <w:r w:rsidRPr="00882A67">
        <w:rPr>
          <w:rFonts w:cs="Times New Roman"/>
          <w:i/>
        </w:rPr>
        <w:t>Vs</w:t>
      </w:r>
      <w:r>
        <w:rPr>
          <w:rFonts w:cs="Times New Roman"/>
        </w:rPr>
        <w:t xml:space="preserve"> posterior distribution for one thousand models in a single Markov chain. Orange dashed line denotes the mean model from this inversion (MC LVZ; middle crustal LVZ). Purple dashed line denotes the mean model from the reference inversion (UM LVZ; upper mantle LVZ). (b) Comparison of the misfit distributions between this inversion and the reference inversion. (c) Comparison of the fits for the two negative arrivals at ~11 s and ~31 s between this inversion and the reference inversion. (d) RF fit and misfit distribution of this inversion. </w:t>
      </w:r>
      <w:proofErr w:type="spellStart"/>
      <w:r>
        <w:rPr>
          <w:rFonts w:cs="Times New Roman"/>
        </w:rPr>
        <w:t>Colorbar</w:t>
      </w:r>
      <w:proofErr w:type="spellEnd"/>
      <w:r>
        <w:rPr>
          <w:rFonts w:cs="Times New Roman"/>
        </w:rPr>
        <w:t xml:space="preserve"> shows the range of misfit values, which is set to 130–190 for a better visional comparison in (c). Names of phases are annotated. Orange shaded areas in (c) and (d) show the position of two negative arrivals. In this inversion, the negative phase at ~11 s is regarded as a multiple conversion from the low velocity interface at depth of 15 km. The synthetic RFs of inverted models exhibit no energy at ~31 s.</w:t>
      </w:r>
    </w:p>
    <w:p w14:paraId="5978B21E" w14:textId="77777777" w:rsidR="007F6E00" w:rsidRDefault="007F6E00">
      <w:pPr>
        <w:widowControl/>
        <w:spacing w:line="240" w:lineRule="auto"/>
        <w:jc w:val="left"/>
        <w:rPr>
          <w:rFonts w:cs="Times New Roman"/>
        </w:rPr>
      </w:pPr>
      <w:r>
        <w:rPr>
          <w:rFonts w:cs="Times New Roman"/>
        </w:rPr>
        <w:br w:type="page"/>
      </w:r>
    </w:p>
    <w:p w14:paraId="06560896" w14:textId="77777777" w:rsidR="007F6E00" w:rsidRDefault="007F6E00" w:rsidP="00333658">
      <w:pPr>
        <w:spacing w:line="240" w:lineRule="auto"/>
        <w:jc w:val="center"/>
      </w:pPr>
      <w:r>
        <w:rPr>
          <w:rFonts w:hint="eastAsia"/>
          <w:noProof/>
        </w:rPr>
        <w:lastRenderedPageBreak/>
        <w:drawing>
          <wp:inline distT="0" distB="0" distL="0" distR="0" wp14:anchorId="3A90B98B" wp14:editId="5D2AD6F8">
            <wp:extent cx="2880000" cy="4674782"/>
            <wp:effectExtent l="0" t="0" r="317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674782"/>
                    </a:xfrm>
                    <a:prstGeom prst="rect">
                      <a:avLst/>
                    </a:prstGeom>
                  </pic:spPr>
                </pic:pic>
              </a:graphicData>
            </a:graphic>
          </wp:inline>
        </w:drawing>
      </w:r>
    </w:p>
    <w:p w14:paraId="2D94143F" w14:textId="77777777" w:rsidR="007F6E00" w:rsidRDefault="007F6E00" w:rsidP="00333658">
      <w:pPr>
        <w:spacing w:line="240" w:lineRule="auto"/>
      </w:pPr>
      <w:r w:rsidRPr="0080474A">
        <w:rPr>
          <w:rFonts w:hint="eastAsia"/>
          <w:b/>
          <w:bCs/>
        </w:rPr>
        <w:t>S</w:t>
      </w:r>
      <w:r w:rsidRPr="0080474A">
        <w:rPr>
          <w:b/>
          <w:bCs/>
        </w:rPr>
        <w:t xml:space="preserve">upplementary Fig. 20 | Probability density distributions of model selection criteria for different </w:t>
      </w:r>
      <w:r>
        <w:rPr>
          <w:b/>
          <w:bCs/>
        </w:rPr>
        <w:t>inversion result</w:t>
      </w:r>
      <w:r w:rsidRPr="0080474A">
        <w:rPr>
          <w:b/>
          <w:bCs/>
        </w:rPr>
        <w:t>s.</w:t>
      </w:r>
      <w:r>
        <w:t xml:space="preserve"> (a) Akaike </w:t>
      </w:r>
      <w:r w:rsidRPr="0080474A">
        <w:t xml:space="preserve">Information Criterion (AIC) and (b) Bayesian Information Criterion (BIC) values computed from </w:t>
      </w:r>
      <w:r>
        <w:t xml:space="preserve">RF </w:t>
      </w:r>
      <w:r w:rsidRPr="0080474A">
        <w:t>inversion results using four different model configurations: a four-layer crust with an upper mantle low-velocity zone (4C_UMLVZ), a three-layer crust with an upper mantle LVZ (3C_UMLVZ), a four-layer crust without an upper mantle LVZ (4C_NOLVZ), and a five-layer crust with a mid-crustal LVZ (5C_MCLVZ). Lower AIC and BIC values indicate better model performance. Both criteria consistently favor the 4C_UMLVZ model, highlighting its balance between data fit and model complexity.</w:t>
      </w:r>
    </w:p>
    <w:p w14:paraId="24D97FBE" w14:textId="77777777" w:rsidR="007F6E00" w:rsidRDefault="007F6E00">
      <w:pPr>
        <w:widowControl/>
        <w:spacing w:line="240" w:lineRule="auto"/>
        <w:jc w:val="left"/>
      </w:pPr>
      <w:r>
        <w:br w:type="page"/>
      </w:r>
    </w:p>
    <w:p w14:paraId="4706611B" w14:textId="77777777" w:rsidR="007F6E00" w:rsidRPr="005D5ED1" w:rsidRDefault="007F6E00" w:rsidP="00D63BBB">
      <w:pPr>
        <w:pStyle w:val="2"/>
      </w:pPr>
      <w:bookmarkStart w:id="30" w:name="_Toc202208122"/>
      <w:r w:rsidRPr="005D5ED1">
        <w:rPr>
          <w:rFonts w:hint="eastAsia"/>
        </w:rPr>
        <w:lastRenderedPageBreak/>
        <w:t>4</w:t>
      </w:r>
      <w:r w:rsidRPr="005D5ED1">
        <w:t>.</w:t>
      </w:r>
      <w:r>
        <w:t>3</w:t>
      </w:r>
      <w:r w:rsidRPr="005D5ED1">
        <w:t xml:space="preserve">. Crustal structures beneath the </w:t>
      </w:r>
      <w:r>
        <w:t xml:space="preserve">southern edge of </w:t>
      </w:r>
      <w:r>
        <w:rPr>
          <w:rFonts w:hint="eastAsia"/>
        </w:rPr>
        <w:t>AP</w:t>
      </w:r>
      <w:r>
        <w:t xml:space="preserve"> and eastern CF</w:t>
      </w:r>
      <w:bookmarkEnd w:id="30"/>
    </w:p>
    <w:p w14:paraId="5AC834C7" w14:textId="77777777" w:rsidR="007F6E00" w:rsidRDefault="007F6E00" w:rsidP="00B8301D">
      <w:pPr>
        <w:tabs>
          <w:tab w:val="center" w:pos="4080"/>
          <w:tab w:val="right" w:pos="8160"/>
        </w:tabs>
        <w:ind w:firstLineChars="200" w:firstLine="480"/>
        <w:rPr>
          <w:rFonts w:cs="Times New Roman"/>
        </w:rPr>
      </w:pPr>
      <w:r>
        <w:rPr>
          <w:rFonts w:cs="Times New Roman"/>
        </w:rPr>
        <w:t xml:space="preserve">Beneath the southern edge of AP, our joint inversion of both PP and SS precursors of event S0976a identifies a crustal interface at the depth of 28.9 ± 3.7 km </w:t>
      </w:r>
      <w:r w:rsidRPr="005D5ED1">
        <w:rPr>
          <w:rFonts w:cs="Times New Roman"/>
          <w:color w:val="FF0000"/>
        </w:rPr>
        <w:t>(</w:t>
      </w:r>
      <w:r>
        <w:rPr>
          <w:rFonts w:cs="Times New Roman"/>
          <w:color w:val="FF0000"/>
        </w:rPr>
        <w:t>Supplementary Fig. 21</w:t>
      </w:r>
      <w:r w:rsidRPr="005D5ED1">
        <w:rPr>
          <w:rFonts w:cs="Times New Roman"/>
          <w:color w:val="FF0000"/>
        </w:rPr>
        <w:t>b)</w:t>
      </w:r>
      <w:r>
        <w:rPr>
          <w:rFonts w:cs="Times New Roman"/>
        </w:rPr>
        <w:t>. This result agrees with that of ref.</w:t>
      </w:r>
      <w:r w:rsidRPr="00B11BE5">
        <w:rPr>
          <w:rFonts w:cs="Times New Roman"/>
          <w:noProof/>
          <w:vertAlign w:val="superscript"/>
        </w:rPr>
        <w:t xml:space="preserve"> 31</w:t>
      </w:r>
      <w:r>
        <w:rPr>
          <w:rFonts w:cs="Times New Roman"/>
        </w:rPr>
        <w:t xml:space="preserve"> (23.3 ± 4.9 km from SS precursor inversion or 17.6 ± 2.5 km from PP precursor inversion), and is consistent with the results derived from RFs (20 ± 5 km in ref.</w:t>
      </w:r>
      <w:r w:rsidRPr="00B11BE5">
        <w:rPr>
          <w:rFonts w:cs="Times New Roman"/>
          <w:noProof/>
          <w:vertAlign w:val="superscript"/>
        </w:rPr>
        <w:t xml:space="preserve"> 25</w:t>
      </w:r>
      <w:r>
        <w:rPr>
          <w:rFonts w:cs="Times New Roman"/>
        </w:rPr>
        <w:t>; 22–27 km in ref.</w:t>
      </w:r>
      <w:r w:rsidRPr="00B11BE5">
        <w:rPr>
          <w:rFonts w:cs="Times New Roman"/>
          <w:noProof/>
          <w:vertAlign w:val="superscript"/>
        </w:rPr>
        <w:t xml:space="preserve"> 28</w:t>
      </w:r>
      <w:r>
        <w:rPr>
          <w:rFonts w:cs="Times New Roman"/>
        </w:rPr>
        <w:t>; and 21 ± 3 km in ref.</w:t>
      </w:r>
      <w:r w:rsidRPr="00B11BE5">
        <w:rPr>
          <w:rFonts w:cs="Times New Roman"/>
          <w:noProof/>
          <w:vertAlign w:val="superscript"/>
        </w:rPr>
        <w:t xml:space="preserve"> 22</w:t>
      </w:r>
      <w:r>
        <w:rPr>
          <w:rFonts w:cs="Times New Roman"/>
        </w:rPr>
        <w:t>) and body wave travel times (24.5 ± 18.9 km in ref.</w:t>
      </w:r>
      <w:r w:rsidRPr="00B11BE5">
        <w:rPr>
          <w:rFonts w:cs="Times New Roman"/>
          <w:noProof/>
          <w:vertAlign w:val="superscript"/>
        </w:rPr>
        <w:t xml:space="preserve"> 34</w:t>
      </w:r>
      <w:r>
        <w:rPr>
          <w:rFonts w:cs="Times New Roman"/>
        </w:rPr>
        <w:t xml:space="preserve">). The upper crust </w:t>
      </w:r>
      <w:proofErr w:type="spellStart"/>
      <w:r w:rsidRPr="00E95F4C">
        <w:rPr>
          <w:rFonts w:cs="Times New Roman"/>
          <w:i/>
        </w:rPr>
        <w:t>Vp</w:t>
      </w:r>
      <w:proofErr w:type="spellEnd"/>
      <w:r>
        <w:rPr>
          <w:rFonts w:cs="Times New Roman"/>
        </w:rPr>
        <w:t xml:space="preserve"> and </w:t>
      </w:r>
      <w:r w:rsidRPr="00E95F4C">
        <w:rPr>
          <w:rFonts w:cs="Times New Roman"/>
          <w:i/>
        </w:rPr>
        <w:t>Vs</w:t>
      </w:r>
      <w:r>
        <w:rPr>
          <w:rFonts w:cs="Times New Roman"/>
        </w:rPr>
        <w:t xml:space="preserve"> are 5.3 ± 0.5 km/s and 2.7 ± 0.3 km/s, respectively </w:t>
      </w:r>
      <w:r w:rsidRPr="005D5ED1">
        <w:rPr>
          <w:rFonts w:cs="Times New Roman"/>
          <w:color w:val="FF0000"/>
        </w:rPr>
        <w:t>(</w:t>
      </w:r>
      <w:r>
        <w:rPr>
          <w:rFonts w:cs="Times New Roman"/>
          <w:color w:val="FF0000"/>
        </w:rPr>
        <w:t>Supplementary Fig. 21</w:t>
      </w:r>
      <w:r w:rsidRPr="005D5ED1">
        <w:rPr>
          <w:rFonts w:cs="Times New Roman"/>
          <w:color w:val="FF0000"/>
        </w:rPr>
        <w:t>d and g)</w:t>
      </w:r>
      <w:r>
        <w:rPr>
          <w:rFonts w:cs="Times New Roman"/>
        </w:rPr>
        <w:t>, greater than those reported in ref.</w:t>
      </w:r>
      <w:r w:rsidRPr="00B11BE5">
        <w:rPr>
          <w:rFonts w:cs="Times New Roman"/>
          <w:noProof/>
          <w:vertAlign w:val="superscript"/>
        </w:rPr>
        <w:t xml:space="preserve"> 31</w:t>
      </w:r>
      <w:r>
        <w:rPr>
          <w:rFonts w:cs="Times New Roman"/>
        </w:rPr>
        <w:t xml:space="preserve"> (3.8 ± 1.0 km/s and 2.2 ± 0.4 km/s). This discrepancy arises from the shorter relative times of precursors in our waveform matching analysis (9.5</w:t>
      </w:r>
      <w:r w:rsidRPr="00AA6562">
        <w:rPr>
          <w:rFonts w:cs="Times New Roman"/>
        </w:rPr>
        <w:t xml:space="preserve"> ± 0.2 s</w:t>
      </w:r>
      <w:r>
        <w:rPr>
          <w:rFonts w:cs="Times New Roman"/>
        </w:rPr>
        <w:t xml:space="preserve"> and 18.9</w:t>
      </w:r>
      <w:r w:rsidRPr="00AA6562">
        <w:rPr>
          <w:rFonts w:cs="Times New Roman"/>
        </w:rPr>
        <w:t xml:space="preserve"> ± 0.</w:t>
      </w:r>
      <w:r>
        <w:rPr>
          <w:rFonts w:cs="Times New Roman"/>
        </w:rPr>
        <w:t>1</w:t>
      </w:r>
      <w:r w:rsidRPr="00AA6562">
        <w:rPr>
          <w:rFonts w:cs="Times New Roman"/>
        </w:rPr>
        <w:t xml:space="preserve"> s</w:t>
      </w:r>
      <w:r>
        <w:rPr>
          <w:rFonts w:cs="Times New Roman"/>
        </w:rPr>
        <w:t>), compared to those picked in ref.</w:t>
      </w:r>
      <w:r w:rsidRPr="00B11BE5">
        <w:rPr>
          <w:rFonts w:cs="Times New Roman"/>
          <w:noProof/>
          <w:vertAlign w:val="superscript"/>
        </w:rPr>
        <w:t xml:space="preserve"> 31</w:t>
      </w:r>
      <w:r>
        <w:rPr>
          <w:rFonts w:cs="Times New Roman"/>
        </w:rPr>
        <w:t xml:space="preserve"> (</w:t>
      </w:r>
      <w:r w:rsidRPr="00AA6562">
        <w:rPr>
          <w:rFonts w:cs="Times New Roman"/>
        </w:rPr>
        <w:t>10.2 ± 0.2 s</w:t>
      </w:r>
      <w:r>
        <w:rPr>
          <w:rFonts w:cs="Times New Roman"/>
        </w:rPr>
        <w:t xml:space="preserve"> and </w:t>
      </w:r>
      <w:r w:rsidRPr="00AA6562">
        <w:rPr>
          <w:rFonts w:cs="Times New Roman"/>
        </w:rPr>
        <w:t>19.3 ± 0.5 s</w:t>
      </w:r>
      <w:r>
        <w:rPr>
          <w:rFonts w:cs="Times New Roman"/>
        </w:rPr>
        <w:t xml:space="preserve">). Our inversion constrains the lower crustal </w:t>
      </w:r>
      <w:proofErr w:type="spellStart"/>
      <w:r w:rsidRPr="00E95F4C">
        <w:rPr>
          <w:rFonts w:cs="Times New Roman"/>
          <w:i/>
        </w:rPr>
        <w:t>Vp</w:t>
      </w:r>
      <w:proofErr w:type="spellEnd"/>
      <w:r>
        <w:rPr>
          <w:rFonts w:cs="Times New Roman"/>
        </w:rPr>
        <w:t xml:space="preserve"> and </w:t>
      </w:r>
      <w:r w:rsidRPr="00E95F4C">
        <w:rPr>
          <w:rFonts w:cs="Times New Roman"/>
          <w:i/>
        </w:rPr>
        <w:t>Vs</w:t>
      </w:r>
      <w:r>
        <w:rPr>
          <w:rFonts w:cs="Times New Roman"/>
        </w:rPr>
        <w:t xml:space="preserve"> to be 6.8 ± 0.7 km/s and 3.6 ± 0.4 km/s, respectively </w:t>
      </w:r>
      <w:r w:rsidRPr="005D5ED1">
        <w:rPr>
          <w:rFonts w:cs="Times New Roman"/>
          <w:color w:val="FF0000"/>
        </w:rPr>
        <w:t>(</w:t>
      </w:r>
      <w:r>
        <w:rPr>
          <w:rFonts w:cs="Times New Roman"/>
          <w:color w:val="FF0000"/>
        </w:rPr>
        <w:t>Supplementary Fig. 21</w:t>
      </w:r>
      <w:r w:rsidRPr="005D5ED1">
        <w:rPr>
          <w:rFonts w:cs="Times New Roman"/>
          <w:color w:val="FF0000"/>
        </w:rPr>
        <w:t>e and h)</w:t>
      </w:r>
      <w:r>
        <w:rPr>
          <w:rFonts w:cs="Times New Roman"/>
        </w:rPr>
        <w:t xml:space="preserve">. The inversion of S1153a’s SS precursors reveals an </w:t>
      </w:r>
      <w:proofErr w:type="spellStart"/>
      <w:r>
        <w:rPr>
          <w:rFonts w:cs="Times New Roman"/>
        </w:rPr>
        <w:t>intracrustal</w:t>
      </w:r>
      <w:proofErr w:type="spellEnd"/>
      <w:r>
        <w:rPr>
          <w:rFonts w:cs="Times New Roman"/>
        </w:rPr>
        <w:t xml:space="preserve"> discontinuity beneath the eastern CF at a depth of 28.1 ± 6.6 km </w:t>
      </w:r>
      <w:r w:rsidRPr="005D5ED1">
        <w:rPr>
          <w:rFonts w:cs="Times New Roman"/>
          <w:color w:val="FF0000"/>
        </w:rPr>
        <w:t>(</w:t>
      </w:r>
      <w:r>
        <w:rPr>
          <w:rFonts w:cs="Times New Roman"/>
          <w:color w:val="FF0000"/>
        </w:rPr>
        <w:t>Supplementary Fig. 22</w:t>
      </w:r>
      <w:r w:rsidRPr="005D5ED1">
        <w:rPr>
          <w:rFonts w:cs="Times New Roman"/>
          <w:color w:val="FF0000"/>
        </w:rPr>
        <w:t>b)</w:t>
      </w:r>
      <w:r>
        <w:rPr>
          <w:rFonts w:cs="Times New Roman"/>
        </w:rPr>
        <w:t xml:space="preserve">, across which </w:t>
      </w:r>
      <w:r w:rsidRPr="00CE159A">
        <w:rPr>
          <w:rFonts w:cs="Times New Roman"/>
          <w:i/>
        </w:rPr>
        <w:t>Vs</w:t>
      </w:r>
      <w:r>
        <w:rPr>
          <w:rFonts w:cs="Times New Roman"/>
        </w:rPr>
        <w:t xml:space="preserve"> increases from 2.3 ± 0.4 km/s to 3.5 ± 0.4 km/s </w:t>
      </w:r>
      <w:r w:rsidRPr="005D5ED1">
        <w:rPr>
          <w:rFonts w:cs="Times New Roman"/>
          <w:color w:val="FF0000"/>
        </w:rPr>
        <w:t>(</w:t>
      </w:r>
      <w:r>
        <w:rPr>
          <w:rFonts w:cs="Times New Roman"/>
          <w:color w:val="FF0000"/>
        </w:rPr>
        <w:t>Supplementary Fig. 22</w:t>
      </w:r>
      <w:r w:rsidRPr="005D5ED1">
        <w:rPr>
          <w:rFonts w:cs="Times New Roman"/>
          <w:color w:val="FF0000"/>
        </w:rPr>
        <w:t>d–e)</w:t>
      </w:r>
      <w:r>
        <w:rPr>
          <w:rFonts w:cs="Times New Roman"/>
        </w:rPr>
        <w:t>.</w:t>
      </w:r>
      <w:r>
        <w:rPr>
          <w:rFonts w:cs="Times New Roman" w:hint="eastAsia"/>
        </w:rPr>
        <w:t xml:space="preserve"> </w:t>
      </w:r>
    </w:p>
    <w:p w14:paraId="4D9DACAE" w14:textId="77777777" w:rsidR="007F6E00" w:rsidRDefault="007F6E00" w:rsidP="00B8301D">
      <w:pPr>
        <w:tabs>
          <w:tab w:val="center" w:pos="4080"/>
          <w:tab w:val="right" w:pos="8160"/>
        </w:tabs>
        <w:ind w:firstLineChars="200" w:firstLine="480"/>
        <w:rPr>
          <w:rFonts w:cs="Times New Roman"/>
        </w:rPr>
      </w:pPr>
      <w:r>
        <w:rPr>
          <w:rFonts w:cs="Times New Roman"/>
        </w:rPr>
        <w:t>Since the amplitude of precursor is also strongly affected by the density contrast across the interface, we did not impose strict assumptions or apply a scaling law between velocity and density. This allows for a more comprehensive investigation of the density distributions. The results show a density jump from 2.5 ± 0.4 g/cm</w:t>
      </w:r>
      <w:r w:rsidRPr="009D62AB">
        <w:rPr>
          <w:rFonts w:cs="Times New Roman"/>
          <w:vertAlign w:val="superscript"/>
        </w:rPr>
        <w:t>3</w:t>
      </w:r>
      <w:r>
        <w:rPr>
          <w:rFonts w:cs="Times New Roman"/>
        </w:rPr>
        <w:t xml:space="preserve"> to 3.0 ± 0.5 g/cm</w:t>
      </w:r>
      <w:r w:rsidRPr="009D62AB">
        <w:rPr>
          <w:rFonts w:cs="Times New Roman"/>
          <w:vertAlign w:val="superscript"/>
        </w:rPr>
        <w:t>3</w:t>
      </w:r>
      <w:r>
        <w:rPr>
          <w:rFonts w:cs="Times New Roman"/>
        </w:rPr>
        <w:t xml:space="preserve"> across the </w:t>
      </w:r>
      <w:proofErr w:type="spellStart"/>
      <w:r>
        <w:rPr>
          <w:rFonts w:cs="Times New Roman"/>
        </w:rPr>
        <w:t>intracrustal</w:t>
      </w:r>
      <w:proofErr w:type="spellEnd"/>
      <w:r>
        <w:rPr>
          <w:rFonts w:cs="Times New Roman"/>
        </w:rPr>
        <w:t xml:space="preserve"> interface beneath the southern edge of AP </w:t>
      </w:r>
      <w:r w:rsidRPr="005D5ED1">
        <w:rPr>
          <w:rFonts w:cs="Times New Roman"/>
          <w:color w:val="FF0000"/>
        </w:rPr>
        <w:lastRenderedPageBreak/>
        <w:t>(</w:t>
      </w:r>
      <w:r>
        <w:rPr>
          <w:rFonts w:cs="Times New Roman"/>
          <w:color w:val="FF0000"/>
        </w:rPr>
        <w:t>Supplementary Fig. 21j–k</w:t>
      </w:r>
      <w:r w:rsidRPr="005D5ED1">
        <w:rPr>
          <w:rFonts w:cs="Times New Roman"/>
          <w:color w:val="FF0000"/>
        </w:rPr>
        <w:t>)</w:t>
      </w:r>
      <w:r>
        <w:rPr>
          <w:rFonts w:cs="Times New Roman"/>
        </w:rPr>
        <w:t>, and a density jump from 2.0 ± 0.5 g/cm</w:t>
      </w:r>
      <w:r w:rsidRPr="009D62AB">
        <w:rPr>
          <w:rFonts w:cs="Times New Roman"/>
          <w:vertAlign w:val="superscript"/>
        </w:rPr>
        <w:t>3</w:t>
      </w:r>
      <w:r>
        <w:rPr>
          <w:rFonts w:cs="Times New Roman"/>
        </w:rPr>
        <w:t xml:space="preserve"> to 3.0 ± 0.6 g/cm</w:t>
      </w:r>
      <w:r w:rsidRPr="009D62AB">
        <w:rPr>
          <w:rFonts w:cs="Times New Roman"/>
          <w:vertAlign w:val="superscript"/>
        </w:rPr>
        <w:t>3</w:t>
      </w:r>
      <w:r>
        <w:rPr>
          <w:rFonts w:cs="Times New Roman"/>
        </w:rPr>
        <w:t xml:space="preserve"> beneath the eastern CF </w:t>
      </w:r>
      <w:r w:rsidRPr="005D5ED1">
        <w:rPr>
          <w:rFonts w:cs="Times New Roman"/>
          <w:color w:val="FF0000"/>
        </w:rPr>
        <w:t>(</w:t>
      </w:r>
      <w:r>
        <w:rPr>
          <w:rFonts w:cs="Times New Roman"/>
          <w:color w:val="FF0000"/>
        </w:rPr>
        <w:t>Supplementary Fig. 22g–h</w:t>
      </w:r>
      <w:r w:rsidRPr="005D5ED1">
        <w:rPr>
          <w:rFonts w:cs="Times New Roman"/>
          <w:color w:val="FF0000"/>
        </w:rPr>
        <w:t>)</w:t>
      </w:r>
      <w:r>
        <w:rPr>
          <w:rFonts w:cs="Times New Roman"/>
        </w:rPr>
        <w:t>.</w:t>
      </w:r>
    </w:p>
    <w:p w14:paraId="34F668C0" w14:textId="77777777" w:rsidR="007F6E00" w:rsidRDefault="007F6E00" w:rsidP="005D5ED1">
      <w:pPr>
        <w:tabs>
          <w:tab w:val="center" w:pos="4080"/>
          <w:tab w:val="right" w:pos="8160"/>
        </w:tabs>
        <w:ind w:firstLineChars="200" w:firstLine="480"/>
        <w:rPr>
          <w:rFonts w:cs="Times New Roman"/>
        </w:rPr>
      </w:pPr>
      <w:r>
        <w:rPr>
          <w:rFonts w:cs="Times New Roman"/>
        </w:rPr>
        <w:t xml:space="preserve">The lower crust and uppermost mantle beneath both regions exhibit similar </w:t>
      </w:r>
      <w:r w:rsidRPr="00812074">
        <w:rPr>
          <w:rFonts w:cs="Times New Roman"/>
          <w:i/>
        </w:rPr>
        <w:t>Vs</w:t>
      </w:r>
      <w:r>
        <w:rPr>
          <w:rFonts w:cs="Times New Roman"/>
        </w:rPr>
        <w:t xml:space="preserve">’s and densities. However, the upper crustal </w:t>
      </w:r>
      <w:r w:rsidRPr="00812074">
        <w:rPr>
          <w:rFonts w:cs="Times New Roman"/>
          <w:i/>
        </w:rPr>
        <w:t>Vs</w:t>
      </w:r>
      <w:r>
        <w:rPr>
          <w:rFonts w:cs="Times New Roman"/>
        </w:rPr>
        <w:t xml:space="preserve"> and density beneath the eastern CF are ~0.4 km/s and ~0.5 g/cm</w:t>
      </w:r>
      <w:r w:rsidRPr="009D62AB">
        <w:rPr>
          <w:rFonts w:cs="Times New Roman"/>
          <w:vertAlign w:val="superscript"/>
        </w:rPr>
        <w:t>3</w:t>
      </w:r>
      <w:r>
        <w:rPr>
          <w:rFonts w:cs="Times New Roman"/>
        </w:rPr>
        <w:t xml:space="preserve"> lower,</w:t>
      </w:r>
      <w:r w:rsidRPr="006F1532">
        <w:rPr>
          <w:rFonts w:cs="Times New Roman"/>
        </w:rPr>
        <w:t xml:space="preserve"> </w:t>
      </w:r>
      <w:r>
        <w:rPr>
          <w:rFonts w:cs="Times New Roman"/>
        </w:rPr>
        <w:t xml:space="preserve">compared to the southern edge of AP. </w:t>
      </w:r>
      <w:r w:rsidRPr="006F1532">
        <w:rPr>
          <w:rFonts w:cs="Times New Roman"/>
        </w:rPr>
        <w:t xml:space="preserve">This </w:t>
      </w:r>
      <w:r>
        <w:rPr>
          <w:rFonts w:cs="Times New Roman"/>
        </w:rPr>
        <w:t>difference likely reflects</w:t>
      </w:r>
      <w:r w:rsidRPr="006F1532">
        <w:rPr>
          <w:rFonts w:cs="Times New Roman"/>
        </w:rPr>
        <w:t xml:space="preserve"> variations in composition and porosity between the two regions.</w:t>
      </w:r>
      <w:r>
        <w:rPr>
          <w:rFonts w:cs="Times New Roman"/>
        </w:rPr>
        <w:t xml:space="preserve"> </w:t>
      </w:r>
      <w:r w:rsidRPr="006F1532">
        <w:rPr>
          <w:rFonts w:cs="Times New Roman"/>
        </w:rPr>
        <w:t xml:space="preserve">The </w:t>
      </w:r>
      <w:r>
        <w:rPr>
          <w:rFonts w:cs="Times New Roman"/>
        </w:rPr>
        <w:t>eastern CF</w:t>
      </w:r>
      <w:r w:rsidRPr="006F1532">
        <w:rPr>
          <w:rFonts w:cs="Times New Roman"/>
        </w:rPr>
        <w:t xml:space="preserve"> situated within the northern lowlands</w:t>
      </w:r>
      <w:r>
        <w:rPr>
          <w:rFonts w:cs="Times New Roman"/>
        </w:rPr>
        <w:t xml:space="preserve"> covered by Late-Amazonian volcanic rocks, while the southern edge of AP is close to the dichotomy boundary, which is geologically more diverse, comprising ancient Noachian rocks in the southern highlands, and Hesperian to Amazonian transitional units in the northern lowlands and near the boundary. Ref.</w:t>
      </w:r>
      <w:r w:rsidRPr="00D27662">
        <w:rPr>
          <w:rFonts w:cs="Times New Roman"/>
          <w:noProof/>
          <w:vertAlign w:val="superscript"/>
        </w:rPr>
        <w:t xml:space="preserve"> 44</w:t>
      </w:r>
      <w:r>
        <w:rPr>
          <w:rFonts w:cs="Times New Roman"/>
        </w:rPr>
        <w:t xml:space="preserve"> found the similar lower velocities in the lowlands, attributing them to the accumulations of sedimentary rocks and a relatively higher porosity.</w:t>
      </w:r>
    </w:p>
    <w:p w14:paraId="6C1D69E9" w14:textId="77777777" w:rsidR="007F6E00" w:rsidRDefault="007F6E00">
      <w:pPr>
        <w:widowControl/>
        <w:spacing w:line="240" w:lineRule="auto"/>
        <w:jc w:val="left"/>
        <w:rPr>
          <w:rFonts w:cs="Times New Roman"/>
        </w:rPr>
      </w:pPr>
      <w:r>
        <w:rPr>
          <w:rFonts w:cs="Times New Roman"/>
        </w:rPr>
        <w:br w:type="page"/>
      </w:r>
    </w:p>
    <w:p w14:paraId="3F74F985" w14:textId="77777777" w:rsidR="007F6E00" w:rsidRDefault="007F6E00" w:rsidP="004F4B84">
      <w:pPr>
        <w:tabs>
          <w:tab w:val="center" w:pos="4080"/>
          <w:tab w:val="right" w:pos="8160"/>
        </w:tabs>
        <w:spacing w:line="240" w:lineRule="auto"/>
        <w:jc w:val="center"/>
        <w:rPr>
          <w:rFonts w:cs="Times New Roman"/>
        </w:rPr>
      </w:pPr>
      <w:r>
        <w:rPr>
          <w:rFonts w:cs="Times New Roman"/>
          <w:noProof/>
        </w:rPr>
        <w:lastRenderedPageBreak/>
        <w:drawing>
          <wp:inline distT="0" distB="0" distL="0" distR="0" wp14:anchorId="4F85E141" wp14:editId="5E1F4970">
            <wp:extent cx="5274310" cy="5863590"/>
            <wp:effectExtent l="0" t="0" r="0" b="381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74310" cy="5863590"/>
                    </a:xfrm>
                    <a:prstGeom prst="rect">
                      <a:avLst/>
                    </a:prstGeom>
                  </pic:spPr>
                </pic:pic>
              </a:graphicData>
            </a:graphic>
          </wp:inline>
        </w:drawing>
      </w:r>
    </w:p>
    <w:p w14:paraId="0595301F" w14:textId="77777777" w:rsidR="007F6E00" w:rsidRDefault="007F6E00" w:rsidP="004F4B84">
      <w:pPr>
        <w:tabs>
          <w:tab w:val="center" w:pos="4080"/>
          <w:tab w:val="right" w:pos="8160"/>
        </w:tabs>
        <w:spacing w:line="240" w:lineRule="auto"/>
        <w:rPr>
          <w:rFonts w:cs="Times New Roman"/>
        </w:rPr>
      </w:pPr>
      <w:bookmarkStart w:id="31" w:name="_Toc167205922"/>
      <w:r>
        <w:rPr>
          <w:b/>
          <w:bCs/>
        </w:rPr>
        <w:t>Supplementary Fig. 21</w:t>
      </w:r>
      <w:r w:rsidRPr="000D5F60">
        <w:rPr>
          <w:b/>
          <w:bCs/>
        </w:rPr>
        <w:t xml:space="preserve"> | Results of the joint inversion of PP and SS precursors of event S0976a.</w:t>
      </w:r>
      <w:bookmarkEnd w:id="31"/>
      <w:r w:rsidRPr="000D5F60">
        <w:rPr>
          <w:b/>
          <w:bCs/>
        </w:rPr>
        <w:t xml:space="preserve"> </w:t>
      </w:r>
      <w:r>
        <w:rPr>
          <w:rFonts w:cs="Times New Roman"/>
        </w:rPr>
        <w:t>(a) Misfit changes of all accepted models. Red dashed line separates the first 30 models, which are regarded as in the burn-in phases. (b)–(l) Marginal PDFs of the posterior distributions for all model parameters. The error bar in each subfigure shows the mean value and the standard deviation.</w:t>
      </w:r>
    </w:p>
    <w:p w14:paraId="4763CFB5" w14:textId="77777777" w:rsidR="007F6E00" w:rsidRDefault="007F6E00">
      <w:pPr>
        <w:widowControl/>
        <w:spacing w:line="240" w:lineRule="auto"/>
        <w:jc w:val="left"/>
        <w:rPr>
          <w:rFonts w:cs="Times New Roman"/>
        </w:rPr>
      </w:pPr>
      <w:r>
        <w:rPr>
          <w:rFonts w:cs="Times New Roman"/>
        </w:rPr>
        <w:br w:type="page"/>
      </w:r>
    </w:p>
    <w:p w14:paraId="5B24204E" w14:textId="77777777" w:rsidR="007F6E00" w:rsidRDefault="007F6E00" w:rsidP="004F4B84">
      <w:pPr>
        <w:tabs>
          <w:tab w:val="center" w:pos="4080"/>
          <w:tab w:val="right" w:pos="8160"/>
        </w:tabs>
        <w:spacing w:line="240" w:lineRule="auto"/>
        <w:jc w:val="center"/>
        <w:rPr>
          <w:rFonts w:cs="Times New Roman"/>
        </w:rPr>
      </w:pPr>
      <w:r>
        <w:rPr>
          <w:rFonts w:cs="Times New Roman"/>
          <w:noProof/>
        </w:rPr>
        <w:lastRenderedPageBreak/>
        <w:drawing>
          <wp:inline distT="0" distB="0" distL="0" distR="0" wp14:anchorId="71512AD2" wp14:editId="51E4B206">
            <wp:extent cx="5274310" cy="438658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74310" cy="4386580"/>
                    </a:xfrm>
                    <a:prstGeom prst="rect">
                      <a:avLst/>
                    </a:prstGeom>
                  </pic:spPr>
                </pic:pic>
              </a:graphicData>
            </a:graphic>
          </wp:inline>
        </w:drawing>
      </w:r>
    </w:p>
    <w:p w14:paraId="13F82A1A" w14:textId="77777777" w:rsidR="007F6E00" w:rsidRDefault="007F6E00" w:rsidP="004F4B84">
      <w:pPr>
        <w:tabs>
          <w:tab w:val="center" w:pos="4080"/>
          <w:tab w:val="right" w:pos="8160"/>
        </w:tabs>
        <w:spacing w:line="240" w:lineRule="auto"/>
        <w:rPr>
          <w:rFonts w:cs="Times New Roman"/>
        </w:rPr>
      </w:pPr>
      <w:bookmarkStart w:id="32" w:name="_Toc167205923"/>
      <w:r>
        <w:rPr>
          <w:b/>
          <w:bCs/>
        </w:rPr>
        <w:t>Supplementary Fig. 22</w:t>
      </w:r>
      <w:r w:rsidRPr="000D5F60">
        <w:rPr>
          <w:b/>
          <w:bCs/>
        </w:rPr>
        <w:t xml:space="preserve"> | Results of the inversion of SS precursors of event S1153a.</w:t>
      </w:r>
      <w:bookmarkEnd w:id="32"/>
      <w:r w:rsidRPr="000D5F60">
        <w:rPr>
          <w:b/>
          <w:bCs/>
        </w:rPr>
        <w:t xml:space="preserve"> </w:t>
      </w:r>
      <w:r>
        <w:rPr>
          <w:rFonts w:cs="Times New Roman"/>
        </w:rPr>
        <w:t xml:space="preserve">Detailed figure captions are same as in </w:t>
      </w:r>
      <w:r>
        <w:rPr>
          <w:rStyle w:val="20"/>
          <w:color w:val="FF0000"/>
        </w:rPr>
        <w:t>Supplementary Fig. 21</w:t>
      </w:r>
      <w:r>
        <w:rPr>
          <w:rFonts w:cs="Times New Roman"/>
        </w:rPr>
        <w:t>.</w:t>
      </w:r>
    </w:p>
    <w:p w14:paraId="3273F226" w14:textId="77777777" w:rsidR="007F6E00" w:rsidRDefault="007F6E00">
      <w:pPr>
        <w:widowControl/>
        <w:spacing w:line="240" w:lineRule="auto"/>
        <w:jc w:val="left"/>
        <w:rPr>
          <w:rFonts w:cs="Times New Roman"/>
        </w:rPr>
      </w:pPr>
      <w:r>
        <w:rPr>
          <w:rFonts w:cs="Times New Roman"/>
        </w:rPr>
        <w:br w:type="page"/>
      </w:r>
    </w:p>
    <w:p w14:paraId="251D7951" w14:textId="77777777" w:rsidR="007F6E00" w:rsidRDefault="007F6E00" w:rsidP="004F4B84">
      <w:pPr>
        <w:pStyle w:val="2"/>
      </w:pPr>
      <w:bookmarkStart w:id="33" w:name="_Toc202208123"/>
      <w:r>
        <w:rPr>
          <w:rFonts w:hint="eastAsia"/>
        </w:rPr>
        <w:lastRenderedPageBreak/>
        <w:t>4</w:t>
      </w:r>
      <w:r>
        <w:t>.4. PP/SS precursor inversions based on travel time and amplitude</w:t>
      </w:r>
      <w:bookmarkEnd w:id="33"/>
    </w:p>
    <w:p w14:paraId="76C3E646" w14:textId="77777777" w:rsidR="007F6E00" w:rsidRPr="00F3082D" w:rsidRDefault="007F6E00" w:rsidP="00F3082D">
      <w:pPr>
        <w:tabs>
          <w:tab w:val="center" w:pos="4080"/>
          <w:tab w:val="right" w:pos="8160"/>
        </w:tabs>
        <w:ind w:firstLineChars="200" w:firstLine="480"/>
      </w:pPr>
      <w:r>
        <w:rPr>
          <w:rFonts w:cs="Times New Roman"/>
        </w:rPr>
        <w:t xml:space="preserve">Instead of fitting the whole waveforms of PP/SS precursors, we perform additional inversions by only fitting the differential travel times and amplitude ratios of PP/SS precursors relative to PP/SS waves. The model parameter settings are the same as those in the waveform inversions. For each model, </w:t>
      </w:r>
      <w:r w:rsidRPr="002D74C7">
        <w:rPr>
          <w:rFonts w:cs="Times New Roman"/>
        </w:rPr>
        <w:t xml:space="preserve">we calculate the synthetic </w:t>
      </w:r>
      <w:r>
        <w:rPr>
          <w:rFonts w:cs="Times New Roman"/>
        </w:rPr>
        <w:t>differential</w:t>
      </w:r>
      <w:r w:rsidRPr="002D74C7">
        <w:rPr>
          <w:rFonts w:cs="Times New Roman"/>
        </w:rPr>
        <w:t xml:space="preserve"> </w:t>
      </w:r>
      <w:r>
        <w:rPr>
          <w:rFonts w:cs="Times New Roman"/>
        </w:rPr>
        <w:t xml:space="preserve">travel </w:t>
      </w:r>
      <w:r w:rsidRPr="002D74C7">
        <w:rPr>
          <w:rFonts w:cs="Times New Roman"/>
        </w:rPr>
        <w:t>time</w:t>
      </w:r>
      <w:r>
        <w:rPr>
          <w:rFonts w:cs="Times New Roman"/>
        </w:rPr>
        <w:t xml:space="preserve"> </w:t>
      </w:r>
      <w:r w:rsidRPr="002D74C7">
        <w:rPr>
          <w:rFonts w:cs="Times New Roman"/>
        </w:rPr>
        <w:t>(</w:t>
      </w:r>
      <w:r w:rsidRPr="002D74C7">
        <w:rPr>
          <w:rFonts w:cs="Times New Roman"/>
          <w:i/>
        </w:rPr>
        <w:t>ΔT</w:t>
      </w:r>
      <w:r w:rsidRPr="002D74C7">
        <w:rPr>
          <w:rFonts w:cs="Times New Roman"/>
        </w:rPr>
        <w:t>) and amplitude ratios (</w:t>
      </w:r>
      <w:r w:rsidRPr="002D74C7">
        <w:rPr>
          <w:rFonts w:cs="Times New Roman"/>
          <w:i/>
        </w:rPr>
        <w:t>AR</w:t>
      </w:r>
      <w:r w:rsidRPr="002D74C7">
        <w:rPr>
          <w:rFonts w:cs="Times New Roman"/>
        </w:rPr>
        <w:t xml:space="preserve">) of the precursors </w:t>
      </w:r>
      <w:r>
        <w:rPr>
          <w:rFonts w:cs="Times New Roman"/>
        </w:rPr>
        <w:t>based on ray theory</w:t>
      </w:r>
      <w:r w:rsidRPr="00D27662">
        <w:rPr>
          <w:rFonts w:cs="Times New Roman"/>
          <w:noProof/>
          <w:vertAlign w:val="superscript"/>
        </w:rPr>
        <w:t>45</w:t>
      </w:r>
      <w:r>
        <w:rPr>
          <w:rFonts w:cs="Times New Roman"/>
        </w:rPr>
        <w:t xml:space="preserve">. </w:t>
      </w:r>
      <w:r w:rsidRPr="002D74C7">
        <w:rPr>
          <w:rFonts w:cs="Times New Roman"/>
        </w:rPr>
        <w:t xml:space="preserve">The misfit function is defined as </w:t>
      </w:r>
    </w:p>
    <w:p w14:paraId="54660111" w14:textId="77777777" w:rsidR="007F6E00" w:rsidRPr="002D74C7" w:rsidRDefault="007F6E00" w:rsidP="004F4B84">
      <w:pPr>
        <w:tabs>
          <w:tab w:val="center" w:pos="4080"/>
          <w:tab w:val="right" w:pos="8160"/>
        </w:tabs>
        <w:rPr>
          <w:rFonts w:cs="Times New Roman"/>
        </w:rPr>
      </w:pPr>
      <w:r w:rsidRPr="002D74C7">
        <w:rPr>
          <w:rFonts w:cs="Times New Roman"/>
        </w:rPr>
        <w:tab/>
      </w:r>
      <m:oMath>
        <m:sSub>
          <m:sSubPr>
            <m:ctrlPr>
              <w:rPr>
                <w:rFonts w:ascii="Cambria Math" w:hAnsi="Cambria Math" w:cs="Times New Roman"/>
              </w:rPr>
            </m:ctrlPr>
          </m:sSubPr>
          <m:e>
            <m:r>
              <w:rPr>
                <w:rFonts w:ascii="Cambria Math" w:hAnsi="Cambria Math" w:cs="Times New Roman"/>
              </w:rPr>
              <m:t>Φ</m:t>
            </m:r>
          </m:e>
          <m:sub>
            <m:r>
              <w:rPr>
                <w:rFonts w:ascii="Cambria Math" w:hAnsi="Cambria Math" w:cs="Times New Roman"/>
              </w:rPr>
              <m:t>precursors</m:t>
            </m:r>
          </m:sub>
        </m:sSub>
        <m:r>
          <m:rPr>
            <m:sty m:val="p"/>
          </m:rPr>
          <w:rPr>
            <w:rFonts w:ascii="Cambria Math" w:hAnsi="Cambria Math" w:cs="Times New Roman"/>
          </w:rPr>
          <m:t>=</m:t>
        </m:r>
        <m:nary>
          <m:naryPr>
            <m:chr m:val="∑"/>
            <m:limLoc m:val="undOvr"/>
            <m:ctrlPr>
              <w:rPr>
                <w:rFonts w:ascii="Cambria Math" w:hAnsi="Cambria Math" w:cs="Times New Roman"/>
              </w:rPr>
            </m:ctrlPr>
          </m:naryPr>
          <m:sub>
            <m:r>
              <w:rPr>
                <w:rFonts w:ascii="Cambria Math" w:hAnsi="Cambria Math" w:cs="Times New Roman"/>
              </w:rPr>
              <m:t>i=1</m:t>
            </m: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PP</m:t>
                </m:r>
              </m:sub>
            </m:sSub>
          </m:sup>
          <m:e>
            <m:d>
              <m:dPr>
                <m:begChr m:val="["/>
                <m:endChr m:val="]"/>
                <m:ctrlPr>
                  <w:rPr>
                    <w:rFonts w:ascii="Cambria Math" w:hAnsi="Cambria Math" w:cs="Times New Roman"/>
                    <w:i/>
                  </w:rPr>
                </m:ctrlPr>
              </m:dPr>
              <m:e>
                <m:sSubSup>
                  <m:sSubSupPr>
                    <m:ctrlPr>
                      <w:rPr>
                        <w:rFonts w:ascii="Cambria Math" w:hAnsi="Cambria Math" w:cs="Times New Roman"/>
                        <w:i/>
                      </w:rPr>
                    </m:ctrlPr>
                  </m:sSubSupPr>
                  <m:e>
                    <m:d>
                      <m:dPr>
                        <m:ctrlPr>
                          <w:rPr>
                            <w:rFonts w:ascii="Cambria Math" w:hAnsi="Cambria Math" w:cs="Times New Roman"/>
                            <w:i/>
                          </w:rPr>
                        </m:ctrlPr>
                      </m:dPr>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ΔT</m:t>
                                </m:r>
                              </m:e>
                              <m:sub>
                                <m:r>
                                  <w:rPr>
                                    <w:rFonts w:ascii="Cambria Math" w:hAnsi="Cambria Math" w:cs="Times New Roman"/>
                                  </w:rPr>
                                  <m:t>obs</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ΔT</m:t>
                                </m:r>
                              </m:e>
                              <m:sub>
                                <m:r>
                                  <w:rPr>
                                    <w:rFonts w:ascii="Cambria Math" w:hAnsi="Cambria Math" w:cs="Times New Roman"/>
                                  </w:rPr>
                                  <m:t>syn</m:t>
                                </m:r>
                              </m:sub>
                            </m:sSub>
                          </m:num>
                          <m:den>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ΔT</m:t>
                                </m:r>
                              </m:sub>
                            </m:sSub>
                          </m:den>
                        </m:f>
                      </m:e>
                    </m:d>
                  </m:e>
                  <m:sub>
                    <m:r>
                      <w:rPr>
                        <w:rFonts w:ascii="Cambria Math" w:hAnsi="Cambria Math" w:cs="Times New Roman"/>
                      </w:rPr>
                      <m:t>i</m:t>
                    </m:r>
                  </m:sub>
                  <m:sup>
                    <m:r>
                      <w:rPr>
                        <w:rFonts w:ascii="Cambria Math" w:hAnsi="Cambria Math" w:cs="Times New Roman"/>
                      </w:rPr>
                      <m:t>2</m:t>
                    </m:r>
                  </m:sup>
                </m:sSubSup>
                <m:r>
                  <w:rPr>
                    <w:rFonts w:ascii="Cambria Math" w:hAnsi="Cambria Math" w:cs="Times New Roman"/>
                  </w:rPr>
                  <m:t>+</m:t>
                </m:r>
                <m:sSubSup>
                  <m:sSubSupPr>
                    <m:ctrlPr>
                      <w:rPr>
                        <w:rFonts w:ascii="Cambria Math" w:hAnsi="Cambria Math" w:cs="Times New Roman"/>
                        <w:i/>
                      </w:rPr>
                    </m:ctrlPr>
                  </m:sSubSupPr>
                  <m:e>
                    <m:d>
                      <m:dPr>
                        <m:ctrlPr>
                          <w:rPr>
                            <w:rFonts w:ascii="Cambria Math" w:hAnsi="Cambria Math" w:cs="Times New Roman"/>
                            <w:i/>
                          </w:rPr>
                        </m:ctrlPr>
                      </m:dPr>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AR</m:t>
                                </m:r>
                              </m:e>
                              <m:sub>
                                <m:r>
                                  <w:rPr>
                                    <w:rFonts w:ascii="Cambria Math" w:hAnsi="Cambria Math" w:cs="Times New Roman"/>
                                  </w:rPr>
                                  <m:t>obs</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AR</m:t>
                                </m:r>
                              </m:e>
                              <m:sub>
                                <m:r>
                                  <w:rPr>
                                    <w:rFonts w:ascii="Cambria Math" w:hAnsi="Cambria Math" w:cs="Times New Roman"/>
                                  </w:rPr>
                                  <m:t>syn</m:t>
                                </m:r>
                              </m:sub>
                            </m:sSub>
                          </m:num>
                          <m:den>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AR</m:t>
                                </m:r>
                              </m:sub>
                            </m:sSub>
                          </m:den>
                        </m:f>
                      </m:e>
                    </m:d>
                  </m:e>
                  <m:sub>
                    <m:r>
                      <w:rPr>
                        <w:rFonts w:ascii="Cambria Math" w:hAnsi="Cambria Math" w:cs="Times New Roman"/>
                      </w:rPr>
                      <m:t>i</m:t>
                    </m:r>
                  </m:sub>
                  <m:sup>
                    <m:r>
                      <w:rPr>
                        <w:rFonts w:ascii="Cambria Math" w:hAnsi="Cambria Math" w:cs="Times New Roman"/>
                      </w:rPr>
                      <m:t>2</m:t>
                    </m:r>
                  </m:sup>
                </m:sSubSup>
              </m:e>
            </m:d>
          </m:e>
        </m:nary>
      </m:oMath>
    </w:p>
    <w:p w14:paraId="6843C9E8" w14:textId="77777777" w:rsidR="007F6E00" w:rsidRPr="002D74C7" w:rsidRDefault="007F6E00" w:rsidP="004F4B84">
      <w:pPr>
        <w:tabs>
          <w:tab w:val="center" w:pos="4080"/>
          <w:tab w:val="right" w:pos="8160"/>
        </w:tabs>
        <w:rPr>
          <w:rFonts w:cs="Times New Roman"/>
        </w:rPr>
      </w:pPr>
      <w:r w:rsidRPr="002D74C7">
        <w:rPr>
          <w:rFonts w:cs="Times New Roman"/>
        </w:rPr>
        <w:tab/>
      </w:r>
      <m:oMath>
        <m:r>
          <w:rPr>
            <w:rFonts w:ascii="Cambria Math" w:hAnsi="Cambria Math" w:cs="Times New Roman"/>
          </w:rPr>
          <m:t>+</m:t>
        </m:r>
        <m:nary>
          <m:naryPr>
            <m:chr m:val="∑"/>
            <m:limLoc m:val="undOvr"/>
            <m:ctrlPr>
              <w:rPr>
                <w:rFonts w:ascii="Cambria Math" w:hAnsi="Cambria Math" w:cs="Times New Roman"/>
              </w:rPr>
            </m:ctrlPr>
          </m:naryPr>
          <m:sub>
            <m:r>
              <w:rPr>
                <w:rFonts w:ascii="Cambria Math" w:hAnsi="Cambria Math" w:cs="Times New Roman"/>
              </w:rPr>
              <m:t>j=1</m:t>
            </m: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SS</m:t>
                </m:r>
              </m:sub>
            </m:sSub>
          </m:sup>
          <m:e>
            <m:d>
              <m:dPr>
                <m:begChr m:val="["/>
                <m:endChr m:val="]"/>
                <m:ctrlPr>
                  <w:rPr>
                    <w:rFonts w:ascii="Cambria Math" w:hAnsi="Cambria Math" w:cs="Times New Roman"/>
                    <w:i/>
                  </w:rPr>
                </m:ctrlPr>
              </m:dPr>
              <m:e>
                <m:sSubSup>
                  <m:sSubSupPr>
                    <m:ctrlPr>
                      <w:rPr>
                        <w:rFonts w:ascii="Cambria Math" w:hAnsi="Cambria Math" w:cs="Times New Roman"/>
                        <w:i/>
                      </w:rPr>
                    </m:ctrlPr>
                  </m:sSubSupPr>
                  <m:e>
                    <m:d>
                      <m:dPr>
                        <m:ctrlPr>
                          <w:rPr>
                            <w:rFonts w:ascii="Cambria Math" w:hAnsi="Cambria Math" w:cs="Times New Roman"/>
                            <w:i/>
                          </w:rPr>
                        </m:ctrlPr>
                      </m:dPr>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ΔT</m:t>
                                </m:r>
                              </m:e>
                              <m:sub>
                                <m:r>
                                  <w:rPr>
                                    <w:rFonts w:ascii="Cambria Math" w:hAnsi="Cambria Math" w:cs="Times New Roman"/>
                                  </w:rPr>
                                  <m:t>obs</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ΔT</m:t>
                                </m:r>
                              </m:e>
                              <m:sub>
                                <m:r>
                                  <w:rPr>
                                    <w:rFonts w:ascii="Cambria Math" w:hAnsi="Cambria Math" w:cs="Times New Roman"/>
                                  </w:rPr>
                                  <m:t>syn</m:t>
                                </m:r>
                              </m:sub>
                            </m:sSub>
                          </m:num>
                          <m:den>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ΔT</m:t>
                                </m:r>
                              </m:sub>
                            </m:sSub>
                          </m:den>
                        </m:f>
                      </m:e>
                    </m:d>
                  </m:e>
                  <m:sub>
                    <m:r>
                      <w:rPr>
                        <w:rFonts w:ascii="Cambria Math" w:hAnsi="Cambria Math" w:cs="Times New Roman"/>
                      </w:rPr>
                      <m:t>j</m:t>
                    </m:r>
                  </m:sub>
                  <m:sup>
                    <m:r>
                      <w:rPr>
                        <w:rFonts w:ascii="Cambria Math" w:hAnsi="Cambria Math" w:cs="Times New Roman"/>
                      </w:rPr>
                      <m:t>2</m:t>
                    </m:r>
                  </m:sup>
                </m:sSubSup>
                <m:r>
                  <w:rPr>
                    <w:rFonts w:ascii="Cambria Math" w:hAnsi="Cambria Math" w:cs="Times New Roman"/>
                  </w:rPr>
                  <m:t>+</m:t>
                </m:r>
                <m:sSubSup>
                  <m:sSubSupPr>
                    <m:ctrlPr>
                      <w:rPr>
                        <w:rFonts w:ascii="Cambria Math" w:hAnsi="Cambria Math" w:cs="Times New Roman"/>
                        <w:i/>
                      </w:rPr>
                    </m:ctrlPr>
                  </m:sSubSupPr>
                  <m:e>
                    <m:d>
                      <m:dPr>
                        <m:ctrlPr>
                          <w:rPr>
                            <w:rFonts w:ascii="Cambria Math" w:hAnsi="Cambria Math" w:cs="Times New Roman"/>
                            <w:i/>
                          </w:rPr>
                        </m:ctrlPr>
                      </m:dPr>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AR</m:t>
                                </m:r>
                              </m:e>
                              <m:sub>
                                <m:r>
                                  <w:rPr>
                                    <w:rFonts w:ascii="Cambria Math" w:hAnsi="Cambria Math" w:cs="Times New Roman"/>
                                  </w:rPr>
                                  <m:t>obs</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AR</m:t>
                                </m:r>
                              </m:e>
                              <m:sub>
                                <m:r>
                                  <w:rPr>
                                    <w:rFonts w:ascii="Cambria Math" w:hAnsi="Cambria Math" w:cs="Times New Roman"/>
                                  </w:rPr>
                                  <m:t>syn</m:t>
                                </m:r>
                              </m:sub>
                            </m:sSub>
                          </m:num>
                          <m:den>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AR</m:t>
                                </m:r>
                              </m:sub>
                            </m:sSub>
                          </m:den>
                        </m:f>
                      </m:e>
                    </m:d>
                  </m:e>
                  <m:sub>
                    <m:r>
                      <w:rPr>
                        <w:rFonts w:ascii="Cambria Math" w:hAnsi="Cambria Math" w:cs="Times New Roman"/>
                      </w:rPr>
                      <m:t>j</m:t>
                    </m:r>
                  </m:sub>
                  <m:sup>
                    <m:r>
                      <w:rPr>
                        <w:rFonts w:ascii="Cambria Math" w:hAnsi="Cambria Math" w:cs="Times New Roman"/>
                      </w:rPr>
                      <m:t>2</m:t>
                    </m:r>
                  </m:sup>
                </m:sSubSup>
              </m:e>
            </m:d>
          </m:e>
        </m:nary>
      </m:oMath>
      <w:r w:rsidRPr="002D74C7">
        <w:rPr>
          <w:rFonts w:cs="Times New Roman"/>
        </w:rPr>
        <w:t>,</w:t>
      </w:r>
      <w:r w:rsidRPr="002D74C7">
        <w:rPr>
          <w:rFonts w:cs="Times New Roman"/>
        </w:rPr>
        <w:tab/>
        <w:t>(</w:t>
      </w:r>
      <w:r>
        <w:rPr>
          <w:rFonts w:cs="Times New Roman"/>
        </w:rPr>
        <w:t>14</w:t>
      </w:r>
      <w:r w:rsidRPr="002D74C7">
        <w:rPr>
          <w:rFonts w:cs="Times New Roman"/>
        </w:rPr>
        <w:t>)</w:t>
      </w:r>
    </w:p>
    <w:p w14:paraId="0BA5B63B" w14:textId="77777777" w:rsidR="007F6E00" w:rsidRPr="001A0577" w:rsidRDefault="007F6E00" w:rsidP="001A0577">
      <w:pPr>
        <w:tabs>
          <w:tab w:val="center" w:pos="4080"/>
          <w:tab w:val="right" w:pos="8160"/>
        </w:tabs>
        <w:rPr>
          <w:rFonts w:cs="Times New Roman"/>
        </w:rPr>
      </w:pPr>
      <w:r w:rsidRPr="002D74C7">
        <w:rPr>
          <w:rFonts w:cs="Times New Roman"/>
        </w:rPr>
        <w:t xml:space="preserve">where </w:t>
      </w:r>
      <m:oMath>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PP</m:t>
            </m:r>
          </m:sub>
        </m:sSub>
      </m:oMath>
      <w:r w:rsidRPr="002D74C7">
        <w:rPr>
          <w:rFonts w:cs="Times New Roman"/>
        </w:rPr>
        <w:t xml:space="preserve"> and </w:t>
      </w:r>
      <m:oMath>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SS</m:t>
            </m:r>
          </m:sub>
        </m:sSub>
      </m:oMath>
      <w:r w:rsidRPr="002D74C7">
        <w:rPr>
          <w:rFonts w:cs="Times New Roman"/>
        </w:rPr>
        <w:t xml:space="preserve"> are numbers of the identified PP and SS precursor</w:t>
      </w:r>
      <w:r>
        <w:rPr>
          <w:rFonts w:cs="Times New Roman"/>
        </w:rPr>
        <w:t>s</w:t>
      </w:r>
      <w:r w:rsidRPr="002D74C7">
        <w:rPr>
          <w:rFonts w:cs="Times New Roman"/>
        </w:rPr>
        <w:t xml:space="preserve">, </w:t>
      </w:r>
      <m:oMath>
        <m:r>
          <w:rPr>
            <w:rFonts w:ascii="Cambria Math" w:hAnsi="Cambria Math" w:cs="Times New Roman"/>
          </w:rPr>
          <m:t>σ</m:t>
        </m:r>
      </m:oMath>
      <w:r w:rsidRPr="002D74C7">
        <w:rPr>
          <w:rFonts w:cs="Times New Roman"/>
        </w:rPr>
        <w:t xml:space="preserve"> is the corresponding </w:t>
      </w:r>
      <w:r>
        <w:rPr>
          <w:rFonts w:cs="Times New Roman"/>
        </w:rPr>
        <w:t>pick</w:t>
      </w:r>
      <w:r w:rsidRPr="002D74C7">
        <w:rPr>
          <w:rFonts w:cs="Times New Roman"/>
        </w:rPr>
        <w:t xml:space="preserve"> uncertainty.</w:t>
      </w:r>
      <w:r>
        <w:rPr>
          <w:rFonts w:cs="Times New Roman"/>
        </w:rPr>
        <w:t xml:space="preserve"> For event S0976a,</w:t>
      </w:r>
      <w:r w:rsidRPr="002D74C7">
        <w:rPr>
          <w:rFonts w:cs="Times New Roman"/>
        </w:rPr>
        <w:t xml:space="preserve"> due to the absence of a </w:t>
      </w:r>
      <w:r>
        <w:rPr>
          <w:rFonts w:cs="Times New Roman"/>
        </w:rPr>
        <w:t>confirmed</w:t>
      </w:r>
      <w:r w:rsidRPr="002D74C7">
        <w:rPr>
          <w:rFonts w:cs="Times New Roman"/>
        </w:rPr>
        <w:t xml:space="preserve"> PP precursor </w:t>
      </w:r>
      <w:r>
        <w:rPr>
          <w:rFonts w:cs="Times New Roman"/>
        </w:rPr>
        <w:t>associated with</w:t>
      </w:r>
      <w:r w:rsidRPr="002D74C7">
        <w:rPr>
          <w:rFonts w:cs="Times New Roman"/>
        </w:rPr>
        <w:t xml:space="preserve"> the LVZ, </w:t>
      </w:r>
      <w:r>
        <w:rPr>
          <w:rFonts w:cs="Times New Roman"/>
        </w:rPr>
        <w:t xml:space="preserve">we assign an </w:t>
      </w:r>
      <w:r w:rsidRPr="00824956">
        <w:rPr>
          <w:rFonts w:cs="Times New Roman"/>
          <w:i/>
          <w:iCs/>
        </w:rPr>
        <w:t>AR</w:t>
      </w:r>
      <w:r>
        <w:rPr>
          <w:rFonts w:cs="Times New Roman"/>
        </w:rPr>
        <w:t xml:space="preserve"> of zero to </w:t>
      </w:r>
      <w:r w:rsidRPr="002D74C7">
        <w:rPr>
          <w:rFonts w:cs="Times New Roman"/>
        </w:rPr>
        <w:t xml:space="preserve">this PP precursor </w:t>
      </w:r>
      <w:r>
        <w:rPr>
          <w:rFonts w:cs="Times New Roman"/>
        </w:rPr>
        <w:t>and also exclude</w:t>
      </w:r>
      <w:r w:rsidRPr="002D74C7">
        <w:rPr>
          <w:rFonts w:cs="Times New Roman"/>
        </w:rPr>
        <w:t xml:space="preserve"> </w:t>
      </w:r>
      <w:r>
        <w:rPr>
          <w:rFonts w:cs="Times New Roman"/>
        </w:rPr>
        <w:t xml:space="preserve">its </w:t>
      </w:r>
      <w:r w:rsidRPr="002D74C7">
        <w:rPr>
          <w:rFonts w:cs="Times New Roman"/>
          <w:i/>
        </w:rPr>
        <w:t>ΔT</w:t>
      </w:r>
      <w:r>
        <w:rPr>
          <w:rFonts w:cs="Times New Roman"/>
          <w:iCs/>
        </w:rPr>
        <w:t xml:space="preserve"> in the misfit function </w:t>
      </w:r>
      <w:r w:rsidRPr="00DC7451">
        <w:rPr>
          <w:rFonts w:cs="Times New Roman"/>
          <w:iCs/>
          <w:color w:val="FF0000"/>
        </w:rPr>
        <w:t>(</w:t>
      </w:r>
      <w:r w:rsidRPr="00523127">
        <w:rPr>
          <w:rFonts w:cs="Times New Roman"/>
          <w:color w:val="FF0000"/>
        </w:rPr>
        <w:t xml:space="preserve">Extended Data Fig. </w:t>
      </w:r>
      <w:r>
        <w:rPr>
          <w:rFonts w:cs="Times New Roman"/>
          <w:color w:val="FF0000"/>
        </w:rPr>
        <w:t>2a)</w:t>
      </w:r>
      <w:r w:rsidRPr="002D74C7">
        <w:rPr>
          <w:rFonts w:cs="Times New Roman"/>
        </w:rPr>
        <w:t xml:space="preserve">. For event S1153a, the first term </w:t>
      </w:r>
      <w:r>
        <w:rPr>
          <w:rFonts w:cs="Times New Roman"/>
        </w:rPr>
        <w:t xml:space="preserve">in the misfit function </w:t>
      </w:r>
      <w:r w:rsidRPr="002D74C7">
        <w:rPr>
          <w:rFonts w:cs="Times New Roman"/>
        </w:rPr>
        <w:t>is omitted</w:t>
      </w:r>
      <w:r>
        <w:rPr>
          <w:rFonts w:cs="Times New Roman"/>
        </w:rPr>
        <w:t>,</w:t>
      </w:r>
      <w:r w:rsidRPr="002D74C7">
        <w:rPr>
          <w:rFonts w:cs="Times New Roman"/>
        </w:rPr>
        <w:t xml:space="preserve"> as no PP or PP precursor phases are </w:t>
      </w:r>
      <w:r>
        <w:rPr>
          <w:rFonts w:cs="Times New Roman"/>
        </w:rPr>
        <w:t>picked</w:t>
      </w:r>
      <w:r w:rsidRPr="002D74C7">
        <w:rPr>
          <w:rFonts w:cs="Times New Roman"/>
        </w:rPr>
        <w:t>.</w:t>
      </w:r>
      <w:r>
        <w:rPr>
          <w:rFonts w:cs="Times New Roman" w:hint="eastAsia"/>
        </w:rPr>
        <w:t xml:space="preserve"> T</w:t>
      </w:r>
      <w:r>
        <w:rPr>
          <w:rFonts w:cs="Times New Roman"/>
        </w:rPr>
        <w:t xml:space="preserve">he model parameters distributions from inversions fitting only </w:t>
      </w:r>
      <w:r w:rsidRPr="002D74C7">
        <w:rPr>
          <w:rFonts w:cs="Times New Roman"/>
          <w:i/>
        </w:rPr>
        <w:t>ΔT</w:t>
      </w:r>
      <w:r>
        <w:rPr>
          <w:rFonts w:cs="Times New Roman"/>
          <w:iCs/>
        </w:rPr>
        <w:t>’s</w:t>
      </w:r>
      <w:r w:rsidRPr="002D74C7">
        <w:rPr>
          <w:rFonts w:cs="Times New Roman"/>
        </w:rPr>
        <w:t xml:space="preserve"> and </w:t>
      </w:r>
      <w:r w:rsidRPr="0088119B">
        <w:rPr>
          <w:rFonts w:cs="Times New Roman"/>
          <w:i/>
          <w:iCs/>
        </w:rPr>
        <w:t>AR</w:t>
      </w:r>
      <w:r>
        <w:rPr>
          <w:rFonts w:cs="Times New Roman"/>
        </w:rPr>
        <w:t xml:space="preserve">’s closely match results from the waveform inversions </w:t>
      </w:r>
      <w:r w:rsidRPr="00702A10">
        <w:rPr>
          <w:rFonts w:cs="Times New Roman"/>
          <w:color w:val="FF0000"/>
        </w:rPr>
        <w:t>(</w:t>
      </w:r>
      <w:r>
        <w:rPr>
          <w:rFonts w:cs="Times New Roman"/>
          <w:color w:val="FF0000"/>
        </w:rPr>
        <w:t>Supplementary Fig. 23g–j</w:t>
      </w:r>
      <w:r w:rsidRPr="00702A10">
        <w:rPr>
          <w:rFonts w:cs="Times New Roman"/>
          <w:color w:val="FF0000"/>
        </w:rPr>
        <w:t xml:space="preserve"> and Fig. 2</w:t>
      </w:r>
      <w:r>
        <w:rPr>
          <w:rFonts w:cs="Times New Roman"/>
          <w:color w:val="FF0000"/>
        </w:rPr>
        <w:t>i</w:t>
      </w:r>
      <w:r w:rsidRPr="00702A10">
        <w:rPr>
          <w:rFonts w:cs="Times New Roman"/>
          <w:color w:val="FF0000"/>
        </w:rPr>
        <w:t>–k)</w:t>
      </w:r>
      <w:r>
        <w:rPr>
          <w:rFonts w:cs="Times New Roman"/>
          <w:color w:val="000000" w:themeColor="text1"/>
        </w:rPr>
        <w:t>, but exhibit slightly lower model uncertainties. This is likely because fitting the whole waveforms suffers from larger misfits due to distorted waveforms caused by heterogeneous structures and noise, which reduces similarity between precursors and PP/SS.</w:t>
      </w:r>
    </w:p>
    <w:p w14:paraId="6F4CACF4" w14:textId="77777777" w:rsidR="007F6E00" w:rsidRDefault="007F6E00">
      <w:pPr>
        <w:widowControl/>
        <w:spacing w:line="240" w:lineRule="auto"/>
        <w:jc w:val="left"/>
        <w:rPr>
          <w:rFonts w:cs="Times New Roman"/>
          <w:color w:val="000000" w:themeColor="text1"/>
        </w:rPr>
      </w:pPr>
      <w:r>
        <w:rPr>
          <w:rFonts w:cs="Times New Roman"/>
          <w:color w:val="000000" w:themeColor="text1"/>
        </w:rPr>
        <w:br w:type="page"/>
      </w:r>
    </w:p>
    <w:p w14:paraId="6B93FD55" w14:textId="77777777" w:rsidR="007F6E00" w:rsidRDefault="007F6E00" w:rsidP="00427539">
      <w:pPr>
        <w:tabs>
          <w:tab w:val="center" w:pos="4080"/>
          <w:tab w:val="right" w:pos="8160"/>
        </w:tabs>
        <w:rPr>
          <w:rFonts w:cs="Times New Roman"/>
        </w:rPr>
      </w:pPr>
      <w:r>
        <w:rPr>
          <w:rFonts w:cs="Times New Roman" w:hint="eastAsia"/>
          <w:noProof/>
        </w:rPr>
        <w:lastRenderedPageBreak/>
        <w:drawing>
          <wp:inline distT="0" distB="0" distL="0" distR="0" wp14:anchorId="4D8E7435" wp14:editId="6D0D01E6">
            <wp:extent cx="5274310" cy="4629785"/>
            <wp:effectExtent l="0" t="0" r="0" b="571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74310" cy="4629785"/>
                    </a:xfrm>
                    <a:prstGeom prst="rect">
                      <a:avLst/>
                    </a:prstGeom>
                  </pic:spPr>
                </pic:pic>
              </a:graphicData>
            </a:graphic>
          </wp:inline>
        </w:drawing>
      </w:r>
    </w:p>
    <w:p w14:paraId="276A86EA" w14:textId="77777777" w:rsidR="007F6E00" w:rsidRPr="00E73CD6" w:rsidRDefault="007F6E00" w:rsidP="00427539">
      <w:pPr>
        <w:spacing w:line="240" w:lineRule="auto"/>
        <w:rPr>
          <w:rFonts w:cs="Times New Roman"/>
        </w:rPr>
      </w:pPr>
      <w:r>
        <w:rPr>
          <w:rFonts w:cs="Times New Roman"/>
          <w:b/>
          <w:bCs/>
        </w:rPr>
        <w:t>Supplementary Fig. 23</w:t>
      </w:r>
      <w:r w:rsidRPr="00E73CD6">
        <w:rPr>
          <w:rFonts w:cs="Times New Roman"/>
          <w:b/>
          <w:bCs/>
        </w:rPr>
        <w:t xml:space="preserve"> | Results of the </w:t>
      </w:r>
      <w:r>
        <w:rPr>
          <w:rFonts w:cs="Times New Roman"/>
          <w:b/>
          <w:bCs/>
        </w:rPr>
        <w:t xml:space="preserve">PP/SS </w:t>
      </w:r>
      <w:r w:rsidRPr="00E73CD6">
        <w:rPr>
          <w:rFonts w:cs="Times New Roman"/>
          <w:b/>
          <w:bCs/>
        </w:rPr>
        <w:t>precursor inversions</w:t>
      </w:r>
      <w:r>
        <w:rPr>
          <w:rFonts w:cs="Times New Roman"/>
          <w:b/>
          <w:bCs/>
        </w:rPr>
        <w:t xml:space="preserve"> fitting only differential travel times and amplitude ratios</w:t>
      </w:r>
      <w:r w:rsidRPr="00E73CD6">
        <w:rPr>
          <w:rFonts w:cs="Times New Roman"/>
          <w:b/>
          <w:bCs/>
        </w:rPr>
        <w:t xml:space="preserve">. </w:t>
      </w:r>
      <w:r w:rsidRPr="00427539">
        <w:rPr>
          <w:rFonts w:cs="Times New Roman"/>
        </w:rPr>
        <w:t xml:space="preserve">(a–c) </w:t>
      </w:r>
      <w:r>
        <w:rPr>
          <w:rFonts w:cs="Times New Roman"/>
        </w:rPr>
        <w:t xml:space="preserve">Observed and inverted waveforms of PP, SS, and their precursors of events S0976a and S1153a. In each plot, from top to bottom, are bandpass filtered data (Bp.), polarization filtered data (Pol.), predicted waveforms for all accepted models in the inversions (Inv.), for the maximum-likelihood model (MAL), and for the median model (MED). The bandpass frequency ranges are list below the Bp. traces. Blue shaded areas show the PP and SS waves and their precursors identified by a waveform matching method. </w:t>
      </w:r>
      <w:r w:rsidRPr="00427539">
        <w:rPr>
          <w:rFonts w:cs="Times New Roman"/>
        </w:rPr>
        <w:t>(</w:t>
      </w:r>
      <w:r>
        <w:rPr>
          <w:rFonts w:cs="Times New Roman"/>
        </w:rPr>
        <w:t>d</w:t>
      </w:r>
      <w:r w:rsidRPr="00427539">
        <w:rPr>
          <w:rFonts w:cs="Times New Roman"/>
        </w:rPr>
        <w:t>–</w:t>
      </w:r>
      <w:r>
        <w:rPr>
          <w:rFonts w:cs="Times New Roman"/>
        </w:rPr>
        <w:t>f</w:t>
      </w:r>
      <w:r w:rsidRPr="00427539">
        <w:rPr>
          <w:rFonts w:cs="Times New Roman"/>
        </w:rPr>
        <w:t>)</w:t>
      </w:r>
      <w:r>
        <w:rPr>
          <w:rFonts w:cs="Times New Roman"/>
        </w:rPr>
        <w:t xml:space="preserve"> Posterior distributions of the inverted </w:t>
      </w:r>
      <w:proofErr w:type="spellStart"/>
      <w:r w:rsidRPr="00E73CD6">
        <w:rPr>
          <w:rFonts w:cs="Times New Roman"/>
          <w:i/>
          <w:iCs/>
        </w:rPr>
        <w:t>Vp</w:t>
      </w:r>
      <w:proofErr w:type="spellEnd"/>
      <w:r>
        <w:rPr>
          <w:rFonts w:cs="Times New Roman"/>
        </w:rPr>
        <w:t xml:space="preserve"> and </w:t>
      </w:r>
      <w:r w:rsidRPr="00E73CD6">
        <w:rPr>
          <w:rFonts w:cs="Times New Roman"/>
          <w:i/>
          <w:iCs/>
        </w:rPr>
        <w:t>Vs</w:t>
      </w:r>
      <w:r>
        <w:rPr>
          <w:rFonts w:cs="Times New Roman"/>
        </w:rPr>
        <w:t xml:space="preserve"> models below the southern edge of AP and the eastern CF, respectively. Orange line represents the median model, while blue line represents the maximum-likelihood model. </w:t>
      </w:r>
      <w:r w:rsidRPr="00427539">
        <w:rPr>
          <w:rFonts w:cs="Times New Roman"/>
        </w:rPr>
        <w:t>(</w:t>
      </w:r>
      <w:r>
        <w:rPr>
          <w:rFonts w:cs="Times New Roman"/>
        </w:rPr>
        <w:t>g</w:t>
      </w:r>
      <w:r w:rsidRPr="00427539">
        <w:rPr>
          <w:rFonts w:cs="Times New Roman"/>
        </w:rPr>
        <w:t>–</w:t>
      </w:r>
      <w:r>
        <w:rPr>
          <w:rFonts w:cs="Times New Roman"/>
        </w:rPr>
        <w:t>j</w:t>
      </w:r>
      <w:r w:rsidRPr="00427539">
        <w:rPr>
          <w:rFonts w:cs="Times New Roman"/>
        </w:rPr>
        <w:t>)</w:t>
      </w:r>
      <w:r>
        <w:rPr>
          <w:rFonts w:cs="Times New Roman"/>
        </w:rPr>
        <w:t xml:space="preserve"> Posterior distributions of the depths and </w:t>
      </w:r>
      <w:proofErr w:type="spellStart"/>
      <w:r w:rsidRPr="00E73CD6">
        <w:rPr>
          <w:rFonts w:cs="Times New Roman"/>
          <w:i/>
          <w:iCs/>
        </w:rPr>
        <w:t>Vp</w:t>
      </w:r>
      <w:proofErr w:type="spellEnd"/>
      <w:r>
        <w:rPr>
          <w:rFonts w:cs="Times New Roman"/>
        </w:rPr>
        <w:t xml:space="preserve"> and </w:t>
      </w:r>
      <w:r w:rsidRPr="00E73CD6">
        <w:rPr>
          <w:rFonts w:cs="Times New Roman"/>
          <w:i/>
          <w:iCs/>
        </w:rPr>
        <w:t>Vs</w:t>
      </w:r>
      <w:r>
        <w:rPr>
          <w:rFonts w:cs="Times New Roman"/>
        </w:rPr>
        <w:t xml:space="preserve"> reductions of the LVZs. Error bars show the median values with 1σ uncertainty intervals.</w:t>
      </w:r>
    </w:p>
    <w:p w14:paraId="3CC67B2D" w14:textId="77777777" w:rsidR="007F6E00" w:rsidRDefault="007F6E00">
      <w:pPr>
        <w:widowControl/>
        <w:spacing w:line="240" w:lineRule="auto"/>
        <w:jc w:val="left"/>
        <w:rPr>
          <w:rFonts w:cs="Times New Roman"/>
        </w:rPr>
      </w:pPr>
      <w:r>
        <w:rPr>
          <w:rFonts w:cs="Times New Roman"/>
        </w:rPr>
        <w:br w:type="page"/>
      </w:r>
    </w:p>
    <w:p w14:paraId="257041B8" w14:textId="77777777" w:rsidR="007F6E00" w:rsidRDefault="007F6E00" w:rsidP="00427539">
      <w:pPr>
        <w:pStyle w:val="2"/>
      </w:pPr>
      <w:bookmarkStart w:id="34" w:name="_Toc202208124"/>
      <w:r>
        <w:rPr>
          <w:rFonts w:hint="eastAsia"/>
        </w:rPr>
        <w:lastRenderedPageBreak/>
        <w:t>4</w:t>
      </w:r>
      <w:r>
        <w:t>.5. Amplitude of the</w:t>
      </w:r>
      <w:r w:rsidRPr="00CE31D3">
        <w:t xml:space="preserve"> PP precursor</w:t>
      </w:r>
      <w:r>
        <w:t xml:space="preserve"> associated with the LVZ</w:t>
      </w:r>
      <w:bookmarkEnd w:id="34"/>
    </w:p>
    <w:p w14:paraId="5E95F78C" w14:textId="77777777" w:rsidR="007F6E00" w:rsidRDefault="007F6E00" w:rsidP="00427539">
      <w:pPr>
        <w:ind w:firstLineChars="200" w:firstLine="480"/>
        <w:rPr>
          <w:rFonts w:cs="Times New Roman"/>
        </w:rPr>
      </w:pPr>
      <w:r>
        <w:rPr>
          <w:rFonts w:cs="Times New Roman"/>
        </w:rPr>
        <w:t xml:space="preserve">For events S0976a, the PP precursor associated with the upper mantle LVZ are not detected </w:t>
      </w:r>
      <w:r w:rsidRPr="00F30130">
        <w:rPr>
          <w:rFonts w:cs="Times New Roman"/>
          <w:color w:val="FF0000"/>
        </w:rPr>
        <w:t xml:space="preserve">(Supplementary Text </w:t>
      </w:r>
      <w:r>
        <w:rPr>
          <w:rFonts w:cs="Times New Roman"/>
          <w:color w:val="FF0000"/>
        </w:rPr>
        <w:t>3</w:t>
      </w:r>
      <w:r w:rsidRPr="00F30130">
        <w:rPr>
          <w:rFonts w:cs="Times New Roman"/>
          <w:color w:val="FF0000"/>
        </w:rPr>
        <w:t>.2)</w:t>
      </w:r>
      <w:r>
        <w:rPr>
          <w:rFonts w:cs="Times New Roman"/>
        </w:rPr>
        <w:t xml:space="preserve">. One possible explanation is that the reduction in </w:t>
      </w:r>
      <w:proofErr w:type="spellStart"/>
      <w:r w:rsidRPr="00F30130">
        <w:rPr>
          <w:rFonts w:cs="Times New Roman"/>
          <w:i/>
          <w:iCs/>
        </w:rPr>
        <w:t>Vp</w:t>
      </w:r>
      <w:proofErr w:type="spellEnd"/>
      <w:r>
        <w:rPr>
          <w:rFonts w:cs="Times New Roman"/>
        </w:rPr>
        <w:t xml:space="preserve"> across the LVZ is insufficient to generate a discernible PP precursor, as indicated by inversion results showing a subtle </w:t>
      </w:r>
      <w:proofErr w:type="spellStart"/>
      <w:r w:rsidRPr="00F30130">
        <w:rPr>
          <w:rFonts w:cs="Times New Roman"/>
          <w:i/>
          <w:iCs/>
        </w:rPr>
        <w:t>Vp</w:t>
      </w:r>
      <w:proofErr w:type="spellEnd"/>
      <w:r>
        <w:rPr>
          <w:rFonts w:cs="Times New Roman"/>
        </w:rPr>
        <w:t xml:space="preserve"> reduction </w:t>
      </w:r>
      <w:r w:rsidRPr="007E4E7F">
        <w:rPr>
          <w:rFonts w:cs="Times New Roman"/>
          <w:color w:val="FF0000"/>
        </w:rPr>
        <w:t>(Fig. 3h)</w:t>
      </w:r>
      <w:r>
        <w:rPr>
          <w:rFonts w:cs="Times New Roman"/>
        </w:rPr>
        <w:t>. Density contrast may also play an important factor in the amplitude of precursor. However, t</w:t>
      </w:r>
      <w:r w:rsidRPr="00D20359">
        <w:rPr>
          <w:rFonts w:cs="Times New Roman"/>
        </w:rPr>
        <w:t xml:space="preserve">he </w:t>
      </w:r>
      <w:r>
        <w:rPr>
          <w:rFonts w:cs="Times New Roman"/>
        </w:rPr>
        <w:t>inverted</w:t>
      </w:r>
      <w:r w:rsidRPr="00D20359">
        <w:rPr>
          <w:rFonts w:cs="Times New Roman"/>
        </w:rPr>
        <w:t xml:space="preserve"> density in the LVZ remains </w:t>
      </w:r>
      <w:r>
        <w:rPr>
          <w:rFonts w:cs="Times New Roman"/>
        </w:rPr>
        <w:t xml:space="preserve">uncertain. Beneath the southern edge of AP, there is no apparent density contrast across the top boundary of the LVZ, while a density drop within the LVZ is obtained beneath the eastern CF, albeit with considerable uncertainty </w:t>
      </w:r>
      <w:r w:rsidRPr="00D20359">
        <w:rPr>
          <w:rFonts w:cs="Times New Roman"/>
          <w:color w:val="FF0000"/>
        </w:rPr>
        <w:t>(</w:t>
      </w:r>
      <w:r>
        <w:rPr>
          <w:rFonts w:cs="Times New Roman"/>
          <w:color w:val="FF0000"/>
        </w:rPr>
        <w:t>Supplementary Fig. 24</w:t>
      </w:r>
      <w:r w:rsidRPr="00D20359">
        <w:rPr>
          <w:rFonts w:cs="Times New Roman"/>
          <w:color w:val="FF0000"/>
        </w:rPr>
        <w:t>)</w:t>
      </w:r>
      <w:r>
        <w:rPr>
          <w:rFonts w:cs="Times New Roman"/>
        </w:rPr>
        <w:t xml:space="preserve">. </w:t>
      </w:r>
    </w:p>
    <w:p w14:paraId="3A46AF8B" w14:textId="77777777" w:rsidR="007F6E00" w:rsidRDefault="007F6E00" w:rsidP="00427539">
      <w:pPr>
        <w:ind w:firstLineChars="200" w:firstLine="480"/>
        <w:rPr>
          <w:rFonts w:cs="Times New Roman"/>
        </w:rPr>
      </w:pPr>
      <w:r>
        <w:rPr>
          <w:rFonts w:cs="Times New Roman"/>
        </w:rPr>
        <w:t xml:space="preserve">To further investigate factors affecting the amplitude of the PP precursor, we examine P wave reflection coefficients by varying </w:t>
      </w:r>
      <w:proofErr w:type="spellStart"/>
      <w:r w:rsidRPr="008F438E">
        <w:rPr>
          <w:rFonts w:cs="Times New Roman"/>
          <w:i/>
          <w:iCs/>
        </w:rPr>
        <w:t>Vp</w:t>
      </w:r>
      <w:proofErr w:type="spellEnd"/>
      <w:r>
        <w:rPr>
          <w:rFonts w:cs="Times New Roman"/>
        </w:rPr>
        <w:t xml:space="preserve"> and density perturbations of the LVZ (</w:t>
      </w:r>
      <w:r w:rsidRPr="002608AC">
        <w:rPr>
          <w:rFonts w:cs="Times New Roman"/>
          <w:i/>
          <w:iCs/>
          <w:lang w:val="el-GR"/>
        </w:rPr>
        <w:t>δ</w:t>
      </w:r>
      <w:proofErr w:type="spellStart"/>
      <w:r w:rsidRPr="002608AC">
        <w:rPr>
          <w:rFonts w:cs="Times New Roman"/>
          <w:i/>
          <w:iCs/>
        </w:rPr>
        <w:t>Vp</w:t>
      </w:r>
      <w:proofErr w:type="spellEnd"/>
      <w:r>
        <w:rPr>
          <w:rFonts w:cs="Times New Roman"/>
        </w:rPr>
        <w:t xml:space="preserve"> and </w:t>
      </w:r>
      <w:proofErr w:type="spellStart"/>
      <w:r w:rsidRPr="002608AC">
        <w:rPr>
          <w:rFonts w:cs="Times New Roman"/>
          <w:i/>
          <w:iCs/>
          <w:lang w:val="el-GR"/>
        </w:rPr>
        <w:t>δρ</w:t>
      </w:r>
      <w:proofErr w:type="spellEnd"/>
      <w:r>
        <w:rPr>
          <w:rFonts w:cs="Times New Roman"/>
        </w:rPr>
        <w:t xml:space="preserve">), while fixing the structure above the LVZ using the median model derived from S0976a’s inversion. A -40% perturbation in </w:t>
      </w:r>
      <w:r w:rsidRPr="00C6075F">
        <w:rPr>
          <w:rFonts w:cs="Times New Roman"/>
          <w:i/>
          <w:iCs/>
        </w:rPr>
        <w:t>Vs</w:t>
      </w:r>
      <w:r>
        <w:rPr>
          <w:rFonts w:cs="Times New Roman"/>
        </w:rPr>
        <w:t xml:space="preserve"> (</w:t>
      </w:r>
      <w:r w:rsidRPr="002608AC">
        <w:rPr>
          <w:rFonts w:cs="Times New Roman"/>
          <w:i/>
          <w:iCs/>
          <w:lang w:val="el-GR"/>
        </w:rPr>
        <w:t>δ</w:t>
      </w:r>
      <w:r w:rsidRPr="002608AC">
        <w:rPr>
          <w:rFonts w:cs="Times New Roman"/>
          <w:i/>
          <w:iCs/>
        </w:rPr>
        <w:t>V</w:t>
      </w:r>
      <w:r>
        <w:rPr>
          <w:rFonts w:cs="Times New Roman"/>
          <w:i/>
          <w:iCs/>
        </w:rPr>
        <w:t>s</w:t>
      </w:r>
      <w:r>
        <w:rPr>
          <w:rFonts w:cs="Times New Roman"/>
        </w:rPr>
        <w:t xml:space="preserve">) is incorporated within the LVZ </w:t>
      </w:r>
      <w:r w:rsidRPr="00F04332">
        <w:rPr>
          <w:rFonts w:cs="Times New Roman"/>
          <w:color w:val="FF0000"/>
        </w:rPr>
        <w:t>(</w:t>
      </w:r>
      <w:r>
        <w:rPr>
          <w:rFonts w:cs="Times New Roman"/>
          <w:color w:val="FF0000"/>
        </w:rPr>
        <w:t>Supplementary Fig. 25</w:t>
      </w:r>
      <w:r w:rsidRPr="00F04332">
        <w:rPr>
          <w:rFonts w:cs="Times New Roman"/>
          <w:color w:val="FF0000"/>
        </w:rPr>
        <w:t>)</w:t>
      </w:r>
      <w:r>
        <w:rPr>
          <w:rFonts w:cs="Times New Roman"/>
        </w:rPr>
        <w:t>.</w:t>
      </w:r>
      <w:r>
        <w:rPr>
          <w:rFonts w:cs="Times New Roman" w:hint="eastAsia"/>
        </w:rPr>
        <w:t xml:space="preserve"> </w:t>
      </w:r>
      <w:r>
        <w:rPr>
          <w:rFonts w:cs="Times New Roman"/>
        </w:rPr>
        <w:t xml:space="preserve">We then grid-search </w:t>
      </w:r>
      <w:r w:rsidRPr="002608AC">
        <w:rPr>
          <w:rFonts w:cs="Times New Roman"/>
          <w:i/>
          <w:iCs/>
          <w:lang w:val="el-GR"/>
        </w:rPr>
        <w:t>δ</w:t>
      </w:r>
      <w:proofErr w:type="spellStart"/>
      <w:r w:rsidRPr="002608AC">
        <w:rPr>
          <w:rFonts w:cs="Times New Roman"/>
          <w:i/>
          <w:iCs/>
        </w:rPr>
        <w:t>Vp</w:t>
      </w:r>
      <w:proofErr w:type="spellEnd"/>
      <w:r>
        <w:rPr>
          <w:rFonts w:cs="Times New Roman"/>
        </w:rPr>
        <w:t xml:space="preserve"> and </w:t>
      </w:r>
      <w:proofErr w:type="spellStart"/>
      <w:r w:rsidRPr="002608AC">
        <w:rPr>
          <w:rFonts w:cs="Times New Roman"/>
          <w:i/>
          <w:iCs/>
          <w:lang w:val="el-GR"/>
        </w:rPr>
        <w:t>δρ</w:t>
      </w:r>
      <w:proofErr w:type="spellEnd"/>
      <w:r>
        <w:rPr>
          <w:rFonts w:cs="Times New Roman"/>
        </w:rPr>
        <w:t xml:space="preserve"> to compute both the bottom P-to-P and S-to-S reflection coefficients at the LVZ top (</w:t>
      </w:r>
      <w:r w:rsidRPr="009318DA">
        <w:rPr>
          <w:rFonts w:cs="Times New Roman"/>
          <w:i/>
          <w:iCs/>
        </w:rPr>
        <w:t>R</w:t>
      </w:r>
      <w:r w:rsidRPr="002E27C7">
        <w:rPr>
          <w:rFonts w:cs="Times New Roman"/>
          <w:i/>
          <w:iCs/>
          <w:vertAlign w:val="subscript"/>
        </w:rPr>
        <w:t>P^LVZP</w:t>
      </w:r>
      <w:r>
        <w:rPr>
          <w:rFonts w:cs="Times New Roman"/>
        </w:rPr>
        <w:t xml:space="preserve"> and </w:t>
      </w:r>
      <w:r w:rsidRPr="009318DA">
        <w:rPr>
          <w:rFonts w:cs="Times New Roman"/>
          <w:i/>
          <w:iCs/>
        </w:rPr>
        <w:t>R</w:t>
      </w:r>
      <w:r w:rsidRPr="002E27C7">
        <w:rPr>
          <w:rFonts w:cs="Times New Roman"/>
          <w:i/>
          <w:iCs/>
          <w:vertAlign w:val="subscript"/>
        </w:rPr>
        <w:t>S^LVZS</w:t>
      </w:r>
      <w:r>
        <w:rPr>
          <w:rFonts w:cs="Times New Roman"/>
        </w:rPr>
        <w:t>), and their associated precursor amplitude ratios (</w:t>
      </w:r>
      <w:r w:rsidRPr="00C461BE">
        <w:rPr>
          <w:rFonts w:cs="Times New Roman"/>
          <w:i/>
          <w:iCs/>
        </w:rPr>
        <w:t>AR</w:t>
      </w:r>
      <w:r>
        <w:rPr>
          <w:rFonts w:cs="Times New Roman"/>
        </w:rPr>
        <w:t xml:space="preserve">) relative to PP/SS </w:t>
      </w:r>
      <w:r w:rsidRPr="00C461BE">
        <w:rPr>
          <w:rFonts w:cs="Times New Roman"/>
          <w:color w:val="FF0000"/>
        </w:rPr>
        <w:t>(</w:t>
      </w:r>
      <w:r>
        <w:rPr>
          <w:rFonts w:cs="Times New Roman"/>
          <w:color w:val="FF0000"/>
        </w:rPr>
        <w:t>Supplementary Fig. 25</w:t>
      </w:r>
      <w:r w:rsidRPr="00C461BE">
        <w:rPr>
          <w:rFonts w:cs="Times New Roman"/>
          <w:color w:val="FF0000"/>
        </w:rPr>
        <w:t>)</w:t>
      </w:r>
      <w:r>
        <w:rPr>
          <w:rFonts w:cs="Times New Roman"/>
        </w:rPr>
        <w:t xml:space="preserve">. Since the </w:t>
      </w:r>
      <w:r w:rsidRPr="009318DA">
        <w:rPr>
          <w:rFonts w:cs="Times New Roman"/>
          <w:i/>
          <w:iCs/>
        </w:rPr>
        <w:t>AR</w:t>
      </w:r>
      <w:r>
        <w:rPr>
          <w:rFonts w:cs="Times New Roman"/>
        </w:rPr>
        <w:t xml:space="preserve"> of the SS precursor on tangential component and </w:t>
      </w:r>
      <w:r w:rsidRPr="009318DA">
        <w:rPr>
          <w:rFonts w:cs="Times New Roman"/>
          <w:i/>
          <w:iCs/>
        </w:rPr>
        <w:t>R</w:t>
      </w:r>
      <w:r w:rsidRPr="002E27C7">
        <w:rPr>
          <w:rFonts w:cs="Times New Roman"/>
          <w:i/>
          <w:iCs/>
          <w:vertAlign w:val="subscript"/>
        </w:rPr>
        <w:t>S^LVZS</w:t>
      </w:r>
      <w:r>
        <w:rPr>
          <w:rFonts w:cs="Times New Roman"/>
        </w:rPr>
        <w:t xml:space="preserve"> depend only on </w:t>
      </w:r>
      <w:proofErr w:type="spellStart"/>
      <w:r w:rsidRPr="002608AC">
        <w:rPr>
          <w:rFonts w:cs="Times New Roman"/>
          <w:i/>
          <w:iCs/>
          <w:lang w:val="el-GR"/>
        </w:rPr>
        <w:t>δρ</w:t>
      </w:r>
      <w:proofErr w:type="spellEnd"/>
      <w:r>
        <w:rPr>
          <w:rFonts w:cs="Times New Roman"/>
        </w:rPr>
        <w:t xml:space="preserve"> (given fixed </w:t>
      </w:r>
      <w:r w:rsidRPr="002608AC">
        <w:rPr>
          <w:rFonts w:cs="Times New Roman"/>
          <w:i/>
          <w:iCs/>
          <w:lang w:val="el-GR"/>
        </w:rPr>
        <w:t>δ</w:t>
      </w:r>
      <w:r w:rsidRPr="002608AC">
        <w:rPr>
          <w:rFonts w:cs="Times New Roman"/>
          <w:i/>
          <w:iCs/>
        </w:rPr>
        <w:t>V</w:t>
      </w:r>
      <w:r>
        <w:rPr>
          <w:rFonts w:cs="Times New Roman"/>
          <w:i/>
          <w:iCs/>
        </w:rPr>
        <w:t>s</w:t>
      </w:r>
      <w:r>
        <w:rPr>
          <w:rFonts w:cs="Times New Roman"/>
        </w:rPr>
        <w:t xml:space="preserve">), </w:t>
      </w:r>
      <w:proofErr w:type="spellStart"/>
      <w:r w:rsidRPr="002608AC">
        <w:rPr>
          <w:rFonts w:cs="Times New Roman"/>
          <w:i/>
          <w:iCs/>
          <w:lang w:val="el-GR"/>
        </w:rPr>
        <w:t>δρ</w:t>
      </w:r>
      <w:proofErr w:type="spellEnd"/>
      <w:r>
        <w:rPr>
          <w:rFonts w:cs="Times New Roman"/>
        </w:rPr>
        <w:t xml:space="preserve"> is constrained between -23% and 6% to match the observed -25% ± 10% </w:t>
      </w:r>
      <w:r w:rsidRPr="009318DA">
        <w:rPr>
          <w:rFonts w:cs="Times New Roman"/>
          <w:i/>
          <w:iCs/>
        </w:rPr>
        <w:t>AR</w:t>
      </w:r>
      <w:r>
        <w:rPr>
          <w:rFonts w:cs="Times New Roman"/>
        </w:rPr>
        <w:t xml:space="preserve"> of the SS precursor</w:t>
      </w:r>
      <w:r>
        <w:rPr>
          <w:rFonts w:cs="Times New Roman"/>
          <w:color w:val="FF0000"/>
        </w:rPr>
        <w:t xml:space="preserve"> </w:t>
      </w:r>
      <w:r w:rsidRPr="00D0001D">
        <w:rPr>
          <w:rFonts w:cs="Times New Roman"/>
          <w:color w:val="FF0000"/>
        </w:rPr>
        <w:t>(</w:t>
      </w:r>
      <w:r>
        <w:rPr>
          <w:rFonts w:cs="Times New Roman"/>
          <w:color w:val="FF0000"/>
        </w:rPr>
        <w:t>Supplementary Fig. 25</w:t>
      </w:r>
      <w:r w:rsidRPr="00D0001D">
        <w:rPr>
          <w:rFonts w:cs="Times New Roman"/>
          <w:color w:val="FF0000"/>
        </w:rPr>
        <w:t>b)</w:t>
      </w:r>
      <w:r>
        <w:rPr>
          <w:rFonts w:cs="Times New Roman"/>
        </w:rPr>
        <w:t xml:space="preserve">. Within this range of </w:t>
      </w:r>
      <w:proofErr w:type="spellStart"/>
      <w:r w:rsidRPr="002608AC">
        <w:rPr>
          <w:rFonts w:cs="Times New Roman"/>
          <w:i/>
          <w:iCs/>
          <w:lang w:val="el-GR"/>
        </w:rPr>
        <w:t>δρ</w:t>
      </w:r>
      <w:proofErr w:type="spellEnd"/>
      <w:r>
        <w:rPr>
          <w:rFonts w:cs="Times New Roman"/>
        </w:rPr>
        <w:t xml:space="preserve">, the </w:t>
      </w:r>
      <w:r w:rsidRPr="002608AC">
        <w:rPr>
          <w:rFonts w:cs="Times New Roman"/>
          <w:i/>
          <w:iCs/>
        </w:rPr>
        <w:t>AR</w:t>
      </w:r>
      <w:r>
        <w:rPr>
          <w:rFonts w:cs="Times New Roman"/>
        </w:rPr>
        <w:t xml:space="preserve"> of the PP precursor approaches zero for </w:t>
      </w:r>
      <w:r w:rsidRPr="002608AC">
        <w:rPr>
          <w:rFonts w:cs="Times New Roman"/>
          <w:i/>
          <w:iCs/>
          <w:lang w:val="el-GR"/>
        </w:rPr>
        <w:t>δ</w:t>
      </w:r>
      <w:proofErr w:type="spellStart"/>
      <w:r w:rsidRPr="002608AC">
        <w:rPr>
          <w:rFonts w:cs="Times New Roman"/>
          <w:i/>
          <w:iCs/>
        </w:rPr>
        <w:t>Vp</w:t>
      </w:r>
      <w:proofErr w:type="spellEnd"/>
      <w:r>
        <w:rPr>
          <w:rFonts w:cs="Times New Roman"/>
        </w:rPr>
        <w:t xml:space="preserve"> </w:t>
      </w:r>
      <w:r>
        <w:rPr>
          <w:rFonts w:cs="Times New Roman"/>
        </w:rPr>
        <w:lastRenderedPageBreak/>
        <w:t xml:space="preserve">between -22% and 8% </w:t>
      </w:r>
      <w:r w:rsidRPr="00F012BD">
        <w:rPr>
          <w:rFonts w:cs="Times New Roman"/>
          <w:color w:val="FF0000"/>
        </w:rPr>
        <w:t>(</w:t>
      </w:r>
      <w:r>
        <w:rPr>
          <w:rFonts w:cs="Times New Roman"/>
          <w:color w:val="FF0000"/>
        </w:rPr>
        <w:t>p</w:t>
      </w:r>
      <w:r w:rsidRPr="00F012BD">
        <w:rPr>
          <w:rFonts w:cs="Times New Roman"/>
          <w:color w:val="FF0000"/>
        </w:rPr>
        <w:t xml:space="preserve">arallelogram </w:t>
      </w:r>
      <w:r>
        <w:rPr>
          <w:rFonts w:cs="Times New Roman"/>
          <w:color w:val="FF0000"/>
        </w:rPr>
        <w:t>in Supplementary Fig. 25</w:t>
      </w:r>
      <w:r w:rsidRPr="00F012BD">
        <w:rPr>
          <w:rFonts w:cs="Times New Roman"/>
          <w:color w:val="FF0000"/>
        </w:rPr>
        <w:t>a)</w:t>
      </w:r>
      <w:r>
        <w:rPr>
          <w:rFonts w:cs="Times New Roman"/>
        </w:rPr>
        <w:t>, a result of a nearly negligible P wave reflection coefficient at the LVZ top (</w:t>
      </w:r>
      <w:r w:rsidRPr="009318DA">
        <w:rPr>
          <w:rFonts w:cs="Times New Roman"/>
          <w:i/>
          <w:iCs/>
        </w:rPr>
        <w:t>R</w:t>
      </w:r>
      <w:r w:rsidRPr="008541ED">
        <w:rPr>
          <w:rFonts w:cs="Times New Roman"/>
          <w:i/>
          <w:iCs/>
          <w:vertAlign w:val="subscript"/>
        </w:rPr>
        <w:t>P^LVZP</w:t>
      </w:r>
      <w:r>
        <w:rPr>
          <w:rFonts w:cs="Times New Roman"/>
        </w:rPr>
        <w:t xml:space="preserve"> = ±0.05) with a specific combination of </w:t>
      </w:r>
      <w:r w:rsidRPr="002608AC">
        <w:rPr>
          <w:rFonts w:cs="Times New Roman"/>
          <w:i/>
          <w:iCs/>
          <w:lang w:val="el-GR"/>
        </w:rPr>
        <w:t>δ</w:t>
      </w:r>
      <w:proofErr w:type="spellStart"/>
      <w:r w:rsidRPr="002608AC">
        <w:rPr>
          <w:rFonts w:cs="Times New Roman"/>
          <w:i/>
          <w:iCs/>
        </w:rPr>
        <w:t>Vp</w:t>
      </w:r>
      <w:proofErr w:type="spellEnd"/>
      <w:r>
        <w:rPr>
          <w:rFonts w:cs="Times New Roman"/>
        </w:rPr>
        <w:t xml:space="preserve"> and </w:t>
      </w:r>
      <w:proofErr w:type="spellStart"/>
      <w:r w:rsidRPr="002608AC">
        <w:rPr>
          <w:rFonts w:cs="Times New Roman"/>
          <w:i/>
          <w:iCs/>
          <w:lang w:val="el-GR"/>
        </w:rPr>
        <w:t>δρ</w:t>
      </w:r>
      <w:proofErr w:type="spellEnd"/>
      <w:r>
        <w:rPr>
          <w:rFonts w:cs="Times New Roman"/>
        </w:rPr>
        <w:t xml:space="preserve"> (</w:t>
      </w:r>
      <w:r>
        <w:rPr>
          <w:rFonts w:cs="Times New Roman"/>
          <w:color w:val="FF0000"/>
        </w:rPr>
        <w:t>p</w:t>
      </w:r>
      <w:r w:rsidRPr="00F012BD">
        <w:rPr>
          <w:rFonts w:cs="Times New Roman"/>
          <w:color w:val="FF0000"/>
        </w:rPr>
        <w:t xml:space="preserve">arallelogram </w:t>
      </w:r>
      <w:r>
        <w:rPr>
          <w:rFonts w:cs="Times New Roman"/>
          <w:color w:val="FF0000"/>
        </w:rPr>
        <w:t>in Supplementary Fig. 25c</w:t>
      </w:r>
      <w:r>
        <w:rPr>
          <w:rFonts w:cs="Times New Roman"/>
        </w:rPr>
        <w:t>). For a smaller</w:t>
      </w:r>
      <w:r w:rsidRPr="00B85C72">
        <w:rPr>
          <w:rFonts w:cs="Times New Roman"/>
        </w:rPr>
        <w:t xml:space="preserve"> </w:t>
      </w:r>
      <w:r w:rsidRPr="00370A85">
        <w:rPr>
          <w:rFonts w:cs="Times New Roman"/>
          <w:i/>
          <w:iCs/>
        </w:rPr>
        <w:t>Vs</w:t>
      </w:r>
      <w:r>
        <w:rPr>
          <w:rFonts w:cs="Times New Roman"/>
        </w:rPr>
        <w:t xml:space="preserve"> reduction (e.g., </w:t>
      </w:r>
      <w:r w:rsidRPr="002608AC">
        <w:rPr>
          <w:rFonts w:cs="Times New Roman"/>
          <w:i/>
          <w:iCs/>
          <w:lang w:val="el-GR"/>
        </w:rPr>
        <w:t>δ</w:t>
      </w:r>
      <w:r>
        <w:rPr>
          <w:rFonts w:cs="Times New Roman"/>
          <w:i/>
          <w:iCs/>
        </w:rPr>
        <w:t xml:space="preserve">Vs </w:t>
      </w:r>
      <w:r w:rsidRPr="00314638">
        <w:rPr>
          <w:rFonts w:cs="Times New Roman"/>
        </w:rPr>
        <w:t xml:space="preserve">= </w:t>
      </w:r>
      <w:r>
        <w:rPr>
          <w:rFonts w:cs="Times New Roman"/>
        </w:rPr>
        <w:t xml:space="preserve">-35% as shown in </w:t>
      </w:r>
      <w:r>
        <w:rPr>
          <w:rFonts w:cs="Times New Roman"/>
          <w:color w:val="FF0000"/>
        </w:rPr>
        <w:t>Supplementary Fig. 26</w:t>
      </w:r>
      <w:r>
        <w:rPr>
          <w:rFonts w:cs="Times New Roman"/>
        </w:rPr>
        <w:t xml:space="preserve">), matching the observed SS precursor would require a lower </w:t>
      </w:r>
      <w:proofErr w:type="spellStart"/>
      <w:r w:rsidRPr="002608AC">
        <w:rPr>
          <w:rFonts w:cs="Times New Roman"/>
          <w:i/>
          <w:iCs/>
          <w:lang w:val="el-GR"/>
        </w:rPr>
        <w:t>δρ</w:t>
      </w:r>
      <w:proofErr w:type="spellEnd"/>
      <w:r>
        <w:rPr>
          <w:rFonts w:cs="Times New Roman"/>
        </w:rPr>
        <w:t xml:space="preserve"> and thus a larger </w:t>
      </w:r>
      <w:proofErr w:type="spellStart"/>
      <w:r w:rsidRPr="002608AC">
        <w:rPr>
          <w:rFonts w:cs="Times New Roman"/>
          <w:i/>
          <w:iCs/>
        </w:rPr>
        <w:t>Vp</w:t>
      </w:r>
      <w:proofErr w:type="spellEnd"/>
      <w:r>
        <w:rPr>
          <w:rFonts w:cs="Times New Roman"/>
          <w:i/>
          <w:iCs/>
        </w:rPr>
        <w:t xml:space="preserve"> </w:t>
      </w:r>
      <w:r>
        <w:rPr>
          <w:rFonts w:cs="Times New Roman"/>
        </w:rPr>
        <w:t xml:space="preserve">reduction to explain the characteristics of the PP precursors. These trade-offs highlight the </w:t>
      </w:r>
      <w:r w:rsidRPr="0068263C">
        <w:rPr>
          <w:rFonts w:cs="Times New Roman"/>
        </w:rPr>
        <w:t xml:space="preserve">considerable uncertainties in </w:t>
      </w:r>
      <w:r>
        <w:rPr>
          <w:rFonts w:cs="Times New Roman"/>
        </w:rPr>
        <w:t>constraining</w:t>
      </w:r>
      <w:r w:rsidRPr="0068263C">
        <w:rPr>
          <w:rFonts w:cs="Times New Roman"/>
        </w:rPr>
        <w:t xml:space="preserve"> seismic velocit</w:t>
      </w:r>
      <w:r>
        <w:rPr>
          <w:rFonts w:cs="Times New Roman"/>
        </w:rPr>
        <w:t>ies</w:t>
      </w:r>
      <w:r w:rsidRPr="0068263C">
        <w:rPr>
          <w:rFonts w:cs="Times New Roman"/>
        </w:rPr>
        <w:t xml:space="preserve"> and density within the LVZ</w:t>
      </w:r>
      <w:r>
        <w:rPr>
          <w:rFonts w:cs="Times New Roman"/>
        </w:rPr>
        <w:t>.</w:t>
      </w:r>
    </w:p>
    <w:p w14:paraId="44C940BC" w14:textId="77777777" w:rsidR="007F6E00" w:rsidRDefault="007F6E00">
      <w:pPr>
        <w:widowControl/>
        <w:spacing w:line="240" w:lineRule="auto"/>
        <w:jc w:val="left"/>
        <w:rPr>
          <w:rFonts w:cs="Times New Roman"/>
        </w:rPr>
      </w:pPr>
      <w:r>
        <w:rPr>
          <w:rFonts w:cs="Times New Roman"/>
        </w:rPr>
        <w:br w:type="page"/>
      </w:r>
    </w:p>
    <w:p w14:paraId="77C552F2" w14:textId="77777777" w:rsidR="007F6E00" w:rsidRDefault="007F6E00" w:rsidP="00B1478D">
      <w:pPr>
        <w:spacing w:line="240" w:lineRule="auto"/>
        <w:rPr>
          <w:rFonts w:cs="Times New Roman"/>
        </w:rPr>
      </w:pPr>
      <w:r>
        <w:rPr>
          <w:rFonts w:cs="Times New Roman" w:hint="eastAsia"/>
          <w:noProof/>
        </w:rPr>
        <w:lastRenderedPageBreak/>
        <w:drawing>
          <wp:inline distT="0" distB="0" distL="0" distR="0" wp14:anchorId="270EBCEF" wp14:editId="7B72D158">
            <wp:extent cx="5274310" cy="6117590"/>
            <wp:effectExtent l="0" t="0" r="0" b="381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74310" cy="6117590"/>
                    </a:xfrm>
                    <a:prstGeom prst="rect">
                      <a:avLst/>
                    </a:prstGeom>
                  </pic:spPr>
                </pic:pic>
              </a:graphicData>
            </a:graphic>
          </wp:inline>
        </w:drawing>
      </w:r>
    </w:p>
    <w:p w14:paraId="680C0845" w14:textId="77777777" w:rsidR="007F6E00" w:rsidRDefault="007F6E00" w:rsidP="00B1478D">
      <w:pPr>
        <w:spacing w:line="240" w:lineRule="auto"/>
        <w:rPr>
          <w:rFonts w:cs="Times New Roman"/>
        </w:rPr>
      </w:pPr>
      <w:r>
        <w:rPr>
          <w:rFonts w:cs="Times New Roman" w:hint="eastAsia"/>
          <w:b/>
          <w:bCs/>
        </w:rPr>
        <w:t>Supplementary Fig. 2</w:t>
      </w:r>
      <w:r>
        <w:rPr>
          <w:rFonts w:cs="Times New Roman"/>
          <w:b/>
          <w:bCs/>
        </w:rPr>
        <w:t>4</w:t>
      </w:r>
      <w:r w:rsidRPr="00B1478D">
        <w:rPr>
          <w:rFonts w:cs="Times New Roman"/>
          <w:b/>
          <w:bCs/>
        </w:rPr>
        <w:t xml:space="preserve"> | </w:t>
      </w:r>
      <w:r w:rsidRPr="000D5F60">
        <w:rPr>
          <w:b/>
          <w:bCs/>
        </w:rPr>
        <w:t xml:space="preserve">Relative PDFs of the density profiles below the bounce points. </w:t>
      </w:r>
      <w:r>
        <w:rPr>
          <w:rFonts w:cs="Times New Roman"/>
        </w:rPr>
        <w:t xml:space="preserve">Orange and blue lines denote the median and maximum likelihood models. Density increases at the ~20-km interface for both cases. For the inversion of S0976a, there is no obvious density variation across the upper mantle LVZ at depth of ~90 km, while for S1153a, a density reduction along with a larger uncertainty is obtained, especially for the inversion of </w:t>
      </w:r>
      <w:r w:rsidRPr="002D74C7">
        <w:rPr>
          <w:rFonts w:cs="Times New Roman"/>
          <w:i/>
        </w:rPr>
        <w:t>ΔT</w:t>
      </w:r>
      <w:r w:rsidRPr="002D74C7">
        <w:rPr>
          <w:rFonts w:cs="Times New Roman"/>
        </w:rPr>
        <w:t xml:space="preserve"> and </w:t>
      </w:r>
      <w:r w:rsidRPr="0088119B">
        <w:rPr>
          <w:rFonts w:cs="Times New Roman"/>
          <w:i/>
          <w:iCs/>
        </w:rPr>
        <w:t>AR</w:t>
      </w:r>
      <w:r>
        <w:rPr>
          <w:rFonts w:cs="Times New Roman"/>
        </w:rPr>
        <w:t>.</w:t>
      </w:r>
    </w:p>
    <w:p w14:paraId="30A630BC" w14:textId="77777777" w:rsidR="007F6E00" w:rsidRDefault="007F6E00">
      <w:pPr>
        <w:widowControl/>
        <w:spacing w:line="240" w:lineRule="auto"/>
        <w:jc w:val="left"/>
        <w:rPr>
          <w:rFonts w:cs="Times New Roman"/>
        </w:rPr>
      </w:pPr>
      <w:r>
        <w:rPr>
          <w:rFonts w:cs="Times New Roman"/>
        </w:rPr>
        <w:br w:type="page"/>
      </w:r>
    </w:p>
    <w:p w14:paraId="72A864D3" w14:textId="77777777" w:rsidR="007F6E00" w:rsidRDefault="007F6E00" w:rsidP="00427539">
      <w:pPr>
        <w:tabs>
          <w:tab w:val="center" w:pos="4080"/>
          <w:tab w:val="right" w:pos="8160"/>
        </w:tabs>
        <w:spacing w:line="240" w:lineRule="auto"/>
        <w:jc w:val="center"/>
        <w:rPr>
          <w:rFonts w:cs="Times New Roman"/>
        </w:rPr>
      </w:pPr>
      <w:r>
        <w:rPr>
          <w:rFonts w:cs="Times New Roman" w:hint="eastAsia"/>
          <w:noProof/>
        </w:rPr>
        <w:lastRenderedPageBreak/>
        <w:drawing>
          <wp:inline distT="0" distB="0" distL="0" distR="0" wp14:anchorId="7ED629D5" wp14:editId="790FBCCC">
            <wp:extent cx="4320000" cy="4229502"/>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320000" cy="4229502"/>
                    </a:xfrm>
                    <a:prstGeom prst="rect">
                      <a:avLst/>
                    </a:prstGeom>
                  </pic:spPr>
                </pic:pic>
              </a:graphicData>
            </a:graphic>
          </wp:inline>
        </w:drawing>
      </w:r>
    </w:p>
    <w:p w14:paraId="4130EC43" w14:textId="77777777" w:rsidR="007F6E00" w:rsidRDefault="007F6E00" w:rsidP="00427539">
      <w:pPr>
        <w:tabs>
          <w:tab w:val="center" w:pos="4080"/>
          <w:tab w:val="right" w:pos="8160"/>
        </w:tabs>
        <w:spacing w:line="240" w:lineRule="auto"/>
        <w:rPr>
          <w:rFonts w:cs="Times New Roman"/>
        </w:rPr>
      </w:pPr>
      <w:r>
        <w:rPr>
          <w:rFonts w:cs="Times New Roman" w:hint="eastAsia"/>
          <w:b/>
          <w:bCs/>
        </w:rPr>
        <w:t>Supplementary Fig. 2</w:t>
      </w:r>
      <w:r>
        <w:rPr>
          <w:rFonts w:cs="Times New Roman"/>
          <w:b/>
          <w:bCs/>
        </w:rPr>
        <w:t>5</w:t>
      </w:r>
      <w:r w:rsidRPr="004C7E46">
        <w:rPr>
          <w:rFonts w:cs="Times New Roman"/>
          <w:b/>
          <w:bCs/>
        </w:rPr>
        <w:t xml:space="preserve"> | Amplitude ratios of PP and SS precursors and reflection coefficients of P and S waves at the LVZ’s top boundary</w:t>
      </w:r>
      <w:r>
        <w:rPr>
          <w:rFonts w:cs="Times New Roman"/>
          <w:b/>
          <w:bCs/>
        </w:rPr>
        <w:t xml:space="preserve"> calculated with a fixed </w:t>
      </w:r>
      <w:r w:rsidRPr="006D1EFF">
        <w:rPr>
          <w:rFonts w:cs="Times New Roman"/>
          <w:b/>
          <w:bCs/>
          <w:i/>
          <w:iCs/>
        </w:rPr>
        <w:t>Vs</w:t>
      </w:r>
      <w:r>
        <w:rPr>
          <w:rFonts w:cs="Times New Roman"/>
          <w:b/>
          <w:bCs/>
        </w:rPr>
        <w:t xml:space="preserve"> reduction of 40%</w:t>
      </w:r>
      <w:r w:rsidRPr="004C7E46">
        <w:rPr>
          <w:rFonts w:cs="Times New Roman"/>
          <w:b/>
          <w:bCs/>
        </w:rPr>
        <w:t xml:space="preserve">. </w:t>
      </w:r>
      <w:r>
        <w:rPr>
          <w:rFonts w:cs="Times New Roman"/>
        </w:rPr>
        <w:t xml:space="preserve">(a) Amplitude ratios of PP precursor bouncing off below the LVZ’s top boundary with varying </w:t>
      </w:r>
      <w:proofErr w:type="spellStart"/>
      <w:r w:rsidRPr="004C7E46">
        <w:rPr>
          <w:rFonts w:cs="Times New Roman"/>
          <w:i/>
          <w:iCs/>
        </w:rPr>
        <w:t>Vp</w:t>
      </w:r>
      <w:proofErr w:type="spellEnd"/>
      <w:r>
        <w:rPr>
          <w:rFonts w:cs="Times New Roman"/>
        </w:rPr>
        <w:t xml:space="preserve"> and density perturbations. (b) Amplitude ratios of SS precursors bouncing off below the LVZ’s top boundary with different density perturbations. (c) Reflection coefficients of P wave bouncing off below the LVZ’s top boundary with varying </w:t>
      </w:r>
      <w:proofErr w:type="spellStart"/>
      <w:r w:rsidRPr="004C7E46">
        <w:rPr>
          <w:rFonts w:cs="Times New Roman"/>
          <w:i/>
          <w:iCs/>
        </w:rPr>
        <w:t>Vp</w:t>
      </w:r>
      <w:proofErr w:type="spellEnd"/>
      <w:r>
        <w:rPr>
          <w:rFonts w:cs="Times New Roman"/>
        </w:rPr>
        <w:t xml:space="preserve"> and density perturbations. (d) Reflection coefficients of S wave bouncing off below the LVZ’s top boundary with different density perturbations. Shaded areas denote the ranges of </w:t>
      </w:r>
      <w:proofErr w:type="spellStart"/>
      <w:r w:rsidRPr="00F665A4">
        <w:rPr>
          <w:rFonts w:cs="Times New Roman"/>
          <w:i/>
          <w:iCs/>
        </w:rPr>
        <w:t>Vp</w:t>
      </w:r>
      <w:proofErr w:type="spellEnd"/>
      <w:r>
        <w:rPr>
          <w:rFonts w:cs="Times New Roman"/>
        </w:rPr>
        <w:t xml:space="preserve">, </w:t>
      </w:r>
      <w:r w:rsidRPr="00F665A4">
        <w:rPr>
          <w:rFonts w:cs="Times New Roman"/>
          <w:i/>
          <w:iCs/>
        </w:rPr>
        <w:t>Vs</w:t>
      </w:r>
      <w:r>
        <w:rPr>
          <w:rFonts w:cs="Times New Roman"/>
        </w:rPr>
        <w:t>, and density perturbations constrained by the observed amplitude ratio of the SS precursor. Red</w:t>
      </w:r>
      <w:r w:rsidRPr="00B44A03">
        <w:rPr>
          <w:rFonts w:cs="Times New Roman"/>
        </w:rPr>
        <w:t xml:space="preserve"> parallelogram</w:t>
      </w:r>
      <w:r>
        <w:rPr>
          <w:rFonts w:cs="Times New Roman"/>
        </w:rPr>
        <w:t xml:space="preserve">s denote the ranges of </w:t>
      </w:r>
      <w:proofErr w:type="spellStart"/>
      <w:r w:rsidRPr="00F665A4">
        <w:rPr>
          <w:rFonts w:cs="Times New Roman"/>
          <w:i/>
          <w:iCs/>
        </w:rPr>
        <w:t>Vp</w:t>
      </w:r>
      <w:proofErr w:type="spellEnd"/>
      <w:r>
        <w:rPr>
          <w:rFonts w:cs="Times New Roman"/>
        </w:rPr>
        <w:t xml:space="preserve"> and density perturbations constrained by the observed near zero amplitude PP precursor with an uncertainty estimated</w:t>
      </w:r>
      <w:r w:rsidRPr="002D74C7">
        <w:rPr>
          <w:rFonts w:cs="Times New Roman"/>
        </w:rPr>
        <w:t xml:space="preserve"> by the noise level within a time window </w:t>
      </w:r>
      <w:r>
        <w:rPr>
          <w:rFonts w:cs="Times New Roman"/>
        </w:rPr>
        <w:t xml:space="preserve">of </w:t>
      </w:r>
      <w:r w:rsidRPr="002D74C7">
        <w:rPr>
          <w:rFonts w:cs="Times New Roman"/>
        </w:rPr>
        <w:t>20–30 s before the PP wave</w:t>
      </w:r>
      <w:r>
        <w:rPr>
          <w:rFonts w:cs="Times New Roman"/>
        </w:rPr>
        <w:t xml:space="preserve"> (± 0.07).</w:t>
      </w:r>
    </w:p>
    <w:p w14:paraId="0CE498B1" w14:textId="77777777" w:rsidR="007F6E00" w:rsidRDefault="007F6E00">
      <w:pPr>
        <w:widowControl/>
        <w:spacing w:line="240" w:lineRule="auto"/>
        <w:jc w:val="left"/>
        <w:rPr>
          <w:rFonts w:cs="Times New Roman"/>
        </w:rPr>
      </w:pPr>
      <w:r>
        <w:rPr>
          <w:rFonts w:cs="Times New Roman"/>
        </w:rPr>
        <w:br w:type="page"/>
      </w:r>
    </w:p>
    <w:p w14:paraId="38C26351" w14:textId="77777777" w:rsidR="007F6E00" w:rsidRDefault="007F6E00" w:rsidP="00427539">
      <w:pPr>
        <w:tabs>
          <w:tab w:val="center" w:pos="4080"/>
          <w:tab w:val="right" w:pos="8160"/>
        </w:tabs>
        <w:spacing w:line="240" w:lineRule="auto"/>
        <w:jc w:val="center"/>
        <w:rPr>
          <w:rFonts w:cs="Times New Roman"/>
        </w:rPr>
      </w:pPr>
      <w:r>
        <w:rPr>
          <w:rFonts w:cs="Times New Roman" w:hint="eastAsia"/>
          <w:noProof/>
        </w:rPr>
        <w:lastRenderedPageBreak/>
        <w:drawing>
          <wp:inline distT="0" distB="0" distL="0" distR="0" wp14:anchorId="6BCAD804" wp14:editId="5FCDFFAC">
            <wp:extent cx="4320000" cy="4229502"/>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320000" cy="4229502"/>
                    </a:xfrm>
                    <a:prstGeom prst="rect">
                      <a:avLst/>
                    </a:prstGeom>
                  </pic:spPr>
                </pic:pic>
              </a:graphicData>
            </a:graphic>
          </wp:inline>
        </w:drawing>
      </w:r>
    </w:p>
    <w:p w14:paraId="1468E9ED" w14:textId="77777777" w:rsidR="007F6E00" w:rsidRDefault="007F6E00" w:rsidP="00427539">
      <w:pPr>
        <w:tabs>
          <w:tab w:val="center" w:pos="4080"/>
          <w:tab w:val="right" w:pos="8160"/>
        </w:tabs>
        <w:spacing w:line="240" w:lineRule="auto"/>
        <w:rPr>
          <w:rFonts w:cs="Times New Roman"/>
        </w:rPr>
      </w:pPr>
      <w:r>
        <w:rPr>
          <w:rFonts w:cs="Times New Roman" w:hint="eastAsia"/>
          <w:b/>
          <w:bCs/>
        </w:rPr>
        <w:t>Supplementary Fig. 2</w:t>
      </w:r>
      <w:r>
        <w:rPr>
          <w:rFonts w:cs="Times New Roman"/>
          <w:b/>
          <w:bCs/>
        </w:rPr>
        <w:t>6</w:t>
      </w:r>
      <w:r w:rsidRPr="006D1EFF">
        <w:rPr>
          <w:rFonts w:cs="Times New Roman"/>
          <w:b/>
          <w:bCs/>
        </w:rPr>
        <w:t xml:space="preserve"> | </w:t>
      </w:r>
      <w:r w:rsidRPr="004C7E46">
        <w:rPr>
          <w:rFonts w:cs="Times New Roman"/>
          <w:b/>
          <w:bCs/>
        </w:rPr>
        <w:t>Amplitude ratios of PP and SS precursors and reflection coefficients of P and S waves at the LVZ’s top boundary</w:t>
      </w:r>
      <w:r>
        <w:rPr>
          <w:rFonts w:cs="Times New Roman"/>
          <w:b/>
          <w:bCs/>
        </w:rPr>
        <w:t xml:space="preserve"> calculated with a fixed </w:t>
      </w:r>
      <w:r w:rsidRPr="006D1EFF">
        <w:rPr>
          <w:rFonts w:cs="Times New Roman"/>
          <w:b/>
          <w:bCs/>
          <w:i/>
          <w:iCs/>
        </w:rPr>
        <w:t>Vs</w:t>
      </w:r>
      <w:r>
        <w:rPr>
          <w:rFonts w:cs="Times New Roman"/>
          <w:b/>
          <w:bCs/>
        </w:rPr>
        <w:t xml:space="preserve"> reduction of 35%</w:t>
      </w:r>
      <w:r w:rsidRPr="004C7E46">
        <w:rPr>
          <w:rFonts w:cs="Times New Roman"/>
          <w:b/>
          <w:bCs/>
        </w:rPr>
        <w:t>.</w:t>
      </w:r>
      <w:r>
        <w:rPr>
          <w:rFonts w:cs="Times New Roman"/>
          <w:b/>
          <w:bCs/>
        </w:rPr>
        <w:t xml:space="preserve"> </w:t>
      </w:r>
      <w:r w:rsidRPr="006D1EFF">
        <w:rPr>
          <w:rFonts w:cs="Times New Roman"/>
        </w:rPr>
        <w:t xml:space="preserve">Detailed figure captions are the same as </w:t>
      </w:r>
      <w:r>
        <w:rPr>
          <w:rFonts w:cs="Times New Roman"/>
          <w:color w:val="FF0000"/>
        </w:rPr>
        <w:t>Supplementary Fig. 25</w:t>
      </w:r>
      <w:r w:rsidRPr="006D1EFF">
        <w:rPr>
          <w:rFonts w:cs="Times New Roman"/>
        </w:rPr>
        <w:t>.</w:t>
      </w:r>
    </w:p>
    <w:p w14:paraId="17E2F83A" w14:textId="77777777" w:rsidR="007F6E00" w:rsidRDefault="007F6E00">
      <w:pPr>
        <w:widowControl/>
        <w:spacing w:line="240" w:lineRule="auto"/>
        <w:jc w:val="left"/>
      </w:pPr>
      <w:r>
        <w:br w:type="page"/>
      </w:r>
    </w:p>
    <w:p w14:paraId="7959755A" w14:textId="77777777" w:rsidR="007F6E00" w:rsidRDefault="007F6E00" w:rsidP="00D63BBB">
      <w:pPr>
        <w:pStyle w:val="2"/>
      </w:pPr>
      <w:bookmarkStart w:id="35" w:name="_Toc202208125"/>
      <w:r>
        <w:rPr>
          <w:rFonts w:hint="eastAsia"/>
        </w:rPr>
        <w:lastRenderedPageBreak/>
        <w:t>4</w:t>
      </w:r>
      <w:r>
        <w:t>.6. Moho structures beneath the southern edge of AP and eastern CF</w:t>
      </w:r>
      <w:bookmarkEnd w:id="35"/>
    </w:p>
    <w:p w14:paraId="77F7E4F2" w14:textId="520547F2" w:rsidR="007F6E00" w:rsidRPr="002A6284" w:rsidRDefault="007F6E00" w:rsidP="00D63BBB">
      <w:pPr>
        <w:ind w:firstLineChars="200" w:firstLine="480"/>
        <w:rPr>
          <w:rFonts w:cs="Times New Roman"/>
        </w:rPr>
      </w:pPr>
      <w:r w:rsidRPr="002A6284">
        <w:rPr>
          <w:rFonts w:cs="Times New Roman"/>
        </w:rPr>
        <w:t xml:space="preserve">Due to the lack of confidently identified PP and SS precursors associated with the Moho, we </w:t>
      </w:r>
      <w:r>
        <w:rPr>
          <w:rFonts w:cs="Times New Roman"/>
        </w:rPr>
        <w:t>excluded</w:t>
      </w:r>
      <w:r w:rsidRPr="002A6284">
        <w:rPr>
          <w:rFonts w:cs="Times New Roman"/>
        </w:rPr>
        <w:t xml:space="preserve"> a velocity jump across it </w:t>
      </w:r>
      <w:r>
        <w:rPr>
          <w:rFonts w:cs="Times New Roman"/>
        </w:rPr>
        <w:t>in</w:t>
      </w:r>
      <w:r w:rsidRPr="002A6284">
        <w:rPr>
          <w:rFonts w:cs="Times New Roman"/>
        </w:rPr>
        <w:t xml:space="preserve"> our inversions. However, this does not necessarily imply uniform velocities between the lower crust and the uppermost mantle. One </w:t>
      </w:r>
      <w:r>
        <w:rPr>
          <w:rFonts w:cs="Times New Roman"/>
        </w:rPr>
        <w:t>possibility</w:t>
      </w:r>
      <w:r w:rsidRPr="002A6284">
        <w:rPr>
          <w:rFonts w:cs="Times New Roman"/>
        </w:rPr>
        <w:t xml:space="preserve"> is that Moho-related precursors </w:t>
      </w:r>
      <w:r>
        <w:rPr>
          <w:rFonts w:cs="Times New Roman"/>
        </w:rPr>
        <w:t>have</w:t>
      </w:r>
      <w:r w:rsidRPr="002A6284">
        <w:rPr>
          <w:rFonts w:cs="Times New Roman"/>
        </w:rPr>
        <w:t xml:space="preserve"> weak amplitudes due to a subtle velocity jump, as indicated by</w:t>
      </w:r>
      <w:r>
        <w:rPr>
          <w:rFonts w:cs="Times New Roman"/>
        </w:rPr>
        <w:t xml:space="preserve"> RF inversion results </w:t>
      </w:r>
      <w:r w:rsidRPr="00D63BBB">
        <w:rPr>
          <w:rFonts w:cs="Times New Roman"/>
          <w:color w:val="FF0000"/>
        </w:rPr>
        <w:t>(Fig. 2</w:t>
      </w:r>
      <w:r w:rsidR="00697182">
        <w:rPr>
          <w:rFonts w:cs="Times New Roman" w:hint="eastAsia"/>
          <w:color w:val="FF0000"/>
        </w:rPr>
        <w:t>c</w:t>
      </w:r>
      <w:r w:rsidRPr="00D63BBB">
        <w:rPr>
          <w:rFonts w:cs="Times New Roman"/>
          <w:color w:val="FF0000"/>
        </w:rPr>
        <w:t>)</w:t>
      </w:r>
      <w:r>
        <w:rPr>
          <w:rFonts w:cs="Times New Roman"/>
        </w:rPr>
        <w:t>, rendering them</w:t>
      </w:r>
      <w:r w:rsidRPr="0056235D">
        <w:t xml:space="preserve"> </w:t>
      </w:r>
      <w:r w:rsidRPr="0056235D">
        <w:rPr>
          <w:rFonts w:cs="Times New Roman"/>
        </w:rPr>
        <w:t xml:space="preserve">indistinguishable from noise. To test this, we introduce small velocity jumps across hypothetical Moho interfaces, with depths estimated from crustal models and the differential times of two possible Moho-related SS </w:t>
      </w:r>
      <w:r>
        <w:rPr>
          <w:rFonts w:cs="Times New Roman"/>
        </w:rPr>
        <w:t>precursors</w:t>
      </w:r>
      <w:r w:rsidRPr="0056235D">
        <w:rPr>
          <w:rFonts w:cs="Times New Roman"/>
        </w:rPr>
        <w:t xml:space="preserve"> at 39.5 s and 31.6 s </w:t>
      </w:r>
      <w:r>
        <w:rPr>
          <w:rFonts w:cs="Times New Roman"/>
        </w:rPr>
        <w:t xml:space="preserve">before the SS waves of events S0976a and S1153a, respectively. These two arrivals were previously not regarded as SS precursors </w:t>
      </w:r>
      <w:r w:rsidRPr="002A6284">
        <w:rPr>
          <w:rFonts w:cs="Times New Roman"/>
        </w:rPr>
        <w:t xml:space="preserve">due to their inconsistent amplitudes </w:t>
      </w:r>
      <w:r>
        <w:rPr>
          <w:rFonts w:cs="Times New Roman"/>
        </w:rPr>
        <w:t>and</w:t>
      </w:r>
      <w:r w:rsidRPr="002A6284">
        <w:rPr>
          <w:rFonts w:cs="Times New Roman"/>
        </w:rPr>
        <w:t xml:space="preserve"> low degrees of polarization</w:t>
      </w:r>
      <w:r>
        <w:rPr>
          <w:rFonts w:cs="Times New Roman"/>
        </w:rPr>
        <w:t xml:space="preserve"> </w:t>
      </w:r>
      <w:r w:rsidRPr="00D63BBB">
        <w:rPr>
          <w:rFonts w:cs="Times New Roman"/>
          <w:color w:val="FF0000"/>
        </w:rPr>
        <w:t>(</w:t>
      </w:r>
      <w:r>
        <w:rPr>
          <w:rFonts w:cs="Times New Roman"/>
          <w:color w:val="FF0000"/>
        </w:rPr>
        <w:t>Supplementary</w:t>
      </w:r>
      <w:r w:rsidRPr="00D63BBB">
        <w:rPr>
          <w:rFonts w:cs="Times New Roman"/>
          <w:color w:val="FF0000"/>
        </w:rPr>
        <w:t xml:space="preserve"> Fig</w:t>
      </w:r>
      <w:r>
        <w:rPr>
          <w:rFonts w:cs="Times New Roman"/>
          <w:color w:val="FF0000"/>
        </w:rPr>
        <w:t>s</w:t>
      </w:r>
      <w:r w:rsidRPr="00D63BBB">
        <w:rPr>
          <w:rFonts w:cs="Times New Roman"/>
          <w:color w:val="FF0000"/>
        </w:rPr>
        <w:t xml:space="preserve">. </w:t>
      </w:r>
      <w:r>
        <w:rPr>
          <w:rFonts w:cs="Times New Roman"/>
          <w:color w:val="FF0000"/>
        </w:rPr>
        <w:t>5 and 11</w:t>
      </w:r>
      <w:r w:rsidRPr="00D63BBB">
        <w:rPr>
          <w:rFonts w:cs="Times New Roman"/>
          <w:color w:val="FF0000"/>
        </w:rPr>
        <w:t>)</w:t>
      </w:r>
      <w:r>
        <w:rPr>
          <w:rFonts w:cs="Times New Roman"/>
        </w:rPr>
        <w:t>, but i</w:t>
      </w:r>
      <w:r w:rsidRPr="002A6284">
        <w:rPr>
          <w:rFonts w:cs="Times New Roman"/>
        </w:rPr>
        <w:t xml:space="preserve">f </w:t>
      </w:r>
      <w:r w:rsidRPr="00854465">
        <w:rPr>
          <w:rFonts w:cs="Times New Roman"/>
        </w:rPr>
        <w:t>interpreted as Moho reflections, they yield overlapping crustal thicknesses slightly larger than those from gravity and topography data</w:t>
      </w:r>
      <w:r w:rsidRPr="00D27662">
        <w:rPr>
          <w:rFonts w:cs="Times New Roman"/>
          <w:noProof/>
          <w:vertAlign w:val="superscript"/>
        </w:rPr>
        <w:t>46</w:t>
      </w:r>
      <w:r w:rsidRPr="002A6284">
        <w:rPr>
          <w:rFonts w:cs="Times New Roman"/>
        </w:rPr>
        <w:t xml:space="preserve"> </w:t>
      </w:r>
      <w:r w:rsidRPr="00D63BBB">
        <w:rPr>
          <w:rFonts w:cs="Times New Roman"/>
          <w:color w:val="FF0000"/>
        </w:rPr>
        <w:t>(</w:t>
      </w:r>
      <w:r>
        <w:rPr>
          <w:rFonts w:cs="Times New Roman"/>
          <w:color w:val="FF0000"/>
        </w:rPr>
        <w:t>Supplementary Fig. 27</w:t>
      </w:r>
      <w:r w:rsidRPr="00D63BBB">
        <w:rPr>
          <w:rFonts w:cs="Times New Roman"/>
          <w:color w:val="FF0000"/>
        </w:rPr>
        <w:t>)</w:t>
      </w:r>
      <w:r>
        <w:rPr>
          <w:rFonts w:cs="Times New Roman"/>
        </w:rPr>
        <w:t>.</w:t>
      </w:r>
    </w:p>
    <w:p w14:paraId="7C16FD70" w14:textId="77777777" w:rsidR="007F6E00" w:rsidRDefault="007F6E00" w:rsidP="00854465">
      <w:pPr>
        <w:ind w:firstLine="426"/>
        <w:rPr>
          <w:rFonts w:cs="Times New Roman"/>
        </w:rPr>
      </w:pPr>
      <w:r w:rsidRPr="00854465">
        <w:rPr>
          <w:rFonts w:cs="Times New Roman"/>
        </w:rPr>
        <w:t xml:space="preserve">We </w:t>
      </w:r>
      <w:r>
        <w:rPr>
          <w:rFonts w:cs="Times New Roman"/>
        </w:rPr>
        <w:t>establish</w:t>
      </w:r>
      <w:r w:rsidRPr="00854465">
        <w:rPr>
          <w:rFonts w:cs="Times New Roman"/>
        </w:rPr>
        <w:t xml:space="preserve"> the crustal structure using the median model from the precursor inversion results, then introduce a series of </w:t>
      </w:r>
      <w:r w:rsidRPr="00854465">
        <w:rPr>
          <w:rFonts w:cs="Times New Roman"/>
          <w:i/>
          <w:iCs/>
        </w:rPr>
        <w:t>Vs</w:t>
      </w:r>
      <w:r w:rsidRPr="00854465">
        <w:rPr>
          <w:rFonts w:cs="Times New Roman"/>
        </w:rPr>
        <w:t xml:space="preserve"> jumps across the Moho interface. A grid search is performed to determine the depth and velocity contrast of the upper mantle LVZ by </w:t>
      </w:r>
      <w:r>
        <w:rPr>
          <w:rFonts w:cs="Times New Roman"/>
        </w:rPr>
        <w:t xml:space="preserve">matching the </w:t>
      </w:r>
      <w:r w:rsidRPr="002D74C7">
        <w:rPr>
          <w:rFonts w:cs="Times New Roman"/>
          <w:i/>
        </w:rPr>
        <w:t>ΔT</w:t>
      </w:r>
      <w:r w:rsidRPr="002D74C7">
        <w:rPr>
          <w:rFonts w:cs="Times New Roman"/>
        </w:rPr>
        <w:t xml:space="preserve"> and </w:t>
      </w:r>
      <w:r w:rsidRPr="002D74C7">
        <w:rPr>
          <w:rFonts w:cs="Times New Roman"/>
          <w:i/>
        </w:rPr>
        <w:t>AR</w:t>
      </w:r>
      <w:r w:rsidRPr="00854465">
        <w:rPr>
          <w:rFonts w:cs="Times New Roman"/>
        </w:rPr>
        <w:t xml:space="preserve"> </w:t>
      </w:r>
      <w:r>
        <w:rPr>
          <w:rFonts w:cs="Times New Roman"/>
        </w:rPr>
        <w:t xml:space="preserve">of the </w:t>
      </w:r>
      <w:r w:rsidRPr="00854465">
        <w:rPr>
          <w:rFonts w:cs="Times New Roman"/>
        </w:rPr>
        <w:t>SS precursor</w:t>
      </w:r>
      <w:r>
        <w:rPr>
          <w:rFonts w:cs="Times New Roman"/>
        </w:rPr>
        <w:t xml:space="preserve"> </w:t>
      </w:r>
      <w:r w:rsidRPr="00D63BBB">
        <w:rPr>
          <w:rFonts w:cs="Times New Roman"/>
          <w:color w:val="FF0000"/>
        </w:rPr>
        <w:t xml:space="preserve">(Supplementary Figs. </w:t>
      </w:r>
      <w:r>
        <w:rPr>
          <w:rFonts w:cs="Times New Roman"/>
          <w:color w:val="FF0000"/>
        </w:rPr>
        <w:t>28</w:t>
      </w:r>
      <w:r w:rsidRPr="00D63BBB">
        <w:rPr>
          <w:rFonts w:cs="Times New Roman"/>
          <w:color w:val="FF0000"/>
        </w:rPr>
        <w:t>–</w:t>
      </w:r>
      <w:r>
        <w:rPr>
          <w:rFonts w:cs="Times New Roman"/>
          <w:color w:val="FF0000"/>
        </w:rPr>
        <w:t>31</w:t>
      </w:r>
      <w:r w:rsidRPr="00D63BBB">
        <w:rPr>
          <w:rFonts w:cs="Times New Roman"/>
          <w:color w:val="FF0000"/>
        </w:rPr>
        <w:t>)</w:t>
      </w:r>
      <w:r>
        <w:rPr>
          <w:rFonts w:cs="Times New Roman"/>
        </w:rPr>
        <w:t xml:space="preserve">. </w:t>
      </w:r>
      <w:r w:rsidRPr="00B3721C">
        <w:rPr>
          <w:rFonts w:cs="Times New Roman"/>
        </w:rPr>
        <w:t xml:space="preserve">As the Moho </w:t>
      </w:r>
      <w:r w:rsidRPr="00B3721C">
        <w:rPr>
          <w:rFonts w:cs="Times New Roman"/>
          <w:i/>
          <w:iCs/>
        </w:rPr>
        <w:t>Vs</w:t>
      </w:r>
      <w:r w:rsidRPr="00B3721C">
        <w:rPr>
          <w:rFonts w:cs="Times New Roman"/>
        </w:rPr>
        <w:t xml:space="preserve"> jump increases from 0 to 0.5 km/s, the best-fitting LVZ depth rises from 91 to 96 km for event S0976a, and from 92 to 109 km for S1153a</w:t>
      </w:r>
      <w:r w:rsidRPr="002A6284">
        <w:rPr>
          <w:rFonts w:cs="Times New Roman"/>
        </w:rPr>
        <w:t xml:space="preserve"> </w:t>
      </w:r>
      <w:r w:rsidRPr="00D63BBB">
        <w:rPr>
          <w:rFonts w:cs="Times New Roman"/>
          <w:color w:val="FF0000"/>
        </w:rPr>
        <w:t xml:space="preserve">(Supplementary Figs. </w:t>
      </w:r>
      <w:r>
        <w:rPr>
          <w:rFonts w:cs="Times New Roman"/>
          <w:color w:val="FF0000"/>
        </w:rPr>
        <w:t>28 and 30</w:t>
      </w:r>
      <w:r w:rsidRPr="00D63BBB">
        <w:rPr>
          <w:rFonts w:cs="Times New Roman"/>
          <w:color w:val="FF0000"/>
        </w:rPr>
        <w:t>)</w:t>
      </w:r>
      <w:r>
        <w:rPr>
          <w:rFonts w:cs="Times New Roman"/>
        </w:rPr>
        <w:t>, and t</w:t>
      </w:r>
      <w:r w:rsidRPr="002A6284">
        <w:rPr>
          <w:rFonts w:cs="Times New Roman"/>
        </w:rPr>
        <w:t>he velocity reductions within the LVZ slight</w:t>
      </w:r>
      <w:r>
        <w:rPr>
          <w:rFonts w:cs="Times New Roman"/>
        </w:rPr>
        <w:t>ly</w:t>
      </w:r>
      <w:r w:rsidRPr="002A6284">
        <w:rPr>
          <w:rFonts w:cs="Times New Roman"/>
        </w:rPr>
        <w:t xml:space="preserve"> increases </w:t>
      </w:r>
      <w:r w:rsidRPr="00D63BBB">
        <w:rPr>
          <w:rFonts w:cs="Times New Roman"/>
          <w:color w:val="FF0000"/>
        </w:rPr>
        <w:t>(</w:t>
      </w:r>
      <w:r>
        <w:rPr>
          <w:rFonts w:cs="Times New Roman"/>
          <w:color w:val="FF0000"/>
        </w:rPr>
        <w:t xml:space="preserve">a–c in </w:t>
      </w:r>
      <w:r w:rsidRPr="00D63BBB">
        <w:rPr>
          <w:rFonts w:cs="Times New Roman"/>
          <w:color w:val="FF0000"/>
        </w:rPr>
        <w:lastRenderedPageBreak/>
        <w:t xml:space="preserve">Supplementary Figs. </w:t>
      </w:r>
      <w:r>
        <w:rPr>
          <w:rFonts w:cs="Times New Roman"/>
          <w:color w:val="FF0000"/>
        </w:rPr>
        <w:t>29 and 31</w:t>
      </w:r>
      <w:r w:rsidRPr="00D63BBB">
        <w:rPr>
          <w:rFonts w:cs="Times New Roman"/>
          <w:color w:val="FF0000"/>
        </w:rPr>
        <w:t>)</w:t>
      </w:r>
      <w:r>
        <w:rPr>
          <w:rFonts w:cs="Times New Roman"/>
        </w:rPr>
        <w:t xml:space="preserve">. </w:t>
      </w:r>
      <w:r w:rsidRPr="00B3721C">
        <w:rPr>
          <w:rFonts w:cs="Times New Roman"/>
        </w:rPr>
        <w:t xml:space="preserve">However, the resulting models predict very weak Moho-related SS precursors, with amplitudes below 8% and 2% of the SS waves for S0976a and S1153a, respectively </w:t>
      </w:r>
      <w:r w:rsidRPr="00D63BBB">
        <w:rPr>
          <w:rFonts w:cs="Times New Roman"/>
          <w:color w:val="FF0000"/>
        </w:rPr>
        <w:t>(</w:t>
      </w:r>
      <w:r>
        <w:rPr>
          <w:rFonts w:cs="Times New Roman"/>
          <w:color w:val="FF0000"/>
        </w:rPr>
        <w:t xml:space="preserve">d–e in </w:t>
      </w:r>
      <w:r w:rsidRPr="00D63BBB">
        <w:rPr>
          <w:rFonts w:cs="Times New Roman"/>
          <w:color w:val="FF0000"/>
        </w:rPr>
        <w:t xml:space="preserve">Supplementary Figs. </w:t>
      </w:r>
      <w:r>
        <w:rPr>
          <w:rFonts w:cs="Times New Roman"/>
          <w:color w:val="FF0000"/>
        </w:rPr>
        <w:t>29 and 31</w:t>
      </w:r>
      <w:r w:rsidRPr="00D63BBB">
        <w:rPr>
          <w:rFonts w:cs="Times New Roman"/>
          <w:color w:val="FF0000"/>
        </w:rPr>
        <w:t>)</w:t>
      </w:r>
      <w:r>
        <w:rPr>
          <w:rFonts w:cs="Times New Roman"/>
        </w:rPr>
        <w:t>.</w:t>
      </w:r>
    </w:p>
    <w:p w14:paraId="1905B6B0" w14:textId="77777777" w:rsidR="007F6E00" w:rsidRDefault="007F6E00" w:rsidP="00D63BBB">
      <w:pPr>
        <w:ind w:firstLine="420"/>
        <w:rPr>
          <w:rFonts w:cs="Times New Roman"/>
        </w:rPr>
      </w:pPr>
      <w:r>
        <w:rPr>
          <w:rFonts w:cs="Times New Roman"/>
        </w:rPr>
        <w:t>Our synthetic tests indicate that a small impedance of the Moho discontinuity results in a too weak Moho-related SS precursor to be identified. Such a small impedance across Moho could serve as evidence for the metasomatic underplating process on Mars proposed by ref.</w:t>
      </w:r>
      <w:r w:rsidRPr="00D27662">
        <w:rPr>
          <w:rFonts w:cs="Times New Roman"/>
          <w:noProof/>
          <w:vertAlign w:val="superscript"/>
        </w:rPr>
        <w:t xml:space="preserve"> 47</w:t>
      </w:r>
      <w:r>
        <w:rPr>
          <w:rFonts w:cs="Times New Roman"/>
        </w:rPr>
        <w:t xml:space="preserve">. </w:t>
      </w:r>
      <w:r w:rsidRPr="00B3721C">
        <w:rPr>
          <w:rFonts w:cs="Times New Roman"/>
        </w:rPr>
        <w:t>On Earth, similar underplating occurs beneath oceanic islands associated with hotspot volcanism, forming a basal crustal layer with seismic velocities intermediate between gabbro and peridotite</w:t>
      </w:r>
      <w:r w:rsidRPr="00D27662">
        <w:rPr>
          <w:rFonts w:cs="Times New Roman"/>
          <w:noProof/>
          <w:vertAlign w:val="superscript"/>
        </w:rPr>
        <w:t>48</w:t>
      </w:r>
      <w:r>
        <w:rPr>
          <w:rFonts w:cs="Times New Roman"/>
        </w:rPr>
        <w:t xml:space="preserve">, or a </w:t>
      </w:r>
      <w:proofErr w:type="spellStart"/>
      <w:r>
        <w:rPr>
          <w:rFonts w:cs="Times New Roman"/>
        </w:rPr>
        <w:t>serpentinized</w:t>
      </w:r>
      <w:proofErr w:type="spellEnd"/>
      <w:r>
        <w:rPr>
          <w:rFonts w:cs="Times New Roman"/>
        </w:rPr>
        <w:t xml:space="preserve"> sub-Moho layer</w:t>
      </w:r>
      <w:r w:rsidRPr="00D27662">
        <w:rPr>
          <w:rFonts w:cs="Times New Roman"/>
          <w:noProof/>
          <w:vertAlign w:val="superscript"/>
        </w:rPr>
        <w:t>49</w:t>
      </w:r>
      <w:r>
        <w:rPr>
          <w:rFonts w:cs="Times New Roman"/>
        </w:rPr>
        <w:t xml:space="preserve">. </w:t>
      </w:r>
      <w:r w:rsidRPr="007327E6">
        <w:rPr>
          <w:rFonts w:cs="Times New Roman"/>
        </w:rPr>
        <w:t>Upper mantle velocities can also be reduced by partial melting or magma chambers, as observed beneath the Canary Islands</w:t>
      </w:r>
      <w:r w:rsidRPr="00D27662">
        <w:rPr>
          <w:rFonts w:cs="Times New Roman"/>
          <w:noProof/>
          <w:vertAlign w:val="superscript"/>
        </w:rPr>
        <w:t>50</w:t>
      </w:r>
      <w:r>
        <w:rPr>
          <w:rFonts w:cs="Times New Roman"/>
        </w:rPr>
        <w:t>. Notably, the eastern CF lies within Elysium Planitia, while the southern edge of AP is close to both Elysium Planitia and Tharsis, which</w:t>
      </w:r>
      <w:r w:rsidRPr="002A6284">
        <w:rPr>
          <w:rFonts w:cs="Times New Roman"/>
        </w:rPr>
        <w:t xml:space="preserve"> are </w:t>
      </w:r>
      <w:r w:rsidRPr="007327E6">
        <w:rPr>
          <w:rFonts w:cs="Times New Roman"/>
        </w:rPr>
        <w:t>volcanic-tectonic regions with lava flows from recent volcanic activity within the last few to tens of millions of years</w:t>
      </w:r>
      <w:r w:rsidRPr="00D27662">
        <w:rPr>
          <w:rFonts w:cs="Times New Roman"/>
          <w:noProof/>
          <w:vertAlign w:val="superscript"/>
        </w:rPr>
        <w:t>51,52</w:t>
      </w:r>
      <w:r>
        <w:rPr>
          <w:rFonts w:cs="Times New Roman"/>
        </w:rPr>
        <w:t xml:space="preserve">. </w:t>
      </w:r>
      <w:r w:rsidRPr="007327E6">
        <w:rPr>
          <w:rFonts w:cs="Times New Roman"/>
        </w:rPr>
        <w:t>If these Martian regions share similarities with terrestrial oceanic hotspots, processes such as mafic–ultramafic underplating or upper mantle serpentinization could reduce the velocity contrast across the Moho.</w:t>
      </w:r>
    </w:p>
    <w:p w14:paraId="0B3E414D" w14:textId="77777777" w:rsidR="007F6E00" w:rsidRDefault="007F6E00">
      <w:pPr>
        <w:widowControl/>
        <w:spacing w:line="240" w:lineRule="auto"/>
        <w:jc w:val="left"/>
        <w:rPr>
          <w:rFonts w:cs="Times New Roman"/>
        </w:rPr>
      </w:pPr>
      <w:r>
        <w:rPr>
          <w:rFonts w:cs="Times New Roman"/>
        </w:rPr>
        <w:br w:type="page"/>
      </w:r>
    </w:p>
    <w:p w14:paraId="6E5BE5C3" w14:textId="77777777" w:rsidR="007F6E00" w:rsidRDefault="007F6E00" w:rsidP="00254358">
      <w:pPr>
        <w:tabs>
          <w:tab w:val="center" w:pos="4080"/>
          <w:tab w:val="right" w:pos="8160"/>
        </w:tabs>
        <w:spacing w:line="240" w:lineRule="auto"/>
        <w:jc w:val="center"/>
        <w:rPr>
          <w:rFonts w:cs="Times New Roman"/>
        </w:rPr>
      </w:pPr>
      <w:r>
        <w:rPr>
          <w:rFonts w:cs="Times New Roman" w:hint="eastAsia"/>
          <w:noProof/>
        </w:rPr>
        <w:lastRenderedPageBreak/>
        <w:drawing>
          <wp:inline distT="0" distB="0" distL="0" distR="0" wp14:anchorId="7CD64AD0" wp14:editId="44010BE4">
            <wp:extent cx="4320000" cy="4418820"/>
            <wp:effectExtent l="0" t="0" r="0" b="127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320000" cy="4418820"/>
                    </a:xfrm>
                    <a:prstGeom prst="rect">
                      <a:avLst/>
                    </a:prstGeom>
                  </pic:spPr>
                </pic:pic>
              </a:graphicData>
            </a:graphic>
          </wp:inline>
        </w:drawing>
      </w:r>
    </w:p>
    <w:p w14:paraId="568A4BEC" w14:textId="77777777" w:rsidR="007F6E00" w:rsidRDefault="007F6E00" w:rsidP="00254358">
      <w:pPr>
        <w:tabs>
          <w:tab w:val="center" w:pos="4080"/>
          <w:tab w:val="right" w:pos="8160"/>
        </w:tabs>
        <w:spacing w:line="240" w:lineRule="auto"/>
        <w:rPr>
          <w:rFonts w:cs="Times New Roman"/>
        </w:rPr>
      </w:pPr>
      <w:r>
        <w:rPr>
          <w:b/>
          <w:bCs/>
        </w:rPr>
        <w:t>Supplementary Fig. 27</w:t>
      </w:r>
      <w:r w:rsidRPr="000D5F60">
        <w:rPr>
          <w:b/>
          <w:bCs/>
        </w:rPr>
        <w:t xml:space="preserve"> | Crustal thicknesses at </w:t>
      </w:r>
      <w:r>
        <w:rPr>
          <w:b/>
          <w:bCs/>
        </w:rPr>
        <w:t>eastern CF</w:t>
      </w:r>
      <w:r w:rsidRPr="000D5F60">
        <w:rPr>
          <w:b/>
          <w:bCs/>
        </w:rPr>
        <w:t xml:space="preserve"> and </w:t>
      </w:r>
      <w:r>
        <w:rPr>
          <w:b/>
          <w:bCs/>
        </w:rPr>
        <w:t>southern edge of AP</w:t>
      </w:r>
      <w:r w:rsidRPr="000D5F60">
        <w:rPr>
          <w:b/>
          <w:bCs/>
        </w:rPr>
        <w:t xml:space="preserve">. </w:t>
      </w:r>
      <w:r>
        <w:rPr>
          <w:rFonts w:cs="Times New Roman"/>
        </w:rPr>
        <w:t xml:space="preserve">(a) Regional distribution of the crustal thickness from </w:t>
      </w:r>
      <w:r>
        <w:rPr>
          <w:rFonts w:cs="Times New Roman"/>
          <w:noProof/>
        </w:rPr>
        <w:t xml:space="preserve">Wieczorek, et al. </w:t>
      </w:r>
      <w:r w:rsidRPr="00D27662">
        <w:rPr>
          <w:rFonts w:cs="Times New Roman"/>
          <w:noProof/>
          <w:vertAlign w:val="superscript"/>
        </w:rPr>
        <w:t>46</w:t>
      </w:r>
      <w:r>
        <w:rPr>
          <w:rFonts w:cs="Times New Roman"/>
        </w:rPr>
        <w:t>. Black triangle denotes the location of InSight lander. Yellow and blue ellipses denote the locations of bounce points of S1153a (eastern CF) and S0976a (southern edge of AP). Red dashed circle denotes the location of plume head proposed by ref.</w:t>
      </w:r>
      <w:r w:rsidRPr="00254358">
        <w:rPr>
          <w:rFonts w:cs="Times New Roman"/>
          <w:noProof/>
          <w:vertAlign w:val="superscript"/>
        </w:rPr>
        <w:t xml:space="preserve"> 11</w:t>
      </w:r>
      <w:r>
        <w:rPr>
          <w:rFonts w:cs="Times New Roman"/>
        </w:rPr>
        <w:t>. Purple dashed line denotes the Martian dichotomy boundary from ref.</w:t>
      </w:r>
      <w:r w:rsidRPr="00D27662">
        <w:rPr>
          <w:rFonts w:cs="Times New Roman"/>
          <w:noProof/>
          <w:vertAlign w:val="superscript"/>
        </w:rPr>
        <w:t xml:space="preserve"> 53</w:t>
      </w:r>
      <w:r>
        <w:rPr>
          <w:rFonts w:cs="Times New Roman"/>
        </w:rPr>
        <w:t>. (b) Comparison of the crustal thicknesses at bounce points derived from topography and gravity data by ref.</w:t>
      </w:r>
      <w:r w:rsidRPr="00D27662">
        <w:rPr>
          <w:rFonts w:cs="Times New Roman"/>
          <w:noProof/>
          <w:vertAlign w:val="superscript"/>
        </w:rPr>
        <w:t xml:space="preserve"> 46</w:t>
      </w:r>
      <w:r>
        <w:rPr>
          <w:rFonts w:cs="Times New Roman"/>
        </w:rPr>
        <w:t xml:space="preserve"> (gravity) and from our seismic inversion results with potential Moho-related SS precursors (seismic). The crustal thicknesses at two bounce points from seismic data have overlapping distributions but slightly larger values than those from gravity data.</w:t>
      </w:r>
    </w:p>
    <w:p w14:paraId="128F6DBC" w14:textId="77777777" w:rsidR="007F6E00" w:rsidRDefault="007F6E00">
      <w:pPr>
        <w:widowControl/>
        <w:spacing w:line="240" w:lineRule="auto"/>
        <w:jc w:val="left"/>
        <w:rPr>
          <w:rFonts w:cs="Times New Roman"/>
        </w:rPr>
      </w:pPr>
      <w:r>
        <w:rPr>
          <w:rFonts w:cs="Times New Roman"/>
        </w:rPr>
        <w:br w:type="page"/>
      </w:r>
    </w:p>
    <w:p w14:paraId="23718656" w14:textId="77777777" w:rsidR="007F6E00" w:rsidRDefault="007F6E00" w:rsidP="00254358">
      <w:pPr>
        <w:tabs>
          <w:tab w:val="center" w:pos="4080"/>
          <w:tab w:val="right" w:pos="8160"/>
        </w:tabs>
        <w:spacing w:line="240" w:lineRule="auto"/>
        <w:jc w:val="center"/>
        <w:rPr>
          <w:rFonts w:cs="Times New Roman"/>
        </w:rPr>
      </w:pPr>
      <w:r>
        <w:rPr>
          <w:rFonts w:cs="Times New Roman"/>
          <w:noProof/>
        </w:rPr>
        <w:lastRenderedPageBreak/>
        <w:drawing>
          <wp:inline distT="0" distB="0" distL="0" distR="0" wp14:anchorId="77320D41" wp14:editId="5633783D">
            <wp:extent cx="4320000" cy="5381537"/>
            <wp:effectExtent l="0" t="0" r="0" b="381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320000" cy="5381537"/>
                    </a:xfrm>
                    <a:prstGeom prst="rect">
                      <a:avLst/>
                    </a:prstGeom>
                  </pic:spPr>
                </pic:pic>
              </a:graphicData>
            </a:graphic>
          </wp:inline>
        </w:drawing>
      </w:r>
    </w:p>
    <w:p w14:paraId="553B5E31" w14:textId="77777777" w:rsidR="007F6E00" w:rsidRDefault="007F6E00" w:rsidP="00254358">
      <w:pPr>
        <w:tabs>
          <w:tab w:val="center" w:pos="4080"/>
          <w:tab w:val="right" w:pos="8160"/>
        </w:tabs>
        <w:spacing w:line="240" w:lineRule="auto"/>
        <w:rPr>
          <w:rFonts w:cs="Times New Roman"/>
        </w:rPr>
      </w:pPr>
      <w:r>
        <w:rPr>
          <w:b/>
          <w:bCs/>
        </w:rPr>
        <w:t>Supplementary Fig. 28</w:t>
      </w:r>
      <w:r w:rsidRPr="000D5F60">
        <w:rPr>
          <w:b/>
          <w:bCs/>
        </w:rPr>
        <w:t xml:space="preserve"> | Grid search results of the depth and Vs reduction of the upper mantle LVZ below the </w:t>
      </w:r>
      <w:r>
        <w:rPr>
          <w:b/>
          <w:bCs/>
        </w:rPr>
        <w:t>southern edge of AP</w:t>
      </w:r>
      <w:r w:rsidRPr="000D5F60">
        <w:rPr>
          <w:b/>
          <w:bCs/>
        </w:rPr>
        <w:t xml:space="preserve">. </w:t>
      </w:r>
      <w:r>
        <w:rPr>
          <w:rFonts w:cs="Times New Roman"/>
        </w:rPr>
        <w:t xml:space="preserve">(a)-(f) correspond to a series of </w:t>
      </w:r>
      <w:r w:rsidRPr="00446ABD">
        <w:rPr>
          <w:rFonts w:cs="Times New Roman"/>
          <w:i/>
          <w:iCs/>
        </w:rPr>
        <w:t>Vs</w:t>
      </w:r>
      <w:r>
        <w:rPr>
          <w:rFonts w:cs="Times New Roman"/>
        </w:rPr>
        <w:t xml:space="preserve"> jump across the Moho from 0 to 0.5 km/s. Black circle in each panel denotes the best fitting values of the LVZ depth and </w:t>
      </w:r>
      <w:r w:rsidRPr="00446ABD">
        <w:rPr>
          <w:rFonts w:cs="Times New Roman"/>
          <w:i/>
          <w:iCs/>
        </w:rPr>
        <w:t>Vs</w:t>
      </w:r>
      <w:r>
        <w:rPr>
          <w:rFonts w:cs="Times New Roman"/>
        </w:rPr>
        <w:t xml:space="preserve"> reduction.</w:t>
      </w:r>
    </w:p>
    <w:p w14:paraId="61996C8B" w14:textId="77777777" w:rsidR="007F6E00" w:rsidRDefault="007F6E00">
      <w:pPr>
        <w:widowControl/>
        <w:spacing w:line="240" w:lineRule="auto"/>
        <w:jc w:val="left"/>
        <w:rPr>
          <w:rFonts w:cs="Times New Roman"/>
        </w:rPr>
      </w:pPr>
      <w:r>
        <w:rPr>
          <w:rFonts w:cs="Times New Roman"/>
        </w:rPr>
        <w:br w:type="page"/>
      </w:r>
    </w:p>
    <w:p w14:paraId="55E5FC2B" w14:textId="77777777" w:rsidR="007F6E00" w:rsidRDefault="007F6E00" w:rsidP="00254358">
      <w:pPr>
        <w:tabs>
          <w:tab w:val="center" w:pos="4080"/>
          <w:tab w:val="right" w:pos="8160"/>
        </w:tabs>
        <w:spacing w:line="240" w:lineRule="auto"/>
        <w:jc w:val="center"/>
        <w:rPr>
          <w:rFonts w:cs="Times New Roman"/>
        </w:rPr>
      </w:pPr>
      <w:r>
        <w:rPr>
          <w:rFonts w:cs="Times New Roman" w:hint="eastAsia"/>
          <w:noProof/>
        </w:rPr>
        <w:lastRenderedPageBreak/>
        <w:drawing>
          <wp:inline distT="0" distB="0" distL="0" distR="0" wp14:anchorId="0F989F4B" wp14:editId="6D23BFA2">
            <wp:extent cx="4320000" cy="7488644"/>
            <wp:effectExtent l="0" t="0" r="0" b="444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320000" cy="7488644"/>
                    </a:xfrm>
                    <a:prstGeom prst="rect">
                      <a:avLst/>
                    </a:prstGeom>
                  </pic:spPr>
                </pic:pic>
              </a:graphicData>
            </a:graphic>
          </wp:inline>
        </w:drawing>
      </w:r>
    </w:p>
    <w:p w14:paraId="7307D822" w14:textId="77777777" w:rsidR="007F6E00" w:rsidRDefault="007F6E00" w:rsidP="00254358">
      <w:pPr>
        <w:tabs>
          <w:tab w:val="center" w:pos="4080"/>
          <w:tab w:val="right" w:pos="8160"/>
        </w:tabs>
        <w:spacing w:line="240" w:lineRule="auto"/>
        <w:rPr>
          <w:rFonts w:cs="Times New Roman"/>
        </w:rPr>
      </w:pPr>
      <w:r>
        <w:rPr>
          <w:b/>
          <w:bCs/>
        </w:rPr>
        <w:t>Supplementary Fig. 29</w:t>
      </w:r>
      <w:r w:rsidRPr="000D5F60">
        <w:rPr>
          <w:b/>
          <w:bCs/>
        </w:rPr>
        <w:t xml:space="preserve"> | Synthetic test result of the potential velocity jump across Moho below the </w:t>
      </w:r>
      <w:r>
        <w:rPr>
          <w:b/>
          <w:bCs/>
        </w:rPr>
        <w:t>southern edge of AP</w:t>
      </w:r>
      <w:r w:rsidRPr="000D5F60">
        <w:rPr>
          <w:b/>
          <w:bCs/>
        </w:rPr>
        <w:t xml:space="preserve">. </w:t>
      </w:r>
      <w:r>
        <w:rPr>
          <w:rFonts w:cs="Times New Roman"/>
        </w:rPr>
        <w:t xml:space="preserve">(a) </w:t>
      </w:r>
      <w:r w:rsidRPr="00446ABD">
        <w:rPr>
          <w:rFonts w:cs="Times New Roman"/>
          <w:i/>
          <w:iCs/>
        </w:rPr>
        <w:t>Vs</w:t>
      </w:r>
      <w:r>
        <w:rPr>
          <w:rFonts w:cs="Times New Roman"/>
        </w:rPr>
        <w:t xml:space="preserve"> models used in the test. The crustal structure is fixed as the median model from precursor inversion. The Moho depth is calculated from crustal structure and the 39.5 s differential travel time of a potential Moho-related SS precursor. A series of </w:t>
      </w:r>
      <w:r w:rsidRPr="00446ABD">
        <w:rPr>
          <w:rFonts w:cs="Times New Roman"/>
          <w:i/>
          <w:iCs/>
        </w:rPr>
        <w:t>Vs</w:t>
      </w:r>
      <w:r>
        <w:rPr>
          <w:rFonts w:cs="Times New Roman"/>
        </w:rPr>
        <w:t xml:space="preserve"> jumps from 0 to 0.5 km/s is set across the </w:t>
      </w:r>
      <w:r>
        <w:rPr>
          <w:rFonts w:cs="Times New Roman"/>
        </w:rPr>
        <w:lastRenderedPageBreak/>
        <w:t xml:space="preserve">Moho interface. Depth and velocity reduction of the upper mantle LVZ are best fitting values derived from the grid search in </w:t>
      </w:r>
      <w:r>
        <w:rPr>
          <w:rStyle w:val="20"/>
          <w:color w:val="FF0000"/>
        </w:rPr>
        <w:t>Supplementary Fig. 28</w:t>
      </w:r>
      <w:r>
        <w:rPr>
          <w:rFonts w:cs="Times New Roman"/>
        </w:rPr>
        <w:t xml:space="preserve">. (b) Best fitting values of the </w:t>
      </w:r>
      <w:r w:rsidRPr="00446ABD">
        <w:rPr>
          <w:rFonts w:cs="Times New Roman"/>
          <w:i/>
          <w:iCs/>
        </w:rPr>
        <w:t>Vs</w:t>
      </w:r>
      <w:r>
        <w:rPr>
          <w:rFonts w:cs="Times New Roman"/>
        </w:rPr>
        <w:t xml:space="preserve"> reduction and absolute </w:t>
      </w:r>
      <w:r w:rsidRPr="00446ABD">
        <w:rPr>
          <w:rFonts w:cs="Times New Roman"/>
          <w:i/>
          <w:iCs/>
        </w:rPr>
        <w:t>Vs</w:t>
      </w:r>
      <w:r>
        <w:rPr>
          <w:rFonts w:cs="Times New Roman"/>
        </w:rPr>
        <w:t xml:space="preserve"> for different </w:t>
      </w:r>
      <w:r w:rsidRPr="00446ABD">
        <w:rPr>
          <w:rFonts w:cs="Times New Roman"/>
          <w:i/>
          <w:iCs/>
        </w:rPr>
        <w:t>Vs</w:t>
      </w:r>
      <w:r>
        <w:rPr>
          <w:rFonts w:cs="Times New Roman"/>
        </w:rPr>
        <w:t xml:space="preserve"> jumps across the Moho. Circles denote the </w:t>
      </w:r>
      <w:r w:rsidRPr="00446ABD">
        <w:rPr>
          <w:rFonts w:cs="Times New Roman"/>
          <w:i/>
          <w:iCs/>
        </w:rPr>
        <w:t>V</w:t>
      </w:r>
      <w:r>
        <w:rPr>
          <w:rFonts w:cs="Times New Roman"/>
        </w:rPr>
        <w:t xml:space="preserve">s reduction, while stars denote the absolute </w:t>
      </w:r>
      <w:r w:rsidRPr="00446ABD">
        <w:rPr>
          <w:rFonts w:cs="Times New Roman"/>
          <w:i/>
          <w:iCs/>
        </w:rPr>
        <w:t>Vs</w:t>
      </w:r>
      <w:r>
        <w:rPr>
          <w:rFonts w:cs="Times New Roman"/>
        </w:rPr>
        <w:t xml:space="preserve">. (c) Best fitting values of the LVZ depth for different </w:t>
      </w:r>
      <w:r w:rsidRPr="00446ABD">
        <w:rPr>
          <w:rFonts w:cs="Times New Roman"/>
          <w:i/>
          <w:iCs/>
        </w:rPr>
        <w:t>Vs</w:t>
      </w:r>
      <w:r>
        <w:rPr>
          <w:rFonts w:cs="Times New Roman"/>
        </w:rPr>
        <w:t xml:space="preserve"> jumps across the Moho. (d) Synthetic waveforms of the SS and SS precursors for models in (a). Top two traces show the observed waveforms after bandpass (Bp.) filtering and polarization (Pol.) filtering. (e) Left panel shows the zoomed waveforms around the Moho-related SS precursors within the time window shown by red rectangle in (d). Black dashed line denotes the arrival of the Moho-related SS precursor (39.5 s)</w:t>
      </w:r>
      <w:r>
        <w:rPr>
          <w:rFonts w:cs="Times New Roman" w:hint="eastAsia"/>
        </w:rPr>
        <w:t>.</w:t>
      </w:r>
      <w:r>
        <w:rPr>
          <w:rFonts w:cs="Times New Roman"/>
        </w:rPr>
        <w:t xml:space="preserve"> Right panel shows the amplitude ratio of synthetic Moho-related SS precursor relative to the SS wave.</w:t>
      </w:r>
    </w:p>
    <w:p w14:paraId="0EFB7A61" w14:textId="77777777" w:rsidR="007F6E00" w:rsidRDefault="007F6E00">
      <w:pPr>
        <w:widowControl/>
        <w:spacing w:line="240" w:lineRule="auto"/>
        <w:jc w:val="left"/>
        <w:rPr>
          <w:rFonts w:cs="Times New Roman"/>
        </w:rPr>
      </w:pPr>
      <w:r>
        <w:rPr>
          <w:rFonts w:cs="Times New Roman"/>
        </w:rPr>
        <w:br w:type="page"/>
      </w:r>
    </w:p>
    <w:p w14:paraId="60928F9D" w14:textId="77777777" w:rsidR="007F6E00" w:rsidRDefault="007F6E00" w:rsidP="00254358">
      <w:pPr>
        <w:tabs>
          <w:tab w:val="center" w:pos="4080"/>
          <w:tab w:val="right" w:pos="8160"/>
        </w:tabs>
        <w:spacing w:line="240" w:lineRule="auto"/>
        <w:jc w:val="center"/>
        <w:rPr>
          <w:rFonts w:cs="Times New Roman"/>
        </w:rPr>
      </w:pPr>
      <w:r>
        <w:rPr>
          <w:rFonts w:cs="Times New Roman"/>
          <w:noProof/>
        </w:rPr>
        <w:lastRenderedPageBreak/>
        <w:drawing>
          <wp:inline distT="0" distB="0" distL="0" distR="0" wp14:anchorId="0F7B9D52" wp14:editId="144F02D2">
            <wp:extent cx="4320000" cy="5381537"/>
            <wp:effectExtent l="0" t="0" r="0" b="381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320000" cy="5381537"/>
                    </a:xfrm>
                    <a:prstGeom prst="rect">
                      <a:avLst/>
                    </a:prstGeom>
                  </pic:spPr>
                </pic:pic>
              </a:graphicData>
            </a:graphic>
          </wp:inline>
        </w:drawing>
      </w:r>
    </w:p>
    <w:p w14:paraId="719C5299" w14:textId="77777777" w:rsidR="007F6E00" w:rsidRDefault="007F6E00" w:rsidP="00254358">
      <w:pPr>
        <w:spacing w:line="240" w:lineRule="auto"/>
        <w:rPr>
          <w:rFonts w:cs="Times New Roman"/>
          <w:b/>
          <w:bCs/>
        </w:rPr>
      </w:pPr>
      <w:r>
        <w:rPr>
          <w:b/>
          <w:bCs/>
        </w:rPr>
        <w:t>Supplementary Fig. 30</w:t>
      </w:r>
      <w:r w:rsidRPr="000D5F60">
        <w:rPr>
          <w:b/>
          <w:bCs/>
        </w:rPr>
        <w:t xml:space="preserve"> | </w:t>
      </w:r>
      <w:r w:rsidRPr="000D5F60">
        <w:rPr>
          <w:rFonts w:cs="Times New Roman"/>
        </w:rPr>
        <w:t xml:space="preserve">Similar to </w:t>
      </w:r>
      <w:r>
        <w:rPr>
          <w:rStyle w:val="20"/>
          <w:color w:val="FF0000"/>
        </w:rPr>
        <w:t>Supplementary Fig. 28</w:t>
      </w:r>
      <w:r w:rsidRPr="000D5F60">
        <w:rPr>
          <w:rFonts w:cs="Times New Roman"/>
        </w:rPr>
        <w:t xml:space="preserve"> but beneath the </w:t>
      </w:r>
      <w:r>
        <w:rPr>
          <w:rFonts w:cs="Times New Roman"/>
        </w:rPr>
        <w:t>eastern CF</w:t>
      </w:r>
      <w:r w:rsidRPr="000D5F60">
        <w:rPr>
          <w:rFonts w:cs="Times New Roman"/>
        </w:rPr>
        <w:t>.</w:t>
      </w:r>
    </w:p>
    <w:p w14:paraId="1519AC40" w14:textId="77777777" w:rsidR="007F6E00" w:rsidRDefault="007F6E00">
      <w:pPr>
        <w:widowControl/>
        <w:spacing w:line="240" w:lineRule="auto"/>
        <w:jc w:val="left"/>
        <w:rPr>
          <w:rFonts w:cs="Times New Roman"/>
          <w:b/>
          <w:bCs/>
        </w:rPr>
      </w:pPr>
      <w:r>
        <w:rPr>
          <w:rFonts w:cs="Times New Roman"/>
          <w:b/>
          <w:bCs/>
        </w:rPr>
        <w:br w:type="page"/>
      </w:r>
    </w:p>
    <w:p w14:paraId="14F1BFAF" w14:textId="77777777" w:rsidR="007F6E00" w:rsidRDefault="007F6E00" w:rsidP="00254358">
      <w:pPr>
        <w:tabs>
          <w:tab w:val="center" w:pos="4080"/>
          <w:tab w:val="right" w:pos="8160"/>
        </w:tabs>
        <w:spacing w:line="240" w:lineRule="auto"/>
        <w:jc w:val="center"/>
        <w:rPr>
          <w:rFonts w:cs="Times New Roman"/>
        </w:rPr>
      </w:pPr>
      <w:r>
        <w:rPr>
          <w:rFonts w:cs="Times New Roman" w:hint="eastAsia"/>
          <w:noProof/>
        </w:rPr>
        <w:lastRenderedPageBreak/>
        <w:drawing>
          <wp:inline distT="0" distB="0" distL="0" distR="0" wp14:anchorId="362BF653" wp14:editId="4F95A54B">
            <wp:extent cx="4320000" cy="7502619"/>
            <wp:effectExtent l="0" t="0" r="0" b="317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320000" cy="7502619"/>
                    </a:xfrm>
                    <a:prstGeom prst="rect">
                      <a:avLst/>
                    </a:prstGeom>
                  </pic:spPr>
                </pic:pic>
              </a:graphicData>
            </a:graphic>
          </wp:inline>
        </w:drawing>
      </w:r>
    </w:p>
    <w:p w14:paraId="19536B67" w14:textId="77777777" w:rsidR="007F6E00" w:rsidRPr="00254358" w:rsidRDefault="007F6E00" w:rsidP="00254358">
      <w:pPr>
        <w:tabs>
          <w:tab w:val="center" w:pos="4080"/>
          <w:tab w:val="right" w:pos="8160"/>
        </w:tabs>
        <w:spacing w:line="240" w:lineRule="auto"/>
        <w:rPr>
          <w:rFonts w:cs="Times New Roman"/>
        </w:rPr>
      </w:pPr>
      <w:r>
        <w:rPr>
          <w:b/>
          <w:bCs/>
        </w:rPr>
        <w:t>Supplementary Fig. 31</w:t>
      </w:r>
      <w:r w:rsidRPr="000D5F60">
        <w:rPr>
          <w:b/>
          <w:bCs/>
        </w:rPr>
        <w:t xml:space="preserve"> | </w:t>
      </w:r>
      <w:r>
        <w:rPr>
          <w:rFonts w:cs="Times New Roman"/>
        </w:rPr>
        <w:t xml:space="preserve">Similar to </w:t>
      </w:r>
      <w:r>
        <w:rPr>
          <w:rStyle w:val="20"/>
          <w:color w:val="FF0000"/>
        </w:rPr>
        <w:t>Supplementary Fig. 29</w:t>
      </w:r>
      <w:r>
        <w:rPr>
          <w:rFonts w:cs="Times New Roman"/>
        </w:rPr>
        <w:t xml:space="preserve"> but beneath the eastern CF.</w:t>
      </w:r>
    </w:p>
    <w:p w14:paraId="304C0531" w14:textId="77777777" w:rsidR="007F6E00" w:rsidRDefault="007F6E00">
      <w:pPr>
        <w:widowControl/>
        <w:spacing w:line="240" w:lineRule="auto"/>
        <w:jc w:val="left"/>
        <w:rPr>
          <w:rFonts w:cs="Times New Roman"/>
        </w:rPr>
      </w:pPr>
      <w:r>
        <w:rPr>
          <w:rFonts w:cs="Times New Roman"/>
        </w:rPr>
        <w:br w:type="page"/>
      </w:r>
    </w:p>
    <w:p w14:paraId="6F6FFA2C" w14:textId="77777777" w:rsidR="007F6E00" w:rsidRDefault="007F6E00" w:rsidP="007C6227">
      <w:pPr>
        <w:pStyle w:val="1"/>
      </w:pPr>
      <w:bookmarkStart w:id="36" w:name="_Toc202208126"/>
      <w:r>
        <w:lastRenderedPageBreak/>
        <w:t>5. Further seismic support for the upper mantle LVZ</w:t>
      </w:r>
      <w:bookmarkEnd w:id="36"/>
    </w:p>
    <w:p w14:paraId="35DD4DDD" w14:textId="77777777" w:rsidR="007F6E00" w:rsidRDefault="007F6E00" w:rsidP="007C6227">
      <w:pPr>
        <w:pStyle w:val="2"/>
        <w:rPr>
          <w:szCs w:val="24"/>
        </w:rPr>
      </w:pPr>
      <w:bookmarkStart w:id="37" w:name="_Toc202208127"/>
      <w:r>
        <w:rPr>
          <w:rFonts w:hint="eastAsia"/>
        </w:rPr>
        <w:t>5</w:t>
      </w:r>
      <w:r>
        <w:t>.1. P-wave RF of event S1222a</w:t>
      </w:r>
      <w:bookmarkEnd w:id="37"/>
    </w:p>
    <w:p w14:paraId="0600F613" w14:textId="77777777" w:rsidR="007F6E00" w:rsidRDefault="007F6E00" w:rsidP="007C6227">
      <w:pPr>
        <w:ind w:firstLine="420"/>
        <w:rPr>
          <w:rFonts w:cs="Times New Roman"/>
        </w:rPr>
      </w:pPr>
      <w:r>
        <w:rPr>
          <w:rFonts w:cs="Times New Roman"/>
        </w:rPr>
        <w:t>The largest detected marsquake, S1222a, exhibits</w:t>
      </w:r>
      <w:r w:rsidRPr="006F5F08">
        <w:t xml:space="preserve"> </w:t>
      </w:r>
      <w:r w:rsidRPr="006F5F08">
        <w:rPr>
          <w:rFonts w:cs="Times New Roman"/>
        </w:rPr>
        <w:t>high-quality waveform</w:t>
      </w:r>
      <w:r>
        <w:rPr>
          <w:rFonts w:cs="Times New Roman"/>
        </w:rPr>
        <w:t>s</w:t>
      </w:r>
      <w:r w:rsidRPr="006F5F08">
        <w:rPr>
          <w:rFonts w:cs="Times New Roman"/>
        </w:rPr>
        <w:t xml:space="preserve"> across a broad</w:t>
      </w:r>
      <w:r>
        <w:rPr>
          <w:rFonts w:cs="Times New Roman"/>
        </w:rPr>
        <w:t xml:space="preserve"> </w:t>
      </w:r>
      <w:r w:rsidRPr="006F5F08">
        <w:rPr>
          <w:rFonts w:cs="Times New Roman"/>
        </w:rPr>
        <w:t>frequency range (1/30–35 Hz)</w:t>
      </w:r>
      <w:r w:rsidRPr="00D27662">
        <w:rPr>
          <w:rFonts w:cs="Times New Roman"/>
          <w:noProof/>
          <w:vertAlign w:val="superscript"/>
        </w:rPr>
        <w:t xml:space="preserve"> 54</w:t>
      </w:r>
      <w:r>
        <w:rPr>
          <w:rFonts w:cs="Times New Roman"/>
        </w:rPr>
        <w:t xml:space="preserve">. Its high frequency P-wave RF has been used </w:t>
      </w:r>
      <w:r w:rsidRPr="00685859">
        <w:rPr>
          <w:rFonts w:cs="Times New Roman"/>
        </w:rPr>
        <w:t>to elucidate a more detailed upper crustal structure beneath the InSight landing site, revealing a shallow interface</w:t>
      </w:r>
      <w:r>
        <w:rPr>
          <w:rFonts w:cs="Times New Roman"/>
        </w:rPr>
        <w:t xml:space="preserve"> at ~2 km depth</w:t>
      </w:r>
      <w:r w:rsidRPr="00B11BE5">
        <w:rPr>
          <w:rFonts w:cs="Times New Roman"/>
          <w:noProof/>
          <w:vertAlign w:val="superscript"/>
        </w:rPr>
        <w:t>15</w:t>
      </w:r>
      <w:r>
        <w:rPr>
          <w:rFonts w:cs="Times New Roman"/>
        </w:rPr>
        <w:t xml:space="preserve">. </w:t>
      </w:r>
      <w:r w:rsidRPr="00685859">
        <w:rPr>
          <w:rFonts w:cs="Times New Roman"/>
        </w:rPr>
        <w:t xml:space="preserve">However, in this study, </w:t>
      </w:r>
      <w:r>
        <w:rPr>
          <w:rFonts w:cs="Times New Roman"/>
        </w:rPr>
        <w:t xml:space="preserve">we exclude </w:t>
      </w:r>
      <w:r w:rsidRPr="00685859">
        <w:rPr>
          <w:rFonts w:cs="Times New Roman"/>
        </w:rPr>
        <w:t xml:space="preserve">S1222a from the </w:t>
      </w:r>
      <w:r>
        <w:rPr>
          <w:rFonts w:cs="Times New Roman"/>
        </w:rPr>
        <w:t xml:space="preserve">RF </w:t>
      </w:r>
      <w:r w:rsidRPr="00685859">
        <w:rPr>
          <w:rFonts w:cs="Times New Roman"/>
        </w:rPr>
        <w:t xml:space="preserve">inversion due to its distinct back azimuth compared to those </w:t>
      </w:r>
      <w:r>
        <w:rPr>
          <w:rFonts w:cs="Times New Roman"/>
        </w:rPr>
        <w:t xml:space="preserve">used </w:t>
      </w:r>
      <w:r w:rsidRPr="00685859">
        <w:rPr>
          <w:rFonts w:cs="Times New Roman"/>
        </w:rPr>
        <w:t xml:space="preserve">CF events. </w:t>
      </w:r>
      <w:r>
        <w:rPr>
          <w:rFonts w:cs="Times New Roman"/>
        </w:rPr>
        <w:t>B</w:t>
      </w:r>
      <w:r w:rsidRPr="00685859">
        <w:rPr>
          <w:rFonts w:cs="Times New Roman"/>
        </w:rPr>
        <w:t>ack azimuth-dependent structural variations can lead to differences in RF waveforms</w:t>
      </w:r>
      <w:r w:rsidRPr="00B11BE5">
        <w:rPr>
          <w:rFonts w:cs="Times New Roman"/>
          <w:noProof/>
          <w:vertAlign w:val="superscript"/>
        </w:rPr>
        <w:t>15,16</w:t>
      </w:r>
      <w:r w:rsidRPr="00685859">
        <w:rPr>
          <w:rFonts w:cs="Times New Roman"/>
        </w:rPr>
        <w:t xml:space="preserve">. </w:t>
      </w:r>
      <w:r>
        <w:rPr>
          <w:rFonts w:cs="Times New Roman"/>
        </w:rPr>
        <w:t xml:space="preserve">Indeed, the RF of S1222a at 0.15–0.85 Hz shows a clear discrepancy from those CF events, including a </w:t>
      </w:r>
      <w:r w:rsidRPr="00685859">
        <w:rPr>
          <w:rFonts w:cs="Times New Roman"/>
        </w:rPr>
        <w:t xml:space="preserve">strong converted phase at </w:t>
      </w:r>
      <w:r>
        <w:rPr>
          <w:rFonts w:cs="Times New Roman"/>
        </w:rPr>
        <w:t>~</w:t>
      </w:r>
      <w:r w:rsidRPr="00685859">
        <w:rPr>
          <w:rFonts w:cs="Times New Roman"/>
        </w:rPr>
        <w:t>1 s and its associated multiples, resulting in a more complex waveform</w:t>
      </w:r>
      <w:r>
        <w:rPr>
          <w:rFonts w:cs="Times New Roman"/>
        </w:rPr>
        <w:t xml:space="preserve"> </w:t>
      </w:r>
      <w:r w:rsidRPr="007C6227">
        <w:rPr>
          <w:rFonts w:cs="Times New Roman"/>
          <w:color w:val="FF0000"/>
        </w:rPr>
        <w:t>(</w:t>
      </w:r>
      <w:r>
        <w:rPr>
          <w:rFonts w:cs="Times New Roman"/>
          <w:color w:val="FF0000"/>
        </w:rPr>
        <w:t>Supplementary Fig. 32</w:t>
      </w:r>
      <w:r w:rsidRPr="007C6227">
        <w:rPr>
          <w:rFonts w:cs="Times New Roman"/>
          <w:color w:val="FF0000"/>
        </w:rPr>
        <w:t>)</w:t>
      </w:r>
      <w:r>
        <w:rPr>
          <w:rFonts w:cs="Times New Roman"/>
        </w:rPr>
        <w:t>. Geological mapping shows a smooth terrain to the east of the InSight landing site, but several secondary craters to the southeast, such as Corintito</w:t>
      </w:r>
      <w:r w:rsidRPr="00D27662">
        <w:rPr>
          <w:rFonts w:cs="Times New Roman"/>
          <w:noProof/>
          <w:vertAlign w:val="superscript"/>
        </w:rPr>
        <w:t>55</w:t>
      </w:r>
      <w:r>
        <w:rPr>
          <w:rFonts w:cs="Times New Roman"/>
        </w:rPr>
        <w:t xml:space="preserve">. This could suggest a more </w:t>
      </w:r>
      <w:r w:rsidRPr="00685859">
        <w:rPr>
          <w:rFonts w:cs="Times New Roman"/>
        </w:rPr>
        <w:t xml:space="preserve">fracturing shallowest layer </w:t>
      </w:r>
      <w:r>
        <w:rPr>
          <w:rFonts w:cs="Times New Roman"/>
        </w:rPr>
        <w:t xml:space="preserve">along the direction of </w:t>
      </w:r>
      <w:r w:rsidRPr="00685859">
        <w:rPr>
          <w:rFonts w:cs="Times New Roman"/>
        </w:rPr>
        <w:t>S1222a</w:t>
      </w:r>
      <w:r>
        <w:rPr>
          <w:rFonts w:cs="Times New Roman"/>
        </w:rPr>
        <w:t>, enhancing converted and reverberated phases in the uppermost crust</w:t>
      </w:r>
      <w:r w:rsidRPr="00685859">
        <w:rPr>
          <w:rFonts w:cs="Times New Roman"/>
        </w:rPr>
        <w:t>.</w:t>
      </w:r>
      <w:r>
        <w:rPr>
          <w:rFonts w:cs="Times New Roman"/>
        </w:rPr>
        <w:t xml:space="preserve"> Deeper converted phases, such as a negative phase at ~12 s, are also observed but </w:t>
      </w:r>
      <w:r w:rsidRPr="00685859">
        <w:rPr>
          <w:rFonts w:cs="Times New Roman"/>
        </w:rPr>
        <w:t>slight distort</w:t>
      </w:r>
      <w:r>
        <w:rPr>
          <w:rFonts w:cs="Times New Roman"/>
        </w:rPr>
        <w:t>ed by</w:t>
      </w:r>
      <w:r w:rsidRPr="00685859">
        <w:rPr>
          <w:rFonts w:cs="Times New Roman"/>
        </w:rPr>
        <w:t xml:space="preserve"> </w:t>
      </w:r>
      <w:r>
        <w:rPr>
          <w:rFonts w:cs="Times New Roman"/>
        </w:rPr>
        <w:t>the shallow</w:t>
      </w:r>
      <w:r w:rsidRPr="00685859">
        <w:rPr>
          <w:rFonts w:cs="Times New Roman"/>
        </w:rPr>
        <w:t xml:space="preserve"> multiples.</w:t>
      </w:r>
    </w:p>
    <w:p w14:paraId="6DECE1C2" w14:textId="77777777" w:rsidR="007F6E00" w:rsidRDefault="007F6E00" w:rsidP="007C6227">
      <w:pPr>
        <w:ind w:firstLine="420"/>
        <w:rPr>
          <w:rFonts w:cs="Times New Roman"/>
        </w:rPr>
      </w:pPr>
      <w:r w:rsidRPr="00685859">
        <w:rPr>
          <w:rFonts w:cs="Times New Roman"/>
        </w:rPr>
        <w:t xml:space="preserve">To </w:t>
      </w:r>
      <w:r>
        <w:rPr>
          <w:rFonts w:cs="Times New Roman"/>
        </w:rPr>
        <w:t>reduce</w:t>
      </w:r>
      <w:r w:rsidRPr="00685859">
        <w:rPr>
          <w:rFonts w:cs="Times New Roman"/>
        </w:rPr>
        <w:t xml:space="preserve"> the influence of the shallow layer and focus on deeper structures, we analyze the</w:t>
      </w:r>
      <w:r>
        <w:rPr>
          <w:rFonts w:cs="Times New Roman"/>
        </w:rPr>
        <w:t xml:space="preserve"> RF of S1222a within a lower frequency band of 0.1–0.4 Hz. This suppresses shallow conversions and highlights the</w:t>
      </w:r>
      <w:r w:rsidRPr="00685859">
        <w:rPr>
          <w:rFonts w:cs="Times New Roman"/>
        </w:rPr>
        <w:t xml:space="preserve"> deeper </w:t>
      </w:r>
      <w:r>
        <w:rPr>
          <w:rFonts w:cs="Times New Roman"/>
        </w:rPr>
        <w:t>Ps phases</w:t>
      </w:r>
      <w:r w:rsidRPr="00685859">
        <w:rPr>
          <w:rFonts w:cs="Times New Roman"/>
        </w:rPr>
        <w:t xml:space="preserve"> </w:t>
      </w:r>
      <w:r>
        <w:rPr>
          <w:rFonts w:cs="Times New Roman"/>
        </w:rPr>
        <w:t>at</w:t>
      </w:r>
      <w:r w:rsidRPr="00685859">
        <w:rPr>
          <w:rFonts w:cs="Times New Roman"/>
        </w:rPr>
        <w:t xml:space="preserve"> ~5 s, ~8 s, and ~12 s</w:t>
      </w:r>
      <w:r>
        <w:rPr>
          <w:rFonts w:cs="Times New Roman"/>
        </w:rPr>
        <w:t xml:space="preserve"> </w:t>
      </w:r>
      <w:r w:rsidRPr="007C6227">
        <w:rPr>
          <w:rFonts w:cs="Times New Roman"/>
          <w:color w:val="FF0000"/>
        </w:rPr>
        <w:t>(</w:t>
      </w:r>
      <w:r>
        <w:rPr>
          <w:rFonts w:cs="Times New Roman"/>
          <w:color w:val="FF0000"/>
        </w:rPr>
        <w:t>Supplementary Fig. 32</w:t>
      </w:r>
      <w:r w:rsidRPr="007C6227">
        <w:rPr>
          <w:rFonts w:cs="Times New Roman"/>
          <w:color w:val="FF0000"/>
        </w:rPr>
        <w:t>)</w:t>
      </w:r>
      <w:r>
        <w:rPr>
          <w:rFonts w:cs="Times New Roman"/>
        </w:rPr>
        <w:t xml:space="preserve">. </w:t>
      </w:r>
      <w:r w:rsidRPr="00685859">
        <w:rPr>
          <w:rFonts w:cs="Times New Roman"/>
        </w:rPr>
        <w:t xml:space="preserve">Notably, the negative phase at ~12 s aligns with those observed for CF events, </w:t>
      </w:r>
      <w:r>
        <w:rPr>
          <w:rFonts w:cs="Times New Roman"/>
        </w:rPr>
        <w:t>supporting</w:t>
      </w:r>
      <w:r w:rsidRPr="00685859">
        <w:rPr>
          <w:rFonts w:cs="Times New Roman"/>
        </w:rPr>
        <w:t xml:space="preserve"> the </w:t>
      </w:r>
      <w:r>
        <w:rPr>
          <w:rFonts w:cs="Times New Roman"/>
        </w:rPr>
        <w:t>presence</w:t>
      </w:r>
      <w:r w:rsidRPr="00685859">
        <w:rPr>
          <w:rFonts w:cs="Times New Roman"/>
        </w:rPr>
        <w:t xml:space="preserve"> of an upper mantle </w:t>
      </w:r>
      <w:r>
        <w:rPr>
          <w:rFonts w:cs="Times New Roman"/>
        </w:rPr>
        <w:t xml:space="preserve">LVZ beneath the </w:t>
      </w:r>
      <w:r>
        <w:rPr>
          <w:rFonts w:cs="Times New Roman"/>
        </w:rPr>
        <w:lastRenderedPageBreak/>
        <w:t xml:space="preserve">InSight landing site. </w:t>
      </w:r>
      <w:r w:rsidRPr="00685859">
        <w:rPr>
          <w:rFonts w:cs="Times New Roman"/>
        </w:rPr>
        <w:t xml:space="preserve">However, </w:t>
      </w:r>
      <w:r>
        <w:rPr>
          <w:rFonts w:cs="Times New Roman"/>
        </w:rPr>
        <w:t xml:space="preserve">both </w:t>
      </w:r>
      <w:r w:rsidRPr="00685859">
        <w:rPr>
          <w:rFonts w:cs="Times New Roman"/>
        </w:rPr>
        <w:t>converted phase</w:t>
      </w:r>
      <w:r>
        <w:rPr>
          <w:rFonts w:cs="Times New Roman"/>
        </w:rPr>
        <w:t>s at</w:t>
      </w:r>
      <w:r w:rsidRPr="00685859">
        <w:rPr>
          <w:rFonts w:cs="Times New Roman"/>
        </w:rPr>
        <w:t xml:space="preserve"> ~</w:t>
      </w:r>
      <w:r w:rsidRPr="00583C3C">
        <w:rPr>
          <w:rFonts w:cs="Times New Roman"/>
        </w:rPr>
        <w:t xml:space="preserve"> </w:t>
      </w:r>
      <w:r w:rsidRPr="00685859">
        <w:rPr>
          <w:rFonts w:cs="Times New Roman"/>
        </w:rPr>
        <w:t xml:space="preserve">8 s </w:t>
      </w:r>
      <w:r>
        <w:rPr>
          <w:rFonts w:cs="Times New Roman"/>
        </w:rPr>
        <w:t>(Moho-converted) and ~12 s</w:t>
      </w:r>
      <w:r w:rsidRPr="00685859">
        <w:rPr>
          <w:rFonts w:cs="Times New Roman"/>
        </w:rPr>
        <w:t xml:space="preserve"> in S1222a is approximately 1 s delayed compared to CF events</w:t>
      </w:r>
      <w:r>
        <w:rPr>
          <w:rFonts w:cs="Times New Roman"/>
        </w:rPr>
        <w:t xml:space="preserve">, possibly due to </w:t>
      </w:r>
      <w:r w:rsidRPr="00685859">
        <w:rPr>
          <w:rFonts w:cs="Times New Roman"/>
        </w:rPr>
        <w:t>local structural variations or crustal thickness</w:t>
      </w:r>
      <w:r w:rsidRPr="00583C3C">
        <w:rPr>
          <w:rFonts w:cs="Times New Roman"/>
        </w:rPr>
        <w:t xml:space="preserve"> </w:t>
      </w:r>
      <w:r>
        <w:rPr>
          <w:rFonts w:cs="Times New Roman"/>
        </w:rPr>
        <w:t>differences along different</w:t>
      </w:r>
      <w:r w:rsidRPr="00685859">
        <w:rPr>
          <w:rFonts w:cs="Times New Roman"/>
        </w:rPr>
        <w:t xml:space="preserve"> back azimuth</w:t>
      </w:r>
      <w:r>
        <w:rPr>
          <w:rFonts w:cs="Times New Roman"/>
        </w:rPr>
        <w:t>s</w:t>
      </w:r>
      <w:r w:rsidRPr="00685859">
        <w:rPr>
          <w:rFonts w:cs="Times New Roman"/>
        </w:rPr>
        <w:t>.</w:t>
      </w:r>
      <w:r>
        <w:rPr>
          <w:rFonts w:cs="Times New Roman"/>
        </w:rPr>
        <w:t xml:space="preserve"> These</w:t>
      </w:r>
      <w:r w:rsidRPr="00685859">
        <w:rPr>
          <w:rFonts w:cs="Times New Roman"/>
        </w:rPr>
        <w:t xml:space="preserve"> complexities can lead to </w:t>
      </w:r>
      <w:r>
        <w:rPr>
          <w:rFonts w:cs="Times New Roman"/>
        </w:rPr>
        <w:t xml:space="preserve">complicated RFs for stable phase identification and the travel time difference </w:t>
      </w:r>
      <w:r w:rsidRPr="00685859">
        <w:rPr>
          <w:rFonts w:cs="Times New Roman"/>
        </w:rPr>
        <w:t xml:space="preserve">of </w:t>
      </w:r>
      <w:r>
        <w:rPr>
          <w:rFonts w:cs="Times New Roman"/>
        </w:rPr>
        <w:t xml:space="preserve">the </w:t>
      </w:r>
      <w:r w:rsidRPr="00685859">
        <w:rPr>
          <w:rFonts w:cs="Times New Roman"/>
        </w:rPr>
        <w:t xml:space="preserve">LVZ-converted Ps waves </w:t>
      </w:r>
      <w:r>
        <w:rPr>
          <w:rFonts w:cs="Times New Roman"/>
        </w:rPr>
        <w:t xml:space="preserve">observed for other events </w:t>
      </w:r>
      <w:r w:rsidRPr="007C6227">
        <w:rPr>
          <w:rFonts w:cs="Times New Roman"/>
          <w:color w:val="FF0000"/>
        </w:rPr>
        <w:t>(</w:t>
      </w:r>
      <w:r>
        <w:rPr>
          <w:rFonts w:cs="Times New Roman"/>
          <w:color w:val="FF0000"/>
        </w:rPr>
        <w:t>Supplementary Fig. 33</w:t>
      </w:r>
      <w:r w:rsidRPr="007C6227">
        <w:rPr>
          <w:rFonts w:cs="Times New Roman"/>
          <w:color w:val="FF0000"/>
        </w:rPr>
        <w:t>)</w:t>
      </w:r>
      <w:r>
        <w:rPr>
          <w:rFonts w:cs="Times New Roman"/>
        </w:rPr>
        <w:t>.</w:t>
      </w:r>
    </w:p>
    <w:p w14:paraId="339DCBC9" w14:textId="77777777" w:rsidR="007F6E00" w:rsidRDefault="007F6E00" w:rsidP="007C6227">
      <w:pPr>
        <w:ind w:firstLine="420"/>
        <w:rPr>
          <w:rFonts w:cs="Times New Roman"/>
        </w:rPr>
      </w:pPr>
    </w:p>
    <w:p w14:paraId="479F9EAF" w14:textId="77777777" w:rsidR="007F6E00" w:rsidRDefault="007F6E00">
      <w:pPr>
        <w:widowControl/>
        <w:spacing w:line="240" w:lineRule="auto"/>
        <w:jc w:val="left"/>
        <w:rPr>
          <w:rFonts w:cs="Times New Roman"/>
        </w:rPr>
      </w:pPr>
    </w:p>
    <w:p w14:paraId="5197700C" w14:textId="77777777" w:rsidR="007F6E00" w:rsidRDefault="007F6E00" w:rsidP="00E72659">
      <w:pPr>
        <w:tabs>
          <w:tab w:val="center" w:pos="4080"/>
          <w:tab w:val="right" w:pos="8160"/>
        </w:tabs>
        <w:spacing w:line="240" w:lineRule="auto"/>
        <w:jc w:val="center"/>
        <w:rPr>
          <w:rFonts w:cs="Times New Roman"/>
        </w:rPr>
      </w:pPr>
      <w:r>
        <w:rPr>
          <w:rFonts w:cs="Times New Roman"/>
          <w:noProof/>
        </w:rPr>
        <w:drawing>
          <wp:inline distT="0" distB="0" distL="0" distR="0" wp14:anchorId="3AF3119A" wp14:editId="19F7153E">
            <wp:extent cx="5040000" cy="2441115"/>
            <wp:effectExtent l="0" t="0" r="1905"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040000" cy="2441115"/>
                    </a:xfrm>
                    <a:prstGeom prst="rect">
                      <a:avLst/>
                    </a:prstGeom>
                  </pic:spPr>
                </pic:pic>
              </a:graphicData>
            </a:graphic>
          </wp:inline>
        </w:drawing>
      </w:r>
    </w:p>
    <w:p w14:paraId="39B25959" w14:textId="77777777" w:rsidR="007F6E00" w:rsidRDefault="007F6E00" w:rsidP="00E72659">
      <w:pPr>
        <w:tabs>
          <w:tab w:val="center" w:pos="4080"/>
          <w:tab w:val="right" w:pos="8160"/>
        </w:tabs>
        <w:spacing w:line="240" w:lineRule="auto"/>
        <w:rPr>
          <w:rFonts w:cs="Times New Roman"/>
        </w:rPr>
      </w:pPr>
      <w:r>
        <w:rPr>
          <w:b/>
          <w:bCs/>
        </w:rPr>
        <w:t>Supplementary Fig. 32</w:t>
      </w:r>
      <w:r w:rsidRPr="0055695A">
        <w:rPr>
          <w:b/>
          <w:bCs/>
        </w:rPr>
        <w:t xml:space="preserve"> | P-wave RF of event S1222a. </w:t>
      </w:r>
      <w:r>
        <w:rPr>
          <w:rFonts w:cs="Times New Roman"/>
        </w:rPr>
        <w:t>RFs are calculated and bandpass filtered in two frequency bands, which are 0.15–0.85 Hz (HF), and 0.1–0.4 Hz (LF). Different lengths of the deconvolution time window are employed to test the stability of RF. In the HF RF waveform, there exist clear ~1 s converted phase (shaded blue band) and its multiple reverberations. However, in the LF RF waveform, the shallow layer related phases are attenuated, leaving phases converted at deeper layers more evident, including the negative conversion at the upper mantle LVZ (shaded red band).</w:t>
      </w:r>
    </w:p>
    <w:p w14:paraId="0A1A6EC5" w14:textId="77777777" w:rsidR="007F6E00" w:rsidRDefault="007F6E00">
      <w:pPr>
        <w:widowControl/>
        <w:spacing w:line="240" w:lineRule="auto"/>
        <w:jc w:val="left"/>
        <w:rPr>
          <w:rFonts w:cs="Times New Roman"/>
        </w:rPr>
      </w:pPr>
      <w:r>
        <w:rPr>
          <w:rFonts w:cs="Times New Roman"/>
        </w:rPr>
        <w:br w:type="page"/>
      </w:r>
    </w:p>
    <w:p w14:paraId="33184153" w14:textId="77777777" w:rsidR="007F6E00" w:rsidRDefault="007F6E00" w:rsidP="00E72659">
      <w:pPr>
        <w:tabs>
          <w:tab w:val="center" w:pos="4080"/>
          <w:tab w:val="right" w:pos="8160"/>
        </w:tabs>
        <w:spacing w:line="240" w:lineRule="auto"/>
        <w:jc w:val="center"/>
        <w:rPr>
          <w:rFonts w:cs="Times New Roman"/>
        </w:rPr>
      </w:pPr>
      <w:r>
        <w:rPr>
          <w:rFonts w:cs="Times New Roman" w:hint="eastAsia"/>
          <w:noProof/>
        </w:rPr>
        <w:lastRenderedPageBreak/>
        <w:drawing>
          <wp:inline distT="0" distB="0" distL="0" distR="0" wp14:anchorId="36F6AC43" wp14:editId="303B5DC8">
            <wp:extent cx="5274310" cy="5154930"/>
            <wp:effectExtent l="0" t="0" r="0" b="127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74310" cy="5154930"/>
                    </a:xfrm>
                    <a:prstGeom prst="rect">
                      <a:avLst/>
                    </a:prstGeom>
                  </pic:spPr>
                </pic:pic>
              </a:graphicData>
            </a:graphic>
          </wp:inline>
        </w:drawing>
      </w:r>
    </w:p>
    <w:p w14:paraId="448EEB1D" w14:textId="77777777" w:rsidR="007F6E00" w:rsidRPr="00E72659" w:rsidRDefault="007F6E00" w:rsidP="00E72659">
      <w:pPr>
        <w:tabs>
          <w:tab w:val="center" w:pos="4080"/>
          <w:tab w:val="right" w:pos="8160"/>
        </w:tabs>
        <w:spacing w:line="240" w:lineRule="auto"/>
        <w:rPr>
          <w:rFonts w:cs="Times New Roman"/>
        </w:rPr>
      </w:pPr>
      <w:r>
        <w:rPr>
          <w:b/>
          <w:bCs/>
        </w:rPr>
        <w:t>Supplementary Fig. 33</w:t>
      </w:r>
      <w:r w:rsidRPr="0055695A">
        <w:rPr>
          <w:b/>
          <w:bCs/>
        </w:rPr>
        <w:t xml:space="preserve"> | P-wave RFs of other events. </w:t>
      </w:r>
      <w:r w:rsidRPr="00513949">
        <w:t xml:space="preserve">RFs are </w:t>
      </w:r>
      <w:r>
        <w:rPr>
          <w:rFonts w:cs="Times New Roman"/>
        </w:rPr>
        <w:t xml:space="preserve">arranged based on ray parameters, </w:t>
      </w:r>
      <w:r w:rsidRPr="00513949">
        <w:rPr>
          <w:rFonts w:cs="Times New Roman"/>
        </w:rPr>
        <w:t>with slight shifts applied to some traces for visual clarity</w:t>
      </w:r>
      <w:r>
        <w:rPr>
          <w:rFonts w:cs="Times New Roman"/>
        </w:rPr>
        <w:t xml:space="preserve">. Shaded area indicates the </w:t>
      </w:r>
      <w:r w:rsidRPr="00B955CE">
        <w:rPr>
          <w:rFonts w:cs="Times New Roman"/>
        </w:rPr>
        <w:t>predicted arrival time window of Ps phases converted at the upper mantle</w:t>
      </w:r>
      <w:r>
        <w:rPr>
          <w:rFonts w:cs="Times New Roman"/>
        </w:rPr>
        <w:t xml:space="preserve"> LVZ from inverted models. Different lengths of the deconvolution time window are employed to test the stability of RFs. No coherent Ps phases are identified for these events due to their unstable RF waveforms.</w:t>
      </w:r>
    </w:p>
    <w:p w14:paraId="39DE88D5" w14:textId="77777777" w:rsidR="007F6E00" w:rsidRDefault="007F6E00">
      <w:pPr>
        <w:widowControl/>
        <w:spacing w:line="240" w:lineRule="auto"/>
        <w:jc w:val="left"/>
        <w:rPr>
          <w:rFonts w:cs="Times New Roman"/>
        </w:rPr>
      </w:pPr>
      <w:r>
        <w:rPr>
          <w:rFonts w:cs="Times New Roman"/>
        </w:rPr>
        <w:br w:type="page"/>
      </w:r>
    </w:p>
    <w:p w14:paraId="2934304B" w14:textId="77777777" w:rsidR="007F6E00" w:rsidRDefault="007F6E00" w:rsidP="00C0389E">
      <w:pPr>
        <w:pStyle w:val="2"/>
      </w:pPr>
      <w:bookmarkStart w:id="38" w:name="_Toc202208128"/>
      <w:r>
        <w:rPr>
          <w:rFonts w:hint="eastAsia"/>
        </w:rPr>
        <w:lastRenderedPageBreak/>
        <w:t>5</w:t>
      </w:r>
      <w:r>
        <w:t>.2. S-wave RFs of events S1153a and S1415a</w:t>
      </w:r>
      <w:bookmarkEnd w:id="38"/>
    </w:p>
    <w:p w14:paraId="522D69B6" w14:textId="77777777" w:rsidR="007F6E00" w:rsidRDefault="007F6E00" w:rsidP="00C0389E">
      <w:pPr>
        <w:ind w:firstLineChars="200" w:firstLine="480"/>
        <w:rPr>
          <w:rFonts w:cs="Times New Roman"/>
        </w:rPr>
      </w:pPr>
      <w:r>
        <w:rPr>
          <w:rFonts w:cs="Times New Roman"/>
        </w:rPr>
        <w:t xml:space="preserve">Compared to the P-wave RF, S-wave RF offers a significant advantage that the converted </w:t>
      </w:r>
      <w:proofErr w:type="spellStart"/>
      <w:r>
        <w:rPr>
          <w:rFonts w:cs="Times New Roman"/>
        </w:rPr>
        <w:t>Sp</w:t>
      </w:r>
      <w:proofErr w:type="spellEnd"/>
      <w:r>
        <w:rPr>
          <w:rFonts w:cs="Times New Roman"/>
        </w:rPr>
        <w:t xml:space="preserve"> phases arrive prior to the direct S wave, while multiples follow after, allowing clearer </w:t>
      </w:r>
      <w:r w:rsidRPr="00402BFC">
        <w:rPr>
          <w:rFonts w:cs="Times New Roman"/>
        </w:rPr>
        <w:t xml:space="preserve">separation. Consequently, </w:t>
      </w:r>
      <w:r>
        <w:rPr>
          <w:rFonts w:cs="Times New Roman"/>
        </w:rPr>
        <w:t>S-wave RFs</w:t>
      </w:r>
      <w:r w:rsidRPr="00402BFC">
        <w:rPr>
          <w:rFonts w:cs="Times New Roman"/>
        </w:rPr>
        <w:t xml:space="preserve"> are extensively </w:t>
      </w:r>
      <w:r>
        <w:rPr>
          <w:rFonts w:cs="Times New Roman"/>
        </w:rPr>
        <w:t xml:space="preserve">used for terrestrial studies </w:t>
      </w:r>
      <w:r w:rsidRPr="00402BFC">
        <w:rPr>
          <w:rFonts w:cs="Times New Roman"/>
        </w:rPr>
        <w:t>of the crust and upper mantle</w:t>
      </w:r>
      <w:r>
        <w:rPr>
          <w:rFonts w:cs="Times New Roman"/>
        </w:rPr>
        <w:t xml:space="preserve"> structure</w:t>
      </w:r>
      <w:r w:rsidRPr="00402BFC">
        <w:rPr>
          <w:rFonts w:cs="Times New Roman"/>
        </w:rPr>
        <w:t xml:space="preserve">, </w:t>
      </w:r>
      <w:r>
        <w:rPr>
          <w:rFonts w:cs="Times New Roman"/>
        </w:rPr>
        <w:t>such as Moho, mid-lithospheric discontinuity (MLD), and lithosphere-asthenosphere boundary (LAB)</w:t>
      </w:r>
      <w:r w:rsidRPr="00D27662">
        <w:rPr>
          <w:rFonts w:cs="Times New Roman"/>
          <w:noProof/>
          <w:vertAlign w:val="superscript"/>
        </w:rPr>
        <w:t xml:space="preserve"> 56-59</w:t>
      </w:r>
      <w:r>
        <w:rPr>
          <w:rFonts w:cs="Times New Roman"/>
        </w:rPr>
        <w:t>. S-wave RFs of marsquakes have been analyzed by refs.</w:t>
      </w:r>
      <w:r w:rsidRPr="00B11BE5">
        <w:rPr>
          <w:rFonts w:cs="Times New Roman"/>
          <w:noProof/>
          <w:vertAlign w:val="superscript"/>
        </w:rPr>
        <w:t xml:space="preserve"> 23,25,28</w:t>
      </w:r>
      <w:r>
        <w:rPr>
          <w:rFonts w:cs="Times New Roman"/>
        </w:rPr>
        <w:t xml:space="preserve"> and only one </w:t>
      </w:r>
      <w:proofErr w:type="spellStart"/>
      <w:r>
        <w:rPr>
          <w:rFonts w:cs="Times New Roman"/>
        </w:rPr>
        <w:t>Sp</w:t>
      </w:r>
      <w:proofErr w:type="spellEnd"/>
      <w:r>
        <w:rPr>
          <w:rFonts w:cs="Times New Roman"/>
        </w:rPr>
        <w:t xml:space="preserve"> at ~3 s before S wave is confidently identified in the stacked trace. For individual event S0235b, its S-wave RF shows two additional </w:t>
      </w:r>
      <w:proofErr w:type="spellStart"/>
      <w:r>
        <w:rPr>
          <w:rFonts w:cs="Times New Roman"/>
        </w:rPr>
        <w:t>Sp</w:t>
      </w:r>
      <w:proofErr w:type="spellEnd"/>
      <w:r>
        <w:rPr>
          <w:rFonts w:cs="Times New Roman"/>
        </w:rPr>
        <w:t xml:space="preserve"> phases</w:t>
      </w:r>
      <w:r w:rsidRPr="00402BFC">
        <w:t xml:space="preserve"> </w:t>
      </w:r>
      <w:r>
        <w:t>at ~6 s and ~9 s prior to S wave</w:t>
      </w:r>
      <w:r w:rsidRPr="00402BFC">
        <w:rPr>
          <w:rFonts w:cs="Times New Roman"/>
        </w:rPr>
        <w:t xml:space="preserve">, </w:t>
      </w:r>
      <w:r>
        <w:rPr>
          <w:rFonts w:cs="Times New Roman"/>
        </w:rPr>
        <w:t>suggesting</w:t>
      </w:r>
      <w:r w:rsidRPr="00402BFC">
        <w:rPr>
          <w:rFonts w:cs="Times New Roman"/>
        </w:rPr>
        <w:t xml:space="preserve"> a deep Moho</w:t>
      </w:r>
      <w:r w:rsidRPr="00B11BE5">
        <w:rPr>
          <w:rFonts w:cs="Times New Roman"/>
          <w:noProof/>
          <w:vertAlign w:val="superscript"/>
        </w:rPr>
        <w:t>23</w:t>
      </w:r>
      <w:r>
        <w:rPr>
          <w:rFonts w:cs="Times New Roman"/>
        </w:rPr>
        <w:t xml:space="preserve">. However, due to the larger incidence angle of </w:t>
      </w:r>
      <w:proofErr w:type="spellStart"/>
      <w:r>
        <w:rPr>
          <w:rFonts w:cs="Times New Roman"/>
        </w:rPr>
        <w:t>Sp</w:t>
      </w:r>
      <w:proofErr w:type="spellEnd"/>
      <w:r>
        <w:rPr>
          <w:rFonts w:cs="Times New Roman"/>
        </w:rPr>
        <w:t xml:space="preserve"> wave in comparison to S wave, the epicentral distance </w:t>
      </w:r>
      <w:r w:rsidRPr="00263532">
        <w:rPr>
          <w:rFonts w:cs="Times New Roman"/>
        </w:rPr>
        <w:t xml:space="preserve">must be sufficiently large to </w:t>
      </w:r>
      <w:r>
        <w:rPr>
          <w:rFonts w:cs="Times New Roman"/>
        </w:rPr>
        <w:t>avoid</w:t>
      </w:r>
      <w:r w:rsidRPr="00263532">
        <w:rPr>
          <w:rFonts w:cs="Times New Roman"/>
        </w:rPr>
        <w:t xml:space="preserve"> post-critical incidence, particularly for imaging deeper interfaces.</w:t>
      </w:r>
      <w:r>
        <w:rPr>
          <w:rFonts w:cs="Times New Roman"/>
        </w:rPr>
        <w:t xml:space="preserve"> Based on the </w:t>
      </w:r>
      <w:r w:rsidRPr="00263532">
        <w:rPr>
          <w:rFonts w:cs="Times New Roman"/>
        </w:rPr>
        <w:t>inverted crust and upper mantle</w:t>
      </w:r>
      <w:r>
        <w:rPr>
          <w:rFonts w:cs="Times New Roman"/>
        </w:rPr>
        <w:t xml:space="preserve"> structure, an</w:t>
      </w:r>
      <w:r w:rsidRPr="00263532">
        <w:rPr>
          <w:rFonts w:cs="Times New Roman"/>
        </w:rPr>
        <w:t xml:space="preserve"> </w:t>
      </w:r>
      <w:proofErr w:type="spellStart"/>
      <w:r w:rsidRPr="00263532">
        <w:rPr>
          <w:rFonts w:cs="Times New Roman"/>
        </w:rPr>
        <w:t>Sp</w:t>
      </w:r>
      <w:proofErr w:type="spellEnd"/>
      <w:r w:rsidRPr="00263532">
        <w:rPr>
          <w:rFonts w:cs="Times New Roman"/>
        </w:rPr>
        <w:t xml:space="preserve"> converted</w:t>
      </w:r>
      <w:r>
        <w:rPr>
          <w:rFonts w:cs="Times New Roman"/>
        </w:rPr>
        <w:t xml:space="preserve"> at the top of the LVZ requires a ray parameter smaller than ~7–9 s/deg, corresponding to an epicentral distance greater than 65º</w:t>
      </w:r>
      <w:r w:rsidRPr="00263532">
        <w:rPr>
          <w:rFonts w:cs="Times New Roman"/>
        </w:rPr>
        <w:t xml:space="preserve">, assuming </w:t>
      </w:r>
      <w:r>
        <w:rPr>
          <w:rFonts w:cs="Times New Roman"/>
        </w:rPr>
        <w:t>t</w:t>
      </w:r>
      <w:r w:rsidRPr="00263532">
        <w:rPr>
          <w:rFonts w:cs="Times New Roman"/>
        </w:rPr>
        <w:t xml:space="preserve">he </w:t>
      </w:r>
      <w:r>
        <w:rPr>
          <w:rFonts w:cs="Times New Roman"/>
        </w:rPr>
        <w:t xml:space="preserve">mantle </w:t>
      </w:r>
      <w:r w:rsidRPr="00263532">
        <w:rPr>
          <w:rFonts w:cs="Times New Roman"/>
        </w:rPr>
        <w:t>models in</w:t>
      </w:r>
      <w:r>
        <w:rPr>
          <w:rFonts w:cs="Times New Roman"/>
        </w:rPr>
        <w:t xml:space="preserve"> ref.</w:t>
      </w:r>
      <w:r w:rsidRPr="00B11BE5">
        <w:rPr>
          <w:rFonts w:cs="Times New Roman"/>
          <w:noProof/>
          <w:vertAlign w:val="superscript"/>
        </w:rPr>
        <w:t xml:space="preserve"> 28</w:t>
      </w:r>
      <w:r>
        <w:rPr>
          <w:rFonts w:cs="Times New Roman"/>
        </w:rPr>
        <w:t xml:space="preserve"> </w:t>
      </w:r>
      <w:r w:rsidRPr="00C0389E">
        <w:rPr>
          <w:rFonts w:cs="Times New Roman"/>
          <w:color w:val="FF0000"/>
        </w:rPr>
        <w:t>(</w:t>
      </w:r>
      <w:r>
        <w:rPr>
          <w:rFonts w:cs="Times New Roman"/>
          <w:color w:val="FF0000"/>
        </w:rPr>
        <w:t>Supplementary Fig. 34</w:t>
      </w:r>
      <w:r w:rsidRPr="00C0389E">
        <w:rPr>
          <w:rFonts w:cs="Times New Roman"/>
          <w:color w:val="FF0000"/>
        </w:rPr>
        <w:t>a)</w:t>
      </w:r>
      <w:r>
        <w:rPr>
          <w:rFonts w:cs="Times New Roman"/>
        </w:rPr>
        <w:t>. Thus, S1153a and S1415a, two quality-A LF family events with distances of ~85º, are suitable for S-wave RF analysis.</w:t>
      </w:r>
    </w:p>
    <w:p w14:paraId="333D5B5C" w14:textId="77777777" w:rsidR="007F6E00" w:rsidRDefault="007F6E00" w:rsidP="00C0389E">
      <w:pPr>
        <w:ind w:firstLineChars="200" w:firstLine="480"/>
        <w:rPr>
          <w:rFonts w:cs="Times New Roman"/>
        </w:rPr>
      </w:pPr>
      <w:r>
        <w:rPr>
          <w:rFonts w:cs="Times New Roman"/>
        </w:rPr>
        <w:t xml:space="preserve">We calculate the S-wave RFs of S1153a and S1415a using the iterative time domain deconvolution method </w:t>
      </w:r>
      <w:r w:rsidRPr="00C0389E">
        <w:rPr>
          <w:rFonts w:cs="Times New Roman"/>
          <w:color w:val="FF0000"/>
        </w:rPr>
        <w:t>(</w:t>
      </w:r>
      <w:r>
        <w:rPr>
          <w:rFonts w:cs="Times New Roman"/>
          <w:color w:val="FF0000"/>
        </w:rPr>
        <w:t>Supplementary Fig. 34b</w:t>
      </w:r>
      <w:r w:rsidRPr="00C0389E">
        <w:rPr>
          <w:rFonts w:cs="Times New Roman"/>
          <w:color w:val="FF0000"/>
        </w:rPr>
        <w:t>)</w:t>
      </w:r>
      <w:r>
        <w:rPr>
          <w:rFonts w:cs="Times New Roman"/>
        </w:rPr>
        <w:t xml:space="preserve"> after rotating the Z-R component waveforms into L-Q directions, based on the apparent incidence angle derived from the inverted models </w:t>
      </w:r>
      <w:r w:rsidRPr="00C0389E">
        <w:rPr>
          <w:rFonts w:cs="Times New Roman"/>
          <w:color w:val="FF0000"/>
        </w:rPr>
        <w:t>(</w:t>
      </w:r>
      <w:r>
        <w:rPr>
          <w:rFonts w:cs="Times New Roman"/>
          <w:color w:val="FF0000"/>
        </w:rPr>
        <w:t>Supplementary Fig. 34c</w:t>
      </w:r>
      <w:r w:rsidRPr="00C0389E">
        <w:rPr>
          <w:rFonts w:cs="Times New Roman"/>
          <w:color w:val="FF0000"/>
        </w:rPr>
        <w:t>)</w:t>
      </w:r>
      <w:r>
        <w:rPr>
          <w:rFonts w:cs="Times New Roman"/>
        </w:rPr>
        <w:t xml:space="preserve">. Both RFs, and their </w:t>
      </w:r>
      <w:r>
        <w:rPr>
          <w:rFonts w:cs="Times New Roman"/>
        </w:rPr>
        <w:lastRenderedPageBreak/>
        <w:t>stacked trace, display a positive phase at ~7.5 s and a negative phase ~11 s before the direct S. Their amplitudes and arrival times match</w:t>
      </w:r>
      <w:r w:rsidRPr="00263532">
        <w:rPr>
          <w:rFonts w:cs="Times New Roman"/>
        </w:rPr>
        <w:t xml:space="preserve"> the synthetic </w:t>
      </w:r>
      <w:proofErr w:type="spellStart"/>
      <w:r w:rsidRPr="00263532">
        <w:rPr>
          <w:rFonts w:cs="Times New Roman"/>
        </w:rPr>
        <w:t>Sp</w:t>
      </w:r>
      <w:proofErr w:type="spellEnd"/>
      <w:r w:rsidRPr="00263532">
        <w:rPr>
          <w:rFonts w:cs="Times New Roman"/>
        </w:rPr>
        <w:t xml:space="preserve"> </w:t>
      </w:r>
      <w:r>
        <w:rPr>
          <w:rFonts w:cs="Times New Roman"/>
        </w:rPr>
        <w:t>arrival</w:t>
      </w:r>
      <w:r w:rsidRPr="00263532">
        <w:rPr>
          <w:rFonts w:cs="Times New Roman"/>
        </w:rPr>
        <w:t>s converted at</w:t>
      </w:r>
      <w:r>
        <w:rPr>
          <w:rFonts w:cs="Times New Roman"/>
        </w:rPr>
        <w:t xml:space="preserve"> the Moho and LVZ top, respectively </w:t>
      </w:r>
      <w:r w:rsidRPr="00C0389E">
        <w:rPr>
          <w:rFonts w:cs="Times New Roman"/>
          <w:color w:val="FF0000"/>
        </w:rPr>
        <w:t>(</w:t>
      </w:r>
      <w:r>
        <w:rPr>
          <w:rFonts w:cs="Times New Roman"/>
          <w:color w:val="FF0000"/>
        </w:rPr>
        <w:t>Supplementary Fig. 34d</w:t>
      </w:r>
      <w:r w:rsidRPr="00C0389E">
        <w:rPr>
          <w:rFonts w:cs="Times New Roman"/>
          <w:color w:val="FF0000"/>
        </w:rPr>
        <w:t>)</w:t>
      </w:r>
      <w:r>
        <w:rPr>
          <w:rFonts w:cs="Times New Roman"/>
        </w:rPr>
        <w:t xml:space="preserve">. Other </w:t>
      </w:r>
      <w:proofErr w:type="spellStart"/>
      <w:r>
        <w:rPr>
          <w:rFonts w:cs="Times New Roman"/>
        </w:rPr>
        <w:t>Sp</w:t>
      </w:r>
      <w:proofErr w:type="spellEnd"/>
      <w:r>
        <w:rPr>
          <w:rFonts w:cs="Times New Roman"/>
        </w:rPr>
        <w:t xml:space="preserve"> waves converted at the </w:t>
      </w:r>
      <w:proofErr w:type="spellStart"/>
      <w:r>
        <w:rPr>
          <w:rFonts w:cs="Times New Roman"/>
        </w:rPr>
        <w:t>intracrustal</w:t>
      </w:r>
      <w:proofErr w:type="spellEnd"/>
      <w:r>
        <w:rPr>
          <w:rFonts w:cs="Times New Roman"/>
        </w:rPr>
        <w:t xml:space="preserve"> interfaces are less prominent, possibly due</w:t>
      </w:r>
      <w:r w:rsidRPr="00263532">
        <w:rPr>
          <w:rFonts w:cs="Times New Roman"/>
        </w:rPr>
        <w:t xml:space="preserve"> </w:t>
      </w:r>
      <w:r>
        <w:rPr>
          <w:rFonts w:cs="Times New Roman"/>
        </w:rPr>
        <w:t xml:space="preserve">to heterogeneities </w:t>
      </w:r>
      <w:r w:rsidRPr="00263532">
        <w:rPr>
          <w:rFonts w:cs="Times New Roman"/>
        </w:rPr>
        <w:t xml:space="preserve">further </w:t>
      </w:r>
      <w:r>
        <w:rPr>
          <w:rFonts w:cs="Times New Roman"/>
        </w:rPr>
        <w:t xml:space="preserve">away from </w:t>
      </w:r>
      <w:r w:rsidRPr="00263532">
        <w:rPr>
          <w:rFonts w:cs="Times New Roman"/>
        </w:rPr>
        <w:t>the station</w:t>
      </w:r>
      <w:r>
        <w:rPr>
          <w:rFonts w:cs="Times New Roman"/>
        </w:rPr>
        <w:t xml:space="preserve">, where </w:t>
      </w:r>
      <w:proofErr w:type="spellStart"/>
      <w:r>
        <w:rPr>
          <w:rFonts w:cs="Times New Roman"/>
        </w:rPr>
        <w:t>Sp</w:t>
      </w:r>
      <w:proofErr w:type="spellEnd"/>
      <w:r w:rsidRPr="00263532">
        <w:rPr>
          <w:rFonts w:cs="Times New Roman"/>
        </w:rPr>
        <w:t xml:space="preserve"> conver</w:t>
      </w:r>
      <w:r>
        <w:rPr>
          <w:rFonts w:cs="Times New Roman"/>
        </w:rPr>
        <w:t>sion</w:t>
      </w:r>
      <w:r w:rsidRPr="00263532">
        <w:rPr>
          <w:rFonts w:cs="Times New Roman"/>
        </w:rPr>
        <w:t xml:space="preserve"> points</w:t>
      </w:r>
      <w:r>
        <w:rPr>
          <w:rFonts w:cs="Times New Roman"/>
        </w:rPr>
        <w:t xml:space="preserve"> lie, and interference from other phases </w:t>
      </w:r>
      <w:r w:rsidRPr="00263532">
        <w:rPr>
          <w:rFonts w:cs="Times New Roman"/>
        </w:rPr>
        <w:t>near the S arrival</w:t>
      </w:r>
      <w:r w:rsidRPr="00D27662">
        <w:rPr>
          <w:rFonts w:cs="Times New Roman"/>
          <w:noProof/>
          <w:vertAlign w:val="superscript"/>
        </w:rPr>
        <w:t>60</w:t>
      </w:r>
      <w:r>
        <w:rPr>
          <w:rFonts w:cs="Times New Roman"/>
        </w:rPr>
        <w:t xml:space="preserve">. </w:t>
      </w:r>
      <w:r w:rsidRPr="00263532">
        <w:rPr>
          <w:rFonts w:cs="Times New Roman"/>
        </w:rPr>
        <w:t xml:space="preserve">Despite these complexities, the observed negative arrivals at </w:t>
      </w:r>
      <w:r>
        <w:rPr>
          <w:rFonts w:cs="Times New Roman"/>
        </w:rPr>
        <w:t>~</w:t>
      </w:r>
      <w:r w:rsidRPr="00263532">
        <w:rPr>
          <w:rFonts w:cs="Times New Roman"/>
        </w:rPr>
        <w:t>11 s in S-wave RFs reaffirm the presence of an upper mantle LVZ beneath InSight.</w:t>
      </w:r>
    </w:p>
    <w:p w14:paraId="53E6B602" w14:textId="77777777" w:rsidR="007F6E00" w:rsidRDefault="007F6E00">
      <w:pPr>
        <w:widowControl/>
        <w:spacing w:line="240" w:lineRule="auto"/>
        <w:jc w:val="left"/>
        <w:rPr>
          <w:rFonts w:cs="Times New Roman"/>
        </w:rPr>
      </w:pPr>
      <w:r>
        <w:rPr>
          <w:rFonts w:cs="Times New Roman"/>
        </w:rPr>
        <w:br w:type="page"/>
      </w:r>
    </w:p>
    <w:p w14:paraId="54E13F8B" w14:textId="77777777" w:rsidR="007F6E00" w:rsidRDefault="007F6E00" w:rsidP="00E72659">
      <w:pPr>
        <w:tabs>
          <w:tab w:val="center" w:pos="4080"/>
          <w:tab w:val="right" w:pos="8160"/>
        </w:tabs>
        <w:spacing w:line="240" w:lineRule="auto"/>
        <w:jc w:val="center"/>
        <w:rPr>
          <w:rFonts w:cs="Times New Roman"/>
        </w:rPr>
      </w:pPr>
      <w:r>
        <w:rPr>
          <w:rFonts w:cs="Times New Roman"/>
          <w:noProof/>
        </w:rPr>
        <w:lastRenderedPageBreak/>
        <w:drawing>
          <wp:inline distT="0" distB="0" distL="0" distR="0" wp14:anchorId="70899A85" wp14:editId="69F9CA7D">
            <wp:extent cx="5274310" cy="3108960"/>
            <wp:effectExtent l="0" t="0" r="0" b="254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74310" cy="3108960"/>
                    </a:xfrm>
                    <a:prstGeom prst="rect">
                      <a:avLst/>
                    </a:prstGeom>
                  </pic:spPr>
                </pic:pic>
              </a:graphicData>
            </a:graphic>
          </wp:inline>
        </w:drawing>
      </w:r>
    </w:p>
    <w:p w14:paraId="604FA903" w14:textId="161CD74D" w:rsidR="007F6E00" w:rsidRPr="00E72659" w:rsidRDefault="007F6E00" w:rsidP="00E72659">
      <w:pPr>
        <w:tabs>
          <w:tab w:val="center" w:pos="4080"/>
          <w:tab w:val="right" w:pos="8160"/>
        </w:tabs>
        <w:spacing w:line="240" w:lineRule="auto"/>
        <w:rPr>
          <w:rFonts w:cs="Times New Roman"/>
        </w:rPr>
      </w:pPr>
      <w:bookmarkStart w:id="39" w:name="_Toc167205925"/>
      <w:r>
        <w:rPr>
          <w:b/>
          <w:bCs/>
        </w:rPr>
        <w:t>Supplementary Fig. 34</w:t>
      </w:r>
      <w:r w:rsidRPr="0055695A">
        <w:rPr>
          <w:b/>
          <w:bCs/>
        </w:rPr>
        <w:t xml:space="preserve"> | S-wave RF analysis.</w:t>
      </w:r>
      <w:bookmarkEnd w:id="39"/>
      <w:r w:rsidRPr="0055695A">
        <w:rPr>
          <w:b/>
          <w:bCs/>
        </w:rPr>
        <w:t xml:space="preserve"> </w:t>
      </w:r>
      <w:r w:rsidRPr="00E72659">
        <w:rPr>
          <w:rFonts w:cs="Times New Roman"/>
        </w:rPr>
        <w:t>(a)</w:t>
      </w:r>
      <w:r>
        <w:rPr>
          <w:rFonts w:cs="Times New Roman"/>
        </w:rPr>
        <w:t xml:space="preserve"> S-wave ray parameter versus epicenter distance. Black, red, and blue dots are S-wave ray parameters calculated using the mean, minimum, and maximum velocity models in ref.</w:t>
      </w:r>
      <w:r w:rsidRPr="00D27662">
        <w:rPr>
          <w:rFonts w:cs="Times New Roman"/>
          <w:noProof/>
          <w:vertAlign w:val="superscript"/>
        </w:rPr>
        <w:t xml:space="preserve"> 61</w:t>
      </w:r>
      <w:r w:rsidRPr="008C792C">
        <w:rPr>
          <w:rFonts w:cs="Times New Roman"/>
        </w:rPr>
        <w:t xml:space="preserve">. </w:t>
      </w:r>
      <w:r>
        <w:rPr>
          <w:rFonts w:cs="Times New Roman"/>
        </w:rPr>
        <w:t xml:space="preserve">Colored shaded areas denote the critical ray parameters of </w:t>
      </w:r>
      <w:proofErr w:type="spellStart"/>
      <w:r>
        <w:rPr>
          <w:rFonts w:cs="Times New Roman"/>
        </w:rPr>
        <w:t>Sp</w:t>
      </w:r>
      <w:proofErr w:type="spellEnd"/>
      <w:r>
        <w:rPr>
          <w:rFonts w:cs="Times New Roman"/>
        </w:rPr>
        <w:t xml:space="preserve"> converted waves based on the inverted models in </w:t>
      </w:r>
      <w:r w:rsidRPr="00EE28F4">
        <w:rPr>
          <w:rFonts w:cs="Times New Roman"/>
          <w:color w:val="FF0000"/>
        </w:rPr>
        <w:t>Fig. 2</w:t>
      </w:r>
      <w:r w:rsidR="00BB4FCF">
        <w:rPr>
          <w:rFonts w:cs="Times New Roman"/>
          <w:color w:val="FF0000"/>
        </w:rPr>
        <w:t>c</w:t>
      </w:r>
      <w:r>
        <w:rPr>
          <w:rFonts w:cs="Times New Roman"/>
        </w:rPr>
        <w:t xml:space="preserve">. Only events beyond 65º distance (green area) can generate </w:t>
      </w:r>
      <w:proofErr w:type="spellStart"/>
      <w:r>
        <w:rPr>
          <w:rFonts w:cs="Times New Roman"/>
        </w:rPr>
        <w:t>Sp</w:t>
      </w:r>
      <w:proofErr w:type="spellEnd"/>
      <w:r>
        <w:rPr>
          <w:rFonts w:cs="Times New Roman"/>
        </w:rPr>
        <w:t xml:space="preserve"> phases converted from the top of the upper mantle LVZ. </w:t>
      </w:r>
      <w:r w:rsidRPr="00E72659">
        <w:rPr>
          <w:rFonts w:cs="Times New Roman"/>
        </w:rPr>
        <w:t>(b)</w:t>
      </w:r>
      <w:r>
        <w:rPr>
          <w:rFonts w:cs="Times New Roman"/>
        </w:rPr>
        <w:t xml:space="preserve"> S-wave RFs of two distant events S1415a and S1153a, and their average. Colored bands </w:t>
      </w:r>
      <w:r w:rsidRPr="004F2CDF">
        <w:rPr>
          <w:rFonts w:cs="Times New Roman"/>
        </w:rPr>
        <w:t xml:space="preserve">mark predicted </w:t>
      </w:r>
      <w:proofErr w:type="spellStart"/>
      <w:r w:rsidRPr="004F2CDF">
        <w:rPr>
          <w:rFonts w:cs="Times New Roman"/>
        </w:rPr>
        <w:t>Sp</w:t>
      </w:r>
      <w:proofErr w:type="spellEnd"/>
      <w:r w:rsidRPr="004F2CDF">
        <w:rPr>
          <w:rFonts w:cs="Times New Roman"/>
        </w:rPr>
        <w:t xml:space="preserve"> arrivals from four interfaces. Line color indicates the incidence angle used for rotation. Arrow shows the </w:t>
      </w:r>
      <w:proofErr w:type="spellStart"/>
      <w:r w:rsidRPr="004F2CDF">
        <w:rPr>
          <w:rFonts w:cs="Times New Roman"/>
        </w:rPr>
        <w:t>Sp</w:t>
      </w:r>
      <w:proofErr w:type="spellEnd"/>
      <w:r w:rsidRPr="004F2CDF">
        <w:rPr>
          <w:rFonts w:cs="Times New Roman"/>
        </w:rPr>
        <w:t xml:space="preserve"> from the top of the upper mantle LVZ.</w:t>
      </w:r>
      <w:r>
        <w:rPr>
          <w:rFonts w:cs="Times New Roman"/>
        </w:rPr>
        <w:t xml:space="preserve"> (c) </w:t>
      </w:r>
      <w:r w:rsidRPr="004F2CDF">
        <w:rPr>
          <w:rFonts w:cs="Times New Roman"/>
        </w:rPr>
        <w:t xml:space="preserve">Synthetic frequency-dependent incidence angles of S waves based on models from </w:t>
      </w:r>
      <w:r w:rsidRPr="004F2CDF">
        <w:rPr>
          <w:rFonts w:cs="Times New Roman"/>
          <w:color w:val="FF0000"/>
        </w:rPr>
        <w:t>Fig. 2</w:t>
      </w:r>
      <w:r w:rsidR="00BB4FCF">
        <w:rPr>
          <w:rFonts w:cs="Times New Roman"/>
          <w:color w:val="FF0000"/>
        </w:rPr>
        <w:t>c</w:t>
      </w:r>
      <w:r w:rsidRPr="004F2CDF">
        <w:rPr>
          <w:rFonts w:cs="Times New Roman"/>
        </w:rPr>
        <w:t>. Line color corresponds to misfit values.</w:t>
      </w:r>
      <w:r>
        <w:rPr>
          <w:rFonts w:cs="Times New Roman"/>
        </w:rPr>
        <w:t xml:space="preserve"> (d) Synthetic S-wave RFs </w:t>
      </w:r>
      <w:r w:rsidRPr="004F2CDF">
        <w:rPr>
          <w:rFonts w:cs="Times New Roman"/>
        </w:rPr>
        <w:t xml:space="preserve">based on models from </w:t>
      </w:r>
      <w:r w:rsidRPr="004F2CDF">
        <w:rPr>
          <w:rFonts w:cs="Times New Roman"/>
          <w:color w:val="FF0000"/>
        </w:rPr>
        <w:t>Fig. 2</w:t>
      </w:r>
      <w:r w:rsidR="00BB4FCF">
        <w:rPr>
          <w:rFonts w:cs="Times New Roman"/>
          <w:color w:val="FF0000"/>
        </w:rPr>
        <w:t>c</w:t>
      </w:r>
      <w:r>
        <w:rPr>
          <w:rFonts w:cs="Times New Roman"/>
        </w:rPr>
        <w:t xml:space="preserve">. </w:t>
      </w:r>
      <w:r w:rsidRPr="004F2CDF">
        <w:rPr>
          <w:rFonts w:cs="Times New Roman"/>
        </w:rPr>
        <w:t xml:space="preserve">Vertical bands mark </w:t>
      </w:r>
      <w:proofErr w:type="spellStart"/>
      <w:r w:rsidRPr="004F2CDF">
        <w:rPr>
          <w:rFonts w:cs="Times New Roman"/>
        </w:rPr>
        <w:t>Sp</w:t>
      </w:r>
      <w:proofErr w:type="spellEnd"/>
      <w:r w:rsidRPr="004F2CDF">
        <w:rPr>
          <w:rFonts w:cs="Times New Roman"/>
        </w:rPr>
        <w:t xml:space="preserve"> conversions, and the arrow highlights the one from the LVZ top.</w:t>
      </w:r>
    </w:p>
    <w:p w14:paraId="6B13B90B" w14:textId="77777777" w:rsidR="007F6E00" w:rsidRDefault="007F6E00">
      <w:pPr>
        <w:widowControl/>
        <w:spacing w:line="240" w:lineRule="auto"/>
        <w:jc w:val="left"/>
        <w:rPr>
          <w:rFonts w:cs="Times New Roman"/>
        </w:rPr>
      </w:pPr>
      <w:r>
        <w:rPr>
          <w:rFonts w:cs="Times New Roman"/>
        </w:rPr>
        <w:br w:type="page"/>
      </w:r>
    </w:p>
    <w:p w14:paraId="6EAEDCD8" w14:textId="77777777" w:rsidR="007F6E00" w:rsidRDefault="007F6E00" w:rsidP="009A683F">
      <w:pPr>
        <w:pStyle w:val="2"/>
      </w:pPr>
      <w:bookmarkStart w:id="40" w:name="_Toc202208129"/>
      <w:r>
        <w:rPr>
          <w:rFonts w:hint="eastAsia"/>
        </w:rPr>
        <w:lastRenderedPageBreak/>
        <w:t>5</w:t>
      </w:r>
      <w:r>
        <w:t>.3. Autocorrelation reflectivity</w:t>
      </w:r>
      <w:bookmarkEnd w:id="40"/>
    </w:p>
    <w:p w14:paraId="455B426E" w14:textId="77777777" w:rsidR="007F6E00" w:rsidRDefault="007F6E00" w:rsidP="007837C2">
      <w:pPr>
        <w:ind w:firstLineChars="200" w:firstLine="480"/>
        <w:rPr>
          <w:rFonts w:cs="Times New Roman"/>
        </w:rPr>
      </w:pPr>
      <w:r>
        <w:rPr>
          <w:rFonts w:cs="Times New Roman" w:hint="eastAsia"/>
        </w:rPr>
        <w:t>T</w:t>
      </w:r>
      <w:r>
        <w:rPr>
          <w:rFonts w:cs="Times New Roman"/>
        </w:rPr>
        <w:t>h</w:t>
      </w:r>
      <w:r>
        <w:rPr>
          <w:rFonts w:cs="Times New Roman" w:hint="eastAsia"/>
        </w:rPr>
        <w:t xml:space="preserve">e </w:t>
      </w:r>
      <w:r>
        <w:rPr>
          <w:rFonts w:cs="Times New Roman"/>
        </w:rPr>
        <w:t>autocorrelation function (ACF) extracted by seismic interferometry can be used to extract the body wave reflection phases corresponding to subsurface interfaces. Martian c</w:t>
      </w:r>
      <w:r w:rsidRPr="008D6F15">
        <w:rPr>
          <w:rFonts w:cs="Times New Roman"/>
        </w:rPr>
        <w:t xml:space="preserve">rustal </w:t>
      </w:r>
      <w:r>
        <w:rPr>
          <w:rFonts w:cs="Times New Roman"/>
        </w:rPr>
        <w:t>structures have also been investigated by ACFs</w:t>
      </w:r>
      <w:r w:rsidRPr="00D27662">
        <w:rPr>
          <w:rFonts w:cs="Times New Roman"/>
          <w:noProof/>
          <w:vertAlign w:val="superscript"/>
        </w:rPr>
        <w:t>25,62-64</w:t>
      </w:r>
      <w:r>
        <w:rPr>
          <w:rFonts w:cs="Times New Roman"/>
        </w:rPr>
        <w:t xml:space="preserve">. Here, we review of all identified signals in vertical ACFs reported in previous literatures and compare them with the synthetic P-wave reflections predicted by our inverted models. </w:t>
      </w:r>
    </w:p>
    <w:p w14:paraId="59104875" w14:textId="77777777" w:rsidR="007F6E00" w:rsidRDefault="007F6E00" w:rsidP="007837C2">
      <w:pPr>
        <w:ind w:firstLineChars="200" w:firstLine="480"/>
        <w:rPr>
          <w:rFonts w:cs="Times New Roman"/>
        </w:rPr>
      </w:pPr>
      <w:r>
        <w:rPr>
          <w:rFonts w:cs="Times New Roman"/>
        </w:rPr>
        <w:t>Synthetic P wave reflections are computed using the</w:t>
      </w:r>
      <w:r w:rsidRPr="004D3382">
        <w:rPr>
          <w:rFonts w:cs="Times New Roman"/>
        </w:rPr>
        <w:t xml:space="preserve"> </w:t>
      </w:r>
      <w:r>
        <w:rPr>
          <w:rFonts w:cs="Times New Roman"/>
        </w:rPr>
        <w:t>reflectivity method</w:t>
      </w:r>
      <w:r w:rsidRPr="00D27662">
        <w:rPr>
          <w:rFonts w:cs="Times New Roman"/>
          <w:noProof/>
          <w:vertAlign w:val="superscript"/>
        </w:rPr>
        <w:t>65</w:t>
      </w:r>
      <w:r>
        <w:rPr>
          <w:rFonts w:cs="Times New Roman"/>
        </w:rPr>
        <w:t xml:space="preserve">, with or without surface multiples. </w:t>
      </w:r>
      <w:r w:rsidRPr="003774CD">
        <w:rPr>
          <w:rFonts w:cs="Times New Roman"/>
        </w:rPr>
        <w:t xml:space="preserve">The synthetic waveforms are filtered </w:t>
      </w:r>
      <w:r>
        <w:rPr>
          <w:rFonts w:cs="Times New Roman"/>
        </w:rPr>
        <w:t>to</w:t>
      </w:r>
      <w:r w:rsidRPr="003774CD">
        <w:rPr>
          <w:rFonts w:cs="Times New Roman"/>
        </w:rPr>
        <w:t xml:space="preserve"> 1.5–3.0 Hz</w:t>
      </w:r>
      <w:r>
        <w:rPr>
          <w:rFonts w:cs="Times New Roman"/>
        </w:rPr>
        <w:t xml:space="preserve"> and </w:t>
      </w:r>
      <w:r w:rsidRPr="003774CD">
        <w:rPr>
          <w:rFonts w:cs="Times New Roman"/>
        </w:rPr>
        <w:t>compared with the observed ACFs within a 30-second window</w:t>
      </w:r>
      <w:r>
        <w:rPr>
          <w:rFonts w:cs="Times New Roman"/>
        </w:rPr>
        <w:t xml:space="preserve"> </w:t>
      </w:r>
      <w:r w:rsidRPr="00E6355F">
        <w:rPr>
          <w:rFonts w:cs="Times New Roman"/>
          <w:color w:val="FF0000"/>
        </w:rPr>
        <w:t>(</w:t>
      </w:r>
      <w:r>
        <w:rPr>
          <w:rFonts w:cs="Times New Roman"/>
          <w:color w:val="FF0000"/>
        </w:rPr>
        <w:t>Supplementary Fig. 35</w:t>
      </w:r>
      <w:r w:rsidRPr="00E6355F">
        <w:rPr>
          <w:rFonts w:cs="Times New Roman"/>
          <w:color w:val="FF0000"/>
        </w:rPr>
        <w:t>)</w:t>
      </w:r>
      <w:r>
        <w:rPr>
          <w:rFonts w:cs="Times New Roman"/>
          <w:color w:val="FF0000"/>
        </w:rPr>
        <w:t xml:space="preserve"> </w:t>
      </w:r>
      <w:r w:rsidRPr="009D6AB8">
        <w:rPr>
          <w:rFonts w:cs="Times New Roman"/>
          <w:color w:val="000000" w:themeColor="text1"/>
        </w:rPr>
        <w:t>to better isolate crust and upper mantle reflections</w:t>
      </w:r>
      <w:r>
        <w:rPr>
          <w:rFonts w:cs="Times New Roman"/>
        </w:rPr>
        <w:t xml:space="preserve">. The synthetic results indicate that the P waves reflected at the four crustal interfaces and the top of the LVZ, denoted as </w:t>
      </w:r>
      <w:proofErr w:type="spellStart"/>
      <w:r>
        <w:rPr>
          <w:rFonts w:cs="Times New Roman"/>
        </w:rPr>
        <w:t>P</w:t>
      </w:r>
      <w:r w:rsidRPr="006474C3">
        <w:rPr>
          <w:rFonts w:cs="Times New Roman"/>
          <w:vertAlign w:val="subscript"/>
        </w:rPr>
        <w:t>di</w:t>
      </w:r>
      <w:r>
        <w:rPr>
          <w:rFonts w:cs="Times New Roman"/>
        </w:rPr>
        <w:t>P</w:t>
      </w:r>
      <w:proofErr w:type="spellEnd"/>
      <w:r>
        <w:rPr>
          <w:rFonts w:cs="Times New Roman"/>
        </w:rPr>
        <w:t xml:space="preserve"> (</w:t>
      </w:r>
      <w:proofErr w:type="spellStart"/>
      <w:r>
        <w:rPr>
          <w:rFonts w:cs="Times New Roman"/>
        </w:rPr>
        <w:t>i</w:t>
      </w:r>
      <w:proofErr w:type="spellEnd"/>
      <w:r>
        <w:rPr>
          <w:rFonts w:cs="Times New Roman"/>
        </w:rPr>
        <w:t>=1–5), arrive at ~3.1 s, ~5.0 s, ~11.7 s, ~20.3 s, and ~26.0 s, respectively. Additional reflections at ~6 s, ~15 s, and ~23 s in the reflectivity simulations correspond to the double reflection from the ~4-km-deep interface (P</w:t>
      </w:r>
      <w:r w:rsidRPr="006474C3">
        <w:rPr>
          <w:rFonts w:cs="Times New Roman"/>
          <w:vertAlign w:val="subscript"/>
        </w:rPr>
        <w:t>d1</w:t>
      </w:r>
      <w:r>
        <w:rPr>
          <w:rFonts w:cs="Times New Roman"/>
        </w:rPr>
        <w:t>P2), triple reflection from the ~8-km-deep interface (P</w:t>
      </w:r>
      <w:r w:rsidRPr="006474C3">
        <w:rPr>
          <w:rFonts w:cs="Times New Roman"/>
          <w:vertAlign w:val="subscript"/>
        </w:rPr>
        <w:t>d</w:t>
      </w:r>
      <w:r>
        <w:rPr>
          <w:rFonts w:cs="Times New Roman"/>
          <w:vertAlign w:val="subscript"/>
        </w:rPr>
        <w:t>2</w:t>
      </w:r>
      <w:r>
        <w:rPr>
          <w:rFonts w:cs="Times New Roman"/>
        </w:rPr>
        <w:t>P3), and the double reflection from the ~24-km-deep interface (P</w:t>
      </w:r>
      <w:r w:rsidRPr="006474C3">
        <w:rPr>
          <w:rFonts w:cs="Times New Roman"/>
          <w:vertAlign w:val="subscript"/>
        </w:rPr>
        <w:t>d</w:t>
      </w:r>
      <w:r>
        <w:rPr>
          <w:rFonts w:cs="Times New Roman"/>
          <w:vertAlign w:val="subscript"/>
        </w:rPr>
        <w:t>3</w:t>
      </w:r>
      <w:r>
        <w:rPr>
          <w:rFonts w:cs="Times New Roman"/>
        </w:rPr>
        <w:t xml:space="preserve">P2), respectively. </w:t>
      </w:r>
      <w:r w:rsidRPr="003774CD">
        <w:rPr>
          <w:rFonts w:cs="Times New Roman"/>
        </w:rPr>
        <w:t>With the aid of a more detailed structure of the Martian crust and upper mantle, we now have a clear and comprehensive interpretation of the observed</w:t>
      </w:r>
      <w:r>
        <w:rPr>
          <w:rFonts w:cs="Times New Roman"/>
        </w:rPr>
        <w:t xml:space="preserve"> ACFs:</w:t>
      </w:r>
    </w:p>
    <w:p w14:paraId="60B889D1" w14:textId="77777777" w:rsidR="007F6E00" w:rsidRDefault="007F6E00" w:rsidP="009A683F">
      <w:pPr>
        <w:ind w:firstLineChars="200" w:firstLine="480"/>
        <w:rPr>
          <w:rFonts w:cs="Times New Roman"/>
        </w:rPr>
      </w:pPr>
      <w:r>
        <w:rPr>
          <w:rFonts w:cs="Times New Roman"/>
        </w:rPr>
        <w:t>(1) P</w:t>
      </w:r>
      <w:r w:rsidRPr="006474C3">
        <w:rPr>
          <w:rFonts w:cs="Times New Roman"/>
          <w:vertAlign w:val="subscript"/>
        </w:rPr>
        <w:t>d1</w:t>
      </w:r>
      <w:r>
        <w:rPr>
          <w:rFonts w:cs="Times New Roman"/>
        </w:rPr>
        <w:t xml:space="preserve">P arrives at ~3.1 s and is submerged in the zero-lag side lobes, </w:t>
      </w:r>
      <w:r w:rsidRPr="003774CD">
        <w:rPr>
          <w:rFonts w:cs="Times New Roman"/>
        </w:rPr>
        <w:t>rendering it unidentifiable in the ACFs</w:t>
      </w:r>
      <w:r>
        <w:rPr>
          <w:rFonts w:cs="Times New Roman"/>
        </w:rPr>
        <w:t>.</w:t>
      </w:r>
    </w:p>
    <w:p w14:paraId="228C048C" w14:textId="77777777" w:rsidR="007F6E00" w:rsidRDefault="007F6E00" w:rsidP="009A683F">
      <w:pPr>
        <w:ind w:firstLineChars="200" w:firstLine="480"/>
        <w:rPr>
          <w:rFonts w:cs="Times New Roman"/>
        </w:rPr>
      </w:pPr>
      <w:r>
        <w:rPr>
          <w:rFonts w:cs="Times New Roman"/>
        </w:rPr>
        <w:t xml:space="preserve">(2) The signal observed at ~5–6 s by </w:t>
      </w:r>
      <w:r>
        <w:rPr>
          <w:rFonts w:cs="Times New Roman"/>
          <w:noProof/>
        </w:rPr>
        <w:t xml:space="preserve">Deng and Levander </w:t>
      </w:r>
      <w:r w:rsidRPr="00D27662">
        <w:rPr>
          <w:rFonts w:cs="Times New Roman"/>
          <w:noProof/>
          <w:vertAlign w:val="superscript"/>
        </w:rPr>
        <w:t>63</w:t>
      </w:r>
      <w:r>
        <w:rPr>
          <w:rFonts w:cs="Times New Roman"/>
        </w:rPr>
        <w:t xml:space="preserve">, </w:t>
      </w:r>
      <w:r>
        <w:rPr>
          <w:rFonts w:cs="Times New Roman"/>
          <w:noProof/>
        </w:rPr>
        <w:t xml:space="preserve">Compaire, et al. </w:t>
      </w:r>
      <w:r w:rsidRPr="00D27662">
        <w:rPr>
          <w:rFonts w:cs="Times New Roman"/>
          <w:noProof/>
          <w:vertAlign w:val="superscript"/>
        </w:rPr>
        <w:t>62</w:t>
      </w:r>
      <w:r>
        <w:rPr>
          <w:rFonts w:cs="Times New Roman"/>
        </w:rPr>
        <w:t xml:space="preserve">, </w:t>
      </w:r>
      <w:r>
        <w:rPr>
          <w:rFonts w:cs="Times New Roman"/>
        </w:rPr>
        <w:lastRenderedPageBreak/>
        <w:t xml:space="preserve">and </w:t>
      </w:r>
      <w:r>
        <w:rPr>
          <w:rFonts w:cs="Times New Roman"/>
          <w:noProof/>
        </w:rPr>
        <w:t xml:space="preserve">Knapmeyer-Endrun, et al. </w:t>
      </w:r>
      <w:r w:rsidRPr="00B11BE5">
        <w:rPr>
          <w:rFonts w:cs="Times New Roman"/>
          <w:noProof/>
          <w:vertAlign w:val="superscript"/>
        </w:rPr>
        <w:t>25</w:t>
      </w:r>
      <w:r>
        <w:rPr>
          <w:rFonts w:cs="Times New Roman"/>
        </w:rPr>
        <w:t xml:space="preserve"> is identified as P</w:t>
      </w:r>
      <w:r w:rsidRPr="006474C3">
        <w:rPr>
          <w:rFonts w:cs="Times New Roman"/>
          <w:vertAlign w:val="subscript"/>
        </w:rPr>
        <w:t>d</w:t>
      </w:r>
      <w:r>
        <w:rPr>
          <w:rFonts w:cs="Times New Roman"/>
          <w:vertAlign w:val="subscript"/>
        </w:rPr>
        <w:t>2</w:t>
      </w:r>
      <w:r>
        <w:rPr>
          <w:rFonts w:cs="Times New Roman"/>
        </w:rPr>
        <w:t>P.</w:t>
      </w:r>
    </w:p>
    <w:p w14:paraId="70973EBB" w14:textId="77777777" w:rsidR="007F6E00" w:rsidRDefault="007F6E00" w:rsidP="009A683F">
      <w:pPr>
        <w:ind w:firstLineChars="200" w:firstLine="480"/>
        <w:rPr>
          <w:rFonts w:cs="Times New Roman"/>
        </w:rPr>
      </w:pPr>
      <w:r>
        <w:rPr>
          <w:rFonts w:cs="Times New Roman"/>
        </w:rPr>
        <w:t xml:space="preserve">(3) The signal at 6.15 s in </w:t>
      </w:r>
      <w:r>
        <w:rPr>
          <w:rFonts w:cs="Times New Roman"/>
          <w:noProof/>
        </w:rPr>
        <w:t xml:space="preserve">Schimmel, et al. </w:t>
      </w:r>
      <w:r w:rsidRPr="00D27662">
        <w:rPr>
          <w:rFonts w:cs="Times New Roman"/>
          <w:noProof/>
          <w:vertAlign w:val="superscript"/>
        </w:rPr>
        <w:t>64</w:t>
      </w:r>
      <w:r>
        <w:rPr>
          <w:rFonts w:cs="Times New Roman"/>
        </w:rPr>
        <w:t xml:space="preserve"> could be either P</w:t>
      </w:r>
      <w:r w:rsidRPr="006474C3">
        <w:rPr>
          <w:rFonts w:cs="Times New Roman"/>
          <w:vertAlign w:val="subscript"/>
        </w:rPr>
        <w:t>d</w:t>
      </w:r>
      <w:r>
        <w:rPr>
          <w:rFonts w:cs="Times New Roman"/>
          <w:vertAlign w:val="subscript"/>
        </w:rPr>
        <w:t>2</w:t>
      </w:r>
      <w:r>
        <w:rPr>
          <w:rFonts w:cs="Times New Roman"/>
        </w:rPr>
        <w:t>P or P</w:t>
      </w:r>
      <w:r w:rsidRPr="006474C3">
        <w:rPr>
          <w:rFonts w:cs="Times New Roman"/>
          <w:vertAlign w:val="subscript"/>
        </w:rPr>
        <w:t>d</w:t>
      </w:r>
      <w:r>
        <w:rPr>
          <w:rFonts w:cs="Times New Roman"/>
          <w:vertAlign w:val="subscript"/>
        </w:rPr>
        <w:t>1</w:t>
      </w:r>
      <w:r>
        <w:rPr>
          <w:rFonts w:cs="Times New Roman"/>
        </w:rPr>
        <w:t>P2.</w:t>
      </w:r>
    </w:p>
    <w:p w14:paraId="754E7DE6" w14:textId="77777777" w:rsidR="007F6E00" w:rsidRDefault="007F6E00" w:rsidP="009A683F">
      <w:pPr>
        <w:ind w:firstLineChars="200" w:firstLine="480"/>
        <w:rPr>
          <w:rFonts w:cs="Times New Roman"/>
        </w:rPr>
      </w:pPr>
      <w:r>
        <w:rPr>
          <w:rFonts w:cs="Times New Roman"/>
        </w:rPr>
        <w:t xml:space="preserve">(4) The signal present at ~10–11 s or ~11.5 s in </w:t>
      </w:r>
      <w:r>
        <w:rPr>
          <w:rFonts w:cs="Times New Roman"/>
          <w:noProof/>
        </w:rPr>
        <w:t xml:space="preserve">Deng and Levander </w:t>
      </w:r>
      <w:r w:rsidRPr="00D27662">
        <w:rPr>
          <w:rFonts w:cs="Times New Roman"/>
          <w:noProof/>
          <w:vertAlign w:val="superscript"/>
        </w:rPr>
        <w:t>63</w:t>
      </w:r>
      <w:r>
        <w:rPr>
          <w:rFonts w:cs="Times New Roman"/>
        </w:rPr>
        <w:t xml:space="preserve">, </w:t>
      </w:r>
      <w:r>
        <w:rPr>
          <w:rFonts w:cs="Times New Roman"/>
          <w:noProof/>
        </w:rPr>
        <w:t xml:space="preserve">Knapmeyer-Endrun, et al. </w:t>
      </w:r>
      <w:r w:rsidRPr="00B11BE5">
        <w:rPr>
          <w:rFonts w:cs="Times New Roman"/>
          <w:noProof/>
          <w:vertAlign w:val="superscript"/>
        </w:rPr>
        <w:t>25</w:t>
      </w:r>
      <w:r>
        <w:rPr>
          <w:rFonts w:cs="Times New Roman"/>
        </w:rPr>
        <w:t xml:space="preserve">, and </w:t>
      </w:r>
      <w:r>
        <w:rPr>
          <w:rFonts w:cs="Times New Roman"/>
          <w:noProof/>
        </w:rPr>
        <w:t xml:space="preserve">Schimmel, et al. </w:t>
      </w:r>
      <w:r w:rsidRPr="00D27662">
        <w:rPr>
          <w:rFonts w:cs="Times New Roman"/>
          <w:noProof/>
          <w:vertAlign w:val="superscript"/>
        </w:rPr>
        <w:t>64</w:t>
      </w:r>
      <w:r>
        <w:rPr>
          <w:rFonts w:cs="Times New Roman"/>
        </w:rPr>
        <w:t xml:space="preserve"> is identified as P</w:t>
      </w:r>
      <w:r w:rsidRPr="006474C3">
        <w:rPr>
          <w:rFonts w:cs="Times New Roman"/>
          <w:vertAlign w:val="subscript"/>
        </w:rPr>
        <w:t>d</w:t>
      </w:r>
      <w:r>
        <w:rPr>
          <w:rFonts w:cs="Times New Roman"/>
          <w:vertAlign w:val="subscript"/>
        </w:rPr>
        <w:t>3</w:t>
      </w:r>
      <w:r>
        <w:rPr>
          <w:rFonts w:cs="Times New Roman"/>
        </w:rPr>
        <w:t>P.</w:t>
      </w:r>
    </w:p>
    <w:p w14:paraId="5F40C508" w14:textId="77777777" w:rsidR="007F6E00" w:rsidRDefault="007F6E00" w:rsidP="009A683F">
      <w:pPr>
        <w:ind w:firstLineChars="200" w:firstLine="480"/>
        <w:rPr>
          <w:rFonts w:cs="Times New Roman"/>
        </w:rPr>
      </w:pPr>
      <w:r>
        <w:rPr>
          <w:rFonts w:cs="Times New Roman"/>
        </w:rPr>
        <w:t>(5)</w:t>
      </w:r>
      <w:r w:rsidRPr="006474C3">
        <w:rPr>
          <w:rFonts w:cs="Times New Roman"/>
        </w:rPr>
        <w:t xml:space="preserve"> </w:t>
      </w:r>
      <w:r>
        <w:rPr>
          <w:rFonts w:cs="Times New Roman"/>
        </w:rPr>
        <w:t xml:space="preserve">Two arrivals observed by </w:t>
      </w:r>
      <w:r>
        <w:rPr>
          <w:rFonts w:cs="Times New Roman"/>
          <w:noProof/>
        </w:rPr>
        <w:t xml:space="preserve">Compaire, et al. </w:t>
      </w:r>
      <w:r w:rsidRPr="00D27662">
        <w:rPr>
          <w:rFonts w:cs="Times New Roman"/>
          <w:noProof/>
          <w:vertAlign w:val="superscript"/>
        </w:rPr>
        <w:t>62</w:t>
      </w:r>
      <w:r>
        <w:rPr>
          <w:rFonts w:cs="Times New Roman"/>
        </w:rPr>
        <w:t xml:space="preserve"> at 10.6 s and 12.6 s are most likely P</w:t>
      </w:r>
      <w:r w:rsidRPr="006474C3">
        <w:rPr>
          <w:rFonts w:cs="Times New Roman"/>
          <w:vertAlign w:val="subscript"/>
        </w:rPr>
        <w:t>d</w:t>
      </w:r>
      <w:r>
        <w:rPr>
          <w:rFonts w:cs="Times New Roman"/>
          <w:vertAlign w:val="subscript"/>
        </w:rPr>
        <w:t>3</w:t>
      </w:r>
      <w:r>
        <w:rPr>
          <w:rFonts w:cs="Times New Roman"/>
        </w:rPr>
        <w:t>P and P</w:t>
      </w:r>
      <w:r w:rsidRPr="006474C3">
        <w:rPr>
          <w:rFonts w:cs="Times New Roman"/>
          <w:vertAlign w:val="subscript"/>
        </w:rPr>
        <w:t>d</w:t>
      </w:r>
      <w:r>
        <w:rPr>
          <w:rFonts w:cs="Times New Roman"/>
          <w:vertAlign w:val="subscript"/>
        </w:rPr>
        <w:t>2</w:t>
      </w:r>
      <w:r>
        <w:rPr>
          <w:rFonts w:cs="Times New Roman"/>
        </w:rPr>
        <w:t>P2, although it remains unclear which arrives first.</w:t>
      </w:r>
    </w:p>
    <w:p w14:paraId="52D3B413" w14:textId="77777777" w:rsidR="007F6E00" w:rsidRDefault="007F6E00" w:rsidP="009A683F">
      <w:pPr>
        <w:ind w:firstLineChars="200" w:firstLine="480"/>
        <w:rPr>
          <w:rFonts w:cs="Times New Roman"/>
        </w:rPr>
      </w:pPr>
      <w:r>
        <w:rPr>
          <w:rFonts w:cs="Times New Roman"/>
        </w:rPr>
        <w:t xml:space="preserve">(6) The signal at ~21 s, as observed in </w:t>
      </w:r>
      <w:r>
        <w:rPr>
          <w:rFonts w:cs="Times New Roman"/>
          <w:noProof/>
        </w:rPr>
        <w:t xml:space="preserve">Deng and Levander </w:t>
      </w:r>
      <w:r w:rsidRPr="00D27662">
        <w:rPr>
          <w:rFonts w:cs="Times New Roman"/>
          <w:noProof/>
          <w:vertAlign w:val="superscript"/>
        </w:rPr>
        <w:t>63</w:t>
      </w:r>
      <w:r>
        <w:rPr>
          <w:rFonts w:cs="Times New Roman"/>
        </w:rPr>
        <w:t xml:space="preserve">, </w:t>
      </w:r>
      <w:r>
        <w:rPr>
          <w:rFonts w:cs="Times New Roman"/>
          <w:noProof/>
        </w:rPr>
        <w:t xml:space="preserve">Compaire, et al. </w:t>
      </w:r>
      <w:r w:rsidRPr="00D27662">
        <w:rPr>
          <w:rFonts w:cs="Times New Roman"/>
          <w:noProof/>
          <w:vertAlign w:val="superscript"/>
        </w:rPr>
        <w:t>62</w:t>
      </w:r>
      <w:r>
        <w:rPr>
          <w:rFonts w:cs="Times New Roman"/>
        </w:rPr>
        <w:t xml:space="preserve">, and </w:t>
      </w:r>
      <w:r>
        <w:rPr>
          <w:rFonts w:cs="Times New Roman"/>
          <w:noProof/>
        </w:rPr>
        <w:t xml:space="preserve">Knapmeyer-Endrun, et al. </w:t>
      </w:r>
      <w:r w:rsidRPr="00B11BE5">
        <w:rPr>
          <w:rFonts w:cs="Times New Roman"/>
          <w:noProof/>
          <w:vertAlign w:val="superscript"/>
        </w:rPr>
        <w:t>25</w:t>
      </w:r>
      <w:r>
        <w:rPr>
          <w:rFonts w:cs="Times New Roman"/>
        </w:rPr>
        <w:t xml:space="preserve"> is </w:t>
      </w:r>
      <w:r w:rsidRPr="003774CD">
        <w:rPr>
          <w:rFonts w:cs="Times New Roman"/>
        </w:rPr>
        <w:t xml:space="preserve">identified as </w:t>
      </w:r>
      <w:r>
        <w:rPr>
          <w:rFonts w:cs="Times New Roman"/>
        </w:rPr>
        <w:t>P</w:t>
      </w:r>
      <w:r w:rsidRPr="006474C3">
        <w:rPr>
          <w:rFonts w:cs="Times New Roman"/>
          <w:vertAlign w:val="subscript"/>
        </w:rPr>
        <w:t>d</w:t>
      </w:r>
      <w:r>
        <w:rPr>
          <w:rFonts w:cs="Times New Roman"/>
          <w:vertAlign w:val="subscript"/>
        </w:rPr>
        <w:t>4</w:t>
      </w:r>
      <w:r>
        <w:rPr>
          <w:rFonts w:cs="Times New Roman"/>
        </w:rPr>
        <w:t>P (</w:t>
      </w:r>
      <w:proofErr w:type="spellStart"/>
      <w:r>
        <w:rPr>
          <w:rFonts w:cs="Times New Roman"/>
        </w:rPr>
        <w:t>PmP</w:t>
      </w:r>
      <w:proofErr w:type="spellEnd"/>
      <w:r>
        <w:rPr>
          <w:rFonts w:cs="Times New Roman"/>
        </w:rPr>
        <w:t>).</w:t>
      </w:r>
    </w:p>
    <w:p w14:paraId="1EB01386" w14:textId="77777777" w:rsidR="007F6E00" w:rsidRDefault="007F6E00" w:rsidP="009A683F">
      <w:pPr>
        <w:ind w:firstLineChars="200" w:firstLine="480"/>
        <w:rPr>
          <w:rFonts w:cs="Times New Roman"/>
        </w:rPr>
      </w:pPr>
      <w:r>
        <w:rPr>
          <w:rFonts w:cs="Times New Roman"/>
        </w:rPr>
        <w:t xml:space="preserve">(7) </w:t>
      </w:r>
      <w:r w:rsidRPr="003774CD">
        <w:rPr>
          <w:rFonts w:cs="Times New Roman"/>
        </w:rPr>
        <w:t>Two closely spaced signals, denoted as ‘f’ by</w:t>
      </w:r>
      <w:r>
        <w:rPr>
          <w:rFonts w:cs="Times New Roman"/>
        </w:rPr>
        <w:t xml:space="preserve"> </w:t>
      </w:r>
      <w:r>
        <w:rPr>
          <w:rFonts w:cs="Times New Roman"/>
          <w:noProof/>
        </w:rPr>
        <w:t xml:space="preserve">Schimmel, et al. </w:t>
      </w:r>
      <w:r w:rsidRPr="00D27662">
        <w:rPr>
          <w:rFonts w:cs="Times New Roman"/>
          <w:noProof/>
          <w:vertAlign w:val="superscript"/>
        </w:rPr>
        <w:t>64</w:t>
      </w:r>
      <w:r>
        <w:rPr>
          <w:rFonts w:cs="Times New Roman"/>
        </w:rPr>
        <w:t xml:space="preserve"> at 23.8 s and 24.5 s, are </w:t>
      </w:r>
      <w:r w:rsidRPr="003774CD">
        <w:rPr>
          <w:rFonts w:cs="Times New Roman"/>
        </w:rPr>
        <w:t xml:space="preserve">identified as </w:t>
      </w:r>
      <w:r>
        <w:rPr>
          <w:rFonts w:cs="Times New Roman"/>
        </w:rPr>
        <w:t>P</w:t>
      </w:r>
      <w:r w:rsidRPr="006474C3">
        <w:rPr>
          <w:rFonts w:cs="Times New Roman"/>
          <w:vertAlign w:val="subscript"/>
        </w:rPr>
        <w:t>d</w:t>
      </w:r>
      <w:r>
        <w:rPr>
          <w:rFonts w:cs="Times New Roman"/>
          <w:vertAlign w:val="subscript"/>
        </w:rPr>
        <w:t>3</w:t>
      </w:r>
      <w:r>
        <w:rPr>
          <w:rFonts w:cs="Times New Roman"/>
        </w:rPr>
        <w:t>P2 and P</w:t>
      </w:r>
      <w:r w:rsidRPr="006474C3">
        <w:rPr>
          <w:rFonts w:cs="Times New Roman"/>
          <w:vertAlign w:val="subscript"/>
        </w:rPr>
        <w:t>d</w:t>
      </w:r>
      <w:r>
        <w:rPr>
          <w:rFonts w:cs="Times New Roman"/>
          <w:vertAlign w:val="subscript"/>
        </w:rPr>
        <w:t>5</w:t>
      </w:r>
      <w:r>
        <w:rPr>
          <w:rFonts w:cs="Times New Roman"/>
        </w:rPr>
        <w:t>P, respectively.</w:t>
      </w:r>
    </w:p>
    <w:p w14:paraId="63E9AE41" w14:textId="77777777" w:rsidR="007F6E00" w:rsidRDefault="007F6E00" w:rsidP="009A683F">
      <w:pPr>
        <w:ind w:firstLineChars="200" w:firstLine="480"/>
        <w:rPr>
          <w:rFonts w:cs="Times New Roman"/>
        </w:rPr>
      </w:pPr>
      <w:r>
        <w:rPr>
          <w:rFonts w:cs="Times New Roman"/>
        </w:rPr>
        <w:t xml:space="preserve">(8) </w:t>
      </w:r>
      <w:r w:rsidRPr="003774CD">
        <w:rPr>
          <w:rFonts w:cs="Times New Roman"/>
        </w:rPr>
        <w:t xml:space="preserve">In addition, there are other weak signals reported in various studies that were not identified as seismic phases but are consistent with our synthetic results. For instance, the arrival at </w:t>
      </w:r>
      <w:r>
        <w:rPr>
          <w:rFonts w:cs="Times New Roman"/>
        </w:rPr>
        <w:t xml:space="preserve">~15 s in </w:t>
      </w:r>
      <w:r>
        <w:rPr>
          <w:rFonts w:cs="Times New Roman"/>
          <w:noProof/>
        </w:rPr>
        <w:t xml:space="preserve">Deng and Levander </w:t>
      </w:r>
      <w:r w:rsidRPr="00D27662">
        <w:rPr>
          <w:rFonts w:cs="Times New Roman"/>
          <w:noProof/>
          <w:vertAlign w:val="superscript"/>
        </w:rPr>
        <w:t>63</w:t>
      </w:r>
      <w:r>
        <w:rPr>
          <w:rFonts w:cs="Times New Roman"/>
        </w:rPr>
        <w:t xml:space="preserve"> corresponds to P</w:t>
      </w:r>
      <w:r w:rsidRPr="006474C3">
        <w:rPr>
          <w:rFonts w:cs="Times New Roman"/>
          <w:vertAlign w:val="subscript"/>
        </w:rPr>
        <w:t>d</w:t>
      </w:r>
      <w:r>
        <w:rPr>
          <w:rFonts w:cs="Times New Roman"/>
          <w:vertAlign w:val="subscript"/>
        </w:rPr>
        <w:t>2</w:t>
      </w:r>
      <w:r>
        <w:rPr>
          <w:rFonts w:cs="Times New Roman"/>
        </w:rPr>
        <w:t xml:space="preserve">P3, and the arrival at ~25 s in both </w:t>
      </w:r>
      <w:r>
        <w:rPr>
          <w:rFonts w:cs="Times New Roman"/>
          <w:noProof/>
        </w:rPr>
        <w:t xml:space="preserve">Deng and Levander </w:t>
      </w:r>
      <w:r w:rsidRPr="00D27662">
        <w:rPr>
          <w:rFonts w:cs="Times New Roman"/>
          <w:noProof/>
          <w:vertAlign w:val="superscript"/>
        </w:rPr>
        <w:t>63</w:t>
      </w:r>
      <w:r>
        <w:rPr>
          <w:rFonts w:cs="Times New Roman"/>
        </w:rPr>
        <w:t xml:space="preserve"> and </w:t>
      </w:r>
      <w:r>
        <w:rPr>
          <w:rFonts w:cs="Times New Roman"/>
          <w:noProof/>
        </w:rPr>
        <w:t xml:space="preserve">Compaire, et al. </w:t>
      </w:r>
      <w:r w:rsidRPr="00D27662">
        <w:rPr>
          <w:rFonts w:cs="Times New Roman"/>
          <w:noProof/>
          <w:vertAlign w:val="superscript"/>
        </w:rPr>
        <w:t>62</w:t>
      </w:r>
      <w:r>
        <w:rPr>
          <w:rFonts w:cs="Times New Roman"/>
        </w:rPr>
        <w:t xml:space="preserve"> corresponds to P</w:t>
      </w:r>
      <w:r w:rsidRPr="006474C3">
        <w:rPr>
          <w:rFonts w:cs="Times New Roman"/>
          <w:vertAlign w:val="subscript"/>
        </w:rPr>
        <w:t>d</w:t>
      </w:r>
      <w:r>
        <w:rPr>
          <w:rFonts w:cs="Times New Roman"/>
          <w:vertAlign w:val="subscript"/>
        </w:rPr>
        <w:t>5</w:t>
      </w:r>
      <w:r>
        <w:rPr>
          <w:rFonts w:cs="Times New Roman"/>
        </w:rPr>
        <w:t>P.</w:t>
      </w:r>
    </w:p>
    <w:p w14:paraId="16CEE4C2" w14:textId="77777777" w:rsidR="007F6E00" w:rsidRDefault="007F6E00" w:rsidP="00625745">
      <w:pPr>
        <w:ind w:firstLineChars="200" w:firstLine="480"/>
        <w:rPr>
          <w:rFonts w:cs="Times New Roman"/>
        </w:rPr>
      </w:pPr>
      <w:r>
        <w:rPr>
          <w:rFonts w:cs="Times New Roman"/>
        </w:rPr>
        <w:t xml:space="preserve">In the ACF results from </w:t>
      </w:r>
      <w:r>
        <w:rPr>
          <w:rFonts w:cs="Times New Roman"/>
          <w:noProof/>
        </w:rPr>
        <w:t xml:space="preserve">Schimmel, et al. </w:t>
      </w:r>
      <w:r w:rsidRPr="00D27662">
        <w:rPr>
          <w:rFonts w:cs="Times New Roman"/>
          <w:noProof/>
          <w:vertAlign w:val="superscript"/>
        </w:rPr>
        <w:t>64</w:t>
      </w:r>
      <w:r>
        <w:rPr>
          <w:rFonts w:cs="Times New Roman"/>
        </w:rPr>
        <w:t xml:space="preserve">, the ~25 s signal is most significant in the 1.5–3.0 Hz band for the stacks using 3% and 30% data set </w:t>
      </w:r>
      <w:r w:rsidRPr="00E6355F">
        <w:rPr>
          <w:rFonts w:cs="Times New Roman"/>
          <w:color w:val="FF0000"/>
        </w:rPr>
        <w:t>(</w:t>
      </w:r>
      <w:r>
        <w:rPr>
          <w:rFonts w:cs="Times New Roman"/>
          <w:color w:val="FF0000"/>
        </w:rPr>
        <w:t>Supplementary Fig. 35</w:t>
      </w:r>
      <w:r w:rsidRPr="00E6355F">
        <w:rPr>
          <w:rFonts w:cs="Times New Roman"/>
          <w:color w:val="FF0000"/>
        </w:rPr>
        <w:t>)</w:t>
      </w:r>
      <w:r>
        <w:rPr>
          <w:rFonts w:cs="Times New Roman"/>
        </w:rPr>
        <w:t xml:space="preserve">. </w:t>
      </w:r>
      <w:r w:rsidRPr="003774CD">
        <w:rPr>
          <w:rFonts w:cs="Times New Roman"/>
        </w:rPr>
        <w:t>Given</w:t>
      </w:r>
      <w:r>
        <w:rPr>
          <w:rFonts w:cs="Times New Roman"/>
        </w:rPr>
        <w:t xml:space="preserve"> their improved processing that avoids aseismic signal bias, and the consistency of this signal over other frequency bands</w:t>
      </w:r>
      <w:r w:rsidRPr="00D27662">
        <w:rPr>
          <w:rFonts w:cs="Times New Roman"/>
          <w:noProof/>
          <w:vertAlign w:val="superscript"/>
        </w:rPr>
        <w:t>64</w:t>
      </w:r>
      <w:r>
        <w:rPr>
          <w:rFonts w:cs="Times New Roman"/>
        </w:rPr>
        <w:t xml:space="preserve">, and its good match with our synthetics, we interpret this signal as P wave reflection </w:t>
      </w:r>
      <w:r>
        <w:rPr>
          <w:rFonts w:cs="Times New Roman" w:hint="eastAsia"/>
        </w:rPr>
        <w:t>from</w:t>
      </w:r>
      <w:r>
        <w:rPr>
          <w:rFonts w:cs="Times New Roman"/>
        </w:rPr>
        <w:t xml:space="preserve"> the top of the upper mantle LVZ. </w:t>
      </w:r>
      <w:r w:rsidRPr="003774CD">
        <w:rPr>
          <w:rFonts w:cs="Times New Roman"/>
        </w:rPr>
        <w:t xml:space="preserve">In </w:t>
      </w:r>
      <w:r>
        <w:rPr>
          <w:rFonts w:cs="Times New Roman"/>
        </w:rPr>
        <w:t>summary</w:t>
      </w:r>
      <w:r w:rsidRPr="003774CD">
        <w:rPr>
          <w:rFonts w:cs="Times New Roman"/>
        </w:rPr>
        <w:t>, the</w:t>
      </w:r>
      <w:r>
        <w:rPr>
          <w:rFonts w:cs="Times New Roman"/>
        </w:rPr>
        <w:t>se</w:t>
      </w:r>
      <w:r w:rsidRPr="003774CD">
        <w:rPr>
          <w:rFonts w:cs="Times New Roman"/>
        </w:rPr>
        <w:t xml:space="preserve"> autocorrelation </w:t>
      </w:r>
      <w:r>
        <w:rPr>
          <w:rFonts w:cs="Times New Roman"/>
        </w:rPr>
        <w:t>results</w:t>
      </w:r>
      <w:r w:rsidRPr="003774CD">
        <w:rPr>
          <w:rFonts w:cs="Times New Roman"/>
        </w:rPr>
        <w:t xml:space="preserve"> not only validate the crustal structure inverted </w:t>
      </w:r>
      <w:r w:rsidRPr="003774CD">
        <w:rPr>
          <w:rFonts w:cs="Times New Roman"/>
        </w:rPr>
        <w:lastRenderedPageBreak/>
        <w:t>by</w:t>
      </w:r>
      <w:r>
        <w:rPr>
          <w:rFonts w:cs="Times New Roman"/>
        </w:rPr>
        <w:t xml:space="preserve"> RFs, </w:t>
      </w:r>
      <w:r w:rsidRPr="003774CD">
        <w:rPr>
          <w:rFonts w:cs="Times New Roman"/>
        </w:rPr>
        <w:t xml:space="preserve">but also provide </w:t>
      </w:r>
      <w:r>
        <w:rPr>
          <w:rFonts w:cs="Times New Roman"/>
        </w:rPr>
        <w:t xml:space="preserve">independent </w:t>
      </w:r>
      <w:r w:rsidRPr="003774CD">
        <w:rPr>
          <w:rFonts w:cs="Times New Roman"/>
        </w:rPr>
        <w:t xml:space="preserve">evidence </w:t>
      </w:r>
      <w:r>
        <w:rPr>
          <w:rFonts w:cs="Times New Roman"/>
        </w:rPr>
        <w:t xml:space="preserve">for </w:t>
      </w:r>
      <w:r w:rsidRPr="003774CD">
        <w:rPr>
          <w:rFonts w:cs="Times New Roman"/>
        </w:rPr>
        <w:t>an upper mantle LVZ beneath the InSight landing site.</w:t>
      </w:r>
    </w:p>
    <w:p w14:paraId="1A2AA498" w14:textId="77777777" w:rsidR="007F6E00" w:rsidRDefault="007F6E00" w:rsidP="00625745">
      <w:pPr>
        <w:ind w:firstLineChars="200" w:firstLine="480"/>
        <w:rPr>
          <w:rFonts w:cs="Times New Roman"/>
        </w:rPr>
      </w:pPr>
    </w:p>
    <w:p w14:paraId="70F924F2" w14:textId="77777777" w:rsidR="007F6E00" w:rsidRDefault="007F6E00">
      <w:pPr>
        <w:widowControl/>
        <w:spacing w:line="240" w:lineRule="auto"/>
        <w:jc w:val="left"/>
        <w:rPr>
          <w:rFonts w:cs="Times New Roman"/>
        </w:rPr>
      </w:pPr>
    </w:p>
    <w:p w14:paraId="210B4DEE" w14:textId="77777777" w:rsidR="007F6E00" w:rsidRDefault="007F6E00" w:rsidP="006757D6">
      <w:pPr>
        <w:jc w:val="center"/>
        <w:rPr>
          <w:rFonts w:cs="Times New Roman"/>
        </w:rPr>
      </w:pPr>
      <w:r>
        <w:rPr>
          <w:rFonts w:cs="Times New Roman" w:hint="eastAsia"/>
          <w:noProof/>
        </w:rPr>
        <w:drawing>
          <wp:inline distT="0" distB="0" distL="0" distR="0" wp14:anchorId="2EDA0616" wp14:editId="7D284A50">
            <wp:extent cx="4320000" cy="365842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320000" cy="3658425"/>
                    </a:xfrm>
                    <a:prstGeom prst="rect">
                      <a:avLst/>
                    </a:prstGeom>
                  </pic:spPr>
                </pic:pic>
              </a:graphicData>
            </a:graphic>
          </wp:inline>
        </w:drawing>
      </w:r>
    </w:p>
    <w:p w14:paraId="49B95A3C" w14:textId="77777777" w:rsidR="007F6E00" w:rsidRDefault="007F6E00" w:rsidP="006757D6">
      <w:pPr>
        <w:spacing w:line="240" w:lineRule="auto"/>
        <w:rPr>
          <w:rFonts w:cs="Times New Roman"/>
        </w:rPr>
      </w:pPr>
      <w:bookmarkStart w:id="41" w:name="_Toc167205926"/>
      <w:r>
        <w:rPr>
          <w:b/>
          <w:bCs/>
        </w:rPr>
        <w:t>Supplementary Fig. 35</w:t>
      </w:r>
      <w:r w:rsidRPr="0055695A">
        <w:rPr>
          <w:b/>
          <w:bCs/>
        </w:rPr>
        <w:t xml:space="preserve"> | Autocorrelation reflectivity analysis.</w:t>
      </w:r>
      <w:bookmarkEnd w:id="41"/>
      <w:r w:rsidRPr="000D61E6">
        <w:rPr>
          <w:rStyle w:val="20"/>
        </w:rPr>
        <w:t xml:space="preserve"> </w:t>
      </w:r>
      <w:r>
        <w:rPr>
          <w:rFonts w:cs="Times New Roman"/>
        </w:rPr>
        <w:t>Comparison of the observed ACFs (black traces) in ref.</w:t>
      </w:r>
      <w:r w:rsidRPr="00D27662">
        <w:rPr>
          <w:rFonts w:cs="Times New Roman"/>
          <w:noProof/>
          <w:vertAlign w:val="superscript"/>
        </w:rPr>
        <w:t xml:space="preserve"> 63</w:t>
      </w:r>
      <w:r>
        <w:rPr>
          <w:rFonts w:cs="Times New Roman"/>
        </w:rPr>
        <w:t xml:space="preserve"> (DL20) and ref.</w:t>
      </w:r>
      <w:r w:rsidRPr="00D27662">
        <w:rPr>
          <w:rFonts w:cs="Times New Roman"/>
          <w:noProof/>
          <w:vertAlign w:val="superscript"/>
        </w:rPr>
        <w:t xml:space="preserve"> 64</w:t>
      </w:r>
      <w:r>
        <w:rPr>
          <w:rFonts w:cs="Times New Roman"/>
        </w:rPr>
        <w:t xml:space="preserve"> (MS21) with the synthetic P wave reflections (red traces). Both observations and synthetics are bandpass filtered into 1.5–3.0 Hz. PWS denotes the phase weighted stacking, and LS denotes the linear stacking. In ref.</w:t>
      </w:r>
      <w:r w:rsidRPr="00D27662">
        <w:rPr>
          <w:rFonts w:cs="Times New Roman"/>
          <w:noProof/>
          <w:vertAlign w:val="superscript"/>
        </w:rPr>
        <w:t xml:space="preserve"> 64</w:t>
      </w:r>
      <w:r>
        <w:rPr>
          <w:rFonts w:cs="Times New Roman"/>
        </w:rPr>
        <w:t>, there are three datasets considering different data segmentation and selection strategies, referred to as 100%, 30%, and 3% datasets. The synthetic waveforms are calculated by reflectivity method with and without multiples reflected at surface. Each trace is normalized to a distinct amplitude for a better view and comparison. Colored dashed bands denote the arrival time ranges of the reflected phases from five interfaces.</w:t>
      </w:r>
    </w:p>
    <w:p w14:paraId="66C7812B" w14:textId="77777777" w:rsidR="007F6E00" w:rsidRDefault="007F6E00">
      <w:pPr>
        <w:widowControl/>
        <w:spacing w:line="240" w:lineRule="auto"/>
        <w:jc w:val="left"/>
        <w:rPr>
          <w:rFonts w:cs="Times New Roman"/>
        </w:rPr>
      </w:pPr>
      <w:r>
        <w:rPr>
          <w:rFonts w:cs="Times New Roman"/>
        </w:rPr>
        <w:br w:type="page"/>
      </w:r>
    </w:p>
    <w:p w14:paraId="0EB33281" w14:textId="77777777" w:rsidR="007F6E00" w:rsidRDefault="007F6E00" w:rsidP="00E06CE5">
      <w:pPr>
        <w:pStyle w:val="2"/>
      </w:pPr>
      <w:bookmarkStart w:id="42" w:name="_Toc202208130"/>
      <w:r>
        <w:rPr>
          <w:rFonts w:hint="eastAsia"/>
        </w:rPr>
        <w:lastRenderedPageBreak/>
        <w:t>5</w:t>
      </w:r>
      <w:r>
        <w:t>.4. Seismicity and amplitude reduction</w:t>
      </w:r>
      <w:bookmarkEnd w:id="42"/>
    </w:p>
    <w:p w14:paraId="0BA53736" w14:textId="77777777" w:rsidR="007F6E00" w:rsidRDefault="007F6E00" w:rsidP="00857CB1">
      <w:pPr>
        <w:ind w:firstLineChars="200" w:firstLine="480"/>
        <w:rPr>
          <w:rFonts w:cs="Times New Roman"/>
        </w:rPr>
      </w:pPr>
      <w:r>
        <w:rPr>
          <w:rFonts w:cs="Times New Roman"/>
        </w:rPr>
        <w:t xml:space="preserve">Previous studies of marsquake locations and Martian seismicity </w:t>
      </w:r>
      <w:r w:rsidRPr="00B60B29">
        <w:rPr>
          <w:rFonts w:cs="Times New Roman"/>
        </w:rPr>
        <w:t xml:space="preserve">have noted a lack of LF marsquakes within ~25° </w:t>
      </w:r>
      <w:r>
        <w:rPr>
          <w:rFonts w:cs="Times New Roman"/>
        </w:rPr>
        <w:t xml:space="preserve">distance to </w:t>
      </w:r>
      <w:r w:rsidRPr="00B60B29">
        <w:rPr>
          <w:rFonts w:cs="Times New Roman"/>
        </w:rPr>
        <w:t>the InSight lander</w:t>
      </w:r>
      <w:r w:rsidRPr="00D27662">
        <w:rPr>
          <w:rFonts w:cs="Times New Roman"/>
          <w:noProof/>
          <w:vertAlign w:val="superscript"/>
        </w:rPr>
        <w:t>3-5,37,66</w:t>
      </w:r>
      <w:r w:rsidRPr="008365D2">
        <w:rPr>
          <w:rFonts w:cs="Times New Roman"/>
        </w:rPr>
        <w:t xml:space="preserve">, potentially attributable to the upper mantle LVZ, which could significantly distort ray paths and </w:t>
      </w:r>
      <w:r>
        <w:rPr>
          <w:rFonts w:cs="Times New Roman"/>
        </w:rPr>
        <w:t>change</w:t>
      </w:r>
      <w:r w:rsidRPr="008365D2">
        <w:rPr>
          <w:rFonts w:cs="Times New Roman"/>
        </w:rPr>
        <w:t xml:space="preserve"> the amplitudes</w:t>
      </w:r>
      <w:r>
        <w:rPr>
          <w:rFonts w:cs="Times New Roman"/>
        </w:rPr>
        <w:t xml:space="preserve"> of body waves</w:t>
      </w:r>
      <w:r w:rsidRPr="008365D2">
        <w:rPr>
          <w:rFonts w:cs="Times New Roman"/>
        </w:rPr>
        <w:t>.</w:t>
      </w:r>
      <w:r>
        <w:rPr>
          <w:rFonts w:cs="Times New Roman" w:hint="eastAsia"/>
        </w:rPr>
        <w:t xml:space="preserve"> </w:t>
      </w:r>
      <w:r>
        <w:rPr>
          <w:rFonts w:cs="Times New Roman"/>
        </w:rPr>
        <w:t>To investigate this hypothesis, we perform synthetic waveform simulations to evaluate the impact of LVZ on P and S wave amplitudes. We construct a series of 1D models by incorporating upper mantle LVZs with different thicknesses on the basis of the InSight_KKS21_GP model</w:t>
      </w:r>
      <w:r w:rsidRPr="00B11BE5">
        <w:rPr>
          <w:rFonts w:cs="Times New Roman"/>
          <w:noProof/>
          <w:vertAlign w:val="superscript"/>
        </w:rPr>
        <w:t>1,25,33</w:t>
      </w:r>
      <w:r>
        <w:rPr>
          <w:rFonts w:cs="Times New Roman"/>
        </w:rPr>
        <w:t>, placing</w:t>
      </w:r>
      <w:r w:rsidRPr="008365D2">
        <w:rPr>
          <w:rFonts w:cs="Times New Roman"/>
        </w:rPr>
        <w:t xml:space="preserve"> the top of the LVZ at a depth of 68 km</w:t>
      </w:r>
      <w:r>
        <w:rPr>
          <w:rFonts w:cs="Times New Roman"/>
        </w:rPr>
        <w:t>,</w:t>
      </w:r>
      <w:r w:rsidRPr="00512A7E">
        <w:rPr>
          <w:rFonts w:cs="Times New Roman"/>
        </w:rPr>
        <w:t xml:space="preserve"> </w:t>
      </w:r>
      <w:r>
        <w:rPr>
          <w:rFonts w:cs="Times New Roman"/>
        </w:rPr>
        <w:t xml:space="preserve">as inferred from RF inversions. Synthetic waveforms are generated using the </w:t>
      </w:r>
      <w:proofErr w:type="spellStart"/>
      <w:r>
        <w:rPr>
          <w:rFonts w:cs="Times New Roman"/>
        </w:rPr>
        <w:t>fk</w:t>
      </w:r>
      <w:proofErr w:type="spellEnd"/>
      <w:r>
        <w:rPr>
          <w:rFonts w:cs="Times New Roman"/>
        </w:rPr>
        <w:t xml:space="preserve"> package</w:t>
      </w:r>
      <w:r w:rsidRPr="00D27662">
        <w:rPr>
          <w:rFonts w:cs="Times New Roman"/>
          <w:noProof/>
          <w:vertAlign w:val="superscript"/>
        </w:rPr>
        <w:t>67</w:t>
      </w:r>
      <w:r>
        <w:rPr>
          <w:rFonts w:cs="Times New Roman"/>
        </w:rPr>
        <w:t>, with</w:t>
      </w:r>
      <w:r w:rsidRPr="00D63BBC">
        <w:rPr>
          <w:rFonts w:cs="Times New Roman"/>
        </w:rPr>
        <w:t xml:space="preserve"> </w:t>
      </w:r>
      <w:r>
        <w:rPr>
          <w:rFonts w:cs="Times New Roman"/>
        </w:rPr>
        <w:t>focal mechanism (strike: 76°, dip: 63°, rake: -104°), source depth (33 km), and azimuth (260°) assigned to those obtained for event S0235b in a previous study</w:t>
      </w:r>
      <w:r w:rsidRPr="00B76BF3">
        <w:rPr>
          <w:rFonts w:cs="Times New Roman"/>
          <w:noProof/>
          <w:vertAlign w:val="superscript"/>
        </w:rPr>
        <w:t>10</w:t>
      </w:r>
      <w:r>
        <w:rPr>
          <w:rFonts w:cs="Times New Roman"/>
        </w:rPr>
        <w:t xml:space="preserve">. The synthetics are filtered into 0.1–1 Hz to match the dominant frequency of LF events. Envelopes are calculated within a time window of -5–15 s relative to the P and S arrival times </w:t>
      </w:r>
      <w:r w:rsidRPr="00315409">
        <w:rPr>
          <w:rFonts w:cs="Times New Roman"/>
          <w:color w:val="FF0000"/>
        </w:rPr>
        <w:t>(</w:t>
      </w:r>
      <w:r>
        <w:rPr>
          <w:rFonts w:cs="Times New Roman"/>
          <w:color w:val="FF0000"/>
        </w:rPr>
        <w:t>Supplementary Fig. 36</w:t>
      </w:r>
      <w:r w:rsidRPr="00315409">
        <w:rPr>
          <w:rFonts w:cs="Times New Roman"/>
          <w:color w:val="FF0000"/>
        </w:rPr>
        <w:t>)</w:t>
      </w:r>
      <w:r>
        <w:rPr>
          <w:rFonts w:cs="Times New Roman"/>
        </w:rPr>
        <w:t xml:space="preserve">, and peak P and S amplitudes are extracted from the vertical and transverse components, respectively, for comparison across models. </w:t>
      </w:r>
    </w:p>
    <w:p w14:paraId="5C43DCDF" w14:textId="77777777" w:rsidR="007F6E00" w:rsidRDefault="007F6E00" w:rsidP="00512A7E">
      <w:pPr>
        <w:ind w:firstLineChars="200" w:firstLine="480"/>
        <w:rPr>
          <w:rFonts w:cs="Times New Roman"/>
        </w:rPr>
      </w:pPr>
      <w:r>
        <w:rPr>
          <w:rFonts w:cs="Times New Roman"/>
        </w:rPr>
        <w:t xml:space="preserve">Results </w:t>
      </w:r>
      <w:r w:rsidRPr="00DE6355">
        <w:rPr>
          <w:rFonts w:cs="Times New Roman"/>
        </w:rPr>
        <w:t>demonstrate that the LVZ distorts ray paths beyond</w:t>
      </w:r>
      <w:r>
        <w:rPr>
          <w:rFonts w:cs="Times New Roman"/>
        </w:rPr>
        <w:t xml:space="preserve"> ~9° </w:t>
      </w:r>
      <w:r w:rsidRPr="00954E77">
        <w:rPr>
          <w:rFonts w:cs="Times New Roman"/>
          <w:color w:val="FF0000"/>
        </w:rPr>
        <w:t>(</w:t>
      </w:r>
      <w:r>
        <w:rPr>
          <w:rFonts w:cs="Times New Roman"/>
          <w:color w:val="FF0000"/>
        </w:rPr>
        <w:t>Supplementary Fig. 37</w:t>
      </w:r>
      <w:r w:rsidRPr="00954E77">
        <w:rPr>
          <w:rFonts w:cs="Times New Roman"/>
          <w:color w:val="FF0000"/>
        </w:rPr>
        <w:t>a–b)</w:t>
      </w:r>
      <w:r>
        <w:rPr>
          <w:rFonts w:cs="Times New Roman"/>
        </w:rPr>
        <w:t xml:space="preserve"> and reduces both P and S amplitudes </w:t>
      </w:r>
      <w:r w:rsidRPr="001D0A03">
        <w:rPr>
          <w:rFonts w:cs="Times New Roman"/>
          <w:color w:val="FF0000"/>
        </w:rPr>
        <w:t>(</w:t>
      </w:r>
      <w:r>
        <w:rPr>
          <w:rFonts w:cs="Times New Roman"/>
          <w:color w:val="FF0000"/>
        </w:rPr>
        <w:t>Supplementary Fig. 37</w:t>
      </w:r>
      <w:r w:rsidRPr="001D0A03">
        <w:rPr>
          <w:rFonts w:cs="Times New Roman"/>
          <w:color w:val="FF0000"/>
        </w:rPr>
        <w:t>c)</w:t>
      </w:r>
      <w:r w:rsidRPr="00D02869">
        <w:rPr>
          <w:rFonts w:cs="Times New Roman"/>
          <w:color w:val="000000" w:themeColor="text1"/>
        </w:rPr>
        <w:t xml:space="preserve">, by </w:t>
      </w:r>
      <w:r>
        <w:rPr>
          <w:rFonts w:cs="Times New Roman"/>
        </w:rPr>
        <w:t xml:space="preserve">~30% for P waves at distances of ~20°–30° and ~50% for S waves at ~15°–25°. Such significant amplitude reductions between 15° and 25°, particularly for S waves, contributing to the apparent absence of </w:t>
      </w:r>
      <w:r w:rsidRPr="00E530E8">
        <w:rPr>
          <w:rFonts w:cs="Times New Roman"/>
        </w:rPr>
        <w:t xml:space="preserve">lack of seismicity </w:t>
      </w:r>
      <w:r>
        <w:rPr>
          <w:rFonts w:cs="Times New Roman"/>
        </w:rPr>
        <w:t>within this distance range</w:t>
      </w:r>
      <w:r w:rsidRPr="00E530E8">
        <w:rPr>
          <w:rFonts w:cs="Times New Roman"/>
          <w:noProof/>
          <w:vertAlign w:val="superscript"/>
        </w:rPr>
        <w:t>4</w:t>
      </w:r>
      <w:r>
        <w:rPr>
          <w:rFonts w:cs="Times New Roman"/>
        </w:rPr>
        <w:t>.</w:t>
      </w:r>
      <w:r w:rsidRPr="00512A7E">
        <w:rPr>
          <w:rFonts w:cs="Times New Roman"/>
        </w:rPr>
        <w:t xml:space="preserve"> </w:t>
      </w:r>
      <w:r>
        <w:rPr>
          <w:rFonts w:cs="Times New Roman"/>
        </w:rPr>
        <w:t xml:space="preserve">It </w:t>
      </w:r>
      <w:r>
        <w:rPr>
          <w:rFonts w:cs="Times New Roman"/>
        </w:rPr>
        <w:lastRenderedPageBreak/>
        <w:t>is worth noting that amplitudes can increase at distance of ~10°for P waves. However, no seismicity has been detected in this distance range, likely because S waves amplitudes remain low if an LVZ is present (</w:t>
      </w:r>
      <w:r>
        <w:rPr>
          <w:rFonts w:cs="Times New Roman"/>
          <w:color w:val="FF0000"/>
        </w:rPr>
        <w:t>Supplementary Fig. 37c)</w:t>
      </w:r>
      <w:r>
        <w:rPr>
          <w:rFonts w:cs="Times New Roman"/>
        </w:rPr>
        <w:t>.</w:t>
      </w:r>
    </w:p>
    <w:p w14:paraId="327D3114" w14:textId="77777777" w:rsidR="007F6E00" w:rsidRDefault="007F6E00" w:rsidP="0063055A">
      <w:pPr>
        <w:ind w:firstLineChars="200" w:firstLine="480"/>
        <w:rPr>
          <w:rFonts w:cs="Times New Roman"/>
        </w:rPr>
      </w:pPr>
      <w:r>
        <w:rPr>
          <w:rFonts w:cs="Times New Roman"/>
        </w:rPr>
        <w:t>A recent study</w:t>
      </w:r>
      <w:r w:rsidRPr="00D27662">
        <w:rPr>
          <w:rFonts w:cs="Times New Roman"/>
          <w:noProof/>
          <w:vertAlign w:val="superscript"/>
        </w:rPr>
        <w:t>61</w:t>
      </w:r>
      <w:r>
        <w:rPr>
          <w:rFonts w:cs="Times New Roman"/>
        </w:rPr>
        <w:t xml:space="preserve"> locates two LF events, S0474a and S0918a, at the distances of 19.7° ± 2.5° and 16.8° ± 2.2°, respectively, which significantly deviate from those reported in the MQS catalogue</w:t>
      </w:r>
      <w:r w:rsidRPr="00F77576">
        <w:rPr>
          <w:rFonts w:cs="Times New Roman"/>
          <w:noProof/>
          <w:vertAlign w:val="superscript"/>
        </w:rPr>
        <w:t>2</w:t>
      </w:r>
      <w:r>
        <w:rPr>
          <w:rFonts w:cs="Times New Roman"/>
        </w:rPr>
        <w:t xml:space="preserve"> (29.1° ± 12.5° and 27.9° ± 4.6°). </w:t>
      </w:r>
      <w:r w:rsidRPr="00776ECC">
        <w:rPr>
          <w:rFonts w:cs="Times New Roman"/>
        </w:rPr>
        <w:t xml:space="preserve">If the MQS catalogue locations are accurate, </w:t>
      </w:r>
      <w:r>
        <w:rPr>
          <w:rFonts w:cs="Times New Roman"/>
        </w:rPr>
        <w:t xml:space="preserve">both events lie outside the predicted </w:t>
      </w:r>
      <w:r w:rsidRPr="00776ECC">
        <w:rPr>
          <w:rFonts w:cs="Times New Roman"/>
        </w:rPr>
        <w:t>shadow zone</w:t>
      </w:r>
      <w:r>
        <w:rPr>
          <w:rFonts w:cs="Times New Roman"/>
        </w:rPr>
        <w:t xml:space="preserve">. Moreover, S0474a is also categorized as a CF event, with a back azimuth of ~97° in MQS catalogue. </w:t>
      </w:r>
      <w:r w:rsidRPr="00776ECC">
        <w:rPr>
          <w:rFonts w:cs="Times New Roman"/>
        </w:rPr>
        <w:t xml:space="preserve">However, if the locations </w:t>
      </w:r>
      <w:r>
        <w:rPr>
          <w:rFonts w:cs="Times New Roman"/>
        </w:rPr>
        <w:t>in ref.</w:t>
      </w:r>
      <w:r w:rsidRPr="00D27662">
        <w:rPr>
          <w:rFonts w:cs="Times New Roman"/>
          <w:noProof/>
          <w:vertAlign w:val="superscript"/>
        </w:rPr>
        <w:t xml:space="preserve"> 61</w:t>
      </w:r>
      <w:r>
        <w:rPr>
          <w:rFonts w:cs="Times New Roman"/>
        </w:rPr>
        <w:t xml:space="preserve"> are more accurate, both events fall within </w:t>
      </w:r>
      <w:r w:rsidRPr="00E530E8">
        <w:rPr>
          <w:rFonts w:cs="Times New Roman"/>
        </w:rPr>
        <w:t>~25º</w:t>
      </w:r>
      <w:r>
        <w:rPr>
          <w:rFonts w:cs="Times New Roman"/>
        </w:rPr>
        <w:t xml:space="preserve"> distance range </w:t>
      </w:r>
      <w:r w:rsidRPr="00776ECC">
        <w:rPr>
          <w:rFonts w:cs="Times New Roman"/>
        </w:rPr>
        <w:t xml:space="preserve">but </w:t>
      </w:r>
      <w:r>
        <w:rPr>
          <w:rFonts w:cs="Times New Roman"/>
        </w:rPr>
        <w:t>have</w:t>
      </w:r>
      <w:r w:rsidRPr="00776ECC">
        <w:rPr>
          <w:rFonts w:cs="Times New Roman"/>
        </w:rPr>
        <w:t xml:space="preserve"> back azimuths that differ notably from </w:t>
      </w:r>
      <w:r>
        <w:rPr>
          <w:rFonts w:cs="Times New Roman"/>
        </w:rPr>
        <w:t>CF</w:t>
      </w:r>
      <w:r w:rsidRPr="00776ECC">
        <w:rPr>
          <w:rFonts w:cs="Times New Roman"/>
        </w:rPr>
        <w:t xml:space="preserve"> events.</w:t>
      </w:r>
      <w:r>
        <w:rPr>
          <w:rFonts w:cs="Times New Roman"/>
        </w:rPr>
        <w:t xml:space="preserve"> Specifically, S0474a, with a back azimuth of ~29</w:t>
      </w:r>
      <w:r w:rsidRPr="00E530E8">
        <w:rPr>
          <w:rFonts w:cs="Times New Roman"/>
        </w:rPr>
        <w:t>º</w:t>
      </w:r>
      <w:r>
        <w:rPr>
          <w:rFonts w:cs="Times New Roman"/>
        </w:rPr>
        <w:t>, is located to the north of InSight near Elysium Mons, while S0918a lies to the south with a back azimuth of ~165</w:t>
      </w:r>
      <w:r w:rsidRPr="00E530E8">
        <w:rPr>
          <w:rFonts w:cs="Times New Roman"/>
        </w:rPr>
        <w:t>º</w:t>
      </w:r>
      <w:r w:rsidRPr="00D27662">
        <w:rPr>
          <w:rFonts w:cs="Times New Roman"/>
          <w:noProof/>
          <w:vertAlign w:val="superscript"/>
        </w:rPr>
        <w:t>61</w:t>
      </w:r>
      <w:r>
        <w:rPr>
          <w:rFonts w:cs="Times New Roman"/>
        </w:rPr>
        <w:t xml:space="preserve">. One possible explanation is that the LVZ primarily extends in an east-west direction, so the ray paths of both events may not sufficiently sample it along the north-south direction. This lateral variation in the LVZ could be related to the plume-induced stress field along east-west direction </w:t>
      </w:r>
      <w:r w:rsidRPr="00931A24">
        <w:rPr>
          <w:rFonts w:cs="Times New Roman"/>
          <w:noProof/>
          <w:vertAlign w:val="superscript"/>
        </w:rPr>
        <w:t>11</w:t>
      </w:r>
      <w:r>
        <w:rPr>
          <w:rFonts w:cs="Times New Roman"/>
        </w:rPr>
        <w:t>, or the deep seismic anisotropy</w:t>
      </w:r>
      <w:r w:rsidRPr="00D27662">
        <w:rPr>
          <w:rFonts w:cs="Times New Roman"/>
          <w:noProof/>
          <w:vertAlign w:val="superscript"/>
        </w:rPr>
        <w:t>68</w:t>
      </w:r>
      <w:r>
        <w:rPr>
          <w:rFonts w:cs="Times New Roman"/>
        </w:rPr>
        <w:t>.</w:t>
      </w:r>
    </w:p>
    <w:p w14:paraId="07D08C7C" w14:textId="77777777" w:rsidR="007F6E00" w:rsidRDefault="007F6E00">
      <w:pPr>
        <w:widowControl/>
        <w:spacing w:line="240" w:lineRule="auto"/>
        <w:jc w:val="left"/>
        <w:rPr>
          <w:rFonts w:cs="Times New Roman"/>
        </w:rPr>
      </w:pPr>
      <w:r>
        <w:rPr>
          <w:rFonts w:cs="Times New Roman"/>
        </w:rPr>
        <w:br w:type="page"/>
      </w:r>
    </w:p>
    <w:p w14:paraId="66AA17B5" w14:textId="77777777" w:rsidR="007F6E00" w:rsidRDefault="007F6E00" w:rsidP="006757D6">
      <w:pPr>
        <w:tabs>
          <w:tab w:val="center" w:pos="4080"/>
          <w:tab w:val="right" w:pos="8160"/>
        </w:tabs>
        <w:spacing w:line="240" w:lineRule="auto"/>
        <w:jc w:val="center"/>
        <w:rPr>
          <w:rFonts w:cs="Times New Roman"/>
        </w:rPr>
      </w:pPr>
      <w:r>
        <w:rPr>
          <w:rFonts w:cs="Times New Roman" w:hint="eastAsia"/>
          <w:noProof/>
        </w:rPr>
        <w:lastRenderedPageBreak/>
        <w:drawing>
          <wp:inline distT="0" distB="0" distL="0" distR="0" wp14:anchorId="0DB7D47B" wp14:editId="605F1812">
            <wp:extent cx="3600000" cy="4397496"/>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0" cy="4397496"/>
                    </a:xfrm>
                    <a:prstGeom prst="rect">
                      <a:avLst/>
                    </a:prstGeom>
                  </pic:spPr>
                </pic:pic>
              </a:graphicData>
            </a:graphic>
          </wp:inline>
        </w:drawing>
      </w:r>
    </w:p>
    <w:p w14:paraId="265C7078" w14:textId="77777777" w:rsidR="007F6E00" w:rsidRDefault="007F6E00" w:rsidP="006757D6">
      <w:pPr>
        <w:tabs>
          <w:tab w:val="center" w:pos="4080"/>
          <w:tab w:val="right" w:pos="8160"/>
        </w:tabs>
        <w:spacing w:line="240" w:lineRule="auto"/>
        <w:rPr>
          <w:rFonts w:cs="Times New Roman"/>
        </w:rPr>
      </w:pPr>
      <w:r w:rsidRPr="000D5F60">
        <w:rPr>
          <w:b/>
          <w:bCs/>
        </w:rPr>
        <w:t>Supplementary Fig. S</w:t>
      </w:r>
      <w:r>
        <w:rPr>
          <w:b/>
          <w:bCs/>
        </w:rPr>
        <w:t xml:space="preserve">36 </w:t>
      </w:r>
      <w:r w:rsidRPr="000D5F60">
        <w:rPr>
          <w:b/>
          <w:bCs/>
        </w:rPr>
        <w:t xml:space="preserve">| Synthetic P and S wave envelopes in (a) vertical and (b) transverse components, respectively. </w:t>
      </w:r>
      <w:r>
        <w:rPr>
          <w:rFonts w:cs="Times New Roman"/>
        </w:rPr>
        <w:t>Black lines denote the waveforms calculated from the previously published 1D Mars model (InSight_KKS21_GP)</w:t>
      </w:r>
      <w:r w:rsidRPr="00B11BE5">
        <w:rPr>
          <w:rFonts w:cs="Times New Roman"/>
          <w:noProof/>
          <w:vertAlign w:val="superscript"/>
        </w:rPr>
        <w:t xml:space="preserve"> 1,25,33</w:t>
      </w:r>
      <w:r>
        <w:rPr>
          <w:rFonts w:cs="Times New Roman"/>
        </w:rPr>
        <w:t>, in which there is not an upper mantle LVZ. Colored lines denote the waveforms calculated from the 1D Mars models incorporating an upper mantle LVZ with different thicknesses. Waveforms are normalized to the peak amplitudes of No-LVZ model results. Dashed line in (a) denotes the arrivals of S waves, which are cut off at closest distances.</w:t>
      </w:r>
    </w:p>
    <w:p w14:paraId="43536CC8" w14:textId="77777777" w:rsidR="007F6E00" w:rsidRDefault="007F6E00">
      <w:pPr>
        <w:widowControl/>
        <w:spacing w:line="240" w:lineRule="auto"/>
        <w:jc w:val="left"/>
        <w:rPr>
          <w:rFonts w:cs="Times New Roman"/>
        </w:rPr>
      </w:pPr>
      <w:r>
        <w:rPr>
          <w:rFonts w:cs="Times New Roman"/>
        </w:rPr>
        <w:br w:type="page"/>
      </w:r>
    </w:p>
    <w:p w14:paraId="72810F8B" w14:textId="77777777" w:rsidR="007F6E00" w:rsidRDefault="007F6E00" w:rsidP="006757D6">
      <w:pPr>
        <w:tabs>
          <w:tab w:val="center" w:pos="4080"/>
          <w:tab w:val="right" w:pos="8160"/>
        </w:tabs>
        <w:spacing w:line="240" w:lineRule="auto"/>
        <w:jc w:val="center"/>
        <w:rPr>
          <w:rFonts w:cs="Times New Roman"/>
        </w:rPr>
      </w:pPr>
      <w:r>
        <w:rPr>
          <w:rFonts w:cs="Times New Roman" w:hint="eastAsia"/>
          <w:noProof/>
        </w:rPr>
        <w:lastRenderedPageBreak/>
        <w:drawing>
          <wp:inline distT="0" distB="0" distL="0" distR="0" wp14:anchorId="3B2B5CE1" wp14:editId="099704A0">
            <wp:extent cx="4320000" cy="5270234"/>
            <wp:effectExtent l="0" t="0" r="0" b="63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320000" cy="5270234"/>
                    </a:xfrm>
                    <a:prstGeom prst="rect">
                      <a:avLst/>
                    </a:prstGeom>
                  </pic:spPr>
                </pic:pic>
              </a:graphicData>
            </a:graphic>
          </wp:inline>
        </w:drawing>
      </w:r>
    </w:p>
    <w:p w14:paraId="5C3E2DFF" w14:textId="77777777" w:rsidR="007F6E00" w:rsidRPr="006757D6" w:rsidRDefault="007F6E00" w:rsidP="006757D6">
      <w:pPr>
        <w:tabs>
          <w:tab w:val="center" w:pos="4080"/>
          <w:tab w:val="right" w:pos="8160"/>
        </w:tabs>
        <w:spacing w:line="240" w:lineRule="auto"/>
        <w:rPr>
          <w:rFonts w:cs="Times New Roman"/>
        </w:rPr>
      </w:pPr>
      <w:r w:rsidRPr="009739D9">
        <w:rPr>
          <w:rFonts w:cs="Times New Roman" w:hint="eastAsia"/>
          <w:b/>
          <w:bCs/>
        </w:rPr>
        <w:t>S</w:t>
      </w:r>
      <w:r w:rsidRPr="009739D9">
        <w:rPr>
          <w:rFonts w:cs="Times New Roman"/>
          <w:b/>
          <w:bCs/>
        </w:rPr>
        <w:t>upplementary Fig. S</w:t>
      </w:r>
      <w:r>
        <w:rPr>
          <w:rFonts w:cs="Times New Roman"/>
          <w:b/>
          <w:bCs/>
        </w:rPr>
        <w:t>37</w:t>
      </w:r>
      <w:r w:rsidRPr="009739D9">
        <w:rPr>
          <w:rFonts w:cs="Times New Roman"/>
          <w:b/>
          <w:bCs/>
        </w:rPr>
        <w:t xml:space="preserve"> | Illustration of the effects of LVZ on seismic ray paths and amplitudes.</w:t>
      </w:r>
      <w:r>
        <w:rPr>
          <w:rFonts w:cs="Times New Roman"/>
        </w:rPr>
        <w:t xml:space="preserve"> (a) S-wave ray paths for 1D Mars model (InSight_KKS21_GP)</w:t>
      </w:r>
      <w:r w:rsidRPr="00B11BE5">
        <w:rPr>
          <w:rFonts w:cs="Times New Roman"/>
          <w:noProof/>
          <w:vertAlign w:val="superscript"/>
        </w:rPr>
        <w:t xml:space="preserve"> 1,25,33</w:t>
      </w:r>
      <w:r>
        <w:rPr>
          <w:rFonts w:cs="Times New Roman"/>
        </w:rPr>
        <w:t xml:space="preserve"> without the upper mantle LVZ. (b) S-wave ray paths for 1D Mars model with the upper mantle LVZ. Red star marks a 33-km-depth source. Crust, mantle, and upper mantle LVZ are distinguished by different colors. (c) P and S wave amplitudes for models with varying LVZ thicknesses. Amplitudes are normalized to the No-LVZ model results. The LVZ causes ~30% reduction in P wave amplitudes at 20–30° distance range, and ~50% reduction in S wave amplitudes at 15–25° distance range.</w:t>
      </w:r>
    </w:p>
    <w:p w14:paraId="58777C0F" w14:textId="77777777" w:rsidR="007F6E00" w:rsidRDefault="007F6E00">
      <w:pPr>
        <w:widowControl/>
        <w:spacing w:line="240" w:lineRule="auto"/>
        <w:jc w:val="left"/>
        <w:rPr>
          <w:rFonts w:cs="Times New Roman"/>
        </w:rPr>
      </w:pPr>
      <w:r>
        <w:rPr>
          <w:rFonts w:cs="Times New Roman"/>
        </w:rPr>
        <w:br w:type="page"/>
      </w:r>
    </w:p>
    <w:p w14:paraId="7ADF1EEB" w14:textId="77777777" w:rsidR="007F6E00" w:rsidRDefault="007F6E00" w:rsidP="002A1B8F">
      <w:pPr>
        <w:pStyle w:val="1"/>
      </w:pPr>
      <w:bookmarkStart w:id="43" w:name="_Toc202208131"/>
      <w:r>
        <w:lastRenderedPageBreak/>
        <w:t>6. LVZ thickness</w:t>
      </w:r>
      <w:bookmarkEnd w:id="43"/>
    </w:p>
    <w:p w14:paraId="5CB2048C" w14:textId="77777777" w:rsidR="007F6E00" w:rsidRDefault="007F6E00" w:rsidP="008C534C">
      <w:pPr>
        <w:pStyle w:val="2"/>
      </w:pPr>
      <w:bookmarkStart w:id="44" w:name="_Toc202208132"/>
      <w:r>
        <w:t>6.1. Effects of LVZ thickness on body wave travel times</w:t>
      </w:r>
      <w:bookmarkEnd w:id="44"/>
    </w:p>
    <w:p w14:paraId="34654D58" w14:textId="77777777" w:rsidR="007F6E00" w:rsidRDefault="007F6E00" w:rsidP="00E412DB">
      <w:pPr>
        <w:ind w:firstLineChars="200" w:firstLine="480"/>
        <w:rPr>
          <w:rFonts w:cs="Times New Roman"/>
        </w:rPr>
      </w:pPr>
      <w:r>
        <w:rPr>
          <w:rFonts w:hint="eastAsia"/>
        </w:rPr>
        <w:t>F</w:t>
      </w:r>
      <w:r>
        <w:t xml:space="preserve">or 1D models containing upper mantle LVZs with different thicknesses, as defined in </w:t>
      </w:r>
      <w:r w:rsidRPr="00E412DB">
        <w:rPr>
          <w:color w:val="FF0000"/>
        </w:rPr>
        <w:t>Methods</w:t>
      </w:r>
      <w:r>
        <w:t xml:space="preserve">, we use the </w:t>
      </w:r>
      <w:proofErr w:type="spellStart"/>
      <w:r>
        <w:t>TauP</w:t>
      </w:r>
      <w:proofErr w:type="spellEnd"/>
      <w:r>
        <w:t xml:space="preserve"> toolkit</w:t>
      </w:r>
      <w:r w:rsidRPr="00D27662">
        <w:rPr>
          <w:noProof/>
          <w:vertAlign w:val="superscript"/>
        </w:rPr>
        <w:t>69</w:t>
      </w:r>
      <w:r>
        <w:t xml:space="preserve"> to compute body wave travel times. </w:t>
      </w:r>
      <w:r w:rsidRPr="002D4289">
        <w:rPr>
          <w:rFonts w:cs="Times New Roman"/>
        </w:rPr>
        <w:t xml:space="preserve">To </w:t>
      </w:r>
      <w:r>
        <w:rPr>
          <w:rFonts w:cs="Times New Roman"/>
        </w:rPr>
        <w:t xml:space="preserve">evaluate </w:t>
      </w:r>
      <w:r w:rsidRPr="002D4289">
        <w:rPr>
          <w:rFonts w:cs="Times New Roman"/>
        </w:rPr>
        <w:t xml:space="preserve">model </w:t>
      </w:r>
      <w:r>
        <w:rPr>
          <w:rFonts w:cs="Times New Roman"/>
        </w:rPr>
        <w:t>performance</w:t>
      </w:r>
      <w:r w:rsidRPr="002D4289">
        <w:rPr>
          <w:rFonts w:cs="Times New Roman"/>
        </w:rPr>
        <w:t xml:space="preserve">, we </w:t>
      </w:r>
      <w:r>
        <w:rPr>
          <w:rFonts w:cs="Times New Roman"/>
        </w:rPr>
        <w:t>define</w:t>
      </w:r>
      <w:r w:rsidRPr="002D4289">
        <w:rPr>
          <w:rFonts w:cs="Times New Roman"/>
        </w:rPr>
        <w:t xml:space="preserve"> a misfit function </w:t>
      </w:r>
      <w:r>
        <w:rPr>
          <w:rFonts w:cs="Times New Roman"/>
        </w:rPr>
        <w:t>based on differential travel times</w:t>
      </w:r>
      <w:r w:rsidRPr="002D4289">
        <w:rPr>
          <w:rFonts w:cs="Times New Roman"/>
        </w:rPr>
        <w:t>:</w:t>
      </w:r>
      <w:r>
        <w:rPr>
          <w:rFonts w:cs="Times New Roman"/>
        </w:rPr>
        <w:t xml:space="preserve"> </w:t>
      </w:r>
    </w:p>
    <w:p w14:paraId="2D5504AF" w14:textId="77777777" w:rsidR="007F6E00" w:rsidRDefault="007F6E00" w:rsidP="00E412DB">
      <w:pPr>
        <w:tabs>
          <w:tab w:val="center" w:pos="4080"/>
          <w:tab w:val="right" w:pos="8160"/>
        </w:tabs>
        <w:rPr>
          <w:rFonts w:cs="Times New Roman"/>
        </w:rPr>
      </w:pPr>
      <w:r>
        <w:rPr>
          <w:rFonts w:cs="Times New Roman"/>
        </w:rPr>
        <w:tab/>
      </w:r>
      <m:oMath>
        <m:sSub>
          <m:sSubPr>
            <m:ctrlPr>
              <w:rPr>
                <w:rFonts w:ascii="Cambria Math" w:hAnsi="Cambria Math" w:cs="Times New Roman"/>
                <w:i/>
              </w:rPr>
            </m:ctrlPr>
          </m:sSubPr>
          <m:e>
            <m:r>
              <w:rPr>
                <w:rFonts w:ascii="Cambria Math" w:hAnsi="Cambria Math" w:cs="Times New Roman"/>
              </w:rPr>
              <m:t>Φ</m:t>
            </m:r>
          </m:e>
          <m:sub>
            <m:r>
              <w:rPr>
                <w:rFonts w:ascii="Cambria Math" w:hAnsi="Cambria Math" w:cs="Times New Roman"/>
              </w:rPr>
              <m:t>T</m:t>
            </m:r>
          </m:sub>
        </m:sSub>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i=1</m:t>
            </m:r>
          </m:sub>
          <m:sup>
            <m:r>
              <w:rPr>
                <w:rFonts w:ascii="Cambria Math" w:hAnsi="Cambria Math" w:cs="Times New Roman"/>
              </w:rPr>
              <m:t>Ne</m:t>
            </m:r>
          </m:sup>
          <m:e>
            <m:f>
              <m:fPr>
                <m:ctrlPr>
                  <w:rPr>
                    <w:rFonts w:ascii="Cambria Math" w:hAnsi="Cambria Math" w:cs="Times New Roman"/>
                    <w:i/>
                  </w:rPr>
                </m:ctrlPr>
              </m:fPr>
              <m:num>
                <m:sSup>
                  <m:sSupPr>
                    <m:ctrlPr>
                      <w:rPr>
                        <w:rFonts w:ascii="Cambria Math" w:hAnsi="Cambria Math" w:cs="Times New Roman"/>
                        <w:i/>
                      </w:rPr>
                    </m:ctrlPr>
                  </m:sSupPr>
                  <m:e>
                    <m:d>
                      <m:dPr>
                        <m:ctrlPr>
                          <w:rPr>
                            <w:rFonts w:ascii="Cambria Math" w:hAnsi="Cambria Math" w:cs="Times New Roman"/>
                            <w:i/>
                          </w:rPr>
                        </m:ctrlPr>
                      </m:dPr>
                      <m:e>
                        <m:sSubSup>
                          <m:sSubSupPr>
                            <m:ctrlPr>
                              <w:rPr>
                                <w:rFonts w:ascii="Cambria Math" w:hAnsi="Cambria Math" w:cs="Times New Roman"/>
                                <w:i/>
                              </w:rPr>
                            </m:ctrlPr>
                          </m:sSubSupPr>
                          <m:e>
                            <m:r>
                              <w:rPr>
                                <w:rFonts w:ascii="Cambria Math" w:hAnsi="Cambria Math" w:cs="Times New Roman"/>
                              </w:rPr>
                              <m:t>T</m:t>
                            </m:r>
                          </m:e>
                          <m:sub>
                            <m:r>
                              <w:rPr>
                                <w:rFonts w:ascii="Cambria Math" w:hAnsi="Cambria Math" w:cs="Times New Roman"/>
                              </w:rPr>
                              <m:t>i</m:t>
                            </m:r>
                          </m:sub>
                          <m:sup>
                            <m:r>
                              <w:rPr>
                                <w:rFonts w:ascii="Cambria Math" w:hAnsi="Cambria Math" w:cs="Times New Roman"/>
                              </w:rPr>
                              <m:t>cal</m:t>
                            </m:r>
                          </m:sup>
                        </m:sSub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T</m:t>
                            </m:r>
                          </m:e>
                          <m:sub>
                            <m:r>
                              <w:rPr>
                                <w:rFonts w:ascii="Cambria Math" w:hAnsi="Cambria Math" w:cs="Times New Roman"/>
                              </w:rPr>
                              <m:t>i</m:t>
                            </m:r>
                          </m:sub>
                          <m:sup>
                            <m:r>
                              <w:rPr>
                                <w:rFonts w:ascii="Cambria Math" w:hAnsi="Cambria Math" w:cs="Times New Roman"/>
                              </w:rPr>
                              <m:t>obs</m:t>
                            </m:r>
                          </m:sup>
                        </m:sSubSup>
                      </m:e>
                    </m:d>
                  </m:e>
                  <m:sup>
                    <m:r>
                      <w:rPr>
                        <w:rFonts w:ascii="Cambria Math" w:hAnsi="Cambria Math" w:cs="Times New Roman"/>
                      </w:rPr>
                      <m:t>2</m:t>
                    </m:r>
                  </m:sup>
                </m:sSup>
              </m:num>
              <m:den>
                <m:sSubSup>
                  <m:sSubSupPr>
                    <m:ctrlPr>
                      <w:rPr>
                        <w:rFonts w:ascii="Cambria Math" w:hAnsi="Cambria Math" w:cs="Times New Roman"/>
                        <w:i/>
                      </w:rPr>
                    </m:ctrlPr>
                  </m:sSubSupPr>
                  <m:e>
                    <m:r>
                      <w:rPr>
                        <w:rFonts w:ascii="Cambria Math" w:hAnsi="Cambria Math" w:cs="Times New Roman"/>
                      </w:rPr>
                      <m:t>σ</m:t>
                    </m:r>
                  </m:e>
                  <m:sub>
                    <m:r>
                      <w:rPr>
                        <w:rFonts w:ascii="Cambria Math" w:hAnsi="Cambria Math" w:cs="Times New Roman"/>
                      </w:rPr>
                      <m:t>T</m:t>
                    </m:r>
                  </m:sub>
                  <m:sup>
                    <m:r>
                      <w:rPr>
                        <w:rFonts w:ascii="Cambria Math" w:hAnsi="Cambria Math" w:cs="Times New Roman"/>
                      </w:rPr>
                      <m:t>2</m:t>
                    </m:r>
                  </m:sup>
                </m:sSubSup>
                <m:r>
                  <w:rPr>
                    <w:rFonts w:ascii="Cambria Math" w:hAnsi="Cambria Math" w:cs="Times New Roman"/>
                  </w:rPr>
                  <m:t>+</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∂T</m:t>
                            </m:r>
                          </m:num>
                          <m:den>
                            <m:r>
                              <w:rPr>
                                <w:rFonts w:ascii="Cambria Math" w:hAnsi="Cambria Math" w:cs="Times New Roman"/>
                              </w:rPr>
                              <m:t>∂d</m:t>
                            </m:r>
                          </m:den>
                        </m:f>
                        <m:sSub>
                          <m:sSubPr>
                            <m:ctrlPr>
                              <w:rPr>
                                <w:rFonts w:ascii="Cambria Math" w:hAnsi="Cambria Math" w:cs="Times New Roman"/>
                                <w:i/>
                              </w:rPr>
                            </m:ctrlPr>
                          </m:sSubPr>
                          <m:e>
                            <m:r>
                              <w:rPr>
                                <w:rFonts w:ascii="Cambria Math" w:hAnsi="Cambria Math" w:cs="Times New Roman"/>
                              </w:rPr>
                              <m:t>σ</m:t>
                            </m:r>
                          </m:e>
                          <m:sub>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i</m:t>
                                </m:r>
                              </m:sub>
                            </m:sSub>
                          </m:sub>
                        </m:sSub>
                      </m:e>
                    </m:d>
                  </m:e>
                  <m:sup>
                    <m:r>
                      <w:rPr>
                        <w:rFonts w:ascii="Cambria Math" w:hAnsi="Cambria Math" w:cs="Times New Roman"/>
                      </w:rPr>
                      <m:t>2</m:t>
                    </m:r>
                  </m:sup>
                </m:sSup>
              </m:den>
            </m:f>
          </m:e>
        </m:nary>
      </m:oMath>
      <w:r>
        <w:rPr>
          <w:rFonts w:cs="Times New Roman"/>
        </w:rPr>
        <w:t>.</w:t>
      </w:r>
      <w:r>
        <w:rPr>
          <w:rFonts w:cs="Times New Roman"/>
        </w:rPr>
        <w:tab/>
        <w:t>(15)</w:t>
      </w:r>
    </w:p>
    <w:p w14:paraId="31A16DA4" w14:textId="77777777" w:rsidR="007F6E00" w:rsidRDefault="007F6E00" w:rsidP="00E412DB">
      <w:pPr>
        <w:rPr>
          <w:rFonts w:cs="Times New Roman"/>
        </w:rPr>
      </w:pPr>
      <w:r>
        <w:rPr>
          <w:rFonts w:cs="Times New Roman"/>
        </w:rPr>
        <w:t xml:space="preserve">where </w:t>
      </w:r>
      <m:oMath>
        <m:sSubSup>
          <m:sSubSupPr>
            <m:ctrlPr>
              <w:rPr>
                <w:rFonts w:ascii="Cambria Math" w:hAnsi="Cambria Math" w:cs="Times New Roman"/>
                <w:i/>
              </w:rPr>
            </m:ctrlPr>
          </m:sSubSupPr>
          <m:e>
            <m:r>
              <w:rPr>
                <w:rFonts w:ascii="Cambria Math" w:hAnsi="Cambria Math" w:cs="Times New Roman"/>
              </w:rPr>
              <m:t>T</m:t>
            </m:r>
          </m:e>
          <m:sub>
            <m:r>
              <w:rPr>
                <w:rFonts w:ascii="Cambria Math" w:hAnsi="Cambria Math" w:cs="Times New Roman"/>
              </w:rPr>
              <m:t>i</m:t>
            </m:r>
          </m:sub>
          <m:sup>
            <m:r>
              <w:rPr>
                <w:rFonts w:ascii="Cambria Math" w:hAnsi="Cambria Math" w:cs="Times New Roman"/>
              </w:rPr>
              <m:t>cal</m:t>
            </m:r>
          </m:sup>
        </m:sSubSup>
      </m:oMath>
      <w:r>
        <w:rPr>
          <w:rFonts w:cs="Times New Roman" w:hint="eastAsia"/>
        </w:rPr>
        <w:t xml:space="preserve"> </w:t>
      </w:r>
      <w:r>
        <w:rPr>
          <w:rFonts w:cs="Times New Roman"/>
        </w:rPr>
        <w:t xml:space="preserve">and </w:t>
      </w:r>
      <m:oMath>
        <m:sSubSup>
          <m:sSubSupPr>
            <m:ctrlPr>
              <w:rPr>
                <w:rFonts w:ascii="Cambria Math" w:hAnsi="Cambria Math" w:cs="Times New Roman"/>
                <w:i/>
              </w:rPr>
            </m:ctrlPr>
          </m:sSubSupPr>
          <m:e>
            <m:r>
              <w:rPr>
                <w:rFonts w:ascii="Cambria Math" w:hAnsi="Cambria Math" w:cs="Times New Roman"/>
              </w:rPr>
              <m:t>T</m:t>
            </m:r>
          </m:e>
          <m:sub>
            <m:r>
              <w:rPr>
                <w:rFonts w:ascii="Cambria Math" w:hAnsi="Cambria Math" w:cs="Times New Roman"/>
              </w:rPr>
              <m:t>i</m:t>
            </m:r>
          </m:sub>
          <m:sup>
            <m:r>
              <w:rPr>
                <w:rFonts w:ascii="Cambria Math" w:hAnsi="Cambria Math" w:cs="Times New Roman"/>
              </w:rPr>
              <m:t>obs</m:t>
            </m:r>
          </m:sup>
        </m:sSubSup>
      </m:oMath>
      <w:r>
        <w:rPr>
          <w:rFonts w:cs="Times New Roman" w:hint="eastAsia"/>
        </w:rPr>
        <w:t xml:space="preserve"> </w:t>
      </w:r>
      <w:r>
        <w:rPr>
          <w:rFonts w:cs="Times New Roman"/>
        </w:rPr>
        <w:t xml:space="preserve">are the calculated and observed differential travel times of event </w:t>
      </w:r>
      <w:proofErr w:type="spellStart"/>
      <w:r w:rsidRPr="001F2A61">
        <w:rPr>
          <w:rFonts w:cs="Times New Roman"/>
          <w:i/>
          <w:iCs/>
        </w:rPr>
        <w:t>i</w:t>
      </w:r>
      <w:proofErr w:type="spellEnd"/>
      <w:r>
        <w:rPr>
          <w:rFonts w:cs="Times New Roman"/>
        </w:rPr>
        <w:t xml:space="preserve">, </w:t>
      </w:r>
      <w:r w:rsidRPr="00FD7252">
        <w:rPr>
          <w:rFonts w:cs="Times New Roman"/>
          <w:i/>
          <w:iCs/>
        </w:rPr>
        <w:t>Ne</w:t>
      </w:r>
      <w:r>
        <w:rPr>
          <w:rFonts w:cs="Times New Roman"/>
        </w:rPr>
        <w:t xml:space="preserve"> is the number of events with body wave travel time picks, </w:t>
      </w:r>
      <m:oMath>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T</m:t>
            </m:r>
          </m:sub>
        </m:sSub>
      </m:oMath>
      <w:r>
        <w:rPr>
          <w:rFonts w:cs="Times New Roman" w:hint="eastAsia"/>
        </w:rPr>
        <w:t xml:space="preserve"> </w:t>
      </w:r>
      <w:r>
        <w:rPr>
          <w:rFonts w:cs="Times New Roman"/>
        </w:rPr>
        <w:t>is the time pick error,</w:t>
      </w:r>
      <w:r w:rsidRPr="007D70DC">
        <w:rPr>
          <w:rFonts w:ascii="Cambria Math" w:hAnsi="Cambria Math" w:cs="Times New Roman"/>
          <w:i/>
        </w:rPr>
        <w:t xml:space="preserve"> </w:t>
      </w:r>
      <m:oMath>
        <m:sSub>
          <m:sSubPr>
            <m:ctrlPr>
              <w:rPr>
                <w:rFonts w:ascii="Cambria Math" w:hAnsi="Cambria Math" w:cs="Times New Roman"/>
                <w:i/>
              </w:rPr>
            </m:ctrlPr>
          </m:sSubPr>
          <m:e>
            <m:r>
              <w:rPr>
                <w:rFonts w:ascii="Cambria Math" w:hAnsi="Cambria Math" w:cs="Times New Roman"/>
              </w:rPr>
              <m:t>σ</m:t>
            </m:r>
          </m:e>
          <m:sub>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i</m:t>
                </m:r>
              </m:sub>
            </m:sSub>
          </m:sub>
        </m:sSub>
      </m:oMath>
      <w:r>
        <w:rPr>
          <w:rFonts w:cs="Times New Roman" w:hint="eastAsia"/>
        </w:rPr>
        <w:t xml:space="preserve"> </w:t>
      </w:r>
      <w:r>
        <w:rPr>
          <w:rFonts w:cs="Times New Roman"/>
        </w:rPr>
        <w:t xml:space="preserve">is the uncertainty in depth for depth phases or in distance for other phases, and </w:t>
      </w:r>
      <m:oMath>
        <m:f>
          <m:fPr>
            <m:ctrlPr>
              <w:rPr>
                <w:rFonts w:ascii="Cambria Math" w:hAnsi="Cambria Math" w:cs="Times New Roman"/>
                <w:i/>
              </w:rPr>
            </m:ctrlPr>
          </m:fPr>
          <m:num>
            <m:r>
              <w:rPr>
                <w:rFonts w:ascii="Cambria Math" w:hAnsi="Cambria Math" w:cs="Times New Roman"/>
              </w:rPr>
              <m:t>∂T</m:t>
            </m:r>
          </m:num>
          <m:den>
            <m:r>
              <w:rPr>
                <w:rFonts w:ascii="Cambria Math" w:hAnsi="Cambria Math" w:cs="Times New Roman"/>
              </w:rPr>
              <m:t>∂d</m:t>
            </m:r>
          </m:den>
        </m:f>
      </m:oMath>
      <w:r>
        <w:rPr>
          <w:rFonts w:cs="Times New Roman" w:hint="eastAsia"/>
        </w:rPr>
        <w:t xml:space="preserve"> </w:t>
      </w:r>
      <w:r>
        <w:rPr>
          <w:rFonts w:cs="Times New Roman"/>
        </w:rPr>
        <w:t xml:space="preserve">is the partial derivative of differential travel time with respect to event distance or depth. Observations and </w:t>
      </w:r>
      <w:r w:rsidRPr="002D4289">
        <w:rPr>
          <w:rFonts w:cs="Times New Roman"/>
        </w:rPr>
        <w:t xml:space="preserve">uncertainties </w:t>
      </w:r>
      <w:r>
        <w:rPr>
          <w:rFonts w:cs="Times New Roman"/>
        </w:rPr>
        <w:t>are</w:t>
      </w:r>
      <w:r w:rsidRPr="002D4289">
        <w:rPr>
          <w:rFonts w:cs="Times New Roman"/>
        </w:rPr>
        <w:t xml:space="preserve"> from</w:t>
      </w:r>
      <w:r>
        <w:rPr>
          <w:rFonts w:cs="Times New Roman"/>
        </w:rPr>
        <w:t xml:space="preserve"> Table S1.1 in</w:t>
      </w:r>
      <w:r w:rsidRPr="00E36EB2">
        <w:rPr>
          <w:rFonts w:cs="Times New Roman"/>
        </w:rPr>
        <w:t xml:space="preserve"> </w:t>
      </w:r>
      <w:r>
        <w:rPr>
          <w:rFonts w:cs="Times New Roman"/>
        </w:rPr>
        <w:t>ref.</w:t>
      </w:r>
      <w:r w:rsidRPr="00D27662">
        <w:rPr>
          <w:rFonts w:cs="Times New Roman"/>
          <w:noProof/>
          <w:vertAlign w:val="superscript"/>
        </w:rPr>
        <w:t xml:space="preserve"> 61</w:t>
      </w:r>
      <w:r>
        <w:rPr>
          <w:rFonts w:cs="Times New Roman"/>
        </w:rPr>
        <w:t>.</w:t>
      </w:r>
    </w:p>
    <w:p w14:paraId="18F7EBAC" w14:textId="77777777" w:rsidR="007F6E00" w:rsidRDefault="007F6E00" w:rsidP="00E412DB">
      <w:pPr>
        <w:ind w:firstLineChars="200" w:firstLine="480"/>
        <w:rPr>
          <w:rFonts w:cs="Times New Roman"/>
          <w:color w:val="000000" w:themeColor="text1"/>
        </w:rPr>
      </w:pPr>
      <w:r>
        <w:rPr>
          <w:rFonts w:cs="Times New Roman"/>
          <w:color w:val="000000" w:themeColor="text1"/>
        </w:rPr>
        <w:t>Our results</w:t>
      </w:r>
      <w:r w:rsidRPr="0034106B">
        <w:rPr>
          <w:rFonts w:cs="Times New Roman"/>
          <w:color w:val="000000" w:themeColor="text1"/>
        </w:rPr>
        <w:t xml:space="preserve"> </w:t>
      </w:r>
      <w:r>
        <w:rPr>
          <w:rFonts w:cs="Times New Roman"/>
          <w:color w:val="000000" w:themeColor="text1"/>
        </w:rPr>
        <w:t>show</w:t>
      </w:r>
      <w:r w:rsidRPr="0034106B">
        <w:rPr>
          <w:rFonts w:cs="Times New Roman"/>
          <w:color w:val="000000" w:themeColor="text1"/>
        </w:rPr>
        <w:t xml:space="preserve"> that the differential travel times of surface-reflected waves (PP</w:t>
      </w:r>
      <w:r>
        <w:rPr>
          <w:rFonts w:cs="Times New Roman"/>
          <w:color w:val="000000" w:themeColor="text1"/>
        </w:rPr>
        <w:t xml:space="preserve">/SS and </w:t>
      </w:r>
      <w:r w:rsidRPr="0034106B">
        <w:rPr>
          <w:rFonts w:cs="Times New Roman"/>
          <w:color w:val="000000" w:themeColor="text1"/>
        </w:rPr>
        <w:t>PPP</w:t>
      </w:r>
      <w:r>
        <w:rPr>
          <w:rFonts w:cs="Times New Roman"/>
          <w:color w:val="000000" w:themeColor="text1"/>
        </w:rPr>
        <w:t>/</w:t>
      </w:r>
      <w:r w:rsidRPr="0034106B">
        <w:rPr>
          <w:rFonts w:cs="Times New Roman"/>
          <w:color w:val="000000" w:themeColor="text1"/>
        </w:rPr>
        <w:t>SSS) relative to direct P</w:t>
      </w:r>
      <w:r>
        <w:rPr>
          <w:rFonts w:cs="Times New Roman"/>
          <w:color w:val="000000" w:themeColor="text1"/>
        </w:rPr>
        <w:t>/</w:t>
      </w:r>
      <w:r w:rsidRPr="0034106B">
        <w:rPr>
          <w:rFonts w:cs="Times New Roman"/>
          <w:color w:val="000000" w:themeColor="text1"/>
        </w:rPr>
        <w:t xml:space="preserve">S </w:t>
      </w:r>
      <w:r>
        <w:rPr>
          <w:rFonts w:cs="Times New Roman"/>
          <w:color w:val="000000" w:themeColor="text1"/>
        </w:rPr>
        <w:t>are</w:t>
      </w:r>
      <w:r w:rsidRPr="0034106B">
        <w:rPr>
          <w:rFonts w:cs="Times New Roman"/>
          <w:color w:val="000000" w:themeColor="text1"/>
        </w:rPr>
        <w:t xml:space="preserve"> significantly influenced by the LVZ structure</w:t>
      </w:r>
      <w:r>
        <w:rPr>
          <w:rFonts w:cs="Times New Roman"/>
          <w:color w:val="000000" w:themeColor="text1"/>
        </w:rPr>
        <w:t xml:space="preserve">, as </w:t>
      </w:r>
      <w:r w:rsidRPr="0034106B">
        <w:rPr>
          <w:rFonts w:cs="Times New Roman"/>
          <w:color w:val="000000" w:themeColor="text1"/>
        </w:rPr>
        <w:t>surface-reflected waves</w:t>
      </w:r>
      <w:r>
        <w:rPr>
          <w:rFonts w:cs="Times New Roman"/>
          <w:color w:val="000000" w:themeColor="text1"/>
        </w:rPr>
        <w:t xml:space="preserve"> sample the LVZ multiple times, unlike </w:t>
      </w:r>
      <w:r w:rsidRPr="0034106B">
        <w:rPr>
          <w:rFonts w:cs="Times New Roman"/>
          <w:color w:val="000000" w:themeColor="text1"/>
        </w:rPr>
        <w:t xml:space="preserve">other phases such as </w:t>
      </w:r>
      <w:proofErr w:type="spellStart"/>
      <w:r w:rsidRPr="0034106B">
        <w:rPr>
          <w:rFonts w:cs="Times New Roman"/>
          <w:color w:val="000000" w:themeColor="text1"/>
        </w:rPr>
        <w:t>ScS</w:t>
      </w:r>
      <w:proofErr w:type="spellEnd"/>
      <w:r w:rsidRPr="0034106B">
        <w:rPr>
          <w:rFonts w:cs="Times New Roman"/>
          <w:color w:val="000000" w:themeColor="text1"/>
        </w:rPr>
        <w:t>, SKS, and depth phases</w:t>
      </w:r>
      <w:r>
        <w:rPr>
          <w:rFonts w:cs="Times New Roman"/>
          <w:color w:val="000000" w:themeColor="text1"/>
        </w:rPr>
        <w:t xml:space="preserve"> </w:t>
      </w:r>
      <w:r w:rsidRPr="00670369">
        <w:rPr>
          <w:rFonts w:cs="Times New Roman"/>
          <w:color w:val="FF0000"/>
        </w:rPr>
        <w:t>(</w:t>
      </w:r>
      <w:r>
        <w:rPr>
          <w:rFonts w:cs="Times New Roman"/>
          <w:color w:val="FF0000"/>
        </w:rPr>
        <w:t>Supplementary Fig. 38</w:t>
      </w:r>
      <w:r w:rsidRPr="00670369">
        <w:rPr>
          <w:rFonts w:cs="Times New Roman"/>
          <w:color w:val="FF0000"/>
        </w:rPr>
        <w:t>)</w:t>
      </w:r>
      <w:r>
        <w:rPr>
          <w:rFonts w:cs="Times New Roman"/>
          <w:color w:val="000000" w:themeColor="text1"/>
        </w:rPr>
        <w:t>.</w:t>
      </w:r>
      <w:r w:rsidRPr="0033252D">
        <w:rPr>
          <w:rFonts w:cs="Times New Roman"/>
          <w:color w:val="000000" w:themeColor="text1"/>
        </w:rPr>
        <w:t xml:space="preserve"> </w:t>
      </w:r>
      <w:r>
        <w:rPr>
          <w:rFonts w:cs="Times New Roman"/>
          <w:color w:val="000000" w:themeColor="text1"/>
        </w:rPr>
        <w:t xml:space="preserve">For these surface reflected phases, the 20-km-thick </w:t>
      </w:r>
      <w:r w:rsidRPr="0033252D">
        <w:rPr>
          <w:rFonts w:cs="Times New Roman"/>
          <w:color w:val="000000" w:themeColor="text1"/>
        </w:rPr>
        <w:t xml:space="preserve">LVZ model </w:t>
      </w:r>
      <w:r>
        <w:rPr>
          <w:rFonts w:cs="Times New Roman"/>
          <w:color w:val="000000" w:themeColor="text1"/>
        </w:rPr>
        <w:t xml:space="preserve">offers better fits compared to the model without an LVZ </w:t>
      </w:r>
      <w:r w:rsidRPr="00670369">
        <w:rPr>
          <w:rFonts w:cs="Times New Roman"/>
          <w:color w:val="FF0000"/>
        </w:rPr>
        <w:t>(</w:t>
      </w:r>
      <w:r>
        <w:rPr>
          <w:rFonts w:cs="Times New Roman"/>
          <w:color w:val="FF0000"/>
        </w:rPr>
        <w:t xml:space="preserve">a–d in </w:t>
      </w:r>
      <w:r w:rsidRPr="00670369">
        <w:rPr>
          <w:rFonts w:cs="Times New Roman"/>
          <w:color w:val="FF0000"/>
        </w:rPr>
        <w:t>Supplementary Fig</w:t>
      </w:r>
      <w:r>
        <w:rPr>
          <w:rFonts w:cs="Times New Roman"/>
          <w:color w:val="FF0000"/>
        </w:rPr>
        <w:t>s</w:t>
      </w:r>
      <w:r w:rsidRPr="00670369">
        <w:rPr>
          <w:rFonts w:cs="Times New Roman"/>
          <w:color w:val="FF0000"/>
        </w:rPr>
        <w:t xml:space="preserve">. </w:t>
      </w:r>
      <w:r>
        <w:rPr>
          <w:rFonts w:cs="Times New Roman"/>
          <w:color w:val="FF0000"/>
        </w:rPr>
        <w:t>39–41</w:t>
      </w:r>
      <w:r w:rsidRPr="00670369">
        <w:rPr>
          <w:rFonts w:cs="Times New Roman"/>
          <w:color w:val="FF0000"/>
        </w:rPr>
        <w:t>)</w:t>
      </w:r>
      <w:r w:rsidRPr="0033252D">
        <w:rPr>
          <w:rFonts w:cs="Times New Roman"/>
          <w:color w:val="000000" w:themeColor="text1"/>
        </w:rPr>
        <w:t>.</w:t>
      </w:r>
      <w:r w:rsidRPr="004A07BA">
        <w:rPr>
          <w:rFonts w:cs="Times New Roman"/>
          <w:color w:val="000000" w:themeColor="text1"/>
        </w:rPr>
        <w:t xml:space="preserve"> </w:t>
      </w:r>
      <w:r>
        <w:rPr>
          <w:rFonts w:cs="Times New Roman"/>
          <w:color w:val="000000" w:themeColor="text1"/>
        </w:rPr>
        <w:t xml:space="preserve">There is a trade-off between LVZ thickness and the velocity reduction. A thicker LVZ requires smaller velocity drops to match observations. Nevertheless, overly thick </w:t>
      </w:r>
      <w:r w:rsidRPr="0033252D">
        <w:rPr>
          <w:rFonts w:cs="Times New Roman"/>
          <w:color w:val="000000" w:themeColor="text1"/>
        </w:rPr>
        <w:t xml:space="preserve">LVZ </w:t>
      </w:r>
      <w:r>
        <w:rPr>
          <w:rFonts w:cs="Times New Roman"/>
          <w:color w:val="000000" w:themeColor="text1"/>
        </w:rPr>
        <w:t>(&gt;</w:t>
      </w:r>
      <w:r w:rsidRPr="0033252D">
        <w:rPr>
          <w:rFonts w:cs="Times New Roman"/>
          <w:color w:val="000000" w:themeColor="text1"/>
        </w:rPr>
        <w:t xml:space="preserve"> 40–60 km</w:t>
      </w:r>
      <w:r>
        <w:rPr>
          <w:rFonts w:cs="Times New Roman"/>
          <w:color w:val="000000" w:themeColor="text1"/>
        </w:rPr>
        <w:t>)</w:t>
      </w:r>
      <w:r w:rsidRPr="0033252D">
        <w:rPr>
          <w:rFonts w:cs="Times New Roman"/>
          <w:color w:val="000000" w:themeColor="text1"/>
        </w:rPr>
        <w:t xml:space="preserve"> would yield </w:t>
      </w:r>
      <w:r>
        <w:rPr>
          <w:rFonts w:cs="Times New Roman"/>
          <w:color w:val="000000" w:themeColor="text1"/>
        </w:rPr>
        <w:t xml:space="preserve">much </w:t>
      </w:r>
      <w:r w:rsidRPr="0033252D">
        <w:rPr>
          <w:rFonts w:cs="Times New Roman"/>
          <w:color w:val="000000" w:themeColor="text1"/>
        </w:rPr>
        <w:t xml:space="preserve">larger misfits </w:t>
      </w:r>
      <w:r>
        <w:rPr>
          <w:rFonts w:cs="Times New Roman"/>
          <w:color w:val="000000" w:themeColor="text1"/>
        </w:rPr>
        <w:t>than the reference model without an LVZ.</w:t>
      </w:r>
      <w:r w:rsidRPr="00D27662">
        <w:rPr>
          <w:rFonts w:cs="Times New Roman"/>
          <w:noProof/>
          <w:color w:val="000000" w:themeColor="text1"/>
          <w:vertAlign w:val="superscript"/>
        </w:rPr>
        <w:t xml:space="preserve"> 61</w:t>
      </w:r>
      <w:r>
        <w:rPr>
          <w:rFonts w:cs="Times New Roman"/>
          <w:color w:val="000000" w:themeColor="text1"/>
        </w:rPr>
        <w:t xml:space="preserve"> </w:t>
      </w:r>
      <w:r w:rsidRPr="004A07BA">
        <w:rPr>
          <w:rFonts w:cs="Times New Roman"/>
          <w:color w:val="FF0000"/>
        </w:rPr>
        <w:t>(</w:t>
      </w:r>
      <w:r>
        <w:rPr>
          <w:rFonts w:cs="Times New Roman"/>
          <w:color w:val="FF0000"/>
        </w:rPr>
        <w:t>Supplementary Fig. 42</w:t>
      </w:r>
      <w:r w:rsidRPr="004A07BA">
        <w:rPr>
          <w:rFonts w:cs="Times New Roman"/>
          <w:color w:val="FF0000"/>
        </w:rPr>
        <w:t>)</w:t>
      </w:r>
      <w:r>
        <w:rPr>
          <w:rFonts w:cs="Times New Roman"/>
          <w:color w:val="000000" w:themeColor="text1"/>
        </w:rPr>
        <w:t>.</w:t>
      </w:r>
    </w:p>
    <w:p w14:paraId="7A18D6B6" w14:textId="77777777" w:rsidR="007F6E00" w:rsidRDefault="007F6E00">
      <w:pPr>
        <w:widowControl/>
        <w:spacing w:line="240" w:lineRule="auto"/>
        <w:jc w:val="left"/>
        <w:rPr>
          <w:rFonts w:cs="Times New Roman"/>
          <w:color w:val="000000" w:themeColor="text1"/>
        </w:rPr>
      </w:pPr>
    </w:p>
    <w:p w14:paraId="25F1EAEC" w14:textId="77777777" w:rsidR="007F6E00" w:rsidRDefault="007F6E00">
      <w:pPr>
        <w:widowControl/>
        <w:spacing w:line="240" w:lineRule="auto"/>
        <w:jc w:val="left"/>
        <w:rPr>
          <w:rFonts w:cs="Times New Roman"/>
          <w:color w:val="000000" w:themeColor="text1"/>
        </w:rPr>
      </w:pPr>
    </w:p>
    <w:p w14:paraId="4CCE1B4D" w14:textId="77777777" w:rsidR="007F6E00" w:rsidRPr="009B36E9" w:rsidRDefault="007F6E00" w:rsidP="00E412DB">
      <w:pPr>
        <w:tabs>
          <w:tab w:val="center" w:pos="4080"/>
          <w:tab w:val="right" w:pos="8160"/>
        </w:tabs>
        <w:spacing w:line="240" w:lineRule="auto"/>
        <w:jc w:val="center"/>
        <w:rPr>
          <w:rFonts w:cs="Times New Roman"/>
        </w:rPr>
      </w:pPr>
      <w:r>
        <w:rPr>
          <w:rFonts w:cs="Times New Roman" w:hint="eastAsia"/>
          <w:noProof/>
        </w:rPr>
        <w:drawing>
          <wp:inline distT="0" distB="0" distL="0" distR="0" wp14:anchorId="01991C49" wp14:editId="69DECBCC">
            <wp:extent cx="4320000" cy="3420217"/>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320000" cy="3420217"/>
                    </a:xfrm>
                    <a:prstGeom prst="rect">
                      <a:avLst/>
                    </a:prstGeom>
                  </pic:spPr>
                </pic:pic>
              </a:graphicData>
            </a:graphic>
          </wp:inline>
        </w:drawing>
      </w:r>
    </w:p>
    <w:p w14:paraId="19FA4253" w14:textId="77777777" w:rsidR="007F6E00" w:rsidRDefault="007F6E00" w:rsidP="00E412DB">
      <w:pPr>
        <w:tabs>
          <w:tab w:val="center" w:pos="4080"/>
          <w:tab w:val="right" w:pos="8160"/>
        </w:tabs>
        <w:spacing w:line="240" w:lineRule="auto"/>
        <w:rPr>
          <w:rFonts w:cs="Times New Roman"/>
        </w:rPr>
      </w:pPr>
      <w:r>
        <w:rPr>
          <w:rFonts w:cs="Times New Roman" w:hint="eastAsia"/>
          <w:b/>
          <w:bCs/>
        </w:rPr>
        <w:t>Supplementary Fig. 3</w:t>
      </w:r>
      <w:r>
        <w:rPr>
          <w:rFonts w:cs="Times New Roman"/>
          <w:b/>
          <w:bCs/>
        </w:rPr>
        <w:t>8</w:t>
      </w:r>
      <w:r w:rsidRPr="00017CB9">
        <w:rPr>
          <w:rFonts w:cs="Times New Roman"/>
          <w:b/>
          <w:bCs/>
        </w:rPr>
        <w:t xml:space="preserve"> | Ray paths of different waves in the model with an upper mantle LVZ.</w:t>
      </w:r>
      <w:r>
        <w:rPr>
          <w:rFonts w:cs="Times New Roman"/>
        </w:rPr>
        <w:t xml:space="preserve"> (a) </w:t>
      </w:r>
      <w:r w:rsidRPr="009B36E9">
        <w:rPr>
          <w:rFonts w:cs="Times New Roman"/>
        </w:rPr>
        <w:t>Ra</w:t>
      </w:r>
      <w:r>
        <w:rPr>
          <w:rFonts w:cs="Times New Roman"/>
        </w:rPr>
        <w:t xml:space="preserve">y paths for P, PP, and PPP waves. (b) </w:t>
      </w:r>
      <w:r w:rsidRPr="009B36E9">
        <w:rPr>
          <w:rFonts w:cs="Times New Roman"/>
        </w:rPr>
        <w:t>R</w:t>
      </w:r>
      <w:r>
        <w:rPr>
          <w:rFonts w:cs="Times New Roman"/>
        </w:rPr>
        <w:t>ay paths for S, SS, and SSS waves. Solid lines represent P (at 11° and 16° distances), PP (at 23° and 33° distances), S (at 14° and 16° distances), and SS (at 28° and 33° distances)</w:t>
      </w:r>
      <w:r w:rsidRPr="00277B1A">
        <w:rPr>
          <w:rFonts w:cs="Times New Roman"/>
        </w:rPr>
        <w:t xml:space="preserve"> </w:t>
      </w:r>
      <w:r>
        <w:rPr>
          <w:rFonts w:cs="Times New Roman"/>
        </w:rPr>
        <w:t>phases. Dashed lines denote PPP (at 29° distance) and SSS (at 31° distance) phases. Red stars mark the sources within the crust. Crust, mantle, and upper mantle LVZ are distinguished by different colors.</w:t>
      </w:r>
    </w:p>
    <w:p w14:paraId="30CF2C77" w14:textId="77777777" w:rsidR="007F6E00" w:rsidRDefault="007F6E00">
      <w:pPr>
        <w:widowControl/>
        <w:spacing w:line="240" w:lineRule="auto"/>
        <w:jc w:val="left"/>
        <w:rPr>
          <w:rFonts w:cs="Times New Roman"/>
        </w:rPr>
      </w:pPr>
      <w:r>
        <w:rPr>
          <w:rFonts w:cs="Times New Roman"/>
        </w:rPr>
        <w:br w:type="page"/>
      </w:r>
    </w:p>
    <w:p w14:paraId="16E9A18E" w14:textId="77777777" w:rsidR="007F6E00" w:rsidRDefault="007F6E00" w:rsidP="00E412DB">
      <w:pPr>
        <w:tabs>
          <w:tab w:val="center" w:pos="4080"/>
          <w:tab w:val="right" w:pos="8160"/>
        </w:tabs>
        <w:spacing w:line="240" w:lineRule="auto"/>
        <w:jc w:val="center"/>
        <w:rPr>
          <w:rFonts w:cs="Times New Roman"/>
        </w:rPr>
      </w:pPr>
      <w:r>
        <w:rPr>
          <w:rFonts w:cs="Times New Roman" w:hint="eastAsia"/>
          <w:noProof/>
        </w:rPr>
        <w:lastRenderedPageBreak/>
        <w:drawing>
          <wp:inline distT="0" distB="0" distL="0" distR="0" wp14:anchorId="233D428E" wp14:editId="002F00AE">
            <wp:extent cx="5040000" cy="4802747"/>
            <wp:effectExtent l="0" t="0" r="190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40000" cy="4802747"/>
                    </a:xfrm>
                    <a:prstGeom prst="rect">
                      <a:avLst/>
                    </a:prstGeom>
                  </pic:spPr>
                </pic:pic>
              </a:graphicData>
            </a:graphic>
          </wp:inline>
        </w:drawing>
      </w:r>
    </w:p>
    <w:p w14:paraId="1BE793A3" w14:textId="77777777" w:rsidR="007F6E00" w:rsidRDefault="007F6E00" w:rsidP="00E412DB">
      <w:pPr>
        <w:tabs>
          <w:tab w:val="center" w:pos="4080"/>
          <w:tab w:val="right" w:pos="8160"/>
        </w:tabs>
        <w:spacing w:line="240" w:lineRule="auto"/>
        <w:rPr>
          <w:rFonts w:cs="Times New Roman"/>
        </w:rPr>
      </w:pPr>
      <w:r>
        <w:rPr>
          <w:b/>
          <w:bCs/>
        </w:rPr>
        <w:t>Supplementary Fig. 39</w:t>
      </w:r>
      <w:r w:rsidRPr="000D5F60">
        <w:rPr>
          <w:b/>
          <w:bCs/>
        </w:rPr>
        <w:t xml:space="preserve"> | Differential travel time curves of the models with a </w:t>
      </w:r>
      <w:proofErr w:type="spellStart"/>
      <w:r w:rsidRPr="00F6707C">
        <w:rPr>
          <w:b/>
          <w:bCs/>
          <w:i/>
          <w:iCs/>
        </w:rPr>
        <w:t>Vp</w:t>
      </w:r>
      <w:proofErr w:type="spellEnd"/>
      <w:r w:rsidRPr="000D5F60">
        <w:rPr>
          <w:b/>
          <w:bCs/>
        </w:rPr>
        <w:t xml:space="preserve"> reduction of 10% and a </w:t>
      </w:r>
      <w:r w:rsidRPr="00F6707C">
        <w:rPr>
          <w:b/>
          <w:bCs/>
          <w:i/>
          <w:iCs/>
        </w:rPr>
        <w:t>Vs</w:t>
      </w:r>
      <w:r w:rsidRPr="000D5F60">
        <w:rPr>
          <w:b/>
          <w:bCs/>
        </w:rPr>
        <w:t xml:space="preserve"> reduction of 11%.</w:t>
      </w:r>
      <w:r>
        <w:rPr>
          <w:rFonts w:cs="Times New Roman"/>
        </w:rPr>
        <w:t xml:space="preserve"> Black and colored lines denote the theoretical differential travel times of different phases. Black dots with </w:t>
      </w:r>
      <w:proofErr w:type="spellStart"/>
      <w:r>
        <w:rPr>
          <w:rFonts w:cs="Times New Roman"/>
        </w:rPr>
        <w:t>errorbars</w:t>
      </w:r>
      <w:proofErr w:type="spellEnd"/>
      <w:r>
        <w:rPr>
          <w:rFonts w:cs="Times New Roman"/>
        </w:rPr>
        <w:t xml:space="preserve"> denotes the picked differential travel times of all 31 events in ref.</w:t>
      </w:r>
      <w:r w:rsidRPr="00D27662">
        <w:rPr>
          <w:rFonts w:cs="Times New Roman"/>
          <w:noProof/>
          <w:vertAlign w:val="superscript"/>
        </w:rPr>
        <w:t xml:space="preserve"> 61</w:t>
      </w:r>
      <w:r>
        <w:rPr>
          <w:rFonts w:cs="Times New Roman"/>
        </w:rPr>
        <w:t xml:space="preserve">. Vertical </w:t>
      </w:r>
      <w:proofErr w:type="spellStart"/>
      <w:r>
        <w:rPr>
          <w:rFonts w:cs="Times New Roman"/>
        </w:rPr>
        <w:t>errorbar</w:t>
      </w:r>
      <w:proofErr w:type="spellEnd"/>
      <w:r>
        <w:rPr>
          <w:rFonts w:cs="Times New Roman"/>
        </w:rPr>
        <w:t xml:space="preserve"> represents the error of picked travel time. Horizontal </w:t>
      </w:r>
      <w:proofErr w:type="spellStart"/>
      <w:r>
        <w:rPr>
          <w:rFonts w:cs="Times New Roman"/>
        </w:rPr>
        <w:t>errorbar</w:t>
      </w:r>
      <w:proofErr w:type="spellEnd"/>
      <w:r>
        <w:rPr>
          <w:rFonts w:cs="Times New Roman"/>
        </w:rPr>
        <w:t xml:space="preserve"> represents the inverted uncertainty of distance or depth for each event in</w:t>
      </w:r>
      <w:r w:rsidRPr="00B10AF9">
        <w:rPr>
          <w:rFonts w:cs="Times New Roman"/>
        </w:rPr>
        <w:t xml:space="preserve"> </w:t>
      </w:r>
      <w:r>
        <w:rPr>
          <w:rFonts w:cs="Times New Roman"/>
        </w:rPr>
        <w:t>ref.</w:t>
      </w:r>
      <w:r w:rsidRPr="00D27662">
        <w:rPr>
          <w:rFonts w:cs="Times New Roman"/>
          <w:noProof/>
          <w:vertAlign w:val="superscript"/>
        </w:rPr>
        <w:t xml:space="preserve"> 61</w:t>
      </w:r>
      <w:r>
        <w:rPr>
          <w:rFonts w:cs="Times New Roman"/>
        </w:rPr>
        <w:t>.</w:t>
      </w:r>
    </w:p>
    <w:p w14:paraId="1E179FE5" w14:textId="77777777" w:rsidR="007F6E00" w:rsidRDefault="007F6E00">
      <w:pPr>
        <w:widowControl/>
        <w:spacing w:line="240" w:lineRule="auto"/>
        <w:jc w:val="left"/>
        <w:rPr>
          <w:rFonts w:cs="Times New Roman"/>
        </w:rPr>
      </w:pPr>
      <w:r>
        <w:rPr>
          <w:rFonts w:cs="Times New Roman"/>
        </w:rPr>
        <w:br w:type="page"/>
      </w:r>
    </w:p>
    <w:p w14:paraId="0B5DD934" w14:textId="77777777" w:rsidR="007F6E00" w:rsidRDefault="007F6E00" w:rsidP="00E412DB">
      <w:pPr>
        <w:tabs>
          <w:tab w:val="center" w:pos="4080"/>
          <w:tab w:val="right" w:pos="8160"/>
        </w:tabs>
        <w:spacing w:line="240" w:lineRule="auto"/>
        <w:rPr>
          <w:rFonts w:cs="Times New Roman"/>
        </w:rPr>
      </w:pPr>
      <w:r>
        <w:rPr>
          <w:rFonts w:cs="Times New Roman" w:hint="eastAsia"/>
          <w:noProof/>
        </w:rPr>
        <w:lastRenderedPageBreak/>
        <w:drawing>
          <wp:inline distT="0" distB="0" distL="0" distR="0" wp14:anchorId="2639C471" wp14:editId="1131E37E">
            <wp:extent cx="5274310" cy="5026025"/>
            <wp:effectExtent l="0" t="0" r="0" b="317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74310" cy="5026025"/>
                    </a:xfrm>
                    <a:prstGeom prst="rect">
                      <a:avLst/>
                    </a:prstGeom>
                  </pic:spPr>
                </pic:pic>
              </a:graphicData>
            </a:graphic>
          </wp:inline>
        </w:drawing>
      </w:r>
    </w:p>
    <w:p w14:paraId="2A625E88" w14:textId="77777777" w:rsidR="007F6E00" w:rsidRDefault="007F6E00" w:rsidP="00E412DB">
      <w:pPr>
        <w:tabs>
          <w:tab w:val="center" w:pos="4080"/>
          <w:tab w:val="right" w:pos="8160"/>
        </w:tabs>
        <w:spacing w:line="240" w:lineRule="auto"/>
        <w:rPr>
          <w:rFonts w:cs="Times New Roman"/>
          <w:color w:val="000000" w:themeColor="text1"/>
        </w:rPr>
      </w:pPr>
      <w:r>
        <w:rPr>
          <w:b/>
          <w:bCs/>
        </w:rPr>
        <w:t>Supplementary Fig. 40</w:t>
      </w:r>
      <w:r w:rsidRPr="000D5F60">
        <w:rPr>
          <w:b/>
          <w:bCs/>
        </w:rPr>
        <w:t xml:space="preserve"> | Differential travel time curves of the models with a </w:t>
      </w:r>
      <w:proofErr w:type="spellStart"/>
      <w:r w:rsidRPr="00F6707C">
        <w:rPr>
          <w:b/>
          <w:bCs/>
          <w:i/>
          <w:iCs/>
        </w:rPr>
        <w:t>Vp</w:t>
      </w:r>
      <w:proofErr w:type="spellEnd"/>
      <w:r w:rsidRPr="000D5F60">
        <w:rPr>
          <w:b/>
          <w:bCs/>
        </w:rPr>
        <w:t xml:space="preserve"> reduction of 1</w:t>
      </w:r>
      <w:r>
        <w:rPr>
          <w:b/>
          <w:bCs/>
        </w:rPr>
        <w:t>2</w:t>
      </w:r>
      <w:r w:rsidRPr="000D5F60">
        <w:rPr>
          <w:b/>
          <w:bCs/>
        </w:rPr>
        <w:t xml:space="preserve">% and a </w:t>
      </w:r>
      <w:r w:rsidRPr="00F6707C">
        <w:rPr>
          <w:b/>
          <w:bCs/>
          <w:i/>
          <w:iCs/>
        </w:rPr>
        <w:t>Vs</w:t>
      </w:r>
      <w:r w:rsidRPr="000D5F60">
        <w:rPr>
          <w:b/>
          <w:bCs/>
        </w:rPr>
        <w:t xml:space="preserve"> reduction of </w:t>
      </w:r>
      <w:r>
        <w:rPr>
          <w:b/>
          <w:bCs/>
        </w:rPr>
        <w:t>25</w:t>
      </w:r>
      <w:r w:rsidRPr="000D5F60">
        <w:rPr>
          <w:b/>
          <w:bCs/>
        </w:rPr>
        <w:t>%.</w:t>
      </w:r>
      <w:r>
        <w:rPr>
          <w:rFonts w:cs="Times New Roman"/>
        </w:rPr>
        <w:t xml:space="preserve"> Figure captions are same as in </w:t>
      </w:r>
      <w:r>
        <w:rPr>
          <w:rFonts w:cs="Times New Roman"/>
          <w:color w:val="FF0000"/>
        </w:rPr>
        <w:t>Supplementary Fig. 39</w:t>
      </w:r>
      <w:r>
        <w:rPr>
          <w:rFonts w:cs="Times New Roman"/>
          <w:color w:val="000000" w:themeColor="text1"/>
        </w:rPr>
        <w:t>.</w:t>
      </w:r>
    </w:p>
    <w:p w14:paraId="1AD15B8E" w14:textId="77777777" w:rsidR="007F6E00" w:rsidRDefault="007F6E00">
      <w:pPr>
        <w:widowControl/>
        <w:spacing w:line="240" w:lineRule="auto"/>
        <w:jc w:val="left"/>
        <w:rPr>
          <w:rFonts w:cs="Times New Roman"/>
          <w:color w:val="000000" w:themeColor="text1"/>
        </w:rPr>
      </w:pPr>
      <w:r>
        <w:rPr>
          <w:rFonts w:cs="Times New Roman"/>
          <w:color w:val="000000" w:themeColor="text1"/>
        </w:rPr>
        <w:br w:type="page"/>
      </w:r>
    </w:p>
    <w:p w14:paraId="6CB20963" w14:textId="77777777" w:rsidR="007F6E00" w:rsidRDefault="007F6E00" w:rsidP="00E412DB">
      <w:pPr>
        <w:tabs>
          <w:tab w:val="center" w:pos="4080"/>
          <w:tab w:val="right" w:pos="8160"/>
        </w:tabs>
        <w:spacing w:line="240" w:lineRule="auto"/>
        <w:jc w:val="center"/>
        <w:rPr>
          <w:rFonts w:cs="Times New Roman"/>
        </w:rPr>
      </w:pPr>
      <w:r>
        <w:rPr>
          <w:rFonts w:cs="Times New Roman" w:hint="eastAsia"/>
          <w:noProof/>
        </w:rPr>
        <w:lastRenderedPageBreak/>
        <w:drawing>
          <wp:inline distT="0" distB="0" distL="0" distR="0" wp14:anchorId="41F122BA" wp14:editId="5ACE1E1F">
            <wp:extent cx="5040000" cy="4802746"/>
            <wp:effectExtent l="0" t="0" r="190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040000" cy="4802746"/>
                    </a:xfrm>
                    <a:prstGeom prst="rect">
                      <a:avLst/>
                    </a:prstGeom>
                  </pic:spPr>
                </pic:pic>
              </a:graphicData>
            </a:graphic>
          </wp:inline>
        </w:drawing>
      </w:r>
    </w:p>
    <w:p w14:paraId="051EFAA7" w14:textId="77777777" w:rsidR="007F6E00" w:rsidRDefault="007F6E00" w:rsidP="00E412DB">
      <w:pPr>
        <w:tabs>
          <w:tab w:val="center" w:pos="4080"/>
          <w:tab w:val="right" w:pos="8160"/>
        </w:tabs>
        <w:spacing w:line="240" w:lineRule="auto"/>
        <w:rPr>
          <w:rFonts w:cs="Times New Roman"/>
        </w:rPr>
      </w:pPr>
      <w:r>
        <w:rPr>
          <w:b/>
          <w:bCs/>
        </w:rPr>
        <w:t>Supplementary Fig. 41</w:t>
      </w:r>
      <w:r w:rsidRPr="000D5F60">
        <w:rPr>
          <w:b/>
          <w:bCs/>
        </w:rPr>
        <w:t xml:space="preserve"> | Differential travel time curves of the models with a </w:t>
      </w:r>
      <w:proofErr w:type="spellStart"/>
      <w:r w:rsidRPr="00F6707C">
        <w:rPr>
          <w:b/>
          <w:bCs/>
          <w:i/>
          <w:iCs/>
        </w:rPr>
        <w:t>Vp</w:t>
      </w:r>
      <w:proofErr w:type="spellEnd"/>
      <w:r w:rsidRPr="000D5F60">
        <w:rPr>
          <w:b/>
          <w:bCs/>
        </w:rPr>
        <w:t xml:space="preserve"> reduction of 14% and a </w:t>
      </w:r>
      <w:r w:rsidRPr="00F6707C">
        <w:rPr>
          <w:b/>
          <w:bCs/>
          <w:i/>
          <w:iCs/>
        </w:rPr>
        <w:t>Vs</w:t>
      </w:r>
      <w:r w:rsidRPr="000D5F60">
        <w:rPr>
          <w:b/>
          <w:bCs/>
        </w:rPr>
        <w:t xml:space="preserve"> reduction of 40%.</w:t>
      </w:r>
      <w:r>
        <w:rPr>
          <w:rFonts w:cs="Times New Roman"/>
        </w:rPr>
        <w:t xml:space="preserve"> Figure captions are same as in </w:t>
      </w:r>
      <w:r>
        <w:rPr>
          <w:rFonts w:cs="Times New Roman"/>
          <w:color w:val="FF0000"/>
        </w:rPr>
        <w:t>Supplementary Fig. 39</w:t>
      </w:r>
      <w:r>
        <w:rPr>
          <w:rFonts w:cs="Times New Roman"/>
        </w:rPr>
        <w:t>.</w:t>
      </w:r>
    </w:p>
    <w:p w14:paraId="10828A80" w14:textId="77777777" w:rsidR="007F6E00" w:rsidRDefault="007F6E00">
      <w:pPr>
        <w:widowControl/>
        <w:spacing w:line="240" w:lineRule="auto"/>
        <w:jc w:val="left"/>
        <w:rPr>
          <w:rFonts w:cs="Times New Roman"/>
        </w:rPr>
      </w:pPr>
      <w:r>
        <w:rPr>
          <w:rFonts w:cs="Times New Roman"/>
        </w:rPr>
        <w:br w:type="page"/>
      </w:r>
    </w:p>
    <w:p w14:paraId="7B07FBF5" w14:textId="77777777" w:rsidR="007F6E00" w:rsidRDefault="007F6E00" w:rsidP="00E412DB">
      <w:pPr>
        <w:tabs>
          <w:tab w:val="center" w:pos="4080"/>
          <w:tab w:val="right" w:pos="8160"/>
        </w:tabs>
        <w:spacing w:line="240" w:lineRule="auto"/>
        <w:jc w:val="center"/>
        <w:rPr>
          <w:rFonts w:cs="Times New Roman"/>
        </w:rPr>
      </w:pPr>
      <w:r>
        <w:rPr>
          <w:noProof/>
          <w:sz w:val="16"/>
          <w:szCs w:val="16"/>
        </w:rPr>
        <w:lastRenderedPageBreak/>
        <w:drawing>
          <wp:inline distT="0" distB="0" distL="0" distR="0" wp14:anchorId="30668253" wp14:editId="67A275AE">
            <wp:extent cx="5274310" cy="527431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74310" cy="5274310"/>
                    </a:xfrm>
                    <a:prstGeom prst="rect">
                      <a:avLst/>
                    </a:prstGeom>
                  </pic:spPr>
                </pic:pic>
              </a:graphicData>
            </a:graphic>
          </wp:inline>
        </w:drawing>
      </w:r>
    </w:p>
    <w:p w14:paraId="7C59CD54" w14:textId="77777777" w:rsidR="007F6E00" w:rsidRPr="00E412DB" w:rsidRDefault="007F6E00" w:rsidP="00E412DB">
      <w:pPr>
        <w:tabs>
          <w:tab w:val="center" w:pos="4080"/>
          <w:tab w:val="right" w:pos="8160"/>
        </w:tabs>
        <w:spacing w:line="240" w:lineRule="auto"/>
        <w:rPr>
          <w:rFonts w:cs="Times New Roman"/>
        </w:rPr>
      </w:pPr>
      <w:r>
        <w:rPr>
          <w:b/>
          <w:bCs/>
        </w:rPr>
        <w:t>Supplementary Fig. 42</w:t>
      </w:r>
      <w:r w:rsidRPr="000D5F60">
        <w:rPr>
          <w:b/>
          <w:bCs/>
        </w:rPr>
        <w:t xml:space="preserve"> | Effect of the thickness and velocity perturbations of LVZ on the differential travel times of body waves.</w:t>
      </w:r>
      <w:r>
        <w:rPr>
          <w:rFonts w:cs="Times New Roman"/>
        </w:rPr>
        <w:t xml:space="preserve"> </w:t>
      </w:r>
      <w:r w:rsidRPr="0029255D">
        <w:rPr>
          <w:rFonts w:cs="Times New Roman"/>
        </w:rPr>
        <w:t xml:space="preserve">(a) </w:t>
      </w:r>
      <w:r>
        <w:rPr>
          <w:rFonts w:cs="Times New Roman"/>
        </w:rPr>
        <w:t xml:space="preserve">1D </w:t>
      </w:r>
      <w:r w:rsidRPr="00480069">
        <w:rPr>
          <w:rFonts w:cs="Times New Roman"/>
          <w:i/>
          <w:iCs/>
        </w:rPr>
        <w:t>Vs</w:t>
      </w:r>
      <w:r>
        <w:rPr>
          <w:rFonts w:cs="Times New Roman"/>
        </w:rPr>
        <w:t xml:space="preserve"> and </w:t>
      </w:r>
      <w:proofErr w:type="spellStart"/>
      <w:r w:rsidRPr="00480069">
        <w:rPr>
          <w:rFonts w:cs="Times New Roman"/>
          <w:i/>
          <w:iCs/>
        </w:rPr>
        <w:t>Vp</w:t>
      </w:r>
      <w:proofErr w:type="spellEnd"/>
      <w:r>
        <w:rPr>
          <w:rFonts w:cs="Times New Roman"/>
        </w:rPr>
        <w:t xml:space="preserve"> models with different LVZ thicknesses. The thickness of constant velocity layer is from 0 to 80 km, while the gradient layer has a fixed thickness of 20 km. Black lines denote the mean model in ref.</w:t>
      </w:r>
      <w:r w:rsidRPr="00D27662">
        <w:rPr>
          <w:rFonts w:cs="Times New Roman"/>
          <w:noProof/>
          <w:vertAlign w:val="superscript"/>
        </w:rPr>
        <w:t xml:space="preserve"> 61</w:t>
      </w:r>
      <w:r>
        <w:rPr>
          <w:rFonts w:cs="Times New Roman"/>
        </w:rPr>
        <w:t xml:space="preserve">. Colored lines denote models containing an upper mantle LVZ below 80 km depth with a 12% </w:t>
      </w:r>
      <w:proofErr w:type="spellStart"/>
      <w:r w:rsidRPr="00480069">
        <w:rPr>
          <w:rFonts w:cs="Times New Roman"/>
          <w:i/>
          <w:iCs/>
        </w:rPr>
        <w:t>Vp</w:t>
      </w:r>
      <w:proofErr w:type="spellEnd"/>
      <w:r>
        <w:rPr>
          <w:rFonts w:cs="Times New Roman"/>
        </w:rPr>
        <w:t xml:space="preserve"> reduction and a 25% </w:t>
      </w:r>
      <w:r w:rsidRPr="00480069">
        <w:rPr>
          <w:rFonts w:cs="Times New Roman"/>
          <w:i/>
          <w:iCs/>
        </w:rPr>
        <w:t>Vs</w:t>
      </w:r>
      <w:r>
        <w:rPr>
          <w:rFonts w:cs="Times New Roman"/>
        </w:rPr>
        <w:t xml:space="preserve"> reduction. (b) Similar with </w:t>
      </w:r>
      <w:r w:rsidRPr="0029255D">
        <w:rPr>
          <w:rFonts w:cs="Times New Roman"/>
        </w:rPr>
        <w:t xml:space="preserve">(a) </w:t>
      </w:r>
      <w:r>
        <w:rPr>
          <w:rFonts w:cs="Times New Roman"/>
        </w:rPr>
        <w:t xml:space="preserve">except for a 10% </w:t>
      </w:r>
      <w:proofErr w:type="spellStart"/>
      <w:r w:rsidRPr="00480069">
        <w:rPr>
          <w:rFonts w:cs="Times New Roman"/>
          <w:i/>
          <w:iCs/>
        </w:rPr>
        <w:t>Vp</w:t>
      </w:r>
      <w:proofErr w:type="spellEnd"/>
      <w:r>
        <w:rPr>
          <w:rFonts w:cs="Times New Roman"/>
        </w:rPr>
        <w:t xml:space="preserve"> reduction and a 11% </w:t>
      </w:r>
      <w:r w:rsidRPr="00480069">
        <w:rPr>
          <w:rFonts w:cs="Times New Roman"/>
          <w:i/>
          <w:iCs/>
        </w:rPr>
        <w:t>Vs</w:t>
      </w:r>
      <w:r>
        <w:rPr>
          <w:rFonts w:cs="Times New Roman"/>
        </w:rPr>
        <w:t xml:space="preserve"> reduction within the LVZ. (c) Similar with </w:t>
      </w:r>
      <w:r w:rsidRPr="0029255D">
        <w:rPr>
          <w:rFonts w:cs="Times New Roman"/>
        </w:rPr>
        <w:t>(a)</w:t>
      </w:r>
      <w:r>
        <w:rPr>
          <w:rFonts w:cs="Times New Roman"/>
        </w:rPr>
        <w:t xml:space="preserve"> except for a 14% </w:t>
      </w:r>
      <w:proofErr w:type="spellStart"/>
      <w:r w:rsidRPr="00480069">
        <w:rPr>
          <w:rFonts w:cs="Times New Roman"/>
          <w:i/>
          <w:iCs/>
        </w:rPr>
        <w:t>Vp</w:t>
      </w:r>
      <w:proofErr w:type="spellEnd"/>
      <w:r>
        <w:rPr>
          <w:rFonts w:cs="Times New Roman"/>
        </w:rPr>
        <w:t xml:space="preserve"> reduction and a 40% </w:t>
      </w:r>
      <w:r w:rsidRPr="00480069">
        <w:rPr>
          <w:rFonts w:cs="Times New Roman"/>
          <w:i/>
          <w:iCs/>
        </w:rPr>
        <w:t>Vs</w:t>
      </w:r>
      <w:r>
        <w:rPr>
          <w:rFonts w:cs="Times New Roman"/>
        </w:rPr>
        <w:t xml:space="preserve"> reduction within the LVZ. (d)</w:t>
      </w:r>
      <w:r>
        <w:rPr>
          <w:rFonts w:cs="Times New Roman"/>
        </w:rPr>
        <w:softHyphen/>
        <w:t>–(f) Misfit values of all differential travel times of body wave phases calculated using the models in (a)</w:t>
      </w:r>
      <w:r>
        <w:rPr>
          <w:rFonts w:cs="Times New Roman"/>
        </w:rPr>
        <w:softHyphen/>
        <w:t>–(c). Black lines denote the misfit values of the mean 1D model in ref.</w:t>
      </w:r>
      <w:r w:rsidRPr="00D27662">
        <w:rPr>
          <w:rFonts w:cs="Times New Roman"/>
          <w:noProof/>
          <w:vertAlign w:val="superscript"/>
        </w:rPr>
        <w:t xml:space="preserve"> 61</w:t>
      </w:r>
      <w:r>
        <w:rPr>
          <w:rFonts w:cs="Times New Roman"/>
        </w:rPr>
        <w:t>. Phases are arranged with ascending order for the misfit values. Grey shaded areas denote the misfit values of all 1D models in ref.</w:t>
      </w:r>
      <w:r w:rsidRPr="00D27662">
        <w:rPr>
          <w:rFonts w:cs="Times New Roman"/>
          <w:noProof/>
          <w:vertAlign w:val="superscript"/>
        </w:rPr>
        <w:t xml:space="preserve"> 61</w:t>
      </w:r>
      <w:r>
        <w:rPr>
          <w:rFonts w:cs="Times New Roman"/>
        </w:rPr>
        <w:t>. Colored lines denote misfits of the models containing an LVZ with different thicknesses. (g) The summed misfit values of all phases varying with different thicknesses of the LVZ. Horizontal solid line denotes the misfit for mean 1D model in ref.</w:t>
      </w:r>
      <w:r w:rsidRPr="00D27662">
        <w:rPr>
          <w:rFonts w:cs="Times New Roman"/>
          <w:noProof/>
          <w:vertAlign w:val="superscript"/>
        </w:rPr>
        <w:t xml:space="preserve"> 61</w:t>
      </w:r>
      <w:r>
        <w:rPr>
          <w:rFonts w:cs="Times New Roman"/>
        </w:rPr>
        <w:t>. Horizontal dashed lines denote the misfits for minimum and maximum 1D models in ref.</w:t>
      </w:r>
      <w:r w:rsidRPr="00D27662">
        <w:rPr>
          <w:rFonts w:cs="Times New Roman"/>
          <w:noProof/>
          <w:vertAlign w:val="superscript"/>
        </w:rPr>
        <w:t xml:space="preserve"> 61</w:t>
      </w:r>
      <w:r>
        <w:rPr>
          <w:rFonts w:cs="Times New Roman"/>
        </w:rPr>
        <w:t>.</w:t>
      </w:r>
    </w:p>
    <w:p w14:paraId="1C26FBF0" w14:textId="77777777" w:rsidR="007F6E00" w:rsidRDefault="007F6E00">
      <w:pPr>
        <w:widowControl/>
        <w:spacing w:line="240" w:lineRule="auto"/>
        <w:jc w:val="left"/>
      </w:pPr>
    </w:p>
    <w:p w14:paraId="1E9BF9BC" w14:textId="77777777" w:rsidR="007F6E00" w:rsidRDefault="007F6E00" w:rsidP="00992E94">
      <w:pPr>
        <w:pStyle w:val="2"/>
      </w:pPr>
      <w:bookmarkStart w:id="45" w:name="_Toc202208133"/>
      <w:r>
        <w:rPr>
          <w:rFonts w:hint="eastAsia"/>
        </w:rPr>
        <w:t>6</w:t>
      </w:r>
      <w:r>
        <w:t>.2. Back azimuth-dependent variation of LVZ thickness</w:t>
      </w:r>
      <w:bookmarkEnd w:id="45"/>
    </w:p>
    <w:p w14:paraId="60C86914" w14:textId="77777777" w:rsidR="007F6E00" w:rsidRDefault="007F6E00" w:rsidP="00A470C8">
      <w:pPr>
        <w:ind w:firstLineChars="200" w:firstLine="480"/>
      </w:pPr>
      <w:r>
        <w:t>Body wave travel times suggest that the average LVZ thickness is less than 40</w:t>
      </w:r>
      <w:r>
        <w:softHyphen/>
        <w:t xml:space="preserve">–60 km, depending on the velocity perturbations within the LVZ </w:t>
      </w:r>
      <w:r w:rsidRPr="002252E7">
        <w:rPr>
          <w:color w:val="FF0000"/>
        </w:rPr>
        <w:t>(</w:t>
      </w:r>
      <w:r>
        <w:rPr>
          <w:color w:val="FF0000"/>
        </w:rPr>
        <w:t>Supplementary Fig. 42</w:t>
      </w:r>
      <w:r w:rsidRPr="002252E7">
        <w:rPr>
          <w:color w:val="FF0000"/>
        </w:rPr>
        <w:t>)</w:t>
      </w:r>
      <w:r>
        <w:t>. If the LVZ is a localized structure and associated with the Elysium mantle plume</w:t>
      </w:r>
      <w:r w:rsidRPr="006715C8">
        <w:rPr>
          <w:noProof/>
          <w:vertAlign w:val="superscript"/>
        </w:rPr>
        <w:t>11</w:t>
      </w:r>
      <w:r>
        <w:t>, events originating from other regions may not sample it, resulting in no significant travel time anomalies. To test this, we examine travel time anomalies in relation to back azimuth from ref.</w:t>
      </w:r>
      <w:r w:rsidRPr="00D27662">
        <w:rPr>
          <w:noProof/>
          <w:vertAlign w:val="superscript"/>
        </w:rPr>
        <w:t xml:space="preserve"> 61</w:t>
      </w:r>
      <w:r>
        <w:t>. Based on the locations of the Elysium plume head</w:t>
      </w:r>
      <w:r w:rsidRPr="00775917">
        <w:rPr>
          <w:noProof/>
          <w:vertAlign w:val="superscript"/>
        </w:rPr>
        <w:t>11</w:t>
      </w:r>
      <w:r>
        <w:t xml:space="preserve"> and the Martian dichotomy boundary</w:t>
      </w:r>
      <w:r w:rsidRPr="00D27662">
        <w:rPr>
          <w:noProof/>
          <w:vertAlign w:val="superscript"/>
        </w:rPr>
        <w:t>53</w:t>
      </w:r>
      <w:r>
        <w:t xml:space="preserve">, </w:t>
      </w:r>
      <w:r w:rsidRPr="00400522">
        <w:t xml:space="preserve">events within 60° distance </w:t>
      </w:r>
      <w:r>
        <w:t xml:space="preserve">are categorized </w:t>
      </w:r>
      <w:r w:rsidRPr="00400522">
        <w:t>into three groups by back azimuth</w:t>
      </w:r>
      <w:r>
        <w:t>s</w:t>
      </w:r>
      <w:r w:rsidRPr="00400522">
        <w:t>: southern highlands events (</w:t>
      </w:r>
      <w:r>
        <w:t xml:space="preserve">BAZ: </w:t>
      </w:r>
      <w:r w:rsidRPr="00400522">
        <w:t>120°–300°), northern lowlands events (</w:t>
      </w:r>
      <w:r>
        <w:t xml:space="preserve">BAZ: </w:t>
      </w:r>
      <w:r w:rsidRPr="00400522">
        <w:t>300°–60°), and Elysium Planitia events (</w:t>
      </w:r>
      <w:r>
        <w:t xml:space="preserve">BAZ: </w:t>
      </w:r>
      <w:r w:rsidRPr="00400522">
        <w:t>60°–120°)</w:t>
      </w:r>
      <w:r>
        <w:rPr>
          <w:rFonts w:cs="Times New Roman"/>
        </w:rPr>
        <w:t xml:space="preserve"> </w:t>
      </w:r>
      <w:r w:rsidRPr="0044683D">
        <w:rPr>
          <w:rFonts w:cs="Times New Roman"/>
          <w:color w:val="FF0000"/>
        </w:rPr>
        <w:t>(</w:t>
      </w:r>
      <w:r>
        <w:rPr>
          <w:rFonts w:cs="Times New Roman"/>
          <w:color w:val="FF0000"/>
        </w:rPr>
        <w:t>Supplementary Fig. 43</w:t>
      </w:r>
      <w:r w:rsidRPr="0044683D">
        <w:rPr>
          <w:rFonts w:cs="Times New Roman"/>
          <w:color w:val="FF0000"/>
        </w:rPr>
        <w:t>)</w:t>
      </w:r>
      <w:r>
        <w:t xml:space="preserve">. We focus on of five differential travel time pairs that are mostly sensitive to LVZ structure </w:t>
      </w:r>
      <w:r w:rsidRPr="000C451A">
        <w:rPr>
          <w:color w:val="FF0000"/>
        </w:rPr>
        <w:t>(</w:t>
      </w:r>
      <w:r>
        <w:rPr>
          <w:color w:val="FF0000"/>
        </w:rPr>
        <w:t>Supplementary Fig. 42</w:t>
      </w:r>
      <w:r w:rsidRPr="000C451A">
        <w:rPr>
          <w:color w:val="FF0000"/>
        </w:rPr>
        <w:t>d–f)</w:t>
      </w:r>
      <w:r>
        <w:t>.</w:t>
      </w:r>
    </w:p>
    <w:p w14:paraId="0373FE8F" w14:textId="77777777" w:rsidR="007F6E00" w:rsidRPr="00B13E78" w:rsidRDefault="007F6E00" w:rsidP="00A470C8">
      <w:pPr>
        <w:ind w:firstLineChars="200" w:firstLine="480"/>
        <w:rPr>
          <w:rFonts w:cs="Times New Roman"/>
          <w:strike/>
        </w:rPr>
      </w:pPr>
      <w:r>
        <w:t xml:space="preserve">The results reveal a back azimuth-dependent variation in differential travel time anomalies </w:t>
      </w:r>
      <w:r w:rsidRPr="00285107">
        <w:rPr>
          <w:color w:val="FF0000"/>
        </w:rPr>
        <w:t>(</w:t>
      </w:r>
      <w:r>
        <w:rPr>
          <w:color w:val="FF0000"/>
        </w:rPr>
        <w:t>Supplementary Fig. 44</w:t>
      </w:r>
      <w:r w:rsidRPr="00285107">
        <w:rPr>
          <w:color w:val="FF0000"/>
        </w:rPr>
        <w:t>)</w:t>
      </w:r>
      <w:r>
        <w:t xml:space="preserve">. Events from the northern lowlands and southern highlands </w:t>
      </w:r>
      <w:r w:rsidRPr="0076338C">
        <w:t xml:space="preserve">are </w:t>
      </w:r>
      <w:r>
        <w:t xml:space="preserve">generally </w:t>
      </w:r>
      <w:r w:rsidRPr="0076338C">
        <w:t xml:space="preserve">consistent with </w:t>
      </w:r>
      <w:r>
        <w:t xml:space="preserve">predictions for </w:t>
      </w:r>
      <w:r w:rsidRPr="0076338C">
        <w:t xml:space="preserve">models </w:t>
      </w:r>
      <w:r>
        <w:t xml:space="preserve">with no LVZ </w:t>
      </w:r>
      <w:r w:rsidRPr="0076338C">
        <w:t xml:space="preserve">or </w:t>
      </w:r>
      <w:r>
        <w:t xml:space="preserve">a very thin </w:t>
      </w:r>
      <w:r w:rsidRPr="0076338C">
        <w:t xml:space="preserve">LVZ </w:t>
      </w:r>
      <w:r>
        <w:t>(</w:t>
      </w:r>
      <w:r w:rsidRPr="0076338C">
        <w:t>thickness</w:t>
      </w:r>
      <w:r>
        <w:t xml:space="preserve"> &lt; 20 km), although discrepancies across different phases </w:t>
      </w:r>
      <w:r w:rsidRPr="004949AE">
        <w:rPr>
          <w:color w:val="FF0000"/>
        </w:rPr>
        <w:t>(</w:t>
      </w:r>
      <w:r>
        <w:rPr>
          <w:color w:val="FF0000"/>
        </w:rPr>
        <w:t>Supplementary Fig. 38</w:t>
      </w:r>
      <w:r w:rsidRPr="004949AE">
        <w:rPr>
          <w:color w:val="FF0000"/>
        </w:rPr>
        <w:t>)</w:t>
      </w:r>
      <w:r>
        <w:t xml:space="preserve"> suggest possible regional variations. </w:t>
      </w:r>
      <w:r w:rsidRPr="0076338C">
        <w:t xml:space="preserve">For instance, </w:t>
      </w:r>
      <w:r>
        <w:t>for</w:t>
      </w:r>
      <w:r w:rsidRPr="0076338C">
        <w:t xml:space="preserve"> the largest detected marsquake, S1222a, the S-P travel time </w:t>
      </w:r>
      <w:r>
        <w:t xml:space="preserve">show no LVZ signature </w:t>
      </w:r>
      <w:r w:rsidRPr="000171DC">
        <w:rPr>
          <w:color w:val="FF0000"/>
        </w:rPr>
        <w:t>(</w:t>
      </w:r>
      <w:r>
        <w:rPr>
          <w:color w:val="FF0000"/>
        </w:rPr>
        <w:t>Supplementary Fig. 44</w:t>
      </w:r>
      <w:r w:rsidRPr="000171DC">
        <w:rPr>
          <w:color w:val="FF0000"/>
        </w:rPr>
        <w:t>a)</w:t>
      </w:r>
      <w:r>
        <w:t xml:space="preserve">, but PP-P and PPP-P travel times support a thick LVZ </w:t>
      </w:r>
      <w:r w:rsidRPr="00B15915">
        <w:rPr>
          <w:color w:val="FF0000"/>
        </w:rPr>
        <w:t>(</w:t>
      </w:r>
      <w:r>
        <w:rPr>
          <w:color w:val="FF0000"/>
        </w:rPr>
        <w:t>Supplementary Fig. 44</w:t>
      </w:r>
      <w:r w:rsidRPr="00B15915">
        <w:rPr>
          <w:color w:val="FF0000"/>
        </w:rPr>
        <w:t>b–c)</w:t>
      </w:r>
      <w:r>
        <w:t>. This inconsistency may be due to varying sampling regions of these phases or uncertainty in S1222a’s location</w:t>
      </w:r>
      <w:r w:rsidRPr="00D27662">
        <w:rPr>
          <w:rFonts w:cs="Times New Roman"/>
          <w:noProof/>
          <w:vertAlign w:val="superscript"/>
        </w:rPr>
        <w:t>2,54,70</w:t>
      </w:r>
      <w:r>
        <w:rPr>
          <w:rFonts w:cs="Times New Roman"/>
        </w:rPr>
        <w:t>.</w:t>
      </w:r>
    </w:p>
    <w:p w14:paraId="13F962B5" w14:textId="77777777" w:rsidR="007F6E00" w:rsidRPr="00731FB0" w:rsidRDefault="007F6E00" w:rsidP="00A470C8">
      <w:pPr>
        <w:ind w:firstLineChars="200" w:firstLine="480"/>
        <w:rPr>
          <w:rFonts w:cs="Times New Roman"/>
        </w:rPr>
      </w:pPr>
      <w:r>
        <w:rPr>
          <w:rFonts w:cs="Times New Roman" w:hint="eastAsia"/>
        </w:rPr>
        <w:lastRenderedPageBreak/>
        <w:t>C</w:t>
      </w:r>
      <w:r>
        <w:rPr>
          <w:rFonts w:cs="Times New Roman"/>
        </w:rPr>
        <w:t>ompared to events from the northern lowlands and southern highlands, Elysium Planitia events display a wide range of body wave differential travel times</w:t>
      </w:r>
      <w:r w:rsidRPr="00B13E78">
        <w:rPr>
          <w:rFonts w:cs="Times New Roman"/>
        </w:rPr>
        <w:t xml:space="preserve"> </w:t>
      </w:r>
      <w:r>
        <w:rPr>
          <w:rFonts w:cs="Times New Roman"/>
        </w:rPr>
        <w:t xml:space="preserve">up to 20–30 s, despite similar epicentral distances of ~30° </w:t>
      </w:r>
      <w:r w:rsidRPr="00B32443">
        <w:rPr>
          <w:rFonts w:cs="Times New Roman"/>
          <w:color w:val="FF0000"/>
        </w:rPr>
        <w:t>(</w:t>
      </w:r>
      <w:r>
        <w:rPr>
          <w:rFonts w:cs="Times New Roman"/>
          <w:color w:val="FF0000"/>
        </w:rPr>
        <w:t>Supplementary Fig. 44a</w:t>
      </w:r>
      <w:r w:rsidRPr="00B32443">
        <w:rPr>
          <w:rFonts w:cs="Times New Roman"/>
          <w:color w:val="FF0000"/>
        </w:rPr>
        <w:t>–e)</w:t>
      </w:r>
      <w:r>
        <w:rPr>
          <w:rFonts w:cs="Times New Roman"/>
        </w:rPr>
        <w:t xml:space="preserve">. Within the 60°–120° back azimuth range, no consistent relationship emerges between </w:t>
      </w:r>
      <w:r>
        <w:t>travel time anomalies and back azimuth</w:t>
      </w:r>
      <w:r>
        <w:rPr>
          <w:rFonts w:cs="Times New Roman"/>
        </w:rPr>
        <w:t xml:space="preserve"> across different phase pairs. Most S-P travel times support an LVZ thickness of 0–20 km, except for a few events near ~85° back azimuth suggesting a thicker LVZ </w:t>
      </w:r>
      <w:r w:rsidRPr="00803A79">
        <w:rPr>
          <w:rFonts w:cs="Times New Roman"/>
          <w:color w:val="FF0000"/>
        </w:rPr>
        <w:t>(</w:t>
      </w:r>
      <w:r>
        <w:rPr>
          <w:rFonts w:cs="Times New Roman"/>
          <w:color w:val="FF0000"/>
        </w:rPr>
        <w:t>Supplementary Fig. 44f</w:t>
      </w:r>
      <w:r w:rsidRPr="00803A79">
        <w:rPr>
          <w:rFonts w:cs="Times New Roman"/>
          <w:color w:val="FF0000"/>
        </w:rPr>
        <w:t>)</w:t>
      </w:r>
      <w:r>
        <w:rPr>
          <w:rFonts w:cs="Times New Roman"/>
        </w:rPr>
        <w:t xml:space="preserve">. The SS-S and SSS-S travel times are mostly consistent at ~25 s and ~40 s, respectively; with SSS-S indicating an LVZ thickness of 20–40 km, while SS-S is less diagnostic due to the large variations </w:t>
      </w:r>
      <w:r w:rsidRPr="00341249">
        <w:rPr>
          <w:rFonts w:cs="Times New Roman"/>
          <w:color w:val="000000" w:themeColor="text1"/>
        </w:rPr>
        <w:t>at ~30º</w:t>
      </w:r>
      <w:r>
        <w:rPr>
          <w:rFonts w:cs="Times New Roman"/>
          <w:color w:val="000000" w:themeColor="text1"/>
        </w:rPr>
        <w:t xml:space="preserve"> </w:t>
      </w:r>
      <w:r w:rsidRPr="00803A79">
        <w:rPr>
          <w:rFonts w:cs="Times New Roman"/>
          <w:color w:val="FF0000"/>
        </w:rPr>
        <w:t>(</w:t>
      </w:r>
      <w:r>
        <w:rPr>
          <w:rFonts w:cs="Times New Roman"/>
          <w:color w:val="FF0000"/>
        </w:rPr>
        <w:t>Supplementary Fig. 44i–j</w:t>
      </w:r>
      <w:r w:rsidRPr="00803A79">
        <w:rPr>
          <w:rFonts w:cs="Times New Roman"/>
          <w:color w:val="FF0000"/>
        </w:rPr>
        <w:t>)</w:t>
      </w:r>
      <w:r>
        <w:rPr>
          <w:rFonts w:cs="Times New Roman"/>
          <w:color w:val="000000" w:themeColor="text1"/>
        </w:rPr>
        <w:t>. Lateral variation of crustal thickness</w:t>
      </w:r>
      <w:r w:rsidRPr="00D27662">
        <w:rPr>
          <w:rFonts w:cs="Times New Roman"/>
          <w:noProof/>
          <w:color w:val="000000" w:themeColor="text1"/>
          <w:vertAlign w:val="superscript"/>
        </w:rPr>
        <w:t>61</w:t>
      </w:r>
      <w:r>
        <w:rPr>
          <w:rFonts w:cs="Times New Roman"/>
          <w:color w:val="000000" w:themeColor="text1"/>
        </w:rPr>
        <w:t xml:space="preserve"> further complicate interpretation.</w:t>
      </w:r>
    </w:p>
    <w:p w14:paraId="614C7A6A" w14:textId="77777777" w:rsidR="007F6E00" w:rsidRDefault="007F6E00" w:rsidP="00A470C8">
      <w:pPr>
        <w:ind w:firstLineChars="200" w:firstLine="480"/>
        <w:rPr>
          <w:rFonts w:cs="Times New Roman"/>
        </w:rPr>
      </w:pPr>
      <w:r>
        <w:rPr>
          <w:rFonts w:cs="Times New Roman"/>
        </w:rPr>
        <w:t xml:space="preserve">PP-P travel times for Elysium Planitia events show a distinct back azimuth-dependent pattern, which increase from ~60° to ~80°, and then decrease at larger back azimuths </w:t>
      </w:r>
      <w:r w:rsidRPr="00803A79">
        <w:rPr>
          <w:rFonts w:cs="Times New Roman"/>
          <w:color w:val="FF0000"/>
        </w:rPr>
        <w:t>(</w:t>
      </w:r>
      <w:r>
        <w:rPr>
          <w:rFonts w:cs="Times New Roman"/>
          <w:color w:val="FF0000"/>
        </w:rPr>
        <w:t>Supplementary Fig. 44g</w:t>
      </w:r>
      <w:r w:rsidRPr="00803A79">
        <w:rPr>
          <w:rFonts w:cs="Times New Roman"/>
          <w:color w:val="FF0000"/>
        </w:rPr>
        <w:t>)</w:t>
      </w:r>
      <w:r>
        <w:rPr>
          <w:rFonts w:cs="Times New Roman"/>
        </w:rPr>
        <w:t xml:space="preserve">. This suggests a thicker LVZ at ~80° back azimuth, which coincides with the center of the CF and the Elysium plume head. In contrast, most PPP-P travel times do not favor the presence of an LVZ at 80 km depth </w:t>
      </w:r>
      <w:r w:rsidRPr="00333B5D">
        <w:rPr>
          <w:rFonts w:cs="Times New Roman"/>
          <w:color w:val="FF0000"/>
        </w:rPr>
        <w:t>(</w:t>
      </w:r>
      <w:r>
        <w:rPr>
          <w:rFonts w:cs="Times New Roman"/>
          <w:color w:val="FF0000"/>
        </w:rPr>
        <w:t>Supplementary Fig. 44</w:t>
      </w:r>
      <w:r w:rsidRPr="00333B5D">
        <w:rPr>
          <w:rFonts w:cs="Times New Roman"/>
          <w:color w:val="FF0000"/>
        </w:rPr>
        <w:t>h)</w:t>
      </w:r>
      <w:r>
        <w:rPr>
          <w:rFonts w:cs="Times New Roman"/>
        </w:rPr>
        <w:t xml:space="preserve">. These complex differential travel time patterns among different phase pairs likely reflect differences in their sampling regions and 3D structures. In a simplified 1D model with an LVZ at 80 km depth, PPP and SSS at ~30° do not sample the LVZ, whereas P, S, and PP do, and SS may graze its top </w:t>
      </w:r>
      <w:r w:rsidRPr="00803A79">
        <w:rPr>
          <w:rFonts w:cs="Times New Roman"/>
          <w:color w:val="FF0000"/>
        </w:rPr>
        <w:t>(</w:t>
      </w:r>
      <w:r>
        <w:rPr>
          <w:rFonts w:cs="Times New Roman"/>
          <w:color w:val="FF0000"/>
        </w:rPr>
        <w:t>Supplementary Fig. 38</w:t>
      </w:r>
      <w:r w:rsidRPr="00803A79">
        <w:rPr>
          <w:rFonts w:cs="Times New Roman"/>
          <w:color w:val="FF0000"/>
        </w:rPr>
        <w:t>)</w:t>
      </w:r>
      <w:r>
        <w:rPr>
          <w:rFonts w:cs="Times New Roman"/>
        </w:rPr>
        <w:t>. Thus, if the LVZ is shallower and is sampled by PPP, the PPP-</w:t>
      </w:r>
      <w:r>
        <w:rPr>
          <w:rFonts w:cs="Times New Roman"/>
        </w:rPr>
        <w:lastRenderedPageBreak/>
        <w:t xml:space="preserve">P travel times could show significant delays, as observed in </w:t>
      </w:r>
      <w:r>
        <w:rPr>
          <w:rFonts w:cs="Times New Roman"/>
          <w:color w:val="FF0000"/>
        </w:rPr>
        <w:t>Supplementary Fig. 44</w:t>
      </w:r>
      <w:r w:rsidRPr="00333B5D">
        <w:rPr>
          <w:rFonts w:cs="Times New Roman"/>
          <w:color w:val="FF0000"/>
        </w:rPr>
        <w:t>h</w:t>
      </w:r>
      <w:r>
        <w:rPr>
          <w:rFonts w:cs="Times New Roman"/>
        </w:rPr>
        <w:t>. Overall, within the 60°–120° back azimuth range, the complex differential travel time patterns among different phases suggest complicated and laterally varied upper mantle LVZ structures beneath Elysium Planitia.</w:t>
      </w:r>
    </w:p>
    <w:p w14:paraId="4E012B58" w14:textId="77777777" w:rsidR="007F6E00" w:rsidRDefault="007F6E00" w:rsidP="00A470C8">
      <w:pPr>
        <w:ind w:firstLineChars="200" w:firstLine="480"/>
        <w:rPr>
          <w:rFonts w:cs="Times New Roman"/>
        </w:rPr>
      </w:pPr>
    </w:p>
    <w:p w14:paraId="1DE8ABF5" w14:textId="77777777" w:rsidR="007F6E00" w:rsidRDefault="007F6E00">
      <w:pPr>
        <w:widowControl/>
        <w:spacing w:line="240" w:lineRule="auto"/>
        <w:jc w:val="left"/>
        <w:rPr>
          <w:rFonts w:cs="Times New Roman"/>
        </w:rPr>
      </w:pPr>
    </w:p>
    <w:p w14:paraId="02199972" w14:textId="77777777" w:rsidR="007F6E00" w:rsidRDefault="007F6E00" w:rsidP="00103EE1">
      <w:pPr>
        <w:tabs>
          <w:tab w:val="center" w:pos="4080"/>
          <w:tab w:val="right" w:pos="8160"/>
        </w:tabs>
        <w:spacing w:line="240" w:lineRule="auto"/>
        <w:rPr>
          <w:rFonts w:cs="Times New Roman"/>
        </w:rPr>
      </w:pPr>
      <w:r>
        <w:rPr>
          <w:rFonts w:cs="Times New Roman" w:hint="eastAsia"/>
          <w:noProof/>
        </w:rPr>
        <w:drawing>
          <wp:inline distT="0" distB="0" distL="0" distR="0" wp14:anchorId="5E8971A5" wp14:editId="59D9B430">
            <wp:extent cx="5274310" cy="2928620"/>
            <wp:effectExtent l="0" t="0" r="0" b="508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74310" cy="2928620"/>
                    </a:xfrm>
                    <a:prstGeom prst="rect">
                      <a:avLst/>
                    </a:prstGeom>
                  </pic:spPr>
                </pic:pic>
              </a:graphicData>
            </a:graphic>
          </wp:inline>
        </w:drawing>
      </w:r>
    </w:p>
    <w:p w14:paraId="2B2049D0" w14:textId="77777777" w:rsidR="007F6E00" w:rsidRDefault="007F6E00" w:rsidP="00103EE1">
      <w:pPr>
        <w:tabs>
          <w:tab w:val="center" w:pos="4080"/>
          <w:tab w:val="right" w:pos="8160"/>
        </w:tabs>
        <w:spacing w:line="240" w:lineRule="auto"/>
        <w:rPr>
          <w:rFonts w:cs="Times New Roman"/>
        </w:rPr>
      </w:pPr>
      <w:r>
        <w:rPr>
          <w:rFonts w:cs="Times New Roman"/>
          <w:b/>
          <w:bCs/>
        </w:rPr>
        <w:t>Supplementary Fig. 43</w:t>
      </w:r>
      <w:r w:rsidRPr="002A465A">
        <w:rPr>
          <w:rFonts w:cs="Times New Roman"/>
          <w:b/>
          <w:bCs/>
        </w:rPr>
        <w:t xml:space="preserve"> | Source locations of all events used in ref.</w:t>
      </w:r>
      <w:r w:rsidRPr="00D27662">
        <w:rPr>
          <w:rFonts w:cs="Times New Roman"/>
          <w:b/>
          <w:bCs/>
          <w:noProof/>
          <w:vertAlign w:val="superscript"/>
        </w:rPr>
        <w:t xml:space="preserve"> 61</w:t>
      </w:r>
      <w:r w:rsidRPr="002A465A">
        <w:rPr>
          <w:rFonts w:cs="Times New Roman"/>
          <w:b/>
          <w:bCs/>
        </w:rPr>
        <w:t>.</w:t>
      </w:r>
      <w:r>
        <w:rPr>
          <w:rFonts w:cs="Times New Roman"/>
        </w:rPr>
        <w:t xml:space="preserve"> Events are divided into three groups according to their back azimuths. Red dots denote the Southern highlands events with back azimuths of 120°–300°. Blue dots denote the Northern lowlands events with back azimuths of -60°–60°. Orange dots denote the Elysium Planitia events with back azimuths of 60°–120°. Note that several distant events are also categorized as Elysium Planitia events while they are not included in the following analyses. White triangle denotes the InSight landing site. Yellow dashed line denotes the Martian dichotomy boundary. Red dashed circle denotes the position of the plume head beneath Elysium Planitia proposed in ref.</w:t>
      </w:r>
      <w:r w:rsidRPr="002A465A">
        <w:rPr>
          <w:rFonts w:cs="Times New Roman"/>
          <w:noProof/>
          <w:vertAlign w:val="superscript"/>
        </w:rPr>
        <w:t xml:space="preserve"> 11</w:t>
      </w:r>
      <w:r>
        <w:rPr>
          <w:rFonts w:cs="Times New Roman"/>
        </w:rPr>
        <w:t>.</w:t>
      </w:r>
    </w:p>
    <w:p w14:paraId="10BC682A" w14:textId="77777777" w:rsidR="007F6E00" w:rsidRDefault="007F6E00">
      <w:pPr>
        <w:widowControl/>
        <w:spacing w:line="240" w:lineRule="auto"/>
        <w:jc w:val="left"/>
        <w:rPr>
          <w:rFonts w:cs="Times New Roman"/>
        </w:rPr>
      </w:pPr>
      <w:r>
        <w:rPr>
          <w:rFonts w:cs="Times New Roman"/>
        </w:rPr>
        <w:br w:type="page"/>
      </w:r>
    </w:p>
    <w:p w14:paraId="26F4D532" w14:textId="77777777" w:rsidR="007F6E00" w:rsidRDefault="007F6E00" w:rsidP="00103EE1">
      <w:pPr>
        <w:tabs>
          <w:tab w:val="center" w:pos="4080"/>
          <w:tab w:val="right" w:pos="8160"/>
        </w:tabs>
        <w:spacing w:line="240" w:lineRule="auto"/>
        <w:jc w:val="center"/>
        <w:rPr>
          <w:rFonts w:cs="Times New Roman"/>
        </w:rPr>
      </w:pPr>
      <w:r>
        <w:rPr>
          <w:rFonts w:cs="Times New Roman" w:hint="eastAsia"/>
          <w:noProof/>
        </w:rPr>
        <w:lastRenderedPageBreak/>
        <w:drawing>
          <wp:inline distT="0" distB="0" distL="0" distR="0" wp14:anchorId="0FE268D6" wp14:editId="7BDC9395">
            <wp:extent cx="4320000" cy="7447025"/>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320000" cy="7447025"/>
                    </a:xfrm>
                    <a:prstGeom prst="rect">
                      <a:avLst/>
                    </a:prstGeom>
                  </pic:spPr>
                </pic:pic>
              </a:graphicData>
            </a:graphic>
          </wp:inline>
        </w:drawing>
      </w:r>
    </w:p>
    <w:p w14:paraId="19A3B303" w14:textId="77777777" w:rsidR="007F6E00" w:rsidRDefault="007F6E00" w:rsidP="00103EE1">
      <w:pPr>
        <w:tabs>
          <w:tab w:val="center" w:pos="4080"/>
          <w:tab w:val="right" w:pos="8160"/>
        </w:tabs>
        <w:spacing w:line="240" w:lineRule="auto"/>
        <w:rPr>
          <w:rFonts w:cs="Times New Roman"/>
        </w:rPr>
      </w:pPr>
      <w:r>
        <w:rPr>
          <w:rFonts w:cs="Times New Roman" w:hint="eastAsia"/>
          <w:b/>
          <w:bCs/>
        </w:rPr>
        <w:t>Supplementary Fig. 4</w:t>
      </w:r>
      <w:r>
        <w:rPr>
          <w:rFonts w:cs="Times New Roman"/>
          <w:b/>
          <w:bCs/>
        </w:rPr>
        <w:t>4</w:t>
      </w:r>
      <w:r w:rsidRPr="0035585F">
        <w:rPr>
          <w:rFonts w:cs="Times New Roman"/>
          <w:b/>
          <w:bCs/>
        </w:rPr>
        <w:t xml:space="preserve"> | Observed and synthetic differential travel times of five phase pairs that are sensitive to the LVZ thickness.</w:t>
      </w:r>
      <w:r>
        <w:rPr>
          <w:rFonts w:cs="Times New Roman"/>
        </w:rPr>
        <w:t xml:space="preserve"> (a–e) Variations of differential travel times with epicentral distance. Dots with </w:t>
      </w:r>
      <w:proofErr w:type="spellStart"/>
      <w:r>
        <w:rPr>
          <w:rFonts w:cs="Times New Roman"/>
        </w:rPr>
        <w:t>errorbars</w:t>
      </w:r>
      <w:proofErr w:type="spellEnd"/>
      <w:r>
        <w:rPr>
          <w:rFonts w:cs="Times New Roman"/>
        </w:rPr>
        <w:t xml:space="preserve"> denote the observations in ref.</w:t>
      </w:r>
      <w:r w:rsidRPr="00D27662">
        <w:rPr>
          <w:rFonts w:cs="Times New Roman"/>
          <w:noProof/>
          <w:vertAlign w:val="superscript"/>
        </w:rPr>
        <w:t xml:space="preserve"> 61</w:t>
      </w:r>
      <w:r>
        <w:rPr>
          <w:rFonts w:cs="Times New Roman"/>
        </w:rPr>
        <w:t xml:space="preserve">, where the colors stand for different back azimuth ranges. Solid black lines denote the </w:t>
      </w:r>
      <w:proofErr w:type="spellStart"/>
      <w:r>
        <w:rPr>
          <w:rFonts w:cs="Times New Roman"/>
        </w:rPr>
        <w:t>taup</w:t>
      </w:r>
      <w:proofErr w:type="spellEnd"/>
      <w:r>
        <w:rPr>
          <w:rFonts w:cs="Times New Roman"/>
        </w:rPr>
        <w:t xml:space="preserve"> calculated differential travel times with models containing the LVZ. Line thickness corresponds to the thickness of LVZ. Dashed black lines denote those </w:t>
      </w:r>
      <w:r>
        <w:rPr>
          <w:rFonts w:cs="Times New Roman"/>
        </w:rPr>
        <w:lastRenderedPageBreak/>
        <w:t>calculated with the mean 1D model in ref.</w:t>
      </w:r>
      <w:r w:rsidRPr="00D27662">
        <w:rPr>
          <w:rFonts w:cs="Times New Roman"/>
          <w:noProof/>
          <w:vertAlign w:val="superscript"/>
        </w:rPr>
        <w:t xml:space="preserve"> 61</w:t>
      </w:r>
      <w:r>
        <w:rPr>
          <w:rFonts w:cs="Times New Roman"/>
        </w:rPr>
        <w:t xml:space="preserve"> that without the LVZ. (f–j) Variations of differential travel times with back azimuth of the Elysium Planitia events. Dots denote the observations. Solid and dashed lines denote the </w:t>
      </w:r>
      <w:proofErr w:type="spellStart"/>
      <w:r>
        <w:rPr>
          <w:rFonts w:cs="Times New Roman"/>
        </w:rPr>
        <w:t>taup</w:t>
      </w:r>
      <w:proofErr w:type="spellEnd"/>
      <w:r>
        <w:rPr>
          <w:rFonts w:cs="Times New Roman"/>
        </w:rPr>
        <w:t xml:space="preserve"> calculated results at 30° distance with different LVZ model settings. Note that the observed PP-P travel times indicate an increase of LVZ thickness as back azimuth varying from 60° to 80°, and a decrease of LVZ thickness as the further increase of back azimuth (red dashed line in g). At 30° distance, SS wave turns off at the top of the LVZ, and SS-S travel times vary significantly, making it unable to constrain the LVZ thickness.</w:t>
      </w:r>
    </w:p>
    <w:p w14:paraId="38173762" w14:textId="77777777" w:rsidR="007F6E00" w:rsidRDefault="007F6E00">
      <w:pPr>
        <w:widowControl/>
        <w:spacing w:line="240" w:lineRule="auto"/>
        <w:jc w:val="left"/>
        <w:rPr>
          <w:rFonts w:cs="Times New Roman"/>
        </w:rPr>
      </w:pPr>
      <w:r>
        <w:rPr>
          <w:rFonts w:cs="Times New Roman"/>
        </w:rPr>
        <w:br w:type="page"/>
      </w:r>
    </w:p>
    <w:p w14:paraId="6DB47467" w14:textId="77777777" w:rsidR="007F6E00" w:rsidRDefault="007F6E00" w:rsidP="00FB3CAF">
      <w:pPr>
        <w:pStyle w:val="2"/>
      </w:pPr>
      <w:bookmarkStart w:id="46" w:name="_Toc202208134"/>
      <w:r>
        <w:lastRenderedPageBreak/>
        <w:t>6.3. Effects of LVZ thickness on Rayleigh wave group velocities</w:t>
      </w:r>
      <w:bookmarkEnd w:id="46"/>
    </w:p>
    <w:p w14:paraId="3EE29066" w14:textId="77777777" w:rsidR="007F6E00" w:rsidRDefault="007F6E00" w:rsidP="00D94625">
      <w:pPr>
        <w:ind w:firstLine="480"/>
      </w:pPr>
      <w:r>
        <w:t>If the upper mantle LVZ is a large-scale feature, Rayleigh wave group velocity may offer greater sensitivity to its thickness and velocity reduction than body wave travel times. Most of Rayleigh wave group velocity measurements focus on periods below 50 s due to low signal-to-noise ratios at lower frequencies</w:t>
      </w:r>
      <w:r w:rsidRPr="00D27662">
        <w:rPr>
          <w:noProof/>
          <w:vertAlign w:val="superscript"/>
        </w:rPr>
        <w:t>17,30,44,71-73</w:t>
      </w:r>
      <w:r>
        <w:t>, primarily resolving crustal structures. However, two long period results provide dominant sensitivity to upper mantle depths</w:t>
      </w:r>
      <w:r w:rsidRPr="00D27662">
        <w:rPr>
          <w:noProof/>
          <w:vertAlign w:val="superscript"/>
        </w:rPr>
        <w:t>74,75</w:t>
      </w:r>
      <w:r>
        <w:t xml:space="preserve">. Specifically, the average group velocity measured from R2–R7 of S1222a at periods of 70–100 s is ~3.8 km/s, suggesting a high uppermost mantle </w:t>
      </w:r>
      <w:r w:rsidRPr="00D94625">
        <w:rPr>
          <w:i/>
          <w:iCs/>
        </w:rPr>
        <w:t>Vs</w:t>
      </w:r>
      <w:r>
        <w:t xml:space="preserve"> of ~4.41 km/s</w:t>
      </w:r>
      <w:r w:rsidRPr="00D27662">
        <w:rPr>
          <w:noProof/>
          <w:vertAlign w:val="superscript"/>
        </w:rPr>
        <w:t>74</w:t>
      </w:r>
      <w:r>
        <w:t>. In contrast, autocorrelation R2 wave yield lower group velocities, ~ 3.58 km/s</w:t>
      </w:r>
      <w:r w:rsidRPr="00D27662">
        <w:rPr>
          <w:noProof/>
          <w:vertAlign w:val="superscript"/>
        </w:rPr>
        <w:t>75</w:t>
      </w:r>
      <w:r>
        <w:t xml:space="preserve">, at 100–200 s. This discrepancy likely reflects different sampling regions: the R2–R7 of S1222a at 70–100 s </w:t>
      </w:r>
      <w:proofErr w:type="gramStart"/>
      <w:r>
        <w:t>reflect</w:t>
      </w:r>
      <w:proofErr w:type="gramEnd"/>
      <w:r>
        <w:t xml:space="preserve"> the crustal and uppermost mantle structures along the great circle path between the S1222a source and the InSight lander, while the autocorrelation R2 waves at 100–200 s provide a global average and are more sensitive to deeper upper mantle regions.</w:t>
      </w:r>
    </w:p>
    <w:p w14:paraId="14CA71FF" w14:textId="77777777" w:rsidR="007F6E00" w:rsidRPr="00E41335" w:rsidRDefault="007F6E00" w:rsidP="00E41335">
      <w:pPr>
        <w:ind w:firstLine="480"/>
      </w:pPr>
      <w:r w:rsidRPr="00E41335">
        <w:t xml:space="preserve">To further investigate these variations, we compute Rayleigh wave group velocities </w:t>
      </w:r>
      <w:r>
        <w:t>(</w:t>
      </w:r>
      <w:r w:rsidRPr="00E41335">
        <w:t>20–200 s</w:t>
      </w:r>
      <w:r>
        <w:t>)</w:t>
      </w:r>
      <w:r w:rsidRPr="00E41335">
        <w:t xml:space="preserve"> </w:t>
      </w:r>
      <w:r>
        <w:t xml:space="preserve">using </w:t>
      </w:r>
      <w:r w:rsidRPr="00E41335">
        <w:t>the same set of LVZ models used in body wave travel time tests</w:t>
      </w:r>
      <w:r>
        <w:t>, with</w:t>
      </w:r>
      <w:r w:rsidRPr="00E41335">
        <w:t xml:space="preserve"> the mode summation code Mineos</w:t>
      </w:r>
      <w:r w:rsidRPr="00D27662">
        <w:rPr>
          <w:noProof/>
          <w:vertAlign w:val="superscript"/>
        </w:rPr>
        <w:t>76</w:t>
      </w:r>
      <w:r>
        <w:t xml:space="preserve">. </w:t>
      </w:r>
      <w:r w:rsidRPr="00E41335">
        <w:t xml:space="preserve">The reference model without an LVZ produces a dispersion curve that closely matches the observed values from S1222a, while the synthetic group velocities at 100–200 s are higher than those derived from autocorrelation R2 waves </w:t>
      </w:r>
      <w:r w:rsidRPr="00D94625">
        <w:rPr>
          <w:color w:val="FF0000"/>
        </w:rPr>
        <w:t>(</w:t>
      </w:r>
      <w:r>
        <w:rPr>
          <w:color w:val="FF0000"/>
        </w:rPr>
        <w:t>Extended Data</w:t>
      </w:r>
      <w:r w:rsidRPr="00D94625">
        <w:rPr>
          <w:color w:val="FF0000"/>
        </w:rPr>
        <w:t xml:space="preserve"> Fig. </w:t>
      </w:r>
      <w:r>
        <w:rPr>
          <w:color w:val="FF0000"/>
        </w:rPr>
        <w:t>4g–</w:t>
      </w:r>
      <w:proofErr w:type="spellStart"/>
      <w:r>
        <w:rPr>
          <w:color w:val="FF0000"/>
        </w:rPr>
        <w:t>i</w:t>
      </w:r>
      <w:proofErr w:type="spellEnd"/>
      <w:r w:rsidRPr="00D94625">
        <w:rPr>
          <w:color w:val="FF0000"/>
        </w:rPr>
        <w:t>)</w:t>
      </w:r>
      <w:r>
        <w:t xml:space="preserve">. </w:t>
      </w:r>
      <w:r w:rsidRPr="00E41335">
        <w:t>LVZ models with modest velocity reductions</w:t>
      </w:r>
      <w:r>
        <w:t xml:space="preserve"> generate</w:t>
      </w:r>
      <w:r w:rsidRPr="00E41335">
        <w:t xml:space="preserve"> synthetic dispersion curves between the two observations</w:t>
      </w:r>
      <w:r>
        <w:t xml:space="preserve"> and show </w:t>
      </w:r>
      <w:r>
        <w:lastRenderedPageBreak/>
        <w:t>lower</w:t>
      </w:r>
      <w:r w:rsidRPr="00E41335">
        <w:t xml:space="preserve"> group velocities at periods exceeding 70 s as the LVZ thickness increases</w:t>
      </w:r>
      <w:r>
        <w:t xml:space="preserve"> </w:t>
      </w:r>
      <w:r w:rsidRPr="00D94625">
        <w:rPr>
          <w:color w:val="FF0000"/>
        </w:rPr>
        <w:t>(</w:t>
      </w:r>
      <w:r>
        <w:rPr>
          <w:color w:val="FF0000"/>
        </w:rPr>
        <w:t>Extended Data</w:t>
      </w:r>
      <w:r w:rsidRPr="00D94625">
        <w:rPr>
          <w:color w:val="FF0000"/>
        </w:rPr>
        <w:t xml:space="preserve"> Fig. </w:t>
      </w:r>
      <w:r>
        <w:rPr>
          <w:color w:val="FF0000"/>
        </w:rPr>
        <w:t>4g</w:t>
      </w:r>
      <w:r w:rsidRPr="00D94625">
        <w:rPr>
          <w:color w:val="FF0000"/>
        </w:rPr>
        <w:t>)</w:t>
      </w:r>
      <w:r>
        <w:t>. F</w:t>
      </w:r>
      <w:r w:rsidRPr="00E41335">
        <w:t xml:space="preserve">or models with </w:t>
      </w:r>
      <w:r>
        <w:t xml:space="preserve">stronger </w:t>
      </w:r>
      <w:r w:rsidRPr="00E41335">
        <w:t>velocity reductions</w:t>
      </w:r>
      <w:r>
        <w:t xml:space="preserve">, the drop </w:t>
      </w:r>
      <w:r w:rsidRPr="00E41335">
        <w:t>in group velocity becomes more pronounced</w:t>
      </w:r>
      <w:r>
        <w:t xml:space="preserve"> </w:t>
      </w:r>
      <w:r w:rsidRPr="00D94625">
        <w:rPr>
          <w:color w:val="FF0000"/>
        </w:rPr>
        <w:t>(</w:t>
      </w:r>
      <w:r>
        <w:rPr>
          <w:color w:val="FF0000"/>
        </w:rPr>
        <w:t>Extended Data</w:t>
      </w:r>
      <w:r w:rsidRPr="00D94625">
        <w:rPr>
          <w:color w:val="FF0000"/>
        </w:rPr>
        <w:t xml:space="preserve"> Fig. </w:t>
      </w:r>
      <w:r>
        <w:rPr>
          <w:color w:val="FF0000"/>
        </w:rPr>
        <w:t>4h–</w:t>
      </w:r>
      <w:proofErr w:type="spellStart"/>
      <w:r>
        <w:rPr>
          <w:color w:val="FF0000"/>
        </w:rPr>
        <w:t>i</w:t>
      </w:r>
      <w:proofErr w:type="spellEnd"/>
      <w:r w:rsidRPr="00D94625">
        <w:rPr>
          <w:color w:val="FF0000"/>
        </w:rPr>
        <w:t>)</w:t>
      </w:r>
      <w:r>
        <w:t xml:space="preserve">. </w:t>
      </w:r>
      <w:r w:rsidRPr="00E41335">
        <w:t xml:space="preserve">For </w:t>
      </w:r>
      <w:r>
        <w:t>example</w:t>
      </w:r>
      <w:r w:rsidRPr="00E41335">
        <w:t>, an LVZ thicker than 40–60 km with</w:t>
      </w:r>
      <w:r>
        <w:t xml:space="preserve"> a</w:t>
      </w:r>
      <w:r w:rsidRPr="00E41335">
        <w:t xml:space="preserve"> </w:t>
      </w:r>
      <w:r w:rsidRPr="00DD08E6">
        <w:rPr>
          <w:rFonts w:cs="Times New Roman"/>
          <w:i/>
          <w:iCs/>
          <w:color w:val="000000" w:themeColor="text1"/>
          <w:lang w:val="el-GR"/>
        </w:rPr>
        <w:t>δ</w:t>
      </w:r>
      <w:r w:rsidRPr="00DD08E6">
        <w:rPr>
          <w:rFonts w:cs="Times New Roman"/>
          <w:i/>
          <w:iCs/>
          <w:color w:val="000000" w:themeColor="text1"/>
        </w:rPr>
        <w:t>Vs</w:t>
      </w:r>
      <w:r w:rsidRPr="00E41335">
        <w:t xml:space="preserve"> </w:t>
      </w:r>
      <w:r>
        <w:t>= -</w:t>
      </w:r>
      <w:r w:rsidRPr="00E41335">
        <w:t>25%</w:t>
      </w:r>
      <w:r>
        <w:rPr>
          <w:rFonts w:cs="Times New Roman"/>
          <w:color w:val="000000" w:themeColor="text1"/>
        </w:rPr>
        <w:t xml:space="preserve"> or thicker than 20–40 km with a </w:t>
      </w:r>
      <w:r w:rsidRPr="00DD08E6">
        <w:rPr>
          <w:rFonts w:cs="Times New Roman"/>
          <w:i/>
          <w:iCs/>
          <w:color w:val="000000" w:themeColor="text1"/>
          <w:lang w:val="el-GR"/>
        </w:rPr>
        <w:t>δ</w:t>
      </w:r>
      <w:r w:rsidRPr="00DD08E6">
        <w:rPr>
          <w:rFonts w:cs="Times New Roman"/>
          <w:i/>
          <w:iCs/>
          <w:color w:val="000000" w:themeColor="text1"/>
        </w:rPr>
        <w:t>Vs</w:t>
      </w:r>
      <w:r w:rsidRPr="00E41335">
        <w:t xml:space="preserve"> </w:t>
      </w:r>
      <w:r>
        <w:t>= -</w:t>
      </w:r>
      <w:r>
        <w:rPr>
          <w:rFonts w:cs="Times New Roman"/>
          <w:color w:val="000000" w:themeColor="text1"/>
        </w:rPr>
        <w:t xml:space="preserve">40% would result in group velocities below 3.5 km/s, too low to fit either observation. Therefore, these results suggest that </w:t>
      </w:r>
      <w:r w:rsidRPr="00E41335">
        <w:rPr>
          <w:rFonts w:cs="Times New Roman"/>
          <w:color w:val="000000" w:themeColor="text1"/>
        </w:rPr>
        <w:t xml:space="preserve">if the LVZ is a large-scale feature, its thickness </w:t>
      </w:r>
      <w:r>
        <w:rPr>
          <w:rFonts w:cs="Times New Roman"/>
          <w:color w:val="000000" w:themeColor="text1"/>
        </w:rPr>
        <w:t>likely does not</w:t>
      </w:r>
      <w:r w:rsidRPr="00E41335">
        <w:rPr>
          <w:rFonts w:cs="Times New Roman"/>
          <w:color w:val="000000" w:themeColor="text1"/>
        </w:rPr>
        <w:t xml:space="preserve"> exceed 40 km.</w:t>
      </w:r>
    </w:p>
    <w:p w14:paraId="35840E6B" w14:textId="77777777" w:rsidR="007F6E00" w:rsidRPr="00325C25" w:rsidRDefault="007F6E00" w:rsidP="00992E94"/>
    <w:p w14:paraId="2629DCFD" w14:textId="77777777" w:rsidR="007F6E00" w:rsidRPr="00992E94" w:rsidRDefault="007F6E00" w:rsidP="00992E94">
      <w:pPr>
        <w:pStyle w:val="2"/>
      </w:pPr>
      <w:bookmarkStart w:id="47" w:name="_Toc202208135"/>
      <w:r>
        <w:t>6.4. Effects of LVZ thickness on RFs and SS precursors</w:t>
      </w:r>
      <w:bookmarkEnd w:id="47"/>
    </w:p>
    <w:p w14:paraId="2F0F9FA4" w14:textId="77777777" w:rsidR="007F6E00" w:rsidRDefault="007F6E00" w:rsidP="002A1B8F">
      <w:pPr>
        <w:ind w:firstLineChars="200" w:firstLine="480"/>
        <w:rPr>
          <w:rFonts w:cs="Times New Roman"/>
        </w:rPr>
      </w:pPr>
      <w:r>
        <w:rPr>
          <w:rFonts w:cs="Times New Roman" w:hint="eastAsia"/>
        </w:rPr>
        <w:t>T</w:t>
      </w:r>
      <w:r>
        <w:rPr>
          <w:rFonts w:cs="Times New Roman"/>
        </w:rPr>
        <w:t>o examine how localized LVZ thickness affects the waveforms of RFs, we model the LVZ as a constant velocity layer overlying a gradient bottom boundary, where velocities increase linearly to align with the mean model from ref.</w:t>
      </w:r>
      <w:r w:rsidRPr="00D27662">
        <w:rPr>
          <w:rFonts w:cs="Times New Roman"/>
          <w:noProof/>
          <w:vertAlign w:val="superscript"/>
        </w:rPr>
        <w:t xml:space="preserve"> 61</w:t>
      </w:r>
      <w:r>
        <w:rPr>
          <w:rFonts w:cs="Times New Roman"/>
        </w:rPr>
        <w:t>. Beneath InSight, the best fitting model in RF inversion is used as the velocity structure above LVZ. A</w:t>
      </w:r>
      <w:r w:rsidRPr="00894D56">
        <w:rPr>
          <w:rFonts w:cs="Times New Roman"/>
        </w:rPr>
        <w:t xml:space="preserve"> grid search </w:t>
      </w:r>
      <w:r>
        <w:rPr>
          <w:rFonts w:cs="Times New Roman"/>
        </w:rPr>
        <w:t>over</w:t>
      </w:r>
      <w:r w:rsidRPr="00894D56">
        <w:rPr>
          <w:rFonts w:cs="Times New Roman"/>
        </w:rPr>
        <w:t xml:space="preserve"> the thicknesses of the constant velocity layer (H1) and </w:t>
      </w:r>
      <w:r>
        <w:rPr>
          <w:rFonts w:cs="Times New Roman"/>
        </w:rPr>
        <w:t xml:space="preserve">the thickness of </w:t>
      </w:r>
      <w:r w:rsidRPr="00894D56">
        <w:rPr>
          <w:rFonts w:cs="Times New Roman"/>
        </w:rPr>
        <w:t>the gradient bottom boundary (H2)</w:t>
      </w:r>
      <w:r>
        <w:rPr>
          <w:rFonts w:cs="Times New Roman"/>
        </w:rPr>
        <w:t xml:space="preserve"> </w:t>
      </w:r>
      <w:r w:rsidRPr="002A1B8F">
        <w:rPr>
          <w:rFonts w:cs="Times New Roman"/>
          <w:color w:val="FF0000"/>
        </w:rPr>
        <w:t>(</w:t>
      </w:r>
      <w:r>
        <w:rPr>
          <w:rFonts w:cs="Times New Roman"/>
          <w:color w:val="FF0000"/>
        </w:rPr>
        <w:t>Supplementary Fig. 45</w:t>
      </w:r>
      <w:r w:rsidRPr="002A1B8F">
        <w:rPr>
          <w:rFonts w:cs="Times New Roman"/>
          <w:color w:val="FF0000"/>
        </w:rPr>
        <w:t>)</w:t>
      </w:r>
      <w:r w:rsidRPr="00F9369D">
        <w:rPr>
          <w:rFonts w:cs="Times New Roman"/>
          <w:color w:val="000000" w:themeColor="text1"/>
        </w:rPr>
        <w:t xml:space="preserve"> is performed </w:t>
      </w:r>
      <w:r>
        <w:rPr>
          <w:rFonts w:cs="Times New Roman"/>
        </w:rPr>
        <w:t xml:space="preserve">and waveform misfits are calculated against the observed RF </w:t>
      </w:r>
      <w:r w:rsidRPr="002A1B8F">
        <w:rPr>
          <w:rFonts w:cs="Times New Roman"/>
          <w:color w:val="FF0000"/>
        </w:rPr>
        <w:t>(</w:t>
      </w:r>
      <w:r>
        <w:rPr>
          <w:rFonts w:cs="Times New Roman"/>
          <w:color w:val="FF0000"/>
        </w:rPr>
        <w:t>Supplementary Fig. 46</w:t>
      </w:r>
      <w:r w:rsidRPr="002A1B8F">
        <w:rPr>
          <w:rFonts w:cs="Times New Roman"/>
          <w:color w:val="FF0000"/>
        </w:rPr>
        <w:t>)</w:t>
      </w:r>
      <w:r>
        <w:rPr>
          <w:rFonts w:cs="Times New Roman"/>
        </w:rPr>
        <w:t xml:space="preserve">. The results show that RF is mainly affected by H2, </w:t>
      </w:r>
      <w:r w:rsidRPr="00894D56">
        <w:rPr>
          <w:rFonts w:cs="Times New Roman"/>
        </w:rPr>
        <w:t xml:space="preserve">with </w:t>
      </w:r>
      <w:r>
        <w:rPr>
          <w:rFonts w:cs="Times New Roman"/>
        </w:rPr>
        <w:t xml:space="preserve">little </w:t>
      </w:r>
      <w:r w:rsidRPr="00894D56">
        <w:rPr>
          <w:rFonts w:cs="Times New Roman"/>
        </w:rPr>
        <w:t>dependence on H1</w:t>
      </w:r>
      <w:r>
        <w:rPr>
          <w:rFonts w:cs="Times New Roman"/>
        </w:rPr>
        <w:t>. Specifically, misfit decreases as H2 increases from 0 to 18 km and remains stable with further increases in H2</w:t>
      </w:r>
      <w:r w:rsidRPr="00894D56">
        <w:rPr>
          <w:rFonts w:cs="Times New Roman"/>
        </w:rPr>
        <w:t>, while variations in H1 show no significant impact.</w:t>
      </w:r>
      <w:r>
        <w:rPr>
          <w:rFonts w:cs="Times New Roman"/>
        </w:rPr>
        <w:t xml:space="preserve"> In particular, </w:t>
      </w:r>
      <w:r w:rsidRPr="00894D56">
        <w:rPr>
          <w:rFonts w:cs="Times New Roman"/>
        </w:rPr>
        <w:t xml:space="preserve">the </w:t>
      </w:r>
      <w:r>
        <w:rPr>
          <w:rFonts w:cs="Times New Roman"/>
        </w:rPr>
        <w:t xml:space="preserve">arrival time of the </w:t>
      </w:r>
      <w:r w:rsidRPr="00894D56">
        <w:rPr>
          <w:rFonts w:cs="Times New Roman"/>
        </w:rPr>
        <w:t>Ps conversion at the bottom boundary of the LVZ</w:t>
      </w:r>
      <w:r>
        <w:rPr>
          <w:rFonts w:cs="Times New Roman"/>
        </w:rPr>
        <w:t xml:space="preserve"> depends on </w:t>
      </w:r>
      <w:r w:rsidRPr="00894D56">
        <w:rPr>
          <w:rFonts w:cs="Times New Roman"/>
        </w:rPr>
        <w:t>LVZ thickness (H1)</w:t>
      </w:r>
      <w:r>
        <w:rPr>
          <w:rFonts w:cs="Times New Roman"/>
        </w:rPr>
        <w:t xml:space="preserve">, while its amplitude is </w:t>
      </w:r>
      <w:r w:rsidRPr="00894D56">
        <w:rPr>
          <w:rFonts w:cs="Times New Roman"/>
        </w:rPr>
        <w:t xml:space="preserve">governed by the sharpness of the bottom </w:t>
      </w:r>
      <w:r w:rsidRPr="00894D56">
        <w:rPr>
          <w:rFonts w:cs="Times New Roman"/>
        </w:rPr>
        <w:lastRenderedPageBreak/>
        <w:t>boundary (H2).</w:t>
      </w:r>
      <w:r>
        <w:rPr>
          <w:rFonts w:cs="Times New Roman"/>
        </w:rPr>
        <w:t xml:space="preserve"> </w:t>
      </w:r>
      <w:r w:rsidRPr="00894D56">
        <w:rPr>
          <w:rFonts w:cs="Times New Roman"/>
        </w:rPr>
        <w:t xml:space="preserve">The absence of a clear signal </w:t>
      </w:r>
      <w:r>
        <w:rPr>
          <w:rFonts w:cs="Times New Roman"/>
        </w:rPr>
        <w:t xml:space="preserve">of the </w:t>
      </w:r>
      <w:r w:rsidRPr="00894D56">
        <w:rPr>
          <w:rFonts w:cs="Times New Roman"/>
        </w:rPr>
        <w:t>Ps conversion at the bottom boundary of the LVZ</w:t>
      </w:r>
      <w:r>
        <w:rPr>
          <w:rFonts w:cs="Times New Roman"/>
        </w:rPr>
        <w:t xml:space="preserve"> </w:t>
      </w:r>
      <w:r w:rsidRPr="00894D56">
        <w:rPr>
          <w:rFonts w:cs="Times New Roman"/>
        </w:rPr>
        <w:t>in observ</w:t>
      </w:r>
      <w:r>
        <w:rPr>
          <w:rFonts w:cs="Times New Roman"/>
        </w:rPr>
        <w:t>ations</w:t>
      </w:r>
      <w:r w:rsidRPr="00894D56">
        <w:rPr>
          <w:rFonts w:cs="Times New Roman"/>
        </w:rPr>
        <w:t xml:space="preserve"> suggests that </w:t>
      </w:r>
      <w:r>
        <w:rPr>
          <w:rFonts w:cs="Times New Roman"/>
        </w:rPr>
        <w:t>a</w:t>
      </w:r>
      <w:r w:rsidRPr="00894D56">
        <w:rPr>
          <w:rFonts w:cs="Times New Roman"/>
        </w:rPr>
        <w:t xml:space="preserve"> weak </w:t>
      </w:r>
      <w:r>
        <w:rPr>
          <w:rFonts w:cs="Times New Roman"/>
        </w:rPr>
        <w:t xml:space="preserve">converted phase </w:t>
      </w:r>
      <w:r w:rsidRPr="00894D56">
        <w:rPr>
          <w:rFonts w:cs="Times New Roman"/>
        </w:rPr>
        <w:t xml:space="preserve">and a gradual velocity increase over </w:t>
      </w:r>
      <w:r>
        <w:rPr>
          <w:rFonts w:cs="Times New Roman"/>
        </w:rPr>
        <w:t xml:space="preserve">a </w:t>
      </w:r>
      <w:r w:rsidRPr="00894D56">
        <w:rPr>
          <w:rFonts w:cs="Times New Roman"/>
        </w:rPr>
        <w:t xml:space="preserve">bottom boundary </w:t>
      </w:r>
      <w:r>
        <w:rPr>
          <w:rFonts w:cs="Times New Roman"/>
        </w:rPr>
        <w:t xml:space="preserve">thicker than </w:t>
      </w:r>
      <w:r w:rsidRPr="00894D56">
        <w:rPr>
          <w:rFonts w:cs="Times New Roman"/>
        </w:rPr>
        <w:t>18</w:t>
      </w:r>
      <w:r>
        <w:rPr>
          <w:rFonts w:cs="Times New Roman"/>
        </w:rPr>
        <w:t xml:space="preserve"> </w:t>
      </w:r>
      <w:r w:rsidRPr="00894D56">
        <w:rPr>
          <w:rFonts w:cs="Times New Roman"/>
        </w:rPr>
        <w:t>km</w:t>
      </w:r>
      <w:r>
        <w:rPr>
          <w:rFonts w:cs="Times New Roman"/>
        </w:rPr>
        <w:t>.</w:t>
      </w:r>
    </w:p>
    <w:p w14:paraId="056C263B" w14:textId="77777777" w:rsidR="007F6E00" w:rsidRDefault="007F6E00" w:rsidP="002A1B8F">
      <w:pPr>
        <w:ind w:firstLineChars="200" w:firstLine="480"/>
        <w:rPr>
          <w:rFonts w:cs="Times New Roman"/>
        </w:rPr>
      </w:pPr>
      <w:r>
        <w:rPr>
          <w:rFonts w:cs="Times New Roman"/>
        </w:rPr>
        <w:t xml:space="preserve">We also perform synthetic tests for the SS precursors of S0976a to investigate the LVZ thickness beneath the southern edge of AP </w:t>
      </w:r>
      <w:r w:rsidRPr="002A1B8F">
        <w:rPr>
          <w:rFonts w:cs="Times New Roman"/>
          <w:color w:val="FF0000"/>
        </w:rPr>
        <w:t>(</w:t>
      </w:r>
      <w:r>
        <w:rPr>
          <w:rFonts w:cs="Times New Roman"/>
          <w:color w:val="FF0000"/>
        </w:rPr>
        <w:t>Supplementary Fig. 47</w:t>
      </w:r>
      <w:r w:rsidRPr="002A1B8F">
        <w:rPr>
          <w:rFonts w:cs="Times New Roman"/>
          <w:color w:val="FF0000"/>
        </w:rPr>
        <w:t>)</w:t>
      </w:r>
      <w:r>
        <w:rPr>
          <w:rFonts w:cs="Times New Roman"/>
        </w:rPr>
        <w:t xml:space="preserve">. Similar to the Ps converted wave, H1 and H2 </w:t>
      </w:r>
      <w:r w:rsidRPr="00894D56">
        <w:rPr>
          <w:rFonts w:cs="Times New Roman"/>
        </w:rPr>
        <w:t>affect</w:t>
      </w:r>
      <w:r>
        <w:rPr>
          <w:rFonts w:cs="Times New Roman"/>
        </w:rPr>
        <w:t xml:space="preserve"> respectively</w:t>
      </w:r>
      <w:r w:rsidRPr="00894D56">
        <w:rPr>
          <w:rFonts w:cs="Times New Roman"/>
        </w:rPr>
        <w:t xml:space="preserve"> the arrival time and amplitude of the SS precursor reflecting off the bottom of the LVZ</w:t>
      </w:r>
      <w:r>
        <w:rPr>
          <w:rFonts w:cs="Times New Roman"/>
        </w:rPr>
        <w:t xml:space="preserve">, which appears as a positive pulse. Notably, a strong positive pulse is observed 84 s before the SS in the data </w:t>
      </w:r>
      <w:r w:rsidRPr="002A1B8F">
        <w:rPr>
          <w:rFonts w:cs="Times New Roman"/>
          <w:color w:val="FF0000"/>
        </w:rPr>
        <w:t>(</w:t>
      </w:r>
      <w:r>
        <w:rPr>
          <w:rFonts w:cs="Times New Roman"/>
          <w:color w:val="FF0000"/>
        </w:rPr>
        <w:t>Supplementary Fig. 47b</w:t>
      </w:r>
      <w:r w:rsidRPr="002A1B8F">
        <w:rPr>
          <w:rFonts w:cs="Times New Roman"/>
          <w:color w:val="FF0000"/>
        </w:rPr>
        <w:t>)</w:t>
      </w:r>
      <w:r>
        <w:rPr>
          <w:rFonts w:cs="Times New Roman"/>
        </w:rPr>
        <w:t xml:space="preserve">. If this arrival originates from </w:t>
      </w:r>
      <w:r w:rsidRPr="00894D56">
        <w:rPr>
          <w:rFonts w:cs="Times New Roman"/>
        </w:rPr>
        <w:t>reflect</w:t>
      </w:r>
      <w:r>
        <w:rPr>
          <w:rFonts w:cs="Times New Roman"/>
        </w:rPr>
        <w:t>ion at the</w:t>
      </w:r>
      <w:r w:rsidRPr="00894D56">
        <w:rPr>
          <w:rFonts w:cs="Times New Roman"/>
        </w:rPr>
        <w:t xml:space="preserve"> bottom of the LVZ</w:t>
      </w:r>
      <w:r>
        <w:rPr>
          <w:rFonts w:cs="Times New Roman"/>
        </w:rPr>
        <w:t xml:space="preserve">, it would require </w:t>
      </w:r>
      <w:r w:rsidRPr="00894D56">
        <w:rPr>
          <w:rFonts w:cs="Times New Roman"/>
        </w:rPr>
        <w:t xml:space="preserve">an abrupt velocity jump </w:t>
      </w:r>
      <w:r>
        <w:rPr>
          <w:rFonts w:cs="Times New Roman"/>
        </w:rPr>
        <w:t>at the boundary</w:t>
      </w:r>
      <w:r w:rsidRPr="00894D56">
        <w:rPr>
          <w:rFonts w:cs="Times New Roman"/>
        </w:rPr>
        <w:t>.</w:t>
      </w:r>
      <w:r>
        <w:rPr>
          <w:rFonts w:cs="Times New Roman"/>
        </w:rPr>
        <w:t xml:space="preserve"> However, given its significantly early arrival time relative to the SS, it has not been confidently identified as an SS precursor and may instead be a different phase or just noise. Similar synthetic tests for S1153a are not performed due to possible contaminations from noise and S coda. Although current RFs and SS precursors cannot fully resolve detailed LVZ structure, our synthetic tests indicate that the bottom of the LVZ is a gradient transition layer at least ~20 km thick, rather than a sharp interface.</w:t>
      </w:r>
    </w:p>
    <w:p w14:paraId="21035C22" w14:textId="77777777" w:rsidR="007F6E00" w:rsidRDefault="007F6E00">
      <w:pPr>
        <w:widowControl/>
        <w:spacing w:line="240" w:lineRule="auto"/>
        <w:jc w:val="left"/>
        <w:rPr>
          <w:rFonts w:cs="Times New Roman"/>
        </w:rPr>
      </w:pPr>
      <w:r>
        <w:rPr>
          <w:rFonts w:cs="Times New Roman"/>
        </w:rPr>
        <w:br w:type="page"/>
      </w:r>
    </w:p>
    <w:p w14:paraId="18F24EC2" w14:textId="77777777" w:rsidR="007F6E00" w:rsidRDefault="007F6E00" w:rsidP="00DB19DD">
      <w:pPr>
        <w:tabs>
          <w:tab w:val="center" w:pos="4080"/>
          <w:tab w:val="right" w:pos="8160"/>
        </w:tabs>
        <w:spacing w:line="240" w:lineRule="auto"/>
        <w:jc w:val="center"/>
        <w:rPr>
          <w:rFonts w:cs="Times New Roman"/>
        </w:rPr>
      </w:pPr>
      <w:r>
        <w:rPr>
          <w:rFonts w:cs="Times New Roman"/>
          <w:noProof/>
        </w:rPr>
        <w:lastRenderedPageBreak/>
        <w:drawing>
          <wp:inline distT="0" distB="0" distL="0" distR="0" wp14:anchorId="5816C406" wp14:editId="7C6AEE9F">
            <wp:extent cx="4320000" cy="3600176"/>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320000" cy="3600176"/>
                    </a:xfrm>
                    <a:prstGeom prst="rect">
                      <a:avLst/>
                    </a:prstGeom>
                  </pic:spPr>
                </pic:pic>
              </a:graphicData>
            </a:graphic>
          </wp:inline>
        </w:drawing>
      </w:r>
    </w:p>
    <w:p w14:paraId="22C42A1E" w14:textId="77777777" w:rsidR="007F6E00" w:rsidRDefault="007F6E00" w:rsidP="00DB19DD">
      <w:pPr>
        <w:tabs>
          <w:tab w:val="center" w:pos="4080"/>
          <w:tab w:val="right" w:pos="8160"/>
        </w:tabs>
        <w:spacing w:line="240" w:lineRule="auto"/>
        <w:rPr>
          <w:rFonts w:cs="Times New Roman"/>
        </w:rPr>
      </w:pPr>
      <w:r>
        <w:rPr>
          <w:b/>
          <w:bCs/>
        </w:rPr>
        <w:t>Supplementary Fig. 45</w:t>
      </w:r>
      <w:r w:rsidRPr="000D5F60">
        <w:rPr>
          <w:b/>
          <w:bCs/>
        </w:rPr>
        <w:t xml:space="preserve"> | Effect of LVZ thickness on the RF waveform.</w:t>
      </w:r>
      <w:r>
        <w:rPr>
          <w:rFonts w:cs="Times New Roman"/>
        </w:rPr>
        <w:t xml:space="preserve"> The LVZ is divided into two parts: a constant velocity layer with thickness of H1, and a gradient layer with thickness of H2 and velocity linearly increasing to the upper mantle value in the mean 1D model of ref.</w:t>
      </w:r>
      <w:r w:rsidRPr="00D27662">
        <w:rPr>
          <w:rFonts w:cs="Times New Roman"/>
          <w:noProof/>
          <w:vertAlign w:val="superscript"/>
        </w:rPr>
        <w:t xml:space="preserve"> 61</w:t>
      </w:r>
      <w:r>
        <w:rPr>
          <w:rFonts w:cs="Times New Roman"/>
        </w:rPr>
        <w:t xml:space="preserve">. (a) </w:t>
      </w:r>
      <w:r w:rsidRPr="007674C0">
        <w:rPr>
          <w:rFonts w:cs="Times New Roman"/>
          <w:i/>
          <w:iCs/>
        </w:rPr>
        <w:t>Vs</w:t>
      </w:r>
      <w:r>
        <w:rPr>
          <w:rFonts w:cs="Times New Roman"/>
        </w:rPr>
        <w:t xml:space="preserve"> models based on the best fitting RF inversion result and different LVZ thicknesses with H1 ranging from 0 to 100 km and H2 fixed to be 8 km. (b) Comparison of the observed RF with the synthetics calculated using models in (a). (c)–(d) are similar with (a)</w:t>
      </w:r>
      <w:r>
        <w:rPr>
          <w:rFonts w:cs="Times New Roman"/>
        </w:rPr>
        <w:softHyphen/>
        <w:t>–(b) except for that H2 is set to be 20 km. Dashed lines in (b) and (d) denote the arrival of Ps phase converted as the bottom boundary of LVZ. Note that the amplitude of this phase is stronger if the LVZ has a sharper velocity increase on its bottom boundary.</w:t>
      </w:r>
    </w:p>
    <w:p w14:paraId="5A9078DE" w14:textId="77777777" w:rsidR="007F6E00" w:rsidRDefault="007F6E00">
      <w:pPr>
        <w:widowControl/>
        <w:spacing w:line="240" w:lineRule="auto"/>
        <w:jc w:val="left"/>
        <w:rPr>
          <w:rFonts w:cs="Times New Roman"/>
        </w:rPr>
      </w:pPr>
      <w:r>
        <w:rPr>
          <w:rFonts w:cs="Times New Roman"/>
        </w:rPr>
        <w:br w:type="page"/>
      </w:r>
    </w:p>
    <w:p w14:paraId="7379D0C9" w14:textId="77777777" w:rsidR="007F6E00" w:rsidRDefault="007F6E00" w:rsidP="00DB19DD">
      <w:pPr>
        <w:tabs>
          <w:tab w:val="center" w:pos="4080"/>
          <w:tab w:val="right" w:pos="8160"/>
        </w:tabs>
        <w:spacing w:line="240" w:lineRule="auto"/>
        <w:jc w:val="center"/>
        <w:rPr>
          <w:rFonts w:cs="Times New Roman"/>
        </w:rPr>
      </w:pPr>
      <w:r>
        <w:rPr>
          <w:rFonts w:cs="Times New Roman"/>
          <w:noProof/>
        </w:rPr>
        <w:lastRenderedPageBreak/>
        <w:drawing>
          <wp:inline distT="0" distB="0" distL="0" distR="0" wp14:anchorId="2D513ECD" wp14:editId="20E30DD3">
            <wp:extent cx="3600000" cy="2827268"/>
            <wp:effectExtent l="0" t="0" r="0" b="508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600000" cy="2827268"/>
                    </a:xfrm>
                    <a:prstGeom prst="rect">
                      <a:avLst/>
                    </a:prstGeom>
                  </pic:spPr>
                </pic:pic>
              </a:graphicData>
            </a:graphic>
          </wp:inline>
        </w:drawing>
      </w:r>
    </w:p>
    <w:p w14:paraId="234B9DB1" w14:textId="77777777" w:rsidR="007F6E00" w:rsidRDefault="007F6E00" w:rsidP="00DB19DD">
      <w:pPr>
        <w:tabs>
          <w:tab w:val="center" w:pos="4080"/>
          <w:tab w:val="right" w:pos="8160"/>
        </w:tabs>
        <w:spacing w:line="240" w:lineRule="auto"/>
        <w:rPr>
          <w:rFonts w:cs="Times New Roman"/>
        </w:rPr>
      </w:pPr>
      <w:r>
        <w:rPr>
          <w:b/>
          <w:bCs/>
        </w:rPr>
        <w:t>Supplementary Fig. 46</w:t>
      </w:r>
      <w:r w:rsidRPr="000D5F60">
        <w:rPr>
          <w:b/>
          <w:bCs/>
        </w:rPr>
        <w:t xml:space="preserve"> | Misfit distribution of the grid search with different settings of the LVZ thickness.</w:t>
      </w:r>
      <w:r>
        <w:rPr>
          <w:rFonts w:cs="Times New Roman"/>
        </w:rPr>
        <w:t xml:space="preserve"> </w:t>
      </w:r>
      <w:r w:rsidRPr="00A46649">
        <w:rPr>
          <w:rFonts w:cs="Times New Roman"/>
        </w:rPr>
        <w:t>H1 and H2 represent the thicknesses of the constant velocity layer and the gradient layer, respectively. The misfit decreases as H2 increases from 0 to 18 km, and remains stable as H2 further increases. In contrast, no systematic change in the misfit value is observed for variations in H1.</w:t>
      </w:r>
    </w:p>
    <w:p w14:paraId="26ED4DB8" w14:textId="77777777" w:rsidR="007F6E00" w:rsidRDefault="007F6E00">
      <w:pPr>
        <w:widowControl/>
        <w:spacing w:line="240" w:lineRule="auto"/>
        <w:jc w:val="left"/>
        <w:rPr>
          <w:rFonts w:cs="Times New Roman"/>
        </w:rPr>
      </w:pPr>
      <w:r>
        <w:rPr>
          <w:rFonts w:cs="Times New Roman"/>
        </w:rPr>
        <w:br w:type="page"/>
      </w:r>
    </w:p>
    <w:p w14:paraId="78CB4B15" w14:textId="77777777" w:rsidR="007F6E00" w:rsidRDefault="007F6E00" w:rsidP="00DB19DD">
      <w:pPr>
        <w:tabs>
          <w:tab w:val="center" w:pos="4080"/>
          <w:tab w:val="right" w:pos="8160"/>
        </w:tabs>
        <w:spacing w:line="240" w:lineRule="auto"/>
        <w:jc w:val="center"/>
        <w:rPr>
          <w:rFonts w:cs="Times New Roman"/>
        </w:rPr>
      </w:pPr>
      <w:r>
        <w:rPr>
          <w:rFonts w:cs="Times New Roman"/>
          <w:noProof/>
        </w:rPr>
        <w:lastRenderedPageBreak/>
        <w:drawing>
          <wp:inline distT="0" distB="0" distL="0" distR="0" wp14:anchorId="419618D7" wp14:editId="3643CAFF">
            <wp:extent cx="4320000" cy="4149926"/>
            <wp:effectExtent l="0" t="0" r="0" b="317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320000" cy="4149926"/>
                    </a:xfrm>
                    <a:prstGeom prst="rect">
                      <a:avLst/>
                    </a:prstGeom>
                  </pic:spPr>
                </pic:pic>
              </a:graphicData>
            </a:graphic>
          </wp:inline>
        </w:drawing>
      </w:r>
    </w:p>
    <w:p w14:paraId="2A0C4A29" w14:textId="77777777" w:rsidR="007F6E00" w:rsidRPr="00DB19DD" w:rsidRDefault="007F6E00" w:rsidP="00DB19DD">
      <w:pPr>
        <w:tabs>
          <w:tab w:val="center" w:pos="4080"/>
          <w:tab w:val="right" w:pos="8160"/>
        </w:tabs>
        <w:spacing w:line="240" w:lineRule="auto"/>
        <w:rPr>
          <w:rFonts w:cs="Times New Roman"/>
        </w:rPr>
      </w:pPr>
      <w:r>
        <w:rPr>
          <w:b/>
          <w:bCs/>
        </w:rPr>
        <w:t>Supplementary Fig. 47</w:t>
      </w:r>
      <w:r w:rsidRPr="000D5F60">
        <w:rPr>
          <w:b/>
          <w:bCs/>
        </w:rPr>
        <w:t xml:space="preserve"> | Effect of LVZ thickness on the waveform of SS precursor.</w:t>
      </w:r>
      <w:r w:rsidRPr="004B1F1B">
        <w:rPr>
          <w:rStyle w:val="20"/>
        </w:rPr>
        <w:t xml:space="preserve"> </w:t>
      </w:r>
      <w:r w:rsidRPr="00A46649">
        <w:rPr>
          <w:rFonts w:cs="Times New Roman"/>
        </w:rPr>
        <w:t>H1 and H2 represent the thicknesses of the constant velocity layer and the gradient layer, respectively.</w:t>
      </w:r>
      <w:r>
        <w:rPr>
          <w:rFonts w:cs="Times New Roman"/>
        </w:rPr>
        <w:t xml:space="preserve"> (a) </w:t>
      </w:r>
      <w:r w:rsidRPr="007674C0">
        <w:rPr>
          <w:rFonts w:cs="Times New Roman"/>
          <w:i/>
          <w:iCs/>
        </w:rPr>
        <w:t>Vs</w:t>
      </w:r>
      <w:r>
        <w:rPr>
          <w:rFonts w:cs="Times New Roman"/>
        </w:rPr>
        <w:t xml:space="preserve"> models based on the median model of precursor inversion and different LVZ thicknesses with H1 ranging from 0 to 50 km and H2 fixed to be 8 km. (b) Comparison of the observed SS and its precursors with the synthetics calculated using models in (a). (c)–(d) are similar with (a)</w:t>
      </w:r>
      <w:r>
        <w:rPr>
          <w:rFonts w:cs="Times New Roman"/>
        </w:rPr>
        <w:softHyphen/>
        <w:t>–(b) except for that H2 is set to be 20 km. Dashed lines in (b) and (d) denote the arrival of SS precursor that bounces off below the bottom boundary of LVZ. Note that the amplitude of this phase is stronger if the LVZ has a sharper velocity increase on its bottom boundary.</w:t>
      </w:r>
    </w:p>
    <w:p w14:paraId="3485BF2B" w14:textId="77777777" w:rsidR="007F6E00" w:rsidRDefault="007F6E00">
      <w:pPr>
        <w:widowControl/>
        <w:spacing w:line="240" w:lineRule="auto"/>
        <w:jc w:val="left"/>
        <w:rPr>
          <w:rFonts w:cs="Times New Roman"/>
        </w:rPr>
      </w:pPr>
      <w:r>
        <w:rPr>
          <w:rFonts w:cs="Times New Roman"/>
        </w:rPr>
        <w:br w:type="page"/>
      </w:r>
    </w:p>
    <w:p w14:paraId="0A0397E9" w14:textId="77777777" w:rsidR="007F6E00" w:rsidRPr="00B052C7" w:rsidRDefault="007F6E00" w:rsidP="00237E50">
      <w:pPr>
        <w:pStyle w:val="1"/>
      </w:pPr>
      <w:bookmarkStart w:id="48" w:name="_Toc202208136"/>
      <w:r>
        <w:lastRenderedPageBreak/>
        <w:t>7. Sensitivities of seismic velocities to temperature and composition</w:t>
      </w:r>
      <w:bookmarkEnd w:id="48"/>
    </w:p>
    <w:p w14:paraId="46E77D77" w14:textId="77777777" w:rsidR="007F6E00" w:rsidRDefault="007F6E00" w:rsidP="004D5B5A">
      <w:pPr>
        <w:pStyle w:val="2"/>
      </w:pPr>
      <w:bookmarkStart w:id="49" w:name="_Toc202208137"/>
      <w:r>
        <w:t xml:space="preserve">7.1. Direct </w:t>
      </w:r>
      <w:proofErr w:type="spellStart"/>
      <w:r>
        <w:t>Perple_X</w:t>
      </w:r>
      <w:proofErr w:type="spellEnd"/>
      <w:r>
        <w:t xml:space="preserve"> calculation</w:t>
      </w:r>
      <w:bookmarkEnd w:id="49"/>
    </w:p>
    <w:p w14:paraId="39C5246F" w14:textId="77777777" w:rsidR="007F6E00" w:rsidRDefault="007F6E00" w:rsidP="00237E50">
      <w:pPr>
        <w:ind w:firstLineChars="200" w:firstLine="480"/>
        <w:rPr>
          <w:rFonts w:cs="Times New Roman"/>
        </w:rPr>
      </w:pPr>
      <w:r>
        <w:rPr>
          <w:rFonts w:cs="Times New Roman"/>
          <w:color w:val="000000" w:themeColor="text1"/>
        </w:rPr>
        <w:t xml:space="preserve">We use </w:t>
      </w:r>
      <w:proofErr w:type="spellStart"/>
      <w:r w:rsidRPr="00237E50">
        <w:rPr>
          <w:rFonts w:cs="Times New Roman"/>
          <w:color w:val="000000" w:themeColor="text1"/>
        </w:rPr>
        <w:t>Perple_X</w:t>
      </w:r>
      <w:proofErr w:type="spellEnd"/>
      <w:r w:rsidRPr="00237E50">
        <w:rPr>
          <w:rFonts w:cs="Times New Roman"/>
          <w:color w:val="000000" w:themeColor="text1"/>
        </w:rPr>
        <w:t xml:space="preserve"> Gibbs energy minimization software</w:t>
      </w:r>
      <w:r w:rsidRPr="00D27662">
        <w:rPr>
          <w:rFonts w:cs="Times New Roman"/>
          <w:noProof/>
          <w:color w:val="000000" w:themeColor="text1"/>
          <w:vertAlign w:val="superscript"/>
        </w:rPr>
        <w:t>77</w:t>
      </w:r>
      <w:r w:rsidRPr="00237E50">
        <w:rPr>
          <w:rFonts w:cs="Times New Roman"/>
          <w:color w:val="000000" w:themeColor="text1"/>
        </w:rPr>
        <w:t xml:space="preserve"> with thermodynamic database of </w:t>
      </w:r>
      <w:r>
        <w:rPr>
          <w:rFonts w:cs="Times New Roman"/>
          <w:color w:val="000000" w:themeColor="text1"/>
        </w:rPr>
        <w:t>ref.</w:t>
      </w:r>
      <w:r w:rsidRPr="00D27662">
        <w:rPr>
          <w:rFonts w:cs="Times New Roman"/>
          <w:noProof/>
          <w:color w:val="000000" w:themeColor="text1"/>
          <w:vertAlign w:val="superscript"/>
        </w:rPr>
        <w:t xml:space="preserve"> 78</w:t>
      </w:r>
      <w:r w:rsidRPr="00237E50">
        <w:rPr>
          <w:rFonts w:cs="Times New Roman"/>
          <w:color w:val="000000" w:themeColor="text1"/>
        </w:rPr>
        <w:t xml:space="preserve"> to derive</w:t>
      </w:r>
      <w:r>
        <w:rPr>
          <w:rFonts w:cs="Times New Roman"/>
          <w:color w:val="000000" w:themeColor="text1"/>
        </w:rPr>
        <w:t xml:space="preserve"> the sensitivities of seismic velocities on temperature and Mg</w:t>
      </w:r>
      <w:proofErr w:type="gramStart"/>
      <w:r>
        <w:rPr>
          <w:rFonts w:cs="Times New Roman"/>
          <w:color w:val="000000" w:themeColor="text1"/>
        </w:rPr>
        <w:t># .</w:t>
      </w:r>
      <w:proofErr w:type="gramEnd"/>
      <w:r>
        <w:rPr>
          <w:rFonts w:cs="Times New Roman"/>
        </w:rPr>
        <w:t xml:space="preserve"> Similar to ref.</w:t>
      </w:r>
      <w:r w:rsidRPr="006B3717">
        <w:rPr>
          <w:rFonts w:cs="Times New Roman"/>
          <w:noProof/>
          <w:vertAlign w:val="superscript"/>
        </w:rPr>
        <w:t xml:space="preserve"> 39</w:t>
      </w:r>
      <w:r>
        <w:rPr>
          <w:rFonts w:cs="Times New Roman"/>
        </w:rPr>
        <w:t xml:space="preserve">, we examine a range of </w:t>
      </w:r>
      <w:r w:rsidRPr="00385097">
        <w:rPr>
          <w:rFonts w:cs="Times New Roman"/>
        </w:rPr>
        <w:t>Mg#</w:t>
      </w:r>
      <w:r>
        <w:rPr>
          <w:rFonts w:cs="Times New Roman"/>
        </w:rPr>
        <w:t xml:space="preserve"> from 60 to 80 </w:t>
      </w:r>
      <w:r w:rsidRPr="00237E50">
        <w:rPr>
          <w:rFonts w:cs="Times New Roman"/>
          <w:color w:val="FF0000"/>
        </w:rPr>
        <w:t>(</w:t>
      </w:r>
      <w:r>
        <w:rPr>
          <w:rFonts w:cs="Times New Roman"/>
          <w:color w:val="FF0000"/>
        </w:rPr>
        <w:t>Supplementary Fig. 48</w:t>
      </w:r>
      <w:r w:rsidRPr="00237E50">
        <w:rPr>
          <w:rFonts w:cs="Times New Roman"/>
          <w:color w:val="FF0000"/>
        </w:rPr>
        <w:t>)</w:t>
      </w:r>
      <w:r w:rsidRPr="00321E61">
        <w:rPr>
          <w:rFonts w:cs="Times New Roman"/>
          <w:color w:val="000000" w:themeColor="text1"/>
        </w:rPr>
        <w:t>,</w:t>
      </w:r>
      <w:r>
        <w:rPr>
          <w:rFonts w:cs="Times New Roman"/>
        </w:rPr>
        <w:t xml:space="preserve"> constructed by mix</w:t>
      </w:r>
      <w:r w:rsidRPr="00385097">
        <w:rPr>
          <w:rFonts w:cs="Times New Roman"/>
        </w:rPr>
        <w:t>ing different proportions of</w:t>
      </w:r>
      <w:r>
        <w:rPr>
          <w:rFonts w:cs="Times New Roman"/>
        </w:rPr>
        <w:t xml:space="preserve"> chondritic compositions</w:t>
      </w:r>
      <w:r w:rsidRPr="00D27662">
        <w:rPr>
          <w:rFonts w:cs="Times New Roman"/>
          <w:noProof/>
          <w:vertAlign w:val="superscript"/>
        </w:rPr>
        <w:t>79</w:t>
      </w:r>
      <w:r>
        <w:rPr>
          <w:rFonts w:cs="Times New Roman"/>
        </w:rPr>
        <w:t xml:space="preserve"> into DW85 model</w:t>
      </w:r>
      <w:r w:rsidRPr="00D27662">
        <w:rPr>
          <w:rFonts w:cs="Times New Roman"/>
          <w:noProof/>
          <w:vertAlign w:val="superscript"/>
        </w:rPr>
        <w:t>80</w:t>
      </w:r>
      <w:r>
        <w:rPr>
          <w:rFonts w:cs="Times New Roman"/>
        </w:rPr>
        <w:t>. EH45 model</w:t>
      </w:r>
      <w:r w:rsidRPr="00D27662">
        <w:rPr>
          <w:rFonts w:cs="Times New Roman"/>
          <w:noProof/>
          <w:vertAlign w:val="superscript"/>
        </w:rPr>
        <w:t>81</w:t>
      </w:r>
      <w:r>
        <w:rPr>
          <w:rFonts w:cs="Times New Roman"/>
        </w:rPr>
        <w:t xml:space="preserve"> is also included as it yields better fits for the InSight observations, including triplicated P and S</w:t>
      </w:r>
      <w:r w:rsidRPr="006B3717">
        <w:rPr>
          <w:rFonts w:cs="Times New Roman"/>
          <w:noProof/>
          <w:vertAlign w:val="superscript"/>
        </w:rPr>
        <w:t>39</w:t>
      </w:r>
      <w:r>
        <w:rPr>
          <w:rFonts w:cs="Times New Roman"/>
        </w:rPr>
        <w:t xml:space="preserve"> and SKS</w:t>
      </w:r>
      <w:r w:rsidRPr="00D27662">
        <w:rPr>
          <w:rFonts w:cs="Times New Roman"/>
          <w:noProof/>
          <w:vertAlign w:val="superscript"/>
        </w:rPr>
        <w:t>82</w:t>
      </w:r>
      <w:r>
        <w:rPr>
          <w:rFonts w:cs="Times New Roman"/>
        </w:rPr>
        <w:t>. Although other compositional parameters, such as Mg/Si and refractory element contents also vary, their impacts on seismic velocities are comparatively minor</w:t>
      </w:r>
      <w:r w:rsidRPr="006B3717">
        <w:rPr>
          <w:rFonts w:cs="Times New Roman"/>
          <w:noProof/>
          <w:vertAlign w:val="superscript"/>
        </w:rPr>
        <w:t>39</w:t>
      </w:r>
      <w:r>
        <w:rPr>
          <w:rFonts w:cs="Times New Roman"/>
        </w:rPr>
        <w:t>. Unlike ref.</w:t>
      </w:r>
      <w:r w:rsidRPr="006B3717">
        <w:rPr>
          <w:rFonts w:cs="Times New Roman"/>
          <w:noProof/>
          <w:vertAlign w:val="superscript"/>
        </w:rPr>
        <w:t xml:space="preserve"> 39</w:t>
      </w:r>
      <w:r>
        <w:rPr>
          <w:rFonts w:cs="Times New Roman"/>
        </w:rPr>
        <w:t xml:space="preserve">, which focuses on the phase transition at ~1000 km depth, we also extend our study to lower Mg# </w:t>
      </w:r>
      <w:r w:rsidRPr="00385097">
        <w:rPr>
          <w:rFonts w:cs="Times New Roman"/>
        </w:rPr>
        <w:t xml:space="preserve">considering the </w:t>
      </w:r>
      <w:r>
        <w:rPr>
          <w:rFonts w:cs="Times New Roman"/>
        </w:rPr>
        <w:t>elevated iron</w:t>
      </w:r>
      <w:r w:rsidRPr="00385097">
        <w:rPr>
          <w:rFonts w:cs="Times New Roman"/>
        </w:rPr>
        <w:t xml:space="preserve"> enrichment observed in Elysium Planitia</w:t>
      </w:r>
      <w:r w:rsidRPr="00D27662">
        <w:rPr>
          <w:rFonts w:cs="Times New Roman"/>
          <w:noProof/>
          <w:vertAlign w:val="superscript"/>
        </w:rPr>
        <w:t>83</w:t>
      </w:r>
      <w:r>
        <w:rPr>
          <w:rFonts w:cs="Times New Roman"/>
        </w:rPr>
        <w:t xml:space="preserve"> </w:t>
      </w:r>
      <w:r w:rsidRPr="00237E50">
        <w:rPr>
          <w:rFonts w:cs="Times New Roman"/>
          <w:color w:val="FF0000"/>
        </w:rPr>
        <w:t>(</w:t>
      </w:r>
      <w:r>
        <w:rPr>
          <w:rFonts w:cs="Times New Roman"/>
          <w:color w:val="FF0000"/>
        </w:rPr>
        <w:t>Supplementary Fig. 49</w:t>
      </w:r>
      <w:r w:rsidRPr="00237E50">
        <w:rPr>
          <w:rFonts w:cs="Times New Roman"/>
          <w:color w:val="FF0000"/>
        </w:rPr>
        <w:t>)</w:t>
      </w:r>
      <w:r w:rsidRPr="00385097">
        <w:rPr>
          <w:rFonts w:cs="Times New Roman"/>
        </w:rPr>
        <w:t xml:space="preserve">. </w:t>
      </w:r>
      <w:r>
        <w:rPr>
          <w:rFonts w:cs="Times New Roman"/>
        </w:rPr>
        <w:t xml:space="preserve">For each composition, we calculate </w:t>
      </w:r>
      <w:proofErr w:type="spellStart"/>
      <w:r w:rsidRPr="006C4D7A">
        <w:rPr>
          <w:rFonts w:cs="Times New Roman"/>
          <w:i/>
          <w:iCs/>
        </w:rPr>
        <w:t>Vp</w:t>
      </w:r>
      <w:proofErr w:type="spellEnd"/>
      <w:r>
        <w:rPr>
          <w:rFonts w:cs="Times New Roman"/>
        </w:rPr>
        <w:t xml:space="preserve">, </w:t>
      </w:r>
      <w:r w:rsidRPr="006C4D7A">
        <w:rPr>
          <w:rFonts w:cs="Times New Roman"/>
          <w:i/>
          <w:iCs/>
        </w:rPr>
        <w:t>Vs</w:t>
      </w:r>
      <w:r>
        <w:rPr>
          <w:rFonts w:cs="Times New Roman"/>
        </w:rPr>
        <w:t>, and their temperature derivatives at various temperatures but fixed</w:t>
      </w:r>
      <w:r w:rsidRPr="00385097">
        <w:rPr>
          <w:rFonts w:cs="Times New Roman"/>
        </w:rPr>
        <w:t xml:space="preserve"> pressure</w:t>
      </w:r>
      <w:r>
        <w:rPr>
          <w:rFonts w:cs="Times New Roman"/>
        </w:rPr>
        <w:t xml:space="preserve"> of 0.8 </w:t>
      </w:r>
      <w:proofErr w:type="spellStart"/>
      <w:r>
        <w:rPr>
          <w:rFonts w:cs="Times New Roman"/>
        </w:rPr>
        <w:t>GPa</w:t>
      </w:r>
      <w:proofErr w:type="spellEnd"/>
      <w:r>
        <w:rPr>
          <w:rFonts w:cs="Times New Roman"/>
        </w:rPr>
        <w:t xml:space="preserve">, corresponding to the LVZ depth </w:t>
      </w:r>
      <w:r w:rsidRPr="00237E50">
        <w:rPr>
          <w:rFonts w:cs="Times New Roman"/>
          <w:color w:val="FF0000"/>
        </w:rPr>
        <w:t xml:space="preserve">(Supplementary Figs. </w:t>
      </w:r>
      <w:r>
        <w:rPr>
          <w:rFonts w:cs="Times New Roman"/>
          <w:color w:val="FF0000"/>
        </w:rPr>
        <w:t>50</w:t>
      </w:r>
      <w:r w:rsidRPr="00237E50">
        <w:rPr>
          <w:rFonts w:cs="Times New Roman"/>
          <w:color w:val="FF0000"/>
        </w:rPr>
        <w:t>–</w:t>
      </w:r>
      <w:r>
        <w:rPr>
          <w:rFonts w:cs="Times New Roman"/>
          <w:color w:val="FF0000"/>
        </w:rPr>
        <w:t>51</w:t>
      </w:r>
      <w:r w:rsidRPr="00237E50">
        <w:rPr>
          <w:rFonts w:cs="Times New Roman"/>
          <w:color w:val="FF0000"/>
        </w:rPr>
        <w:t>)</w:t>
      </w:r>
      <w:r>
        <w:rPr>
          <w:rFonts w:cs="Times New Roman"/>
        </w:rPr>
        <w:t>. Considering the possible presence of a plume head underneath Elysium Planitia</w:t>
      </w:r>
      <w:r w:rsidRPr="0020344F">
        <w:rPr>
          <w:rFonts w:cs="Times New Roman"/>
          <w:noProof/>
          <w:vertAlign w:val="superscript"/>
        </w:rPr>
        <w:t>11</w:t>
      </w:r>
      <w:r>
        <w:rPr>
          <w:rFonts w:cs="Times New Roman"/>
        </w:rPr>
        <w:t xml:space="preserve"> and the inverted low </w:t>
      </w:r>
      <w:r w:rsidRPr="00385097">
        <w:rPr>
          <w:rFonts w:cs="Times New Roman"/>
          <w:i/>
          <w:iCs/>
        </w:rPr>
        <w:t>Vs</w:t>
      </w:r>
      <w:r>
        <w:rPr>
          <w:rFonts w:cs="Times New Roman"/>
        </w:rPr>
        <w:t xml:space="preserve"> value, </w:t>
      </w:r>
      <w:r w:rsidRPr="00385097">
        <w:rPr>
          <w:rFonts w:cs="Times New Roman"/>
        </w:rPr>
        <w:t xml:space="preserve">we explore </w:t>
      </w:r>
      <w:r>
        <w:rPr>
          <w:rFonts w:cs="Times New Roman"/>
        </w:rPr>
        <w:t xml:space="preserve">a broad </w:t>
      </w:r>
      <w:r w:rsidRPr="00385097">
        <w:rPr>
          <w:rFonts w:cs="Times New Roman"/>
        </w:rPr>
        <w:t>temperature range</w:t>
      </w:r>
      <w:r>
        <w:rPr>
          <w:rFonts w:cs="Times New Roman"/>
        </w:rPr>
        <w:t>, from</w:t>
      </w:r>
      <w:r w:rsidRPr="00385097">
        <w:rPr>
          <w:rFonts w:cs="Times New Roman"/>
        </w:rPr>
        <w:t xml:space="preserve"> 460 K</w:t>
      </w:r>
      <w:r w:rsidRPr="00D27662">
        <w:rPr>
          <w:rFonts w:cs="Times New Roman"/>
          <w:noProof/>
          <w:vertAlign w:val="superscript"/>
        </w:rPr>
        <w:t>84</w:t>
      </w:r>
      <w:r w:rsidRPr="00385097">
        <w:rPr>
          <w:rFonts w:cs="Times New Roman"/>
        </w:rPr>
        <w:t xml:space="preserve"> </w:t>
      </w:r>
      <w:r>
        <w:rPr>
          <w:rFonts w:cs="Times New Roman"/>
        </w:rPr>
        <w:t>to</w:t>
      </w:r>
      <w:r w:rsidRPr="00385097">
        <w:rPr>
          <w:rFonts w:cs="Times New Roman"/>
        </w:rPr>
        <w:t xml:space="preserve"> the melting point 1431.5 K</w:t>
      </w:r>
      <w:r w:rsidRPr="00D27662">
        <w:rPr>
          <w:rFonts w:cs="Times New Roman"/>
          <w:noProof/>
          <w:vertAlign w:val="superscript"/>
        </w:rPr>
        <w:t>85</w:t>
      </w:r>
      <w:r w:rsidRPr="00E74E6D">
        <w:rPr>
          <w:rFonts w:cs="Times New Roman"/>
          <w:color w:val="FF0000"/>
        </w:rPr>
        <w:t xml:space="preserve"> (Supplementary Fig. 5</w:t>
      </w:r>
      <w:r>
        <w:rPr>
          <w:rFonts w:cs="Times New Roman"/>
          <w:color w:val="FF0000"/>
        </w:rPr>
        <w:t>2</w:t>
      </w:r>
      <w:r w:rsidRPr="00E74E6D">
        <w:rPr>
          <w:rFonts w:cs="Times New Roman"/>
          <w:color w:val="FF0000"/>
        </w:rPr>
        <w:t>)</w:t>
      </w:r>
      <w:r>
        <w:rPr>
          <w:rFonts w:cs="Times New Roman"/>
        </w:rPr>
        <w:t>. The</w:t>
      </w:r>
      <w:r w:rsidRPr="00385097">
        <w:rPr>
          <w:rFonts w:cs="Times New Roman"/>
        </w:rPr>
        <w:t xml:space="preserve"> </w:t>
      </w:r>
      <w:r>
        <w:rPr>
          <w:rFonts w:cs="Times New Roman"/>
        </w:rPr>
        <w:t xml:space="preserve">calculated </w:t>
      </w:r>
      <w:r w:rsidRPr="00385097">
        <w:rPr>
          <w:rFonts w:cs="Times New Roman"/>
        </w:rPr>
        <w:t xml:space="preserve">average temperature derivatives </w:t>
      </w:r>
      <w:r>
        <w:rPr>
          <w:rFonts w:cs="Times New Roman"/>
        </w:rPr>
        <w:t>are -5.62×10</w:t>
      </w:r>
      <w:r w:rsidRPr="00385097">
        <w:rPr>
          <w:rFonts w:cs="Times New Roman"/>
          <w:vertAlign w:val="superscript"/>
        </w:rPr>
        <w:t>-4</w:t>
      </w:r>
      <w:r>
        <w:rPr>
          <w:rFonts w:cs="Times New Roman"/>
        </w:rPr>
        <w:t xml:space="preserve"> km/s/K for </w:t>
      </w:r>
      <w:r w:rsidRPr="0036665D">
        <w:rPr>
          <w:rFonts w:cs="Times New Roman"/>
          <w:i/>
          <w:iCs/>
        </w:rPr>
        <w:t>V</w:t>
      </w:r>
      <w:r>
        <w:rPr>
          <w:rFonts w:cs="Times New Roman"/>
          <w:i/>
          <w:iCs/>
          <w:vertAlign w:val="subscript"/>
        </w:rPr>
        <w:t>P</w:t>
      </w:r>
      <w:r>
        <w:rPr>
          <w:rFonts w:cs="Times New Roman"/>
        </w:rPr>
        <w:t xml:space="preserve"> and -3.41×10</w:t>
      </w:r>
      <w:r w:rsidRPr="00385097">
        <w:rPr>
          <w:rFonts w:cs="Times New Roman"/>
          <w:vertAlign w:val="superscript"/>
        </w:rPr>
        <w:t>-4</w:t>
      </w:r>
      <w:r>
        <w:rPr>
          <w:rFonts w:cs="Times New Roman"/>
        </w:rPr>
        <w:t xml:space="preserve"> km/s/K for </w:t>
      </w:r>
      <w:r w:rsidRPr="00385097">
        <w:rPr>
          <w:rFonts w:cs="Times New Roman"/>
          <w:i/>
          <w:iCs/>
        </w:rPr>
        <w:t>Vs</w:t>
      </w:r>
      <w:r>
        <w:rPr>
          <w:rFonts w:cs="Times New Roman"/>
        </w:rPr>
        <w:t xml:space="preserve"> </w:t>
      </w:r>
      <w:r w:rsidRPr="00237E50">
        <w:rPr>
          <w:rFonts w:cs="Times New Roman"/>
          <w:color w:val="FF0000"/>
        </w:rPr>
        <w:t>(</w:t>
      </w:r>
      <w:r>
        <w:rPr>
          <w:rFonts w:cs="Times New Roman"/>
          <w:color w:val="FF0000"/>
        </w:rPr>
        <w:t>Supplementary Fig. 50</w:t>
      </w:r>
      <w:r w:rsidRPr="00237E50">
        <w:rPr>
          <w:rFonts w:cs="Times New Roman"/>
          <w:color w:val="FF0000"/>
        </w:rPr>
        <w:t>c–d)</w:t>
      </w:r>
      <w:r>
        <w:rPr>
          <w:rFonts w:cs="Times New Roman"/>
        </w:rPr>
        <w:t xml:space="preserve">. Similarly, within the same temperature range, the average velocity derivatives with respect to Mg# are 0.0096 km/s for </w:t>
      </w:r>
      <w:r w:rsidRPr="00576577">
        <w:rPr>
          <w:rFonts w:cs="Times New Roman"/>
          <w:i/>
          <w:iCs/>
        </w:rPr>
        <w:t>V</w:t>
      </w:r>
      <w:r w:rsidRPr="00576577">
        <w:rPr>
          <w:rFonts w:cs="Times New Roman"/>
          <w:i/>
          <w:iCs/>
          <w:vertAlign w:val="subscript"/>
        </w:rPr>
        <w:t>P</w:t>
      </w:r>
      <w:r>
        <w:rPr>
          <w:rFonts w:cs="Times New Roman"/>
        </w:rPr>
        <w:t xml:space="preserve"> and 0.0159 km/s for </w:t>
      </w:r>
      <w:r w:rsidRPr="00385097">
        <w:rPr>
          <w:rFonts w:cs="Times New Roman"/>
          <w:i/>
          <w:iCs/>
        </w:rPr>
        <w:t>Vs</w:t>
      </w:r>
      <w:r>
        <w:rPr>
          <w:rFonts w:cs="Times New Roman"/>
        </w:rPr>
        <w:t xml:space="preserve"> </w:t>
      </w:r>
      <w:r w:rsidRPr="00237E50">
        <w:rPr>
          <w:rFonts w:cs="Times New Roman"/>
          <w:color w:val="FF0000"/>
        </w:rPr>
        <w:t>(</w:t>
      </w:r>
      <w:r>
        <w:rPr>
          <w:rFonts w:cs="Times New Roman"/>
          <w:color w:val="FF0000"/>
        </w:rPr>
        <w:t>Supplementary Fig. 51</w:t>
      </w:r>
      <w:r w:rsidRPr="00237E50">
        <w:rPr>
          <w:rFonts w:cs="Times New Roman"/>
          <w:color w:val="FF0000"/>
        </w:rPr>
        <w:t>c–d)</w:t>
      </w:r>
      <w:r>
        <w:rPr>
          <w:rFonts w:cs="Times New Roman"/>
        </w:rPr>
        <w:t>.</w:t>
      </w:r>
    </w:p>
    <w:p w14:paraId="5B1386DF" w14:textId="77777777" w:rsidR="007F6E00" w:rsidRDefault="007F6E00" w:rsidP="00237E50">
      <w:pPr>
        <w:ind w:firstLineChars="200" w:firstLine="480"/>
        <w:rPr>
          <w:rFonts w:cs="Times New Roman"/>
        </w:rPr>
      </w:pPr>
    </w:p>
    <w:p w14:paraId="1729FCF8" w14:textId="77777777" w:rsidR="007F6E00" w:rsidRDefault="007F6E00">
      <w:pPr>
        <w:widowControl/>
        <w:spacing w:line="240" w:lineRule="auto"/>
        <w:jc w:val="left"/>
        <w:rPr>
          <w:rFonts w:cs="Times New Roman"/>
        </w:rPr>
      </w:pPr>
    </w:p>
    <w:p w14:paraId="40DA7569" w14:textId="77777777" w:rsidR="007F6E00" w:rsidRDefault="007F6E00" w:rsidP="008715DF">
      <w:pPr>
        <w:tabs>
          <w:tab w:val="center" w:pos="4080"/>
          <w:tab w:val="right" w:pos="8160"/>
        </w:tabs>
        <w:spacing w:line="240" w:lineRule="auto"/>
        <w:jc w:val="center"/>
        <w:rPr>
          <w:rFonts w:cs="Times New Roman"/>
        </w:rPr>
      </w:pPr>
      <w:r>
        <w:rPr>
          <w:rFonts w:cs="Times New Roman"/>
          <w:noProof/>
        </w:rPr>
        <w:drawing>
          <wp:inline distT="0" distB="0" distL="0" distR="0" wp14:anchorId="61CF58C6" wp14:editId="6A8D9059">
            <wp:extent cx="3600000" cy="4505850"/>
            <wp:effectExtent l="0" t="0" r="0" b="317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600000" cy="4505850"/>
                    </a:xfrm>
                    <a:prstGeom prst="rect">
                      <a:avLst/>
                    </a:prstGeom>
                  </pic:spPr>
                </pic:pic>
              </a:graphicData>
            </a:graphic>
          </wp:inline>
        </w:drawing>
      </w:r>
    </w:p>
    <w:p w14:paraId="17D70348" w14:textId="77777777" w:rsidR="007F6E00" w:rsidRDefault="007F6E00" w:rsidP="00BF485D">
      <w:pPr>
        <w:tabs>
          <w:tab w:val="center" w:pos="4080"/>
          <w:tab w:val="right" w:pos="8160"/>
        </w:tabs>
        <w:spacing w:line="240" w:lineRule="auto"/>
        <w:rPr>
          <w:rFonts w:cs="Times New Roman"/>
        </w:rPr>
      </w:pPr>
      <w:r>
        <w:rPr>
          <w:b/>
          <w:bCs/>
        </w:rPr>
        <w:t>Supplementary Fig. 48</w:t>
      </w:r>
      <w:r w:rsidRPr="000D5F60">
        <w:rPr>
          <w:b/>
          <w:bCs/>
        </w:rPr>
        <w:t xml:space="preserve"> | Bulk compositions of EH45 model, DW85 model, and those with variable Mg#.</w:t>
      </w:r>
      <w:r>
        <w:rPr>
          <w:rFonts w:cs="Times New Roman"/>
        </w:rPr>
        <w:t xml:space="preserve"> (a)–(f) show the weight percent of each major elements. Purple pentacle denotes EH45 model. Red cross denotes DW85 model. Circles denote the compositions with variable Mg#, which are constructed based on DW85 model with different fractions of chondrite model.</w:t>
      </w:r>
    </w:p>
    <w:p w14:paraId="2EA5953C" w14:textId="77777777" w:rsidR="007F6E00" w:rsidRDefault="007F6E00">
      <w:pPr>
        <w:widowControl/>
        <w:spacing w:line="240" w:lineRule="auto"/>
        <w:jc w:val="left"/>
        <w:rPr>
          <w:rFonts w:cs="Times New Roman"/>
        </w:rPr>
      </w:pPr>
      <w:r>
        <w:rPr>
          <w:rFonts w:cs="Times New Roman"/>
        </w:rPr>
        <w:br w:type="page"/>
      </w:r>
    </w:p>
    <w:p w14:paraId="215ADB7E" w14:textId="77777777" w:rsidR="007F6E00" w:rsidRDefault="007F6E00" w:rsidP="008715DF">
      <w:pPr>
        <w:tabs>
          <w:tab w:val="center" w:pos="4080"/>
          <w:tab w:val="right" w:pos="8160"/>
        </w:tabs>
        <w:spacing w:line="240" w:lineRule="auto"/>
        <w:jc w:val="center"/>
        <w:rPr>
          <w:rFonts w:cs="Times New Roman"/>
        </w:rPr>
      </w:pPr>
      <w:r>
        <w:rPr>
          <w:rFonts w:cs="Times New Roman" w:hint="eastAsia"/>
          <w:noProof/>
        </w:rPr>
        <w:lastRenderedPageBreak/>
        <w:drawing>
          <wp:inline distT="0" distB="0" distL="0" distR="0" wp14:anchorId="53E7A02A" wp14:editId="77F8526E">
            <wp:extent cx="3600000" cy="2996465"/>
            <wp:effectExtent l="0" t="0" r="0" b="127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00000" cy="2996465"/>
                    </a:xfrm>
                    <a:prstGeom prst="rect">
                      <a:avLst/>
                    </a:prstGeom>
                  </pic:spPr>
                </pic:pic>
              </a:graphicData>
            </a:graphic>
          </wp:inline>
        </w:drawing>
      </w:r>
    </w:p>
    <w:p w14:paraId="35A32932" w14:textId="77777777" w:rsidR="007F6E00" w:rsidRDefault="007F6E00" w:rsidP="00BF485D">
      <w:pPr>
        <w:tabs>
          <w:tab w:val="center" w:pos="4080"/>
          <w:tab w:val="right" w:pos="8160"/>
        </w:tabs>
        <w:spacing w:line="240" w:lineRule="auto"/>
        <w:rPr>
          <w:rFonts w:cs="Times New Roman"/>
        </w:rPr>
      </w:pPr>
      <w:r>
        <w:rPr>
          <w:b/>
          <w:bCs/>
        </w:rPr>
        <w:t>Supplementary Fig. 49</w:t>
      </w:r>
      <w:r w:rsidRPr="000D5F60">
        <w:rPr>
          <w:b/>
          <w:bCs/>
        </w:rPr>
        <w:t xml:space="preserve"> | Fe/Si weight ratio of different bulk composition models.</w:t>
      </w:r>
      <w:r w:rsidRPr="004B1F1B">
        <w:rPr>
          <w:rStyle w:val="20"/>
        </w:rPr>
        <w:t xml:space="preserve"> </w:t>
      </w:r>
      <w:r>
        <w:rPr>
          <w:rFonts w:cs="Times New Roman"/>
        </w:rPr>
        <w:t>Red horizontal band shows the Fe/Si weight ratio Elysium Planitia measured by Gamma Ray spectrometer</w:t>
      </w:r>
      <w:r w:rsidRPr="00D27662">
        <w:rPr>
          <w:rFonts w:cs="Times New Roman"/>
          <w:noProof/>
          <w:vertAlign w:val="superscript"/>
        </w:rPr>
        <w:t>83</w:t>
      </w:r>
      <w:r>
        <w:rPr>
          <w:rFonts w:cs="Times New Roman"/>
        </w:rPr>
        <w:t>.</w:t>
      </w:r>
    </w:p>
    <w:p w14:paraId="4F703463" w14:textId="77777777" w:rsidR="007F6E00" w:rsidRDefault="007F6E00">
      <w:pPr>
        <w:widowControl/>
        <w:spacing w:line="240" w:lineRule="auto"/>
        <w:jc w:val="left"/>
        <w:rPr>
          <w:rFonts w:cs="Times New Roman"/>
        </w:rPr>
      </w:pPr>
      <w:r>
        <w:rPr>
          <w:rFonts w:cs="Times New Roman"/>
        </w:rPr>
        <w:br w:type="page"/>
      </w:r>
    </w:p>
    <w:p w14:paraId="1E968FE9" w14:textId="77777777" w:rsidR="007F6E00" w:rsidRDefault="007F6E00" w:rsidP="008715DF">
      <w:pPr>
        <w:tabs>
          <w:tab w:val="center" w:pos="4080"/>
          <w:tab w:val="right" w:pos="8160"/>
        </w:tabs>
        <w:spacing w:line="240" w:lineRule="auto"/>
        <w:jc w:val="center"/>
        <w:rPr>
          <w:rFonts w:cs="Times New Roman"/>
        </w:rPr>
      </w:pPr>
      <w:r>
        <w:rPr>
          <w:rFonts w:cs="Times New Roman" w:hint="eastAsia"/>
          <w:noProof/>
        </w:rPr>
        <w:lastRenderedPageBreak/>
        <w:drawing>
          <wp:inline distT="0" distB="0" distL="0" distR="0" wp14:anchorId="0C7F4ABD" wp14:editId="0A62E30B">
            <wp:extent cx="4320000" cy="3630079"/>
            <wp:effectExtent l="0" t="0" r="0" b="254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pic:nvPicPr>
                  <pic:blipFill rotWithShape="1">
                    <a:blip r:embed="rId57" cstate="print">
                      <a:extLst>
                        <a:ext uri="{28A0092B-C50C-407E-A947-70E740481C1C}">
                          <a14:useLocalDpi xmlns:a14="http://schemas.microsoft.com/office/drawing/2010/main" val="0"/>
                        </a:ext>
                      </a:extLst>
                    </a:blip>
                    <a:srcRect t="6579"/>
                    <a:stretch/>
                  </pic:blipFill>
                  <pic:spPr bwMode="auto">
                    <a:xfrm>
                      <a:off x="0" y="0"/>
                      <a:ext cx="4320000" cy="3630079"/>
                    </a:xfrm>
                    <a:prstGeom prst="rect">
                      <a:avLst/>
                    </a:prstGeom>
                    <a:ln>
                      <a:noFill/>
                    </a:ln>
                    <a:extLst>
                      <a:ext uri="{53640926-AAD7-44D8-BBD7-CCE9431645EC}">
                        <a14:shadowObscured xmlns:a14="http://schemas.microsoft.com/office/drawing/2010/main"/>
                      </a:ext>
                    </a:extLst>
                  </pic:spPr>
                </pic:pic>
              </a:graphicData>
            </a:graphic>
          </wp:inline>
        </w:drawing>
      </w:r>
    </w:p>
    <w:p w14:paraId="111B9E3C" w14:textId="77777777" w:rsidR="007F6E00" w:rsidRDefault="007F6E00" w:rsidP="00BF485D">
      <w:pPr>
        <w:tabs>
          <w:tab w:val="center" w:pos="4080"/>
          <w:tab w:val="right" w:pos="8160"/>
        </w:tabs>
        <w:spacing w:line="240" w:lineRule="auto"/>
        <w:rPr>
          <w:rFonts w:cs="Times New Roman"/>
        </w:rPr>
      </w:pPr>
      <w:r>
        <w:rPr>
          <w:b/>
          <w:bCs/>
        </w:rPr>
        <w:t>Supplementary Fig. 50</w:t>
      </w:r>
      <w:r w:rsidRPr="000D5F60">
        <w:rPr>
          <w:b/>
          <w:bCs/>
        </w:rPr>
        <w:t xml:space="preserve"> | </w:t>
      </w:r>
      <w:proofErr w:type="spellStart"/>
      <w:r w:rsidRPr="000D5F60">
        <w:rPr>
          <w:b/>
          <w:bCs/>
          <w:i/>
          <w:iCs/>
        </w:rPr>
        <w:t>Vp</w:t>
      </w:r>
      <w:proofErr w:type="spellEnd"/>
      <w:r w:rsidRPr="000D5F60">
        <w:rPr>
          <w:b/>
          <w:bCs/>
        </w:rPr>
        <w:t xml:space="preserve">, </w:t>
      </w:r>
      <w:r w:rsidRPr="000D5F60">
        <w:rPr>
          <w:b/>
          <w:bCs/>
          <w:i/>
          <w:iCs/>
        </w:rPr>
        <w:t>Vs</w:t>
      </w:r>
      <w:r w:rsidRPr="000D5F60">
        <w:rPr>
          <w:b/>
          <w:bCs/>
        </w:rPr>
        <w:t xml:space="preserve">, and their temperature derivatives from </w:t>
      </w:r>
      <w:proofErr w:type="spellStart"/>
      <w:r w:rsidRPr="000D5F60">
        <w:rPr>
          <w:b/>
          <w:bCs/>
        </w:rPr>
        <w:t>Perple_X</w:t>
      </w:r>
      <w:proofErr w:type="spellEnd"/>
      <w:r w:rsidRPr="000D5F60">
        <w:rPr>
          <w:b/>
          <w:bCs/>
        </w:rPr>
        <w:t xml:space="preserve"> calculations with different mantle compositions.</w:t>
      </w:r>
      <w:r w:rsidRPr="004B1F1B">
        <w:rPr>
          <w:rStyle w:val="20"/>
        </w:rPr>
        <w:t xml:space="preserve"> </w:t>
      </w:r>
      <w:r>
        <w:rPr>
          <w:rFonts w:cs="Times New Roman"/>
        </w:rPr>
        <w:t xml:space="preserve">(a) </w:t>
      </w:r>
      <w:proofErr w:type="spellStart"/>
      <w:r w:rsidRPr="00810229">
        <w:rPr>
          <w:rFonts w:cs="Times New Roman"/>
          <w:i/>
          <w:iCs/>
        </w:rPr>
        <w:t>Vp</w:t>
      </w:r>
      <w:r>
        <w:rPr>
          <w:rFonts w:cs="Times New Roman"/>
        </w:rPr>
        <w:t>’s</w:t>
      </w:r>
      <w:proofErr w:type="spellEnd"/>
      <w:r>
        <w:rPr>
          <w:rFonts w:cs="Times New Roman"/>
        </w:rPr>
        <w:t xml:space="preserve"> at different temperatures. (b) </w:t>
      </w:r>
      <w:r w:rsidRPr="00810229">
        <w:rPr>
          <w:rFonts w:cs="Times New Roman"/>
          <w:i/>
          <w:iCs/>
        </w:rPr>
        <w:t>Vs</w:t>
      </w:r>
      <w:r>
        <w:rPr>
          <w:rFonts w:cs="Times New Roman"/>
        </w:rPr>
        <w:t xml:space="preserve">’s at different temperatures. (c) </w:t>
      </w:r>
      <w:proofErr w:type="spellStart"/>
      <w:r w:rsidRPr="00810229">
        <w:rPr>
          <w:rFonts w:cs="Times New Roman"/>
          <w:i/>
          <w:iCs/>
        </w:rPr>
        <w:t>Vp</w:t>
      </w:r>
      <w:proofErr w:type="spellEnd"/>
      <w:r>
        <w:rPr>
          <w:rFonts w:cs="Times New Roman"/>
        </w:rPr>
        <w:t xml:space="preserve"> derivatives to temperature. (d) </w:t>
      </w:r>
      <w:r w:rsidRPr="00810229">
        <w:rPr>
          <w:rFonts w:cs="Times New Roman"/>
          <w:i/>
          <w:iCs/>
        </w:rPr>
        <w:t>Vs</w:t>
      </w:r>
      <w:r>
        <w:rPr>
          <w:rFonts w:cs="Times New Roman"/>
        </w:rPr>
        <w:t xml:space="preserve"> derivatives to temperature. All values are calculated under the pressure of 0.8 </w:t>
      </w:r>
      <w:proofErr w:type="spellStart"/>
      <w:r>
        <w:rPr>
          <w:rFonts w:cs="Times New Roman"/>
        </w:rPr>
        <w:t>GPa</w:t>
      </w:r>
      <w:proofErr w:type="spellEnd"/>
      <w:r>
        <w:rPr>
          <w:rFonts w:cs="Times New Roman"/>
        </w:rPr>
        <w:t xml:space="preserve">. Horizontal shaded zones denote the </w:t>
      </w:r>
      <w:proofErr w:type="spellStart"/>
      <w:r w:rsidRPr="00810229">
        <w:rPr>
          <w:rFonts w:cs="Times New Roman"/>
          <w:i/>
          <w:iCs/>
        </w:rPr>
        <w:t>Vp</w:t>
      </w:r>
      <w:proofErr w:type="spellEnd"/>
      <w:r>
        <w:rPr>
          <w:rFonts w:cs="Times New Roman"/>
        </w:rPr>
        <w:t xml:space="preserve"> and </w:t>
      </w:r>
      <w:r w:rsidRPr="00810229">
        <w:rPr>
          <w:rFonts w:cs="Times New Roman"/>
          <w:i/>
          <w:iCs/>
        </w:rPr>
        <w:t>Vs</w:t>
      </w:r>
      <w:r>
        <w:rPr>
          <w:rFonts w:cs="Times New Roman"/>
        </w:rPr>
        <w:t xml:space="preserve"> values from our seismic inversions. Vertical shaded zones denote the temperature range between 460 K and 1060 K, which are obtained from thermal evolution modeling at 0.8 </w:t>
      </w:r>
      <w:proofErr w:type="spellStart"/>
      <w:r>
        <w:rPr>
          <w:rFonts w:cs="Times New Roman"/>
        </w:rPr>
        <w:t>GPa</w:t>
      </w:r>
      <w:proofErr w:type="spellEnd"/>
      <w:r>
        <w:rPr>
          <w:rFonts w:cs="Times New Roman"/>
        </w:rPr>
        <w:t>. Vertical dashed lines denote the lower and upper limits of the temperatures of 460 K and 1431.5 K, between which the derivatives of velocities to temperature are averaged. The average temperature derivatives are labelled as horizontal red dashed lines and numbers in (c) and (d).</w:t>
      </w:r>
    </w:p>
    <w:p w14:paraId="6B922D4D" w14:textId="77777777" w:rsidR="007F6E00" w:rsidRDefault="007F6E00">
      <w:pPr>
        <w:widowControl/>
        <w:spacing w:line="240" w:lineRule="auto"/>
        <w:jc w:val="left"/>
        <w:rPr>
          <w:rFonts w:cs="Times New Roman"/>
        </w:rPr>
      </w:pPr>
      <w:r>
        <w:rPr>
          <w:rFonts w:cs="Times New Roman"/>
        </w:rPr>
        <w:br w:type="page"/>
      </w:r>
    </w:p>
    <w:p w14:paraId="61E0C414" w14:textId="77777777" w:rsidR="007F6E00" w:rsidRDefault="007F6E00" w:rsidP="008715DF">
      <w:pPr>
        <w:tabs>
          <w:tab w:val="center" w:pos="4080"/>
          <w:tab w:val="right" w:pos="8160"/>
        </w:tabs>
        <w:spacing w:line="240" w:lineRule="auto"/>
        <w:jc w:val="center"/>
        <w:rPr>
          <w:rFonts w:cs="Times New Roman"/>
        </w:rPr>
      </w:pPr>
      <w:r>
        <w:rPr>
          <w:rFonts w:cs="Times New Roman" w:hint="eastAsia"/>
          <w:noProof/>
        </w:rPr>
        <w:lastRenderedPageBreak/>
        <w:drawing>
          <wp:inline distT="0" distB="0" distL="0" distR="0" wp14:anchorId="0EACE12F" wp14:editId="194786CB">
            <wp:extent cx="4320000" cy="3641659"/>
            <wp:effectExtent l="0" t="0" r="0" b="381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pic:nvPicPr>
                  <pic:blipFill rotWithShape="1">
                    <a:blip r:embed="rId58" cstate="print">
                      <a:extLst>
                        <a:ext uri="{28A0092B-C50C-407E-A947-70E740481C1C}">
                          <a14:useLocalDpi xmlns:a14="http://schemas.microsoft.com/office/drawing/2010/main" val="0"/>
                        </a:ext>
                      </a:extLst>
                    </a:blip>
                    <a:srcRect t="6281"/>
                    <a:stretch/>
                  </pic:blipFill>
                  <pic:spPr bwMode="auto">
                    <a:xfrm>
                      <a:off x="0" y="0"/>
                      <a:ext cx="4320000" cy="3641659"/>
                    </a:xfrm>
                    <a:prstGeom prst="rect">
                      <a:avLst/>
                    </a:prstGeom>
                    <a:ln>
                      <a:noFill/>
                    </a:ln>
                    <a:extLst>
                      <a:ext uri="{53640926-AAD7-44D8-BBD7-CCE9431645EC}">
                        <a14:shadowObscured xmlns:a14="http://schemas.microsoft.com/office/drawing/2010/main"/>
                      </a:ext>
                    </a:extLst>
                  </pic:spPr>
                </pic:pic>
              </a:graphicData>
            </a:graphic>
          </wp:inline>
        </w:drawing>
      </w:r>
    </w:p>
    <w:p w14:paraId="06CF1CB2" w14:textId="77777777" w:rsidR="007F6E00" w:rsidRDefault="007F6E00" w:rsidP="00BF485D">
      <w:pPr>
        <w:tabs>
          <w:tab w:val="center" w:pos="4080"/>
          <w:tab w:val="right" w:pos="8160"/>
        </w:tabs>
        <w:spacing w:line="240" w:lineRule="auto"/>
        <w:rPr>
          <w:rFonts w:cs="Times New Roman"/>
        </w:rPr>
      </w:pPr>
      <w:r>
        <w:rPr>
          <w:b/>
          <w:bCs/>
        </w:rPr>
        <w:t>Supplementary Fig. 51</w:t>
      </w:r>
      <w:r w:rsidRPr="000D5F60">
        <w:rPr>
          <w:b/>
          <w:bCs/>
        </w:rPr>
        <w:t xml:space="preserve"> | </w:t>
      </w:r>
      <w:proofErr w:type="spellStart"/>
      <w:r w:rsidRPr="000D5F60">
        <w:rPr>
          <w:b/>
          <w:bCs/>
          <w:i/>
          <w:iCs/>
        </w:rPr>
        <w:t>Vp</w:t>
      </w:r>
      <w:proofErr w:type="spellEnd"/>
      <w:r w:rsidRPr="000D5F60">
        <w:rPr>
          <w:b/>
          <w:bCs/>
        </w:rPr>
        <w:t xml:space="preserve">, </w:t>
      </w:r>
      <w:r w:rsidRPr="000D5F60">
        <w:rPr>
          <w:b/>
          <w:bCs/>
          <w:i/>
          <w:iCs/>
        </w:rPr>
        <w:t>Vs</w:t>
      </w:r>
      <w:r w:rsidRPr="000D5F60">
        <w:rPr>
          <w:b/>
          <w:bCs/>
        </w:rPr>
        <w:t xml:space="preserve">, and their Mg# derivatives from </w:t>
      </w:r>
      <w:proofErr w:type="spellStart"/>
      <w:r w:rsidRPr="000D5F60">
        <w:rPr>
          <w:b/>
          <w:bCs/>
        </w:rPr>
        <w:t>Perple_X</w:t>
      </w:r>
      <w:proofErr w:type="spellEnd"/>
      <w:r w:rsidRPr="000D5F60">
        <w:rPr>
          <w:b/>
          <w:bCs/>
        </w:rPr>
        <w:t xml:space="preserve"> calculations with different mantle compositions. </w:t>
      </w:r>
      <w:r>
        <w:rPr>
          <w:rFonts w:cs="Times New Roman"/>
        </w:rPr>
        <w:t xml:space="preserve">(a) </w:t>
      </w:r>
      <w:proofErr w:type="spellStart"/>
      <w:r w:rsidRPr="00810229">
        <w:rPr>
          <w:rFonts w:cs="Times New Roman"/>
          <w:i/>
          <w:iCs/>
        </w:rPr>
        <w:t>Vp</w:t>
      </w:r>
      <w:r>
        <w:rPr>
          <w:rFonts w:cs="Times New Roman"/>
        </w:rPr>
        <w:t>’s</w:t>
      </w:r>
      <w:proofErr w:type="spellEnd"/>
      <w:r>
        <w:rPr>
          <w:rFonts w:cs="Times New Roman"/>
        </w:rPr>
        <w:t xml:space="preserve"> at different temperatures. (b) </w:t>
      </w:r>
      <w:r w:rsidRPr="00810229">
        <w:rPr>
          <w:rFonts w:cs="Times New Roman"/>
          <w:i/>
          <w:iCs/>
        </w:rPr>
        <w:t>Vs</w:t>
      </w:r>
      <w:r>
        <w:rPr>
          <w:rFonts w:cs="Times New Roman"/>
        </w:rPr>
        <w:t xml:space="preserve">’s at different temperatures. (c) </w:t>
      </w:r>
      <w:proofErr w:type="spellStart"/>
      <w:r w:rsidRPr="00810229">
        <w:rPr>
          <w:rFonts w:cs="Times New Roman"/>
          <w:i/>
          <w:iCs/>
        </w:rPr>
        <w:t>Vp</w:t>
      </w:r>
      <w:proofErr w:type="spellEnd"/>
      <w:r>
        <w:rPr>
          <w:rFonts w:cs="Times New Roman"/>
        </w:rPr>
        <w:t xml:space="preserve"> derivatives to Mg#. (d) </w:t>
      </w:r>
      <w:r w:rsidRPr="00810229">
        <w:rPr>
          <w:rFonts w:cs="Times New Roman"/>
          <w:i/>
          <w:iCs/>
        </w:rPr>
        <w:t>Vs</w:t>
      </w:r>
      <w:r>
        <w:rPr>
          <w:rFonts w:cs="Times New Roman"/>
        </w:rPr>
        <w:t xml:space="preserve"> derivatives to Mg#. All values are calculated under the pressure of 0.8 </w:t>
      </w:r>
      <w:proofErr w:type="spellStart"/>
      <w:r>
        <w:rPr>
          <w:rFonts w:cs="Times New Roman"/>
        </w:rPr>
        <w:t>GPa</w:t>
      </w:r>
      <w:proofErr w:type="spellEnd"/>
      <w:r>
        <w:rPr>
          <w:rFonts w:cs="Times New Roman"/>
        </w:rPr>
        <w:t xml:space="preserve">. Horizontal shaded zones denote the </w:t>
      </w:r>
      <w:proofErr w:type="spellStart"/>
      <w:r w:rsidRPr="00810229">
        <w:rPr>
          <w:rFonts w:cs="Times New Roman"/>
          <w:i/>
          <w:iCs/>
        </w:rPr>
        <w:t>Vp</w:t>
      </w:r>
      <w:proofErr w:type="spellEnd"/>
      <w:r>
        <w:rPr>
          <w:rFonts w:cs="Times New Roman"/>
        </w:rPr>
        <w:t xml:space="preserve"> and </w:t>
      </w:r>
      <w:r w:rsidRPr="00810229">
        <w:rPr>
          <w:rFonts w:cs="Times New Roman"/>
          <w:i/>
          <w:iCs/>
        </w:rPr>
        <w:t>Vs</w:t>
      </w:r>
      <w:r>
        <w:rPr>
          <w:rFonts w:cs="Times New Roman"/>
        </w:rPr>
        <w:t xml:space="preserve"> values from our seismic inversions. Vertical shaded zones denote the temperature range between 460 K and 1060 K, which are obtained from thermal evolution modeling at 0.8 </w:t>
      </w:r>
      <w:proofErr w:type="spellStart"/>
      <w:r>
        <w:rPr>
          <w:rFonts w:cs="Times New Roman"/>
        </w:rPr>
        <w:t>GPa</w:t>
      </w:r>
      <w:proofErr w:type="spellEnd"/>
      <w:r>
        <w:rPr>
          <w:rFonts w:cs="Times New Roman"/>
        </w:rPr>
        <w:t>. Vertical dashed lines denote the lower and upper limits of the temperatures of 460 K and 1431.5 K, between which the derivatives of velocities to Mg# are averaged. The average Mg# derivatives are labelled as horizontal red dashed lines and numbers in (c) and (d).</w:t>
      </w:r>
    </w:p>
    <w:p w14:paraId="528C7B94" w14:textId="77777777" w:rsidR="007F6E00" w:rsidRDefault="007F6E00">
      <w:pPr>
        <w:widowControl/>
        <w:spacing w:line="240" w:lineRule="auto"/>
        <w:jc w:val="left"/>
        <w:rPr>
          <w:rFonts w:cs="Times New Roman"/>
        </w:rPr>
      </w:pPr>
      <w:r>
        <w:rPr>
          <w:rFonts w:cs="Times New Roman"/>
        </w:rPr>
        <w:br w:type="page"/>
      </w:r>
    </w:p>
    <w:p w14:paraId="726DCF54" w14:textId="77777777" w:rsidR="007F6E00" w:rsidRDefault="007F6E00" w:rsidP="008715DF">
      <w:pPr>
        <w:tabs>
          <w:tab w:val="center" w:pos="4080"/>
          <w:tab w:val="right" w:pos="8160"/>
        </w:tabs>
        <w:spacing w:line="240" w:lineRule="auto"/>
        <w:jc w:val="center"/>
        <w:rPr>
          <w:rFonts w:cs="Times New Roman"/>
        </w:rPr>
      </w:pPr>
      <w:r>
        <w:rPr>
          <w:rFonts w:cs="Times New Roman"/>
          <w:noProof/>
        </w:rPr>
        <w:lastRenderedPageBreak/>
        <w:drawing>
          <wp:inline distT="0" distB="0" distL="0" distR="0" wp14:anchorId="680ACE7E" wp14:editId="01A0B32F">
            <wp:extent cx="3600000" cy="3733343"/>
            <wp:effectExtent l="0" t="0" r="0" b="63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600000" cy="3733343"/>
                    </a:xfrm>
                    <a:prstGeom prst="rect">
                      <a:avLst/>
                    </a:prstGeom>
                  </pic:spPr>
                </pic:pic>
              </a:graphicData>
            </a:graphic>
          </wp:inline>
        </w:drawing>
      </w:r>
    </w:p>
    <w:p w14:paraId="79B7BF4D" w14:textId="77777777" w:rsidR="007F6E00" w:rsidRPr="008715DF" w:rsidRDefault="007F6E00" w:rsidP="00B62E92">
      <w:pPr>
        <w:tabs>
          <w:tab w:val="center" w:pos="4080"/>
          <w:tab w:val="right" w:pos="8160"/>
        </w:tabs>
        <w:spacing w:line="240" w:lineRule="auto"/>
        <w:rPr>
          <w:rFonts w:cs="Times New Roman"/>
        </w:rPr>
      </w:pPr>
      <w:r>
        <w:rPr>
          <w:b/>
          <w:bCs/>
        </w:rPr>
        <w:t>Supplementary Fig. 52</w:t>
      </w:r>
      <w:r w:rsidRPr="000D5F60">
        <w:rPr>
          <w:b/>
          <w:bCs/>
        </w:rPr>
        <w:t xml:space="preserve"> | Temperature profiles and mantle solidi of Mars from previous studies.</w:t>
      </w:r>
      <w:r>
        <w:rPr>
          <w:rFonts w:cs="Times New Roman"/>
        </w:rPr>
        <w:t xml:space="preserve"> Shaded blue and red areas show the distribution of temperatures within Mars’s interior from thermal evolution modelling with medium crustal HPE enrichment</w:t>
      </w:r>
      <w:r w:rsidRPr="00D27662">
        <w:rPr>
          <w:rFonts w:cs="Times New Roman"/>
          <w:noProof/>
          <w:vertAlign w:val="superscript"/>
        </w:rPr>
        <w:t>84</w:t>
      </w:r>
      <w:r>
        <w:rPr>
          <w:rFonts w:cs="Times New Roman"/>
        </w:rPr>
        <w:t xml:space="preserve"> and geodynamic inversion with InSight data</w:t>
      </w:r>
      <w:r w:rsidRPr="00B11BE5">
        <w:rPr>
          <w:rFonts w:cs="Times New Roman"/>
          <w:noProof/>
          <w:vertAlign w:val="superscript"/>
        </w:rPr>
        <w:t>34</w:t>
      </w:r>
      <w:r>
        <w:rPr>
          <w:rFonts w:cs="Times New Roman"/>
        </w:rPr>
        <w:t>. Dashed lines denote the mean temperature profiles. Solid colored lines denote the solidi of anhydrous Martian mantle in different studies</w:t>
      </w:r>
      <w:r w:rsidRPr="00D27662">
        <w:rPr>
          <w:rFonts w:cs="Times New Roman"/>
          <w:noProof/>
          <w:vertAlign w:val="superscript"/>
        </w:rPr>
        <w:t>85-89</w:t>
      </w:r>
      <w:r>
        <w:rPr>
          <w:rFonts w:cs="Times New Roman"/>
        </w:rPr>
        <w:t>.</w:t>
      </w:r>
    </w:p>
    <w:p w14:paraId="1932DB7F" w14:textId="77777777" w:rsidR="007F6E00" w:rsidRDefault="007F6E00">
      <w:pPr>
        <w:widowControl/>
        <w:spacing w:line="240" w:lineRule="auto"/>
        <w:jc w:val="left"/>
        <w:rPr>
          <w:rFonts w:cs="Times New Roman"/>
        </w:rPr>
      </w:pPr>
      <w:r>
        <w:rPr>
          <w:rFonts w:cs="Times New Roman"/>
        </w:rPr>
        <w:br w:type="page"/>
      </w:r>
    </w:p>
    <w:p w14:paraId="4F1B479D" w14:textId="77777777" w:rsidR="007F6E00" w:rsidRDefault="007F6E00" w:rsidP="004D5B5A">
      <w:pPr>
        <w:pStyle w:val="2"/>
      </w:pPr>
      <w:bookmarkStart w:id="50" w:name="_Toc202208138"/>
      <w:r>
        <w:rPr>
          <w:rFonts w:hint="eastAsia"/>
        </w:rPr>
        <w:lastRenderedPageBreak/>
        <w:t>7</w:t>
      </w:r>
      <w:r>
        <w:t>.2. Mineral physical calculation</w:t>
      </w:r>
      <w:bookmarkEnd w:id="50"/>
    </w:p>
    <w:p w14:paraId="64973FE1" w14:textId="77777777" w:rsidR="007F6E00" w:rsidRDefault="007F6E00" w:rsidP="00692255">
      <w:pPr>
        <w:tabs>
          <w:tab w:val="center" w:pos="4080"/>
          <w:tab w:val="right" w:pos="8160"/>
        </w:tabs>
        <w:ind w:firstLineChars="200" w:firstLine="480"/>
      </w:pPr>
      <w:r>
        <w:rPr>
          <w:rFonts w:hint="eastAsia"/>
        </w:rPr>
        <w:t>A</w:t>
      </w:r>
      <w:r>
        <w:t>lternative way to calculate velocity derivatives with respect to temperature and composition is using mineral physical model, which computes the densities and elastic moduli of different mineral phases based on experimental data and empirical formulars. At the depth of the LVZ, the Martian upper mantle is primarily composed of olivine (</w:t>
      </w:r>
      <w:proofErr w:type="spellStart"/>
      <w:r>
        <w:t>ol</w:t>
      </w:r>
      <w:proofErr w:type="spellEnd"/>
      <w:r>
        <w:t>), orthopyroxene (</w:t>
      </w:r>
      <w:proofErr w:type="spellStart"/>
      <w:r>
        <w:t>opx</w:t>
      </w:r>
      <w:proofErr w:type="spellEnd"/>
      <w:r>
        <w:t>), and clinopyroxene (</w:t>
      </w:r>
      <w:proofErr w:type="spellStart"/>
      <w:r>
        <w:t>cpx</w:t>
      </w:r>
      <w:proofErr w:type="spellEnd"/>
      <w:r>
        <w:t>)</w:t>
      </w:r>
      <w:r w:rsidRPr="00D27662">
        <w:rPr>
          <w:noProof/>
          <w:vertAlign w:val="superscript"/>
        </w:rPr>
        <w:t xml:space="preserve"> 90</w:t>
      </w:r>
      <w:r>
        <w:t>. The density, bulk modulus, and shear modulus of this mineral assemblage are calculated as follows</w:t>
      </w:r>
      <w:r w:rsidRPr="00D27662">
        <w:rPr>
          <w:noProof/>
          <w:vertAlign w:val="superscript"/>
        </w:rPr>
        <w:t>91</w:t>
      </w:r>
      <w:r>
        <w:t>,</w:t>
      </w:r>
    </w:p>
    <w:p w14:paraId="197A7F85" w14:textId="77777777" w:rsidR="007F6E00" w:rsidRDefault="007F6E00" w:rsidP="00692255">
      <w:pPr>
        <w:tabs>
          <w:tab w:val="center" w:pos="4080"/>
          <w:tab w:val="right" w:pos="8160"/>
        </w:tabs>
      </w:pPr>
      <w:r>
        <w:tab/>
      </w:r>
      <m:oMath>
        <m:r>
          <w:rPr>
            <w:rFonts w:ascii="Cambria Math" w:hAnsi="Cambria Math"/>
          </w:rPr>
          <m:t>ρ=</m:t>
        </m:r>
        <m:nary>
          <m:naryPr>
            <m:chr m:val="∑"/>
            <m:limLoc m:val="undOvr"/>
            <m:ctrlPr>
              <w:rPr>
                <w:rFonts w:ascii="Cambria Math" w:hAnsi="Cambria Math"/>
                <w:i/>
              </w:rPr>
            </m:ctrlPr>
          </m:naryPr>
          <m:sub>
            <m:r>
              <w:rPr>
                <w:rFonts w:ascii="Cambria Math" w:hAnsi="Cambria Math"/>
              </w:rPr>
              <m:t>i=1</m:t>
            </m:r>
          </m:sub>
          <m:sup>
            <m:r>
              <w:rPr>
                <w:rFonts w:ascii="Cambria Math" w:hAnsi="Cambria Math"/>
              </w:rPr>
              <m:t>3</m:t>
            </m:r>
          </m:sup>
          <m:e>
            <m:sSub>
              <m:sSubPr>
                <m:ctrlPr>
                  <w:rPr>
                    <w:rFonts w:ascii="Cambria Math" w:hAnsi="Cambria Math"/>
                    <w:i/>
                  </w:rPr>
                </m:ctrlPr>
              </m:sSubPr>
              <m:e>
                <m:r>
                  <w:rPr>
                    <w:rFonts w:ascii="Cambria Math" w:hAnsi="Cambria Math"/>
                  </w:rPr>
                  <m:t>ρ</m:t>
                </m:r>
              </m:e>
              <m:sub>
                <m:r>
                  <w:rPr>
                    <w:rFonts w:ascii="Cambria Math" w:hAnsi="Cambria Math"/>
                  </w:rPr>
                  <m:t>i</m:t>
                </m:r>
              </m:sub>
            </m:sSub>
            <m:sSub>
              <m:sSubPr>
                <m:ctrlPr>
                  <w:rPr>
                    <w:rFonts w:ascii="Cambria Math" w:hAnsi="Cambria Math"/>
                    <w:i/>
                  </w:rPr>
                </m:ctrlPr>
              </m:sSubPr>
              <m:e>
                <m:r>
                  <w:rPr>
                    <w:rFonts w:ascii="Cambria Math" w:hAnsi="Cambria Math"/>
                  </w:rPr>
                  <m:t>V</m:t>
                </m:r>
              </m:e>
              <m:sub>
                <m:r>
                  <w:rPr>
                    <w:rFonts w:ascii="Cambria Math" w:hAnsi="Cambria Math"/>
                  </w:rPr>
                  <m:t>i</m:t>
                </m:r>
              </m:sub>
            </m:sSub>
          </m:e>
        </m:nary>
      </m:oMath>
      <w:r>
        <w:rPr>
          <w:rFonts w:hint="eastAsia"/>
        </w:rPr>
        <w:t>,</w:t>
      </w:r>
      <w:r>
        <w:tab/>
        <w:t>(16)</w:t>
      </w:r>
    </w:p>
    <w:p w14:paraId="0B7AD08F" w14:textId="77777777" w:rsidR="007F6E00" w:rsidRDefault="007F6E00" w:rsidP="00692255">
      <w:pPr>
        <w:tabs>
          <w:tab w:val="center" w:pos="4080"/>
          <w:tab w:val="right" w:pos="8160"/>
        </w:tabs>
      </w:pPr>
      <w:r>
        <w:tab/>
      </w:r>
      <m:oMath>
        <m:r>
          <w:rPr>
            <w:rFonts w:ascii="Cambria Math" w:hAnsi="Cambria Math"/>
          </w:rPr>
          <m:t>M=</m:t>
        </m:r>
        <m:f>
          <m:fPr>
            <m:ctrlPr>
              <w:rPr>
                <w:rFonts w:ascii="Cambria Math" w:hAnsi="Cambria Math"/>
                <w:i/>
              </w:rPr>
            </m:ctrlPr>
          </m:fPr>
          <m:num>
            <m:r>
              <w:rPr>
                <w:rFonts w:ascii="Cambria Math" w:hAnsi="Cambria Math"/>
              </w:rPr>
              <m:t>1</m:t>
            </m:r>
          </m:num>
          <m:den>
            <m:r>
              <w:rPr>
                <w:rFonts w:ascii="Cambria Math" w:hAnsi="Cambria Math"/>
              </w:rPr>
              <m:t>2</m:t>
            </m:r>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i=1</m:t>
                </m:r>
              </m:sub>
              <m:sup>
                <m:r>
                  <w:rPr>
                    <w:rFonts w:ascii="Cambria Math" w:hAnsi="Cambria Math"/>
                  </w:rPr>
                  <m:t>3</m:t>
                </m:r>
              </m:sup>
              <m:e>
                <m:sSub>
                  <m:sSubPr>
                    <m:ctrlPr>
                      <w:rPr>
                        <w:rFonts w:ascii="Cambria Math" w:hAnsi="Cambria Math"/>
                        <w:i/>
                      </w:rPr>
                    </m:ctrlPr>
                  </m:sSubPr>
                  <m:e>
                    <m:r>
                      <w:rPr>
                        <w:rFonts w:ascii="Cambria Math" w:hAnsi="Cambria Math"/>
                      </w:rPr>
                      <m:t>M</m:t>
                    </m:r>
                  </m:e>
                  <m:sub>
                    <m:r>
                      <w:rPr>
                        <w:rFonts w:ascii="Cambria Math" w:hAnsi="Cambria Math"/>
                      </w:rPr>
                      <m:t>i</m:t>
                    </m:r>
                  </m:sub>
                </m:sSub>
                <m:sSub>
                  <m:sSubPr>
                    <m:ctrlPr>
                      <w:rPr>
                        <w:rFonts w:ascii="Cambria Math" w:hAnsi="Cambria Math"/>
                        <w:i/>
                      </w:rPr>
                    </m:ctrlPr>
                  </m:sSubPr>
                  <m:e>
                    <m:r>
                      <w:rPr>
                        <w:rFonts w:ascii="Cambria Math" w:hAnsi="Cambria Math"/>
                      </w:rPr>
                      <m:t>V</m:t>
                    </m:r>
                  </m:e>
                  <m:sub>
                    <m:r>
                      <w:rPr>
                        <w:rFonts w:ascii="Cambria Math" w:hAnsi="Cambria Math"/>
                      </w:rPr>
                      <m:t>i</m:t>
                    </m:r>
                  </m:sub>
                </m:sSub>
              </m:e>
            </m:nary>
            <m:r>
              <w:rPr>
                <w:rFonts w:ascii="Cambria Math" w:hAnsi="Cambria Math"/>
              </w:rPr>
              <m:t>+</m:t>
            </m:r>
            <m:sSup>
              <m:sSupPr>
                <m:ctrlPr>
                  <w:rPr>
                    <w:rFonts w:ascii="Cambria Math" w:hAnsi="Cambria Math"/>
                    <w:i/>
                  </w:rPr>
                </m:ctrlPr>
              </m:sSupPr>
              <m:e>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i=1</m:t>
                        </m:r>
                      </m:sub>
                      <m:sup>
                        <m:r>
                          <w:rPr>
                            <w:rFonts w:ascii="Cambria Math" w:hAnsi="Cambria Math"/>
                          </w:rPr>
                          <m:t>3</m:t>
                        </m:r>
                      </m:sup>
                      <m:e>
                        <m:sSubSup>
                          <m:sSubSupPr>
                            <m:ctrlPr>
                              <w:rPr>
                                <w:rFonts w:ascii="Cambria Math" w:hAnsi="Cambria Math"/>
                                <w:i/>
                              </w:rPr>
                            </m:ctrlPr>
                          </m:sSubSupPr>
                          <m:e>
                            <m:r>
                              <w:rPr>
                                <w:rFonts w:ascii="Cambria Math" w:hAnsi="Cambria Math"/>
                              </w:rPr>
                              <m:t>M</m:t>
                            </m:r>
                          </m:e>
                          <m:sub>
                            <m:r>
                              <w:rPr>
                                <w:rFonts w:ascii="Cambria Math" w:hAnsi="Cambria Math"/>
                              </w:rPr>
                              <m:t>i</m:t>
                            </m:r>
                          </m:sub>
                          <m:sup>
                            <m:r>
                              <w:rPr>
                                <w:rFonts w:ascii="Cambria Math" w:hAnsi="Cambria Math"/>
                              </w:rPr>
                              <m:t>-1</m:t>
                            </m:r>
                          </m:sup>
                        </m:sSubSup>
                        <m:sSub>
                          <m:sSubPr>
                            <m:ctrlPr>
                              <w:rPr>
                                <w:rFonts w:ascii="Cambria Math" w:hAnsi="Cambria Math"/>
                                <w:i/>
                              </w:rPr>
                            </m:ctrlPr>
                          </m:sSubPr>
                          <m:e>
                            <m:r>
                              <w:rPr>
                                <w:rFonts w:ascii="Cambria Math" w:hAnsi="Cambria Math"/>
                              </w:rPr>
                              <m:t>V</m:t>
                            </m:r>
                          </m:e>
                          <m:sub>
                            <m:r>
                              <w:rPr>
                                <w:rFonts w:ascii="Cambria Math" w:hAnsi="Cambria Math"/>
                              </w:rPr>
                              <m:t>i</m:t>
                            </m:r>
                          </m:sub>
                        </m:sSub>
                      </m:e>
                    </m:nary>
                  </m:e>
                </m:d>
              </m:e>
              <m:sup>
                <m:r>
                  <w:rPr>
                    <w:rFonts w:ascii="Cambria Math" w:hAnsi="Cambria Math"/>
                  </w:rPr>
                  <m:t>-1</m:t>
                </m:r>
              </m:sup>
            </m:sSup>
          </m:e>
        </m:d>
      </m:oMath>
      <w:r>
        <w:rPr>
          <w:rFonts w:hint="eastAsia"/>
        </w:rPr>
        <w:t>,</w:t>
      </w:r>
      <w:r>
        <w:tab/>
        <w:t>(17)</w:t>
      </w:r>
    </w:p>
    <w:p w14:paraId="019FBD1E" w14:textId="77777777" w:rsidR="007F6E00" w:rsidRDefault="007F6E00" w:rsidP="00692255">
      <w:pPr>
        <w:tabs>
          <w:tab w:val="center" w:pos="4080"/>
          <w:tab w:val="right" w:pos="8160"/>
        </w:tabs>
      </w:pPr>
      <w:r>
        <w:t xml:space="preserve">where </w:t>
      </w:r>
      <m:oMath>
        <m:sSub>
          <m:sSubPr>
            <m:ctrlPr>
              <w:rPr>
                <w:rFonts w:ascii="Cambria Math" w:hAnsi="Cambria Math"/>
                <w:i/>
              </w:rPr>
            </m:ctrlPr>
          </m:sSubPr>
          <m:e>
            <m:r>
              <w:rPr>
                <w:rFonts w:ascii="Cambria Math" w:hAnsi="Cambria Math"/>
              </w:rPr>
              <m:t>V</m:t>
            </m:r>
          </m:e>
          <m:sub>
            <m:r>
              <w:rPr>
                <w:rFonts w:ascii="Cambria Math" w:hAnsi="Cambria Math"/>
              </w:rPr>
              <m:t>i</m:t>
            </m:r>
          </m:sub>
        </m:sSub>
      </m:oMath>
      <w:r>
        <w:t xml:space="preserve">, </w:t>
      </w:r>
      <m:oMath>
        <m:sSub>
          <m:sSubPr>
            <m:ctrlPr>
              <w:rPr>
                <w:rFonts w:ascii="Cambria Math" w:hAnsi="Cambria Math"/>
                <w:i/>
              </w:rPr>
            </m:ctrlPr>
          </m:sSubPr>
          <m:e>
            <m:r>
              <w:rPr>
                <w:rFonts w:ascii="Cambria Math" w:hAnsi="Cambria Math"/>
              </w:rPr>
              <m:t>ρ</m:t>
            </m:r>
          </m:e>
          <m:sub>
            <m:r>
              <w:rPr>
                <w:rFonts w:ascii="Cambria Math" w:hAnsi="Cambria Math"/>
              </w:rPr>
              <m:t>i</m:t>
            </m:r>
          </m:sub>
        </m:sSub>
      </m:oMath>
      <w:r>
        <w:rPr>
          <w:rFonts w:hint="eastAsia"/>
        </w:rPr>
        <w:t>,</w:t>
      </w:r>
      <w:r>
        <w:t xml:space="preserve"> and </w:t>
      </w:r>
      <m:oMath>
        <m:sSub>
          <m:sSubPr>
            <m:ctrlPr>
              <w:rPr>
                <w:rFonts w:ascii="Cambria Math" w:hAnsi="Cambria Math"/>
                <w:i/>
              </w:rPr>
            </m:ctrlPr>
          </m:sSubPr>
          <m:e>
            <m:r>
              <w:rPr>
                <w:rFonts w:ascii="Cambria Math" w:hAnsi="Cambria Math"/>
              </w:rPr>
              <m:t>M</m:t>
            </m:r>
          </m:e>
          <m:sub>
            <m:r>
              <w:rPr>
                <w:rFonts w:ascii="Cambria Math" w:hAnsi="Cambria Math"/>
              </w:rPr>
              <m:t>i</m:t>
            </m:r>
          </m:sub>
        </m:sSub>
      </m:oMath>
      <w:r>
        <w:rPr>
          <w:rFonts w:hint="eastAsia"/>
        </w:rPr>
        <w:t xml:space="preserve"> </w:t>
      </w:r>
      <w:r>
        <w:t>represent the volume percentage, density, and bulk (</w:t>
      </w:r>
      <w:r w:rsidRPr="009946FB">
        <w:rPr>
          <w:i/>
          <w:iCs/>
        </w:rPr>
        <w:t>K</w:t>
      </w:r>
      <w:r>
        <w:t>) or shear (</w:t>
      </w:r>
      <w:r w:rsidRPr="009946FB">
        <w:rPr>
          <w:i/>
          <w:iCs/>
        </w:rPr>
        <w:t>G</w:t>
      </w:r>
      <w:r>
        <w:t>) modulus of each component, respectively. The P and S wave velocities are then derived by:</w:t>
      </w:r>
    </w:p>
    <w:p w14:paraId="6826E018" w14:textId="77777777" w:rsidR="007F6E00" w:rsidRDefault="007F6E00" w:rsidP="00692255">
      <w:pPr>
        <w:tabs>
          <w:tab w:val="center" w:pos="4080"/>
          <w:tab w:val="right" w:pos="8160"/>
        </w:tabs>
      </w:pPr>
      <w:r>
        <w:tab/>
      </w:r>
      <m:oMath>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r>
                  <w:rPr>
                    <w:rFonts w:ascii="Cambria Math" w:hAnsi="Cambria Math"/>
                  </w:rPr>
                  <m:t>K+4/3G</m:t>
                </m:r>
              </m:num>
              <m:den>
                <m:r>
                  <w:rPr>
                    <w:rFonts w:ascii="Cambria Math" w:hAnsi="Cambria Math"/>
                  </w:rPr>
                  <m:t>ρ</m:t>
                </m:r>
              </m:den>
            </m:f>
          </m:e>
        </m:rad>
      </m:oMath>
      <w:r>
        <w:rPr>
          <w:rFonts w:hint="eastAsia"/>
        </w:rPr>
        <w:t>,</w:t>
      </w:r>
      <w:r>
        <w:tab/>
        <w:t>(18)</w:t>
      </w:r>
    </w:p>
    <w:p w14:paraId="366FDB67" w14:textId="77777777" w:rsidR="007F6E00" w:rsidRDefault="007F6E00" w:rsidP="00692255">
      <w:pPr>
        <w:tabs>
          <w:tab w:val="center" w:pos="4080"/>
          <w:tab w:val="right" w:pos="8160"/>
        </w:tabs>
      </w:pPr>
      <w:r>
        <w:tab/>
      </w:r>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r>
                  <w:rPr>
                    <w:rFonts w:ascii="Cambria Math" w:hAnsi="Cambria Math"/>
                  </w:rPr>
                  <m:t>G</m:t>
                </m:r>
              </m:num>
              <m:den>
                <m:r>
                  <w:rPr>
                    <w:rFonts w:ascii="Cambria Math" w:hAnsi="Cambria Math"/>
                  </w:rPr>
                  <m:t>ρ</m:t>
                </m:r>
              </m:den>
            </m:f>
          </m:e>
        </m:rad>
      </m:oMath>
      <w:r>
        <w:rPr>
          <w:rFonts w:hint="eastAsia"/>
        </w:rPr>
        <w:t>.</w:t>
      </w:r>
      <w:r>
        <w:tab/>
        <w:t>(19)</w:t>
      </w:r>
    </w:p>
    <w:p w14:paraId="7C40C5D2" w14:textId="77777777" w:rsidR="007F6E00" w:rsidRPr="005E192B" w:rsidRDefault="007F6E00" w:rsidP="00254442">
      <w:pPr>
        <w:tabs>
          <w:tab w:val="center" w:pos="4080"/>
          <w:tab w:val="right" w:pos="8160"/>
        </w:tabs>
        <w:ind w:firstLineChars="200" w:firstLine="480"/>
      </w:pPr>
      <w:r>
        <w:rPr>
          <w:rFonts w:hint="eastAsia"/>
        </w:rPr>
        <w:t>I</w:t>
      </w:r>
      <w:r>
        <w:t>n the mineral physical model, the relative volume (</w:t>
      </w:r>
      <m:oMath>
        <m:sSub>
          <m:sSubPr>
            <m:ctrlPr>
              <w:rPr>
                <w:rFonts w:ascii="Cambria Math" w:hAnsi="Cambria Math"/>
                <w:i/>
              </w:rPr>
            </m:ctrlPr>
          </m:sSubPr>
          <m:e>
            <m:r>
              <w:rPr>
                <w:rFonts w:ascii="Cambria Math" w:hAnsi="Cambria Math"/>
              </w:rPr>
              <m:t>V</m:t>
            </m:r>
          </m:e>
          <m:sub>
            <m:r>
              <w:rPr>
                <w:rFonts w:ascii="Cambria Math" w:hAnsi="Cambria Math"/>
              </w:rPr>
              <m:t>0</m:t>
            </m:r>
          </m:sub>
        </m:sSub>
        <m:r>
          <w:rPr>
            <w:rFonts w:ascii="Cambria Math" w:hAnsi="Cambria Math"/>
          </w:rPr>
          <m:t>/V</m:t>
        </m:r>
      </m:oMath>
      <w:r>
        <w:t>) is first calculated under given temperature and pressure conditions using the third-order Birch–Murnaghan equation of state</w:t>
      </w:r>
      <w:r w:rsidRPr="00D27662">
        <w:rPr>
          <w:noProof/>
          <w:vertAlign w:val="superscript"/>
        </w:rPr>
        <w:t>92</w:t>
      </w:r>
      <w:r w:rsidRPr="005E192B">
        <w:t xml:space="preserve">, </w:t>
      </w:r>
    </w:p>
    <w:p w14:paraId="5BF20D76" w14:textId="77777777" w:rsidR="007F6E00" w:rsidRPr="005E192B" w:rsidRDefault="007F6E00" w:rsidP="00692255">
      <w:pPr>
        <w:tabs>
          <w:tab w:val="center" w:pos="4080"/>
          <w:tab w:val="right" w:pos="8160"/>
        </w:tabs>
      </w:pPr>
      <w:r w:rsidRPr="005E192B">
        <w:tab/>
      </w:r>
      <m:oMath>
        <m:r>
          <w:rPr>
            <w:rFonts w:ascii="Cambria Math" w:hAnsi="Cambria Math" w:cs="Times New Roman"/>
          </w:rPr>
          <m:t>P=</m:t>
        </m:r>
        <m:f>
          <m:fPr>
            <m:type m:val="lin"/>
            <m:ctrlPr>
              <w:rPr>
                <w:rFonts w:ascii="Cambria Math" w:hAnsi="Cambria Math" w:cs="Times New Roman"/>
                <w:i/>
              </w:rPr>
            </m:ctrlPr>
          </m:fPr>
          <m:num>
            <m:r>
              <w:rPr>
                <w:rFonts w:ascii="Cambria Math" w:hAnsi="Cambria Math" w:cs="Times New Roman"/>
              </w:rPr>
              <m:t>3</m:t>
            </m:r>
          </m:num>
          <m:den>
            <m:r>
              <w:rPr>
                <w:rFonts w:ascii="Cambria Math" w:hAnsi="Cambria Math" w:cs="Times New Roman"/>
              </w:rPr>
              <m:t>2</m:t>
            </m:r>
          </m:den>
        </m:f>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T0</m:t>
            </m:r>
          </m:sub>
        </m:sSub>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m:t>
        </m:r>
        <m:d>
          <m:dPr>
            <m:begChr m:val="["/>
            <m:endChr m:val="]"/>
            <m:ctrlPr>
              <w:rPr>
                <w:rFonts w:ascii="Cambria Math" w:hAnsi="Cambria Math" w:cs="Times New Roman"/>
                <w:i/>
              </w:rPr>
            </m:ctrlPr>
          </m:dPr>
          <m:e>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0</m:t>
                            </m:r>
                          </m:sub>
                        </m:sSub>
                      </m:num>
                      <m:den>
                        <m:r>
                          <w:rPr>
                            <w:rFonts w:ascii="Cambria Math" w:hAnsi="Cambria Math" w:cs="Times New Roman"/>
                          </w:rPr>
                          <m:t>V</m:t>
                        </m:r>
                      </m:den>
                    </m:f>
                  </m:e>
                </m:d>
              </m:e>
              <m:sup>
                <m:f>
                  <m:fPr>
                    <m:ctrlPr>
                      <w:rPr>
                        <w:rFonts w:ascii="Cambria Math" w:hAnsi="Cambria Math" w:cs="Times New Roman"/>
                        <w:i/>
                      </w:rPr>
                    </m:ctrlPr>
                  </m:fPr>
                  <m:num>
                    <m:r>
                      <w:rPr>
                        <w:rFonts w:ascii="Cambria Math" w:hAnsi="Cambria Math" w:cs="Times New Roman"/>
                      </w:rPr>
                      <m:t>7</m:t>
                    </m:r>
                  </m:num>
                  <m:den>
                    <m:r>
                      <w:rPr>
                        <w:rFonts w:ascii="Cambria Math" w:hAnsi="Cambria Math" w:cs="Times New Roman"/>
                      </w:rPr>
                      <m:t>3</m:t>
                    </m:r>
                  </m:den>
                </m:f>
              </m:sup>
            </m:sSup>
            <m:r>
              <w:rPr>
                <w:rFonts w:ascii="Cambria Math" w:hAnsi="Cambria Math" w:cs="Times New Roman"/>
              </w:rPr>
              <m:t>-</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0</m:t>
                            </m:r>
                          </m:sub>
                        </m:sSub>
                      </m:num>
                      <m:den>
                        <m:r>
                          <w:rPr>
                            <w:rFonts w:ascii="Cambria Math" w:hAnsi="Cambria Math" w:cs="Times New Roman"/>
                          </w:rPr>
                          <m:t>V</m:t>
                        </m:r>
                      </m:den>
                    </m:f>
                  </m:e>
                </m:d>
              </m:e>
              <m:sup>
                <m:f>
                  <m:fPr>
                    <m:ctrlPr>
                      <w:rPr>
                        <w:rFonts w:ascii="Cambria Math" w:hAnsi="Cambria Math" w:cs="Times New Roman"/>
                        <w:i/>
                      </w:rPr>
                    </m:ctrlPr>
                  </m:fPr>
                  <m:num>
                    <m:r>
                      <w:rPr>
                        <w:rFonts w:ascii="Cambria Math" w:hAnsi="Cambria Math" w:cs="Times New Roman"/>
                      </w:rPr>
                      <m:t>5</m:t>
                    </m:r>
                  </m:num>
                  <m:den>
                    <m:r>
                      <w:rPr>
                        <w:rFonts w:ascii="Cambria Math" w:hAnsi="Cambria Math" w:cs="Times New Roman"/>
                      </w:rPr>
                      <m:t>3</m:t>
                    </m:r>
                  </m:den>
                </m:f>
              </m:sup>
            </m:sSup>
          </m:e>
        </m:d>
        <m:d>
          <m:dPr>
            <m:begChr m:val="{"/>
            <m:endChr m:val="}"/>
            <m:ctrlPr>
              <w:rPr>
                <w:rFonts w:ascii="Cambria Math" w:hAnsi="Cambria Math" w:cs="Times New Roman"/>
                <w:i/>
              </w:rPr>
            </m:ctrlPr>
          </m:dPr>
          <m:e>
            <m:r>
              <w:rPr>
                <w:rFonts w:ascii="Cambria Math" w:hAnsi="Cambria Math" w:cs="Times New Roman"/>
              </w:rPr>
              <m:t>1-</m:t>
            </m:r>
            <m:f>
              <m:fPr>
                <m:type m:val="lin"/>
                <m:ctrlPr>
                  <w:rPr>
                    <w:rFonts w:ascii="Cambria Math" w:hAnsi="Cambria Math" w:cs="Times New Roman"/>
                    <w:i/>
                  </w:rPr>
                </m:ctrlPr>
              </m:fPr>
              <m:num>
                <m:r>
                  <w:rPr>
                    <w:rFonts w:ascii="Cambria Math" w:hAnsi="Cambria Math" w:cs="Times New Roman"/>
                  </w:rPr>
                  <m:t>3</m:t>
                </m:r>
              </m:num>
              <m:den>
                <m:r>
                  <w:rPr>
                    <w:rFonts w:ascii="Cambria Math" w:hAnsi="Cambria Math" w:cs="Times New Roman"/>
                  </w:rPr>
                  <m:t>4</m:t>
                </m:r>
              </m:den>
            </m:f>
            <m:r>
              <w:rPr>
                <w:rFonts w:ascii="Cambria Math" w:hAnsi="Cambria Math" w:cs="Times New Roman"/>
              </w:rPr>
              <m:t>*</m:t>
            </m:r>
            <m:d>
              <m:dPr>
                <m:begChr m:val="["/>
                <m:endChr m:val="]"/>
                <m:ctrlPr>
                  <w:rPr>
                    <w:rFonts w:ascii="Cambria Math" w:hAnsi="Cambria Math" w:cs="Times New Roman"/>
                    <w:i/>
                  </w:rPr>
                </m:ctrlPr>
              </m:dPr>
              <m:e>
                <m:r>
                  <w:rPr>
                    <w:rFonts w:ascii="Cambria Math" w:hAnsi="Cambria Math" w:cs="Times New Roman"/>
                  </w:rPr>
                  <m:t>4-</m:t>
                </m:r>
                <m:sSubSup>
                  <m:sSubSupPr>
                    <m:ctrlPr>
                      <w:rPr>
                        <w:rFonts w:ascii="Cambria Math" w:hAnsi="Cambria Math" w:cs="Times New Roman"/>
                        <w:i/>
                      </w:rPr>
                    </m:ctrlPr>
                  </m:sSubSupPr>
                  <m:e>
                    <m:r>
                      <w:rPr>
                        <w:rFonts w:ascii="Cambria Math" w:hAnsi="Cambria Math" w:cs="Times New Roman"/>
                      </w:rPr>
                      <m:t>K</m:t>
                    </m:r>
                  </m:e>
                  <m:sub>
                    <m:r>
                      <w:rPr>
                        <w:rFonts w:ascii="Cambria Math" w:hAnsi="Cambria Math" w:cs="Times New Roman"/>
                      </w:rPr>
                      <m:t>T0</m:t>
                    </m:r>
                  </m:sub>
                  <m:sup>
                    <m:r>
                      <w:rPr>
                        <w:rFonts w:ascii="Cambria Math" w:hAnsi="Cambria Math" w:cs="Times New Roman"/>
                      </w:rPr>
                      <m:t>'</m:t>
                    </m:r>
                  </m:sup>
                </m:sSubSup>
              </m:e>
            </m:d>
            <m:d>
              <m:dPr>
                <m:begChr m:val="["/>
                <m:endChr m:val="]"/>
                <m:ctrlPr>
                  <w:rPr>
                    <w:rFonts w:ascii="Cambria Math" w:hAnsi="Cambria Math" w:cs="Times New Roman"/>
                    <w:i/>
                  </w:rPr>
                </m:ctrlPr>
              </m:dPr>
              <m:e>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0</m:t>
                                </m:r>
                              </m:sub>
                            </m:sSub>
                          </m:num>
                          <m:den>
                            <m:r>
                              <w:rPr>
                                <w:rFonts w:ascii="Cambria Math" w:hAnsi="Cambria Math" w:cs="Times New Roman"/>
                              </w:rPr>
                              <m:t>V</m:t>
                            </m:r>
                          </m:den>
                        </m:f>
                      </m:e>
                    </m:d>
                  </m:e>
                  <m:sup>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3</m:t>
                        </m:r>
                      </m:den>
                    </m:f>
                  </m:sup>
                </m:sSup>
                <m:r>
                  <w:rPr>
                    <w:rFonts w:ascii="Cambria Math" w:hAnsi="Cambria Math" w:cs="Times New Roman"/>
                  </w:rPr>
                  <m:t>-1</m:t>
                </m:r>
              </m:e>
            </m:d>
          </m:e>
        </m:d>
      </m:oMath>
      <w:r w:rsidRPr="005E192B">
        <w:t>,</w:t>
      </w:r>
      <w:r w:rsidRPr="005E192B">
        <w:tab/>
        <w:t>(</w:t>
      </w:r>
      <w:r>
        <w:t>20</w:t>
      </w:r>
      <w:r w:rsidRPr="005E192B">
        <w:t>)</w:t>
      </w:r>
    </w:p>
    <w:p w14:paraId="6FFB5197" w14:textId="77777777" w:rsidR="007F6E00" w:rsidRPr="005E192B" w:rsidRDefault="007F6E00" w:rsidP="00692255">
      <w:pPr>
        <w:tabs>
          <w:tab w:val="center" w:pos="4080"/>
          <w:tab w:val="right" w:pos="8160"/>
        </w:tabs>
      </w:pPr>
      <w:r w:rsidRPr="005E192B">
        <w:t xml:space="preserve">where </w:t>
      </w:r>
      <w:r w:rsidRPr="005E192B">
        <w:rPr>
          <w:i/>
          <w:iCs/>
        </w:rPr>
        <w:t>P</w:t>
      </w:r>
      <w:r w:rsidRPr="005E192B">
        <w:t xml:space="preserve"> and </w:t>
      </w:r>
      <w:r w:rsidRPr="005E192B">
        <w:rPr>
          <w:i/>
          <w:iCs/>
        </w:rPr>
        <w:t>T</w:t>
      </w:r>
      <w:r w:rsidRPr="005E192B">
        <w:t xml:space="preserve"> are pressure and temperature, </w:t>
      </w: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0</m:t>
            </m:r>
          </m:sub>
        </m:sSub>
      </m:oMath>
      <w:r w:rsidRPr="005E192B">
        <w:rPr>
          <w:rFonts w:hint="eastAsia"/>
        </w:rPr>
        <w:t xml:space="preserve"> </w:t>
      </w:r>
      <w:r w:rsidRPr="005E192B">
        <w:t xml:space="preserve">is the initial volume of the unit cell, </w:t>
      </w:r>
      <w:r>
        <w:t xml:space="preserve">and </w:t>
      </w:r>
      <m:oMath>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T0</m:t>
            </m:r>
          </m:sub>
        </m:sSub>
      </m:oMath>
      <w:r w:rsidRPr="005E192B">
        <w:rPr>
          <w:rFonts w:hint="eastAsia"/>
        </w:rPr>
        <w:t xml:space="preserve"> </w:t>
      </w:r>
      <w:r w:rsidRPr="005E192B">
        <w:t xml:space="preserve">and </w:t>
      </w:r>
      <m:oMath>
        <m:sSubSup>
          <m:sSubSupPr>
            <m:ctrlPr>
              <w:rPr>
                <w:rFonts w:ascii="Cambria Math" w:hAnsi="Cambria Math" w:cs="Times New Roman"/>
                <w:i/>
              </w:rPr>
            </m:ctrlPr>
          </m:sSubSupPr>
          <m:e>
            <m:r>
              <w:rPr>
                <w:rFonts w:ascii="Cambria Math" w:hAnsi="Cambria Math" w:cs="Times New Roman"/>
              </w:rPr>
              <m:t>K</m:t>
            </m:r>
          </m:e>
          <m:sub>
            <m:r>
              <w:rPr>
                <w:rFonts w:ascii="Cambria Math" w:hAnsi="Cambria Math" w:cs="Times New Roman"/>
              </w:rPr>
              <m:t>T0</m:t>
            </m:r>
          </m:sub>
          <m:sup>
            <m:r>
              <w:rPr>
                <w:rFonts w:ascii="Cambria Math" w:hAnsi="Cambria Math" w:cs="Times New Roman"/>
              </w:rPr>
              <m:t>'</m:t>
            </m:r>
          </m:sup>
        </m:sSubSup>
      </m:oMath>
      <w:r w:rsidRPr="005E192B">
        <w:rPr>
          <w:rFonts w:hint="eastAsia"/>
        </w:rPr>
        <w:t xml:space="preserve"> </w:t>
      </w:r>
      <w:r w:rsidRPr="005E192B">
        <w:t>are respectively the isothermal bulk modulus and its pressure derivative. The relative volume is then used to obtain the Eulerian strain,</w:t>
      </w:r>
    </w:p>
    <w:p w14:paraId="1775F303" w14:textId="77777777" w:rsidR="007F6E00" w:rsidRPr="005E192B" w:rsidRDefault="007F6E00" w:rsidP="00692255">
      <w:pPr>
        <w:tabs>
          <w:tab w:val="center" w:pos="4080"/>
          <w:tab w:val="right" w:pos="8160"/>
        </w:tabs>
      </w:pPr>
      <w:r w:rsidRPr="005E192B">
        <w:lastRenderedPageBreak/>
        <w:tab/>
      </w:r>
      <m:oMath>
        <m:r>
          <w:rPr>
            <w:rFonts w:ascii="Cambria Math" w:hAnsi="Cambria Math"/>
          </w:rPr>
          <m:t>f=</m:t>
        </m:r>
        <m:d>
          <m:dPr>
            <m:begChr m:val="["/>
            <m:endChr m:val="]"/>
            <m:ctrlPr>
              <w:rPr>
                <w:rFonts w:ascii="Cambria Math" w:hAnsi="Cambria Math"/>
                <w:i/>
              </w:rPr>
            </m:ctrlPr>
          </m:dPr>
          <m:e>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0</m:t>
                            </m:r>
                          </m:sub>
                        </m:sSub>
                      </m:num>
                      <m:den>
                        <m:r>
                          <w:rPr>
                            <w:rFonts w:ascii="Cambria Math" w:hAnsi="Cambria Math" w:cs="Times New Roman"/>
                          </w:rPr>
                          <m:t>V</m:t>
                        </m:r>
                      </m:den>
                    </m:f>
                  </m:e>
                </m:d>
              </m:e>
              <m:sup>
                <m:f>
                  <m:fPr>
                    <m:ctrlPr>
                      <w:rPr>
                        <w:rFonts w:ascii="Cambria Math" w:hAnsi="Cambria Math" w:cs="Times New Roman"/>
                        <w:i/>
                      </w:rPr>
                    </m:ctrlPr>
                  </m:fPr>
                  <m:num>
                    <m:r>
                      <w:rPr>
                        <w:rFonts w:ascii="Cambria Math" w:hAnsi="Cambria Math" w:cs="Times New Roman"/>
                      </w:rPr>
                      <m:t>2</m:t>
                    </m:r>
                  </m:num>
                  <m:den>
                    <m:r>
                      <w:rPr>
                        <w:rFonts w:ascii="Cambria Math" w:hAnsi="Cambria Math" w:cs="Times New Roman"/>
                      </w:rPr>
                      <m:t>3</m:t>
                    </m:r>
                  </m:den>
                </m:f>
              </m:sup>
            </m:sSup>
            <m:r>
              <w:rPr>
                <w:rFonts w:ascii="Cambria Math" w:hAnsi="Cambria Math" w:cs="Times New Roman"/>
              </w:rPr>
              <m:t>-1</m:t>
            </m:r>
          </m:e>
        </m:d>
        <m:r>
          <w:rPr>
            <w:rFonts w:ascii="Cambria Math" w:hAnsi="Cambria Math"/>
          </w:rPr>
          <m:t>/2</m:t>
        </m:r>
      </m:oMath>
      <w:r w:rsidRPr="005E192B">
        <w:rPr>
          <w:rFonts w:hint="eastAsia"/>
        </w:rPr>
        <w:t>.</w:t>
      </w:r>
      <w:r w:rsidRPr="005E192B">
        <w:tab/>
        <w:t>(</w:t>
      </w:r>
      <w:r>
        <w:t>21</w:t>
      </w:r>
      <w:r w:rsidRPr="005E192B">
        <w:t>)</w:t>
      </w:r>
    </w:p>
    <w:p w14:paraId="22F875F6" w14:textId="77777777" w:rsidR="007F6E00" w:rsidRDefault="007F6E00" w:rsidP="0084584A">
      <w:pPr>
        <w:tabs>
          <w:tab w:val="center" w:pos="4080"/>
          <w:tab w:val="right" w:pos="8160"/>
        </w:tabs>
      </w:pPr>
      <w:r w:rsidRPr="005E192B">
        <w:rPr>
          <w:rFonts w:hint="eastAsia"/>
        </w:rPr>
        <w:t>S</w:t>
      </w:r>
      <w:r w:rsidRPr="005E192B">
        <w:t xml:space="preserve">ubsequently, the </w:t>
      </w:r>
      <w:r>
        <w:t xml:space="preserve">density </w:t>
      </w:r>
      <m:oMath>
        <m:r>
          <w:rPr>
            <w:rFonts w:ascii="Cambria Math" w:hAnsi="Cambria Math"/>
          </w:rPr>
          <m:t>ρ</m:t>
        </m:r>
      </m:oMath>
      <w:r>
        <w:t>,</w:t>
      </w:r>
      <w:r w:rsidRPr="005E192B">
        <w:t xml:space="preserve"> adiabatic bulk modulus </w:t>
      </w:r>
      <m:oMath>
        <m:sSub>
          <m:sSubPr>
            <m:ctrlPr>
              <w:rPr>
                <w:rFonts w:ascii="Cambria Math" w:hAnsi="Cambria Math"/>
                <w:i/>
              </w:rPr>
            </m:ctrlPr>
          </m:sSubPr>
          <m:e>
            <m:r>
              <w:rPr>
                <w:rFonts w:ascii="Cambria Math" w:hAnsi="Cambria Math"/>
              </w:rPr>
              <m:t>K</m:t>
            </m:r>
          </m:e>
          <m:sub>
            <m:r>
              <w:rPr>
                <w:rFonts w:ascii="Cambria Math" w:hAnsi="Cambria Math"/>
              </w:rPr>
              <m:t>S</m:t>
            </m:r>
          </m:sub>
        </m:sSub>
      </m:oMath>
      <w:r w:rsidRPr="005E192B">
        <w:rPr>
          <w:rFonts w:hint="eastAsia"/>
        </w:rPr>
        <w:t xml:space="preserve"> </w:t>
      </w:r>
      <w:r w:rsidRPr="005E192B">
        <w:t xml:space="preserve">and shear modulus </w:t>
      </w:r>
      <w:r w:rsidRPr="005E192B">
        <w:rPr>
          <w:i/>
          <w:iCs/>
        </w:rPr>
        <w:t>G</w:t>
      </w:r>
      <w:r w:rsidRPr="005E192B">
        <w:t xml:space="preserve"> </w:t>
      </w:r>
      <w:r>
        <w:t>of each mineral phase are determined using the</w:t>
      </w:r>
      <w:r w:rsidRPr="005E192B">
        <w:t xml:space="preserve"> following equations</w:t>
      </w:r>
      <w:r w:rsidRPr="00D27662">
        <w:rPr>
          <w:noProof/>
          <w:vertAlign w:val="superscript"/>
        </w:rPr>
        <w:t>93,94</w:t>
      </w:r>
      <w:r w:rsidRPr="005E192B">
        <w:t>:</w:t>
      </w:r>
    </w:p>
    <w:p w14:paraId="30D216DD" w14:textId="77777777" w:rsidR="007F6E00" w:rsidRPr="005E192B" w:rsidRDefault="007F6E00" w:rsidP="0084584A">
      <w:pPr>
        <w:tabs>
          <w:tab w:val="center" w:pos="4080"/>
          <w:tab w:val="right" w:pos="8160"/>
        </w:tabs>
      </w:pPr>
      <w:r>
        <w:tab/>
      </w:r>
      <m:oMath>
        <m:r>
          <w:rPr>
            <w:rFonts w:ascii="Cambria Math" w:hAnsi="Cambria Math" w:cs="Times New Roman"/>
          </w:rPr>
          <m:t>ρ</m:t>
        </m:r>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ρ</m:t>
            </m:r>
          </m:e>
          <m:sub>
            <m:r>
              <w:rPr>
                <w:rFonts w:ascii="Cambria Math" w:hAnsi="Cambria Math" w:cs="Times New Roman"/>
              </w:rPr>
              <m:t>0</m:t>
            </m:r>
          </m:sub>
        </m:sSub>
        <m:d>
          <m:dPr>
            <m:ctrlPr>
              <w:rPr>
                <w:rFonts w:ascii="Cambria Math" w:hAnsi="Cambria Math" w:cs="Times New Roman"/>
                <w:i/>
              </w:rPr>
            </m:ctrlPr>
          </m:dPr>
          <m:e>
            <m:r>
              <w:rPr>
                <w:rFonts w:ascii="Cambria Math" w:hAnsi="Cambria Math" w:cs="Times New Roman"/>
              </w:rPr>
              <m:t>T</m:t>
            </m:r>
          </m:e>
        </m:d>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rPr>
                  <m:t>1+2f</m:t>
                </m:r>
              </m:e>
            </m:d>
          </m:e>
          <m:sup>
            <m:f>
              <m:fPr>
                <m:ctrlPr>
                  <w:rPr>
                    <w:rFonts w:ascii="Cambria Math" w:hAnsi="Cambria Math" w:cs="Times New Roman"/>
                    <w:i/>
                  </w:rPr>
                </m:ctrlPr>
              </m:fPr>
              <m:num>
                <m:r>
                  <w:rPr>
                    <w:rFonts w:ascii="Cambria Math" w:hAnsi="Cambria Math" w:cs="Times New Roman"/>
                  </w:rPr>
                  <m:t>3</m:t>
                </m:r>
              </m:num>
              <m:den>
                <m:r>
                  <w:rPr>
                    <w:rFonts w:ascii="Cambria Math" w:hAnsi="Cambria Math" w:cs="Times New Roman"/>
                  </w:rPr>
                  <m:t>2</m:t>
                </m:r>
              </m:den>
            </m:f>
          </m:sup>
        </m:sSup>
      </m:oMath>
      <w:r>
        <w:t>,</w:t>
      </w:r>
      <w:r>
        <w:tab/>
        <w:t>(22)</w:t>
      </w:r>
    </w:p>
    <w:p w14:paraId="06C3F47B" w14:textId="77777777" w:rsidR="007F6E00" w:rsidRPr="005E192B" w:rsidRDefault="007F6E00" w:rsidP="0084584A">
      <w:pPr>
        <w:tabs>
          <w:tab w:val="center" w:pos="4080"/>
          <w:tab w:val="right" w:pos="8160"/>
        </w:tabs>
      </w:pPr>
      <w:r w:rsidRPr="005E192B">
        <w:tab/>
      </w:r>
      <m:oMath>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S</m:t>
            </m:r>
          </m:sub>
        </m:sSub>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S0</m:t>
            </m:r>
          </m:sub>
        </m:sSub>
        <m:d>
          <m:dPr>
            <m:ctrlPr>
              <w:rPr>
                <w:rFonts w:ascii="Cambria Math" w:hAnsi="Cambria Math" w:cs="Times New Roman"/>
                <w:i/>
              </w:rPr>
            </m:ctrlPr>
          </m:dPr>
          <m:e>
            <m:r>
              <w:rPr>
                <w:rFonts w:ascii="Cambria Math" w:hAnsi="Cambria Math" w:cs="Times New Roman"/>
              </w:rPr>
              <m:t>T</m:t>
            </m:r>
          </m:e>
        </m:d>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rPr>
                  <m:t>1+2f</m:t>
                </m:r>
              </m:e>
            </m:d>
          </m:e>
          <m:sup>
            <m:f>
              <m:fPr>
                <m:ctrlPr>
                  <w:rPr>
                    <w:rFonts w:ascii="Cambria Math" w:hAnsi="Cambria Math" w:cs="Times New Roman"/>
                    <w:i/>
                  </w:rPr>
                </m:ctrlPr>
              </m:fPr>
              <m:num>
                <m:r>
                  <w:rPr>
                    <w:rFonts w:ascii="Cambria Math" w:hAnsi="Cambria Math" w:cs="Times New Roman"/>
                  </w:rPr>
                  <m:t>5</m:t>
                </m:r>
              </m:num>
              <m:den>
                <m:r>
                  <w:rPr>
                    <w:rFonts w:ascii="Cambria Math" w:hAnsi="Cambria Math" w:cs="Times New Roman"/>
                  </w:rPr>
                  <m:t>2</m:t>
                </m:r>
              </m:den>
            </m:f>
          </m:sup>
        </m:sSup>
        <m:d>
          <m:dPr>
            <m:begChr m:val="["/>
            <m:endChr m:val="]"/>
            <m:ctrlPr>
              <w:rPr>
                <w:rFonts w:ascii="Cambria Math" w:hAnsi="Cambria Math" w:cs="Times New Roman"/>
                <w:i/>
              </w:rPr>
            </m:ctrlPr>
          </m:dPr>
          <m:e>
            <m:r>
              <w:rPr>
                <w:rFonts w:ascii="Cambria Math" w:hAnsi="Cambria Math" w:cs="Times New Roman"/>
              </w:rPr>
              <m:t>1+(3</m:t>
            </m:r>
            <m:sSubSup>
              <m:sSubSupPr>
                <m:ctrlPr>
                  <w:rPr>
                    <w:rFonts w:ascii="Cambria Math" w:hAnsi="Cambria Math" w:cs="Times New Roman"/>
                    <w:i/>
                  </w:rPr>
                </m:ctrlPr>
              </m:sSubSupPr>
              <m:e>
                <m:r>
                  <w:rPr>
                    <w:rFonts w:ascii="Cambria Math" w:hAnsi="Cambria Math" w:cs="Times New Roman"/>
                  </w:rPr>
                  <m:t>K</m:t>
                </m:r>
              </m:e>
              <m:sub>
                <m:r>
                  <w:rPr>
                    <w:rFonts w:ascii="Cambria Math" w:hAnsi="Cambria Math" w:cs="Times New Roman"/>
                  </w:rPr>
                  <m:t>S0</m:t>
                </m:r>
              </m:sub>
              <m:sup>
                <m:r>
                  <w:rPr>
                    <w:rFonts w:ascii="Cambria Math" w:hAnsi="Cambria Math" w:cs="Times New Roman"/>
                  </w:rPr>
                  <m:t>'</m:t>
                </m:r>
              </m:sup>
            </m:sSubSup>
            <m:r>
              <w:rPr>
                <w:rFonts w:ascii="Cambria Math" w:hAnsi="Cambria Math" w:cs="Times New Roman"/>
              </w:rPr>
              <m:t>-5)f</m:t>
            </m:r>
          </m:e>
        </m:d>
      </m:oMath>
      <w:r w:rsidRPr="005E192B">
        <w:rPr>
          <w:rFonts w:hint="eastAsia"/>
        </w:rPr>
        <w:t>,</w:t>
      </w:r>
      <w:r w:rsidRPr="005E192B">
        <w:tab/>
        <w:t>(</w:t>
      </w:r>
      <w:r>
        <w:t>23</w:t>
      </w:r>
      <w:r w:rsidRPr="005E192B">
        <w:t>)</w:t>
      </w:r>
    </w:p>
    <w:p w14:paraId="2686BE25" w14:textId="77777777" w:rsidR="007F6E00" w:rsidRPr="005E192B" w:rsidRDefault="007F6E00" w:rsidP="0084584A">
      <w:pPr>
        <w:tabs>
          <w:tab w:val="center" w:pos="4080"/>
          <w:tab w:val="right" w:pos="8160"/>
        </w:tabs>
      </w:pPr>
      <w:r w:rsidRPr="005E192B">
        <w:tab/>
      </w:r>
      <m:oMath>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S0</m:t>
            </m:r>
          </m:sub>
        </m:sSub>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S0</m:t>
            </m:r>
          </m:sub>
        </m:sSub>
        <m:d>
          <m:dPr>
            <m:ctrlPr>
              <w:rPr>
                <w:rFonts w:ascii="Cambria Math" w:hAnsi="Cambria Math" w:cs="Times New Roman"/>
                <w:i/>
              </w:rPr>
            </m:ctrlPr>
          </m:dPr>
          <m:e>
            <m:r>
              <w:rPr>
                <w:rFonts w:ascii="Cambria Math" w:hAnsi="Cambria Math" w:cs="Times New Roman"/>
              </w:rPr>
              <m:t>300K</m:t>
            </m:r>
          </m:e>
        </m:d>
        <m:r>
          <w:rPr>
            <w:rFonts w:ascii="Cambria Math" w:hAnsi="Cambria Math" w:cs="Times New Roman"/>
          </w:rPr>
          <m:t>+</m:t>
        </m:r>
        <m:sSub>
          <m:sSubPr>
            <m:ctrlPr>
              <w:rPr>
                <w:rFonts w:ascii="Cambria Math" w:hAnsi="Cambria Math" w:cs="Times New Roman"/>
                <w:i/>
              </w:rPr>
            </m:ctrlPr>
          </m:sSubPr>
          <m:e>
            <m:d>
              <m:dPr>
                <m:ctrlPr>
                  <w:rPr>
                    <w:rFonts w:ascii="Cambria Math" w:hAnsi="Cambria Math" w:cs="Times New Roman"/>
                    <w:i/>
                  </w:rPr>
                </m:ctrlPr>
              </m:dPr>
              <m:e>
                <m:f>
                  <m:fPr>
                    <m:type m:val="lin"/>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S</m:t>
                        </m:r>
                      </m:sub>
                    </m:sSub>
                  </m:num>
                  <m:den>
                    <m:r>
                      <w:rPr>
                        <w:rFonts w:ascii="Cambria Math" w:hAnsi="Cambria Math" w:cs="Times New Roman"/>
                      </w:rPr>
                      <m:t>∂T</m:t>
                    </m:r>
                  </m:den>
                </m:f>
              </m:e>
            </m:d>
          </m:e>
          <m:sub>
            <m:r>
              <w:rPr>
                <w:rFonts w:ascii="Cambria Math" w:hAnsi="Cambria Math" w:cs="Times New Roman"/>
              </w:rPr>
              <m:t>P</m:t>
            </m:r>
          </m:sub>
        </m:sSub>
        <m:d>
          <m:dPr>
            <m:ctrlPr>
              <w:rPr>
                <w:rFonts w:ascii="Cambria Math" w:hAnsi="Cambria Math" w:cs="Times New Roman"/>
                <w:i/>
              </w:rPr>
            </m:ctrlPr>
          </m:dPr>
          <m:e>
            <m:r>
              <w:rPr>
                <w:rFonts w:ascii="Cambria Math" w:hAnsi="Cambria Math" w:cs="Times New Roman"/>
              </w:rPr>
              <m:t>T-300</m:t>
            </m:r>
          </m:e>
        </m:d>
      </m:oMath>
      <w:r w:rsidRPr="005E192B">
        <w:t>,</w:t>
      </w:r>
      <w:r w:rsidRPr="005E192B">
        <w:tab/>
        <w:t>(</w:t>
      </w:r>
      <w:r>
        <w:t>24</w:t>
      </w:r>
      <w:r w:rsidRPr="005E192B">
        <w:t>)</w:t>
      </w:r>
    </w:p>
    <w:p w14:paraId="1A395268" w14:textId="77777777" w:rsidR="007F6E00" w:rsidRPr="005E192B" w:rsidRDefault="007F6E00" w:rsidP="0084584A">
      <w:pPr>
        <w:tabs>
          <w:tab w:val="center" w:pos="4080"/>
          <w:tab w:val="right" w:pos="8160"/>
        </w:tabs>
      </w:pPr>
      <w:r w:rsidRPr="005E192B">
        <w:tab/>
      </w:r>
      <m:oMath>
        <m:r>
          <w:rPr>
            <w:rFonts w:ascii="Cambria Math" w:hAnsi="Cambria Math" w:cs="Times New Roman"/>
          </w:rPr>
          <m:t>G</m:t>
        </m:r>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m:t>
        </m:r>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rPr>
                  <m:t>1+2f</m:t>
                </m:r>
              </m:e>
            </m:d>
          </m:e>
          <m:sup>
            <m:f>
              <m:fPr>
                <m:ctrlPr>
                  <w:rPr>
                    <w:rFonts w:ascii="Cambria Math" w:hAnsi="Cambria Math" w:cs="Times New Roman"/>
                    <w:i/>
                  </w:rPr>
                </m:ctrlPr>
              </m:fPr>
              <m:num>
                <m:r>
                  <w:rPr>
                    <w:rFonts w:ascii="Cambria Math" w:hAnsi="Cambria Math" w:cs="Times New Roman"/>
                  </w:rPr>
                  <m:t>5</m:t>
                </m:r>
              </m:num>
              <m:den>
                <m:r>
                  <w:rPr>
                    <w:rFonts w:ascii="Cambria Math" w:hAnsi="Cambria Math" w:cs="Times New Roman"/>
                  </w:rPr>
                  <m:t>2</m:t>
                </m:r>
              </m:den>
            </m:f>
          </m:sup>
        </m:sSup>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0</m:t>
                </m:r>
              </m:sub>
            </m:sSub>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+(3</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T0</m:t>
                </m:r>
              </m:sub>
            </m:sSub>
            <m:d>
              <m:dPr>
                <m:ctrlPr>
                  <w:rPr>
                    <w:rFonts w:ascii="Cambria Math" w:hAnsi="Cambria Math" w:cs="Times New Roman"/>
                    <w:i/>
                  </w:rPr>
                </m:ctrlPr>
              </m:dPr>
              <m:e>
                <m:r>
                  <w:rPr>
                    <w:rFonts w:ascii="Cambria Math" w:hAnsi="Cambria Math" w:cs="Times New Roman"/>
                  </w:rPr>
                  <m:t>T</m:t>
                </m:r>
              </m:e>
            </m:d>
            <m:sSubSup>
              <m:sSubSupPr>
                <m:ctrlPr>
                  <w:rPr>
                    <w:rFonts w:ascii="Cambria Math" w:hAnsi="Cambria Math" w:cs="Times New Roman"/>
                    <w:i/>
                  </w:rPr>
                </m:ctrlPr>
              </m:sSubSupPr>
              <m:e>
                <m:r>
                  <w:rPr>
                    <w:rFonts w:ascii="Cambria Math" w:hAnsi="Cambria Math" w:cs="Times New Roman"/>
                  </w:rPr>
                  <m:t>G</m:t>
                </m:r>
              </m:e>
              <m:sub>
                <m:r>
                  <w:rPr>
                    <w:rFonts w:ascii="Cambria Math" w:hAnsi="Cambria Math" w:cs="Times New Roman"/>
                  </w:rPr>
                  <m:t>0</m:t>
                </m:r>
              </m:sub>
              <m:sup>
                <m:r>
                  <w:rPr>
                    <w:rFonts w:ascii="Cambria Math" w:hAnsi="Cambria Math" w:cs="Times New Roman"/>
                  </w:rPr>
                  <m:t>'</m:t>
                </m:r>
              </m:sup>
            </m:sSubSup>
            <m:r>
              <w:rPr>
                <w:rFonts w:ascii="Cambria Math" w:hAnsi="Cambria Math" w:cs="Times New Roman"/>
              </w:rPr>
              <m:t>-5</m:t>
            </m:r>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0</m:t>
                </m:r>
              </m:sub>
            </m:sSub>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)f</m:t>
            </m:r>
          </m:e>
        </m:d>
      </m:oMath>
      <w:r w:rsidRPr="005E192B">
        <w:rPr>
          <w:rFonts w:hint="eastAsia"/>
        </w:rPr>
        <w:t>,</w:t>
      </w:r>
      <w:r w:rsidRPr="005E192B">
        <w:tab/>
        <w:t>(</w:t>
      </w:r>
      <w:r>
        <w:t>25</w:t>
      </w:r>
      <w:r w:rsidRPr="005E192B">
        <w:t>)</w:t>
      </w:r>
    </w:p>
    <w:p w14:paraId="241B25C4" w14:textId="77777777" w:rsidR="007F6E00" w:rsidRDefault="007F6E00" w:rsidP="0084584A">
      <w:pPr>
        <w:tabs>
          <w:tab w:val="center" w:pos="4080"/>
          <w:tab w:val="right" w:pos="8160"/>
        </w:tabs>
      </w:pPr>
      <w:r w:rsidRPr="005E192B">
        <w:tab/>
      </w:r>
      <m:oMath>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0</m:t>
            </m:r>
          </m:sub>
        </m:sSub>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0</m:t>
            </m:r>
          </m:sub>
        </m:sSub>
        <m:d>
          <m:dPr>
            <m:ctrlPr>
              <w:rPr>
                <w:rFonts w:ascii="Cambria Math" w:hAnsi="Cambria Math" w:cs="Times New Roman"/>
                <w:i/>
              </w:rPr>
            </m:ctrlPr>
          </m:dPr>
          <m:e>
            <m:r>
              <w:rPr>
                <w:rFonts w:ascii="Cambria Math" w:hAnsi="Cambria Math" w:cs="Times New Roman"/>
              </w:rPr>
              <m:t>300K</m:t>
            </m:r>
          </m:e>
        </m:d>
        <m:r>
          <w:rPr>
            <w:rFonts w:ascii="Cambria Math" w:hAnsi="Cambria Math" w:cs="Times New Roman"/>
          </w:rPr>
          <m:t>+</m:t>
        </m:r>
        <m:sSub>
          <m:sSubPr>
            <m:ctrlPr>
              <w:rPr>
                <w:rFonts w:ascii="Cambria Math" w:hAnsi="Cambria Math" w:cs="Times New Roman"/>
                <w:i/>
              </w:rPr>
            </m:ctrlPr>
          </m:sSubPr>
          <m:e>
            <m:d>
              <m:dPr>
                <m:ctrlPr>
                  <w:rPr>
                    <w:rFonts w:ascii="Cambria Math" w:hAnsi="Cambria Math" w:cs="Times New Roman"/>
                    <w:i/>
                  </w:rPr>
                </m:ctrlPr>
              </m:dPr>
              <m:e>
                <m:f>
                  <m:fPr>
                    <m:type m:val="lin"/>
                    <m:ctrlPr>
                      <w:rPr>
                        <w:rFonts w:ascii="Cambria Math" w:hAnsi="Cambria Math" w:cs="Times New Roman"/>
                        <w:i/>
                      </w:rPr>
                    </m:ctrlPr>
                  </m:fPr>
                  <m:num>
                    <m:r>
                      <w:rPr>
                        <w:rFonts w:ascii="Cambria Math" w:hAnsi="Cambria Math" w:cs="Times New Roman"/>
                      </w:rPr>
                      <m:t>∂G</m:t>
                    </m:r>
                  </m:num>
                  <m:den>
                    <m:r>
                      <w:rPr>
                        <w:rFonts w:ascii="Cambria Math" w:hAnsi="Cambria Math" w:cs="Times New Roman"/>
                      </w:rPr>
                      <m:t>∂T</m:t>
                    </m:r>
                  </m:den>
                </m:f>
              </m:e>
            </m:d>
          </m:e>
          <m:sub>
            <m:r>
              <w:rPr>
                <w:rFonts w:ascii="Cambria Math" w:hAnsi="Cambria Math" w:cs="Times New Roman"/>
              </w:rPr>
              <m:t>P</m:t>
            </m:r>
          </m:sub>
        </m:sSub>
        <m:d>
          <m:dPr>
            <m:ctrlPr>
              <w:rPr>
                <w:rFonts w:ascii="Cambria Math" w:hAnsi="Cambria Math" w:cs="Times New Roman"/>
                <w:i/>
              </w:rPr>
            </m:ctrlPr>
          </m:dPr>
          <m:e>
            <m:r>
              <w:rPr>
                <w:rFonts w:ascii="Cambria Math" w:hAnsi="Cambria Math" w:cs="Times New Roman"/>
              </w:rPr>
              <m:t>T-300</m:t>
            </m:r>
          </m:e>
        </m:d>
      </m:oMath>
      <w:r>
        <w:t>,</w:t>
      </w:r>
      <w:r w:rsidRPr="005E192B">
        <w:tab/>
        <w:t>(</w:t>
      </w:r>
      <w:r>
        <w:t>26</w:t>
      </w:r>
      <w:r w:rsidRPr="005E192B">
        <w:t>)</w:t>
      </w:r>
    </w:p>
    <w:p w14:paraId="40849CB5" w14:textId="77777777" w:rsidR="007F6E00" w:rsidRDefault="007F6E00" w:rsidP="00692255">
      <w:pPr>
        <w:tabs>
          <w:tab w:val="center" w:pos="4080"/>
          <w:tab w:val="right" w:pos="8160"/>
        </w:tabs>
      </w:pPr>
      <w:r>
        <w:t>in which the elastic moduli at room temperature and pressure, along with their derivatives</w:t>
      </w:r>
      <w:r w:rsidRPr="00D27662">
        <w:rPr>
          <w:noProof/>
          <w:vertAlign w:val="superscript"/>
        </w:rPr>
        <w:t>94-98</w:t>
      </w:r>
      <w:r>
        <w:t>.</w:t>
      </w:r>
    </w:p>
    <w:p w14:paraId="3A7C90B0" w14:textId="77777777" w:rsidR="007F6E00" w:rsidRDefault="007F6E00" w:rsidP="008512E6">
      <w:pPr>
        <w:tabs>
          <w:tab w:val="center" w:pos="4080"/>
          <w:tab w:val="right" w:pos="8160"/>
        </w:tabs>
        <w:ind w:firstLine="480"/>
      </w:pPr>
      <w:r>
        <w:t xml:space="preserve">To evaluate the impact of composition on seismic velocities, we first use </w:t>
      </w:r>
      <w:proofErr w:type="spellStart"/>
      <w:r>
        <w:t>Perple_X</w:t>
      </w:r>
      <w:proofErr w:type="spellEnd"/>
      <w:r>
        <w:t xml:space="preserve"> to obtain the volume fractions of </w:t>
      </w:r>
      <w:proofErr w:type="spellStart"/>
      <w:r>
        <w:t>ol</w:t>
      </w:r>
      <w:proofErr w:type="spellEnd"/>
      <w:r>
        <w:t xml:space="preserve">, </w:t>
      </w:r>
      <w:proofErr w:type="spellStart"/>
      <w:r>
        <w:t>opx</w:t>
      </w:r>
      <w:proofErr w:type="spellEnd"/>
      <w:r>
        <w:t xml:space="preserve">, and </w:t>
      </w:r>
      <w:proofErr w:type="spellStart"/>
      <w:r>
        <w:t>cpx</w:t>
      </w:r>
      <w:proofErr w:type="spellEnd"/>
      <w:r w:rsidRPr="009372DB">
        <w:rPr>
          <w:color w:val="000000" w:themeColor="text1"/>
        </w:rPr>
        <w:t>, and</w:t>
      </w:r>
      <w:r>
        <w:t xml:space="preserve"> then calculate their densities and elastic moduli using </w:t>
      </w:r>
      <w:r w:rsidRPr="00C214B9">
        <w:rPr>
          <w:color w:val="000000" w:themeColor="text1"/>
        </w:rPr>
        <w:t>equations (</w:t>
      </w:r>
      <w:r>
        <w:rPr>
          <w:color w:val="000000" w:themeColor="text1"/>
        </w:rPr>
        <w:t>20)</w:t>
      </w:r>
      <w:proofErr w:type="gramStart"/>
      <w:r w:rsidRPr="00C214B9">
        <w:rPr>
          <w:color w:val="000000" w:themeColor="text1"/>
        </w:rPr>
        <w:t>–</w:t>
      </w:r>
      <w:r>
        <w:rPr>
          <w:color w:val="000000" w:themeColor="text1"/>
        </w:rPr>
        <w:t>(</w:t>
      </w:r>
      <w:proofErr w:type="gramEnd"/>
      <w:r>
        <w:rPr>
          <w:color w:val="000000" w:themeColor="text1"/>
        </w:rPr>
        <w:t>26</w:t>
      </w:r>
      <w:r w:rsidRPr="00C214B9">
        <w:rPr>
          <w:color w:val="000000" w:themeColor="text1"/>
        </w:rPr>
        <w:t>)</w:t>
      </w:r>
      <w:r>
        <w:rPr>
          <w:color w:val="000000" w:themeColor="text1"/>
        </w:rPr>
        <w:t>, following calculating</w:t>
      </w:r>
      <w:r>
        <w:t xml:space="preserve"> </w:t>
      </w:r>
      <w:proofErr w:type="spellStart"/>
      <w:r w:rsidRPr="00B37227">
        <w:rPr>
          <w:i/>
          <w:iCs/>
        </w:rPr>
        <w:t>Vp</w:t>
      </w:r>
      <w:proofErr w:type="spellEnd"/>
      <w:r>
        <w:t xml:space="preserve"> and </w:t>
      </w:r>
      <w:r w:rsidRPr="00B37227">
        <w:rPr>
          <w:i/>
          <w:iCs/>
        </w:rPr>
        <w:t>Vs</w:t>
      </w:r>
      <w:r>
        <w:t xml:space="preserve"> with</w:t>
      </w:r>
      <w:r w:rsidRPr="00C214B9">
        <w:rPr>
          <w:color w:val="000000" w:themeColor="text1"/>
        </w:rPr>
        <w:t xml:space="preserve"> equations (1</w:t>
      </w:r>
      <w:r>
        <w:rPr>
          <w:color w:val="000000" w:themeColor="text1"/>
        </w:rPr>
        <w:t>6</w:t>
      </w:r>
      <w:r w:rsidRPr="00C214B9">
        <w:rPr>
          <w:color w:val="000000" w:themeColor="text1"/>
        </w:rPr>
        <w:t>)–(1</w:t>
      </w:r>
      <w:r>
        <w:rPr>
          <w:color w:val="000000" w:themeColor="text1"/>
        </w:rPr>
        <w:t>9</w:t>
      </w:r>
      <w:r w:rsidRPr="00C214B9">
        <w:rPr>
          <w:color w:val="000000" w:themeColor="text1"/>
        </w:rPr>
        <w:t>)</w:t>
      </w:r>
      <w:r>
        <w:rPr>
          <w:color w:val="000000" w:themeColor="text1"/>
        </w:rPr>
        <w:t>. The p</w:t>
      </w:r>
      <w:r>
        <w:t xml:space="preserve">ressure is fixed at 0.8 </w:t>
      </w:r>
      <w:proofErr w:type="spellStart"/>
      <w:r>
        <w:t>GPa</w:t>
      </w:r>
      <w:proofErr w:type="spellEnd"/>
      <w:r>
        <w:t xml:space="preserve"> and the </w:t>
      </w:r>
      <w:r w:rsidRPr="00385097">
        <w:rPr>
          <w:rFonts w:cs="Times New Roman"/>
        </w:rPr>
        <w:t>temperature range between 460 K and the melting point (1431.5 K)</w:t>
      </w:r>
      <w:r w:rsidRPr="00D27662">
        <w:rPr>
          <w:rFonts w:cs="Times New Roman"/>
          <w:noProof/>
          <w:vertAlign w:val="superscript"/>
        </w:rPr>
        <w:t xml:space="preserve"> 85</w:t>
      </w:r>
      <w:r>
        <w:t xml:space="preserve"> is used to obtain the temperature and compositional derivatives of velocities </w:t>
      </w:r>
      <w:r w:rsidRPr="00237E50">
        <w:rPr>
          <w:rFonts w:cs="Times New Roman"/>
          <w:color w:val="FF0000"/>
        </w:rPr>
        <w:t>(</w:t>
      </w:r>
      <w:r>
        <w:rPr>
          <w:rFonts w:cs="Times New Roman"/>
          <w:color w:val="FF0000"/>
        </w:rPr>
        <w:t>Supplementary Fig. 53a</w:t>
      </w:r>
      <w:r w:rsidRPr="00237E50">
        <w:rPr>
          <w:rFonts w:cs="Times New Roman"/>
          <w:color w:val="FF0000"/>
        </w:rPr>
        <w:t>–</w:t>
      </w:r>
      <w:r>
        <w:rPr>
          <w:rFonts w:cs="Times New Roman"/>
          <w:color w:val="FF0000"/>
        </w:rPr>
        <w:t>b</w:t>
      </w:r>
      <w:r w:rsidRPr="00237E50">
        <w:rPr>
          <w:rFonts w:cs="Times New Roman"/>
          <w:color w:val="FF0000"/>
        </w:rPr>
        <w:t>)</w:t>
      </w:r>
      <w:r>
        <w:t xml:space="preserve">. The </w:t>
      </w:r>
      <w:r w:rsidRPr="00385097">
        <w:rPr>
          <w:rFonts w:cs="Times New Roman"/>
        </w:rPr>
        <w:t xml:space="preserve">average derivatives of </w:t>
      </w:r>
      <w:proofErr w:type="spellStart"/>
      <w:r w:rsidRPr="00DB7A96">
        <w:rPr>
          <w:rFonts w:cs="Times New Roman"/>
          <w:i/>
          <w:iCs/>
        </w:rPr>
        <w:t>Vp</w:t>
      </w:r>
      <w:proofErr w:type="spellEnd"/>
      <w:r w:rsidRPr="00DB7A96">
        <w:rPr>
          <w:rFonts w:cs="Times New Roman"/>
          <w:i/>
          <w:iCs/>
        </w:rPr>
        <w:t xml:space="preserve"> </w:t>
      </w:r>
      <w:r>
        <w:rPr>
          <w:rFonts w:cs="Times New Roman"/>
        </w:rPr>
        <w:t xml:space="preserve">and </w:t>
      </w:r>
      <w:r w:rsidRPr="00DB7A96">
        <w:rPr>
          <w:rFonts w:cs="Times New Roman"/>
          <w:i/>
          <w:iCs/>
        </w:rPr>
        <w:t>Vs</w:t>
      </w:r>
      <w:r w:rsidRPr="00385097">
        <w:rPr>
          <w:rFonts w:cs="Times New Roman"/>
        </w:rPr>
        <w:t xml:space="preserve"> with respect to temperature</w:t>
      </w:r>
      <w:r>
        <w:rPr>
          <w:rFonts w:cs="Times New Roman"/>
        </w:rPr>
        <w:t xml:space="preserve"> are -5.89×10</w:t>
      </w:r>
      <w:r w:rsidRPr="00385097">
        <w:rPr>
          <w:rFonts w:cs="Times New Roman"/>
          <w:vertAlign w:val="superscript"/>
        </w:rPr>
        <w:t>-4</w:t>
      </w:r>
      <w:r>
        <w:rPr>
          <w:rFonts w:cs="Times New Roman"/>
        </w:rPr>
        <w:t xml:space="preserve"> km/s/K and -3.12×10</w:t>
      </w:r>
      <w:r w:rsidRPr="00385097">
        <w:rPr>
          <w:rFonts w:cs="Times New Roman"/>
          <w:vertAlign w:val="superscript"/>
        </w:rPr>
        <w:t>-4</w:t>
      </w:r>
      <w:r>
        <w:rPr>
          <w:rFonts w:cs="Times New Roman"/>
        </w:rPr>
        <w:t xml:space="preserve"> km/s/K, respectively </w:t>
      </w:r>
      <w:r w:rsidRPr="00237E50">
        <w:rPr>
          <w:rFonts w:cs="Times New Roman"/>
          <w:color w:val="FF0000"/>
        </w:rPr>
        <w:t>(</w:t>
      </w:r>
      <w:r>
        <w:rPr>
          <w:rFonts w:cs="Times New Roman"/>
          <w:color w:val="FF0000"/>
        </w:rPr>
        <w:t>Supplementary Fig. 53</w:t>
      </w:r>
      <w:r w:rsidRPr="00237E50">
        <w:rPr>
          <w:rFonts w:cs="Times New Roman"/>
          <w:color w:val="FF0000"/>
        </w:rPr>
        <w:t>c–d)</w:t>
      </w:r>
      <w:r>
        <w:rPr>
          <w:rFonts w:cs="Times New Roman"/>
          <w:color w:val="000000" w:themeColor="text1"/>
        </w:rPr>
        <w:t xml:space="preserve">. </w:t>
      </w:r>
      <w:r>
        <w:t>T</w:t>
      </w:r>
      <w:r>
        <w:rPr>
          <w:rFonts w:cs="Times New Roman"/>
          <w:color w:val="000000" w:themeColor="text1"/>
        </w:rPr>
        <w:t>he derivative on</w:t>
      </w:r>
      <w:r w:rsidDel="008512E6">
        <w:rPr>
          <w:rFonts w:cs="Times New Roman"/>
          <w:color w:val="000000" w:themeColor="text1"/>
        </w:rPr>
        <w:t xml:space="preserve"> </w:t>
      </w:r>
      <w:r>
        <w:rPr>
          <w:rFonts w:cs="Times New Roman"/>
          <w:color w:val="000000" w:themeColor="text1"/>
        </w:rPr>
        <w:t xml:space="preserve">Mg# are 0.0101 km/s for </w:t>
      </w:r>
      <w:proofErr w:type="spellStart"/>
      <w:r w:rsidRPr="00DB7A96">
        <w:rPr>
          <w:rFonts w:cs="Times New Roman"/>
          <w:i/>
          <w:iCs/>
          <w:color w:val="000000" w:themeColor="text1"/>
        </w:rPr>
        <w:t>Vp</w:t>
      </w:r>
      <w:proofErr w:type="spellEnd"/>
      <w:r>
        <w:rPr>
          <w:rFonts w:cs="Times New Roman"/>
          <w:color w:val="000000" w:themeColor="text1"/>
        </w:rPr>
        <w:t xml:space="preserve"> and 0.0162 km/s for </w:t>
      </w:r>
      <w:r w:rsidRPr="00DB7A96">
        <w:rPr>
          <w:rFonts w:cs="Times New Roman"/>
          <w:i/>
          <w:iCs/>
          <w:color w:val="000000" w:themeColor="text1"/>
        </w:rPr>
        <w:t>Vs</w:t>
      </w:r>
      <w:r>
        <w:rPr>
          <w:rFonts w:cs="Times New Roman"/>
          <w:color w:val="000000" w:themeColor="text1"/>
        </w:rPr>
        <w:t xml:space="preserve"> </w:t>
      </w:r>
      <w:r w:rsidRPr="00237E50">
        <w:rPr>
          <w:rFonts w:cs="Times New Roman"/>
          <w:color w:val="FF0000"/>
        </w:rPr>
        <w:t>(</w:t>
      </w:r>
      <w:r>
        <w:rPr>
          <w:rFonts w:cs="Times New Roman"/>
          <w:color w:val="FF0000"/>
        </w:rPr>
        <w:t>Supplementary Fig. 53e</w:t>
      </w:r>
      <w:r w:rsidRPr="00237E50">
        <w:rPr>
          <w:rFonts w:cs="Times New Roman"/>
          <w:color w:val="FF0000"/>
        </w:rPr>
        <w:t>–</w:t>
      </w:r>
      <w:r>
        <w:rPr>
          <w:rFonts w:cs="Times New Roman"/>
          <w:color w:val="FF0000"/>
        </w:rPr>
        <w:t>f</w:t>
      </w:r>
      <w:r w:rsidRPr="00237E50">
        <w:rPr>
          <w:rFonts w:cs="Times New Roman"/>
          <w:color w:val="FF0000"/>
        </w:rPr>
        <w:t>)</w:t>
      </w:r>
      <w:r>
        <w:rPr>
          <w:rFonts w:cs="Times New Roman"/>
          <w:color w:val="000000" w:themeColor="text1"/>
        </w:rPr>
        <w:t xml:space="preserve">. These values agree well with the direct </w:t>
      </w:r>
      <w:proofErr w:type="spellStart"/>
      <w:r>
        <w:rPr>
          <w:rFonts w:cs="Times New Roman"/>
          <w:color w:val="000000" w:themeColor="text1"/>
        </w:rPr>
        <w:t>Perple_X</w:t>
      </w:r>
      <w:proofErr w:type="spellEnd"/>
      <w:r>
        <w:rPr>
          <w:rFonts w:cs="Times New Roman"/>
          <w:color w:val="000000" w:themeColor="text1"/>
        </w:rPr>
        <w:t xml:space="preserve"> calculations </w:t>
      </w:r>
      <w:r w:rsidRPr="00237E50">
        <w:rPr>
          <w:rFonts w:cs="Times New Roman"/>
          <w:color w:val="FF0000"/>
        </w:rPr>
        <w:t>(Supplementary Fig</w:t>
      </w:r>
      <w:r>
        <w:rPr>
          <w:rFonts w:cs="Times New Roman"/>
          <w:color w:val="FF0000"/>
        </w:rPr>
        <w:t>s</w:t>
      </w:r>
      <w:r w:rsidRPr="00237E50">
        <w:rPr>
          <w:rFonts w:cs="Times New Roman"/>
          <w:color w:val="FF0000"/>
        </w:rPr>
        <w:t xml:space="preserve">. </w:t>
      </w:r>
      <w:r>
        <w:rPr>
          <w:rFonts w:cs="Times New Roman"/>
          <w:color w:val="FF0000"/>
        </w:rPr>
        <w:t>50</w:t>
      </w:r>
      <w:r w:rsidRPr="00237E50">
        <w:rPr>
          <w:rFonts w:cs="Times New Roman"/>
          <w:color w:val="FF0000"/>
        </w:rPr>
        <w:t>–</w:t>
      </w:r>
      <w:r>
        <w:rPr>
          <w:rFonts w:cs="Times New Roman"/>
          <w:color w:val="FF0000"/>
        </w:rPr>
        <w:t>51</w:t>
      </w:r>
      <w:r w:rsidRPr="00237E50">
        <w:rPr>
          <w:rFonts w:cs="Times New Roman"/>
          <w:color w:val="FF0000"/>
        </w:rPr>
        <w:t>)</w:t>
      </w:r>
      <w:r>
        <w:rPr>
          <w:rFonts w:cs="Times New Roman"/>
          <w:color w:val="000000" w:themeColor="text1"/>
        </w:rPr>
        <w:t>.</w:t>
      </w:r>
    </w:p>
    <w:p w14:paraId="57C78DF9" w14:textId="77777777" w:rsidR="007F6E00" w:rsidRDefault="007F6E00" w:rsidP="0059658E">
      <w:pPr>
        <w:tabs>
          <w:tab w:val="center" w:pos="4080"/>
          <w:tab w:val="right" w:pos="8160"/>
        </w:tabs>
        <w:ind w:firstLine="480"/>
      </w:pPr>
      <w:r>
        <w:t xml:space="preserve">The mineral physical model also allows assessment of the effects of water content </w:t>
      </w:r>
      <w:r>
        <w:lastRenderedPageBreak/>
        <w:t xml:space="preserve">on seismic velocities. The results indicate that even with water content as high as 2000 ppm, the reductions in </w:t>
      </w:r>
      <w:proofErr w:type="spellStart"/>
      <w:r w:rsidRPr="00BC07CE">
        <w:rPr>
          <w:i/>
          <w:iCs/>
        </w:rPr>
        <w:t>Vp</w:t>
      </w:r>
      <w:proofErr w:type="spellEnd"/>
      <w:r>
        <w:t xml:space="preserve"> and </w:t>
      </w:r>
      <w:r w:rsidRPr="00BC07CE">
        <w:rPr>
          <w:i/>
          <w:iCs/>
        </w:rPr>
        <w:t>Vs</w:t>
      </w:r>
      <w:r>
        <w:t xml:space="preserve"> are less than 0.004 km/s and 0.002 km/s, respectively </w:t>
      </w:r>
      <w:r w:rsidRPr="002375B4">
        <w:rPr>
          <w:color w:val="FF0000"/>
        </w:rPr>
        <w:t>(</w:t>
      </w:r>
      <w:r>
        <w:rPr>
          <w:color w:val="FF0000"/>
        </w:rPr>
        <w:t>Supplementary Fig. 54</w:t>
      </w:r>
      <w:r w:rsidRPr="002375B4">
        <w:rPr>
          <w:color w:val="FF0000"/>
        </w:rPr>
        <w:t>)</w:t>
      </w:r>
      <w:r>
        <w:t>, suggesting that water, compared to temperature and composition, has a negligible direct influence on seismic velocity, which is consistent with experiment results</w:t>
      </w:r>
      <w:r w:rsidRPr="00D27662">
        <w:rPr>
          <w:noProof/>
          <w:vertAlign w:val="superscript"/>
        </w:rPr>
        <w:t>99</w:t>
      </w:r>
      <w:r>
        <w:t>.</w:t>
      </w:r>
    </w:p>
    <w:p w14:paraId="1D9E61BA" w14:textId="77777777" w:rsidR="007F6E00" w:rsidRDefault="007F6E00">
      <w:pPr>
        <w:widowControl/>
        <w:spacing w:line="240" w:lineRule="auto"/>
        <w:jc w:val="left"/>
      </w:pPr>
      <w:r>
        <w:br w:type="page"/>
      </w:r>
    </w:p>
    <w:p w14:paraId="6017CEFF" w14:textId="77777777" w:rsidR="007F6E00" w:rsidRPr="00E64DAA" w:rsidRDefault="007F6E00" w:rsidP="00A178A0">
      <w:pPr>
        <w:tabs>
          <w:tab w:val="center" w:pos="4080"/>
          <w:tab w:val="right" w:pos="8160"/>
        </w:tabs>
        <w:spacing w:line="240" w:lineRule="auto"/>
        <w:jc w:val="center"/>
        <w:rPr>
          <w:rFonts w:cs="Times New Roman"/>
        </w:rPr>
      </w:pPr>
      <w:r>
        <w:rPr>
          <w:rFonts w:cs="Times New Roman"/>
          <w:noProof/>
        </w:rPr>
        <w:lastRenderedPageBreak/>
        <w:drawing>
          <wp:inline distT="0" distB="0" distL="0" distR="0" wp14:anchorId="0D06CBC6" wp14:editId="58C41929">
            <wp:extent cx="4320000" cy="5709723"/>
            <wp:effectExtent l="0" t="0" r="0" b="571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320000" cy="5709723"/>
                    </a:xfrm>
                    <a:prstGeom prst="rect">
                      <a:avLst/>
                    </a:prstGeom>
                  </pic:spPr>
                </pic:pic>
              </a:graphicData>
            </a:graphic>
          </wp:inline>
        </w:drawing>
      </w:r>
    </w:p>
    <w:p w14:paraId="0C6CEFD8" w14:textId="77777777" w:rsidR="007F6E00" w:rsidRDefault="007F6E00" w:rsidP="00A178A0">
      <w:pPr>
        <w:tabs>
          <w:tab w:val="center" w:pos="4080"/>
          <w:tab w:val="right" w:pos="8160"/>
        </w:tabs>
        <w:spacing w:line="240" w:lineRule="auto"/>
        <w:rPr>
          <w:rFonts w:cs="Times New Roman"/>
        </w:rPr>
      </w:pPr>
      <w:r>
        <w:rPr>
          <w:rFonts w:cs="Times New Roman"/>
          <w:b/>
          <w:bCs/>
        </w:rPr>
        <w:t>Supplementary Fig. 53</w:t>
      </w:r>
      <w:r w:rsidRPr="00992CEB">
        <w:rPr>
          <w:rFonts w:cs="Times New Roman"/>
          <w:b/>
          <w:bCs/>
        </w:rPr>
        <w:t xml:space="preserve"> | </w:t>
      </w:r>
      <w:proofErr w:type="spellStart"/>
      <w:r w:rsidRPr="004B1F1B">
        <w:rPr>
          <w:rStyle w:val="20"/>
          <w:i/>
          <w:iCs/>
        </w:rPr>
        <w:t>Vp</w:t>
      </w:r>
      <w:proofErr w:type="spellEnd"/>
      <w:r w:rsidRPr="004B1F1B">
        <w:rPr>
          <w:rStyle w:val="20"/>
        </w:rPr>
        <w:t xml:space="preserve">, </w:t>
      </w:r>
      <w:r w:rsidRPr="004B1F1B">
        <w:rPr>
          <w:rStyle w:val="20"/>
          <w:i/>
          <w:iCs/>
        </w:rPr>
        <w:t>Vs</w:t>
      </w:r>
      <w:r w:rsidRPr="004B1F1B">
        <w:rPr>
          <w:rStyle w:val="20"/>
        </w:rPr>
        <w:t xml:space="preserve">, and their </w:t>
      </w:r>
      <w:r>
        <w:rPr>
          <w:rStyle w:val="20"/>
        </w:rPr>
        <w:t xml:space="preserve">temperature and </w:t>
      </w:r>
      <w:r w:rsidRPr="004B1F1B">
        <w:rPr>
          <w:rStyle w:val="20"/>
        </w:rPr>
        <w:t>Mg# derivatives</w:t>
      </w:r>
      <w:r>
        <w:rPr>
          <w:rStyle w:val="20"/>
        </w:rPr>
        <w:t xml:space="preserve"> calculated from mineral physical model. </w:t>
      </w:r>
      <w:r w:rsidRPr="00810229">
        <w:rPr>
          <w:rFonts w:cs="Times New Roman"/>
        </w:rPr>
        <w:t xml:space="preserve">Figure captions are </w:t>
      </w:r>
      <w:r>
        <w:rPr>
          <w:rFonts w:cs="Times New Roman"/>
        </w:rPr>
        <w:t xml:space="preserve">same as in </w:t>
      </w:r>
      <w:r w:rsidRPr="00C321B9">
        <w:rPr>
          <w:rStyle w:val="20"/>
          <w:color w:val="FF0000"/>
        </w:rPr>
        <w:t>Supplementary Fig</w:t>
      </w:r>
      <w:r>
        <w:rPr>
          <w:rStyle w:val="20"/>
          <w:color w:val="FF0000"/>
        </w:rPr>
        <w:t>s</w:t>
      </w:r>
      <w:r w:rsidRPr="00C321B9">
        <w:rPr>
          <w:rStyle w:val="20"/>
          <w:color w:val="FF0000"/>
        </w:rPr>
        <w:t xml:space="preserve">. </w:t>
      </w:r>
      <w:r>
        <w:rPr>
          <w:rStyle w:val="20"/>
          <w:color w:val="FF0000"/>
        </w:rPr>
        <w:t>50–51</w:t>
      </w:r>
      <w:r>
        <w:rPr>
          <w:rFonts w:cs="Times New Roman"/>
        </w:rPr>
        <w:t xml:space="preserve">. Horizontal red dashed lines in (c)–(f) denote the average derivatives from mineral physical model, while horizontal blue dashed lines denote results from </w:t>
      </w:r>
      <w:proofErr w:type="spellStart"/>
      <w:r>
        <w:rPr>
          <w:rFonts w:cs="Times New Roman"/>
        </w:rPr>
        <w:t>Perple_X</w:t>
      </w:r>
      <w:proofErr w:type="spellEnd"/>
      <w:r>
        <w:rPr>
          <w:rFonts w:cs="Times New Roman"/>
        </w:rPr>
        <w:t xml:space="preserve"> calculations.</w:t>
      </w:r>
    </w:p>
    <w:p w14:paraId="4A39F7D3" w14:textId="77777777" w:rsidR="007F6E00" w:rsidRDefault="007F6E00">
      <w:pPr>
        <w:widowControl/>
        <w:spacing w:line="240" w:lineRule="auto"/>
        <w:jc w:val="left"/>
        <w:rPr>
          <w:rFonts w:cs="Times New Roman"/>
        </w:rPr>
      </w:pPr>
      <w:r>
        <w:rPr>
          <w:rFonts w:cs="Times New Roman"/>
        </w:rPr>
        <w:br w:type="page"/>
      </w:r>
    </w:p>
    <w:p w14:paraId="2CE548FF" w14:textId="77777777" w:rsidR="007F6E00" w:rsidRDefault="007F6E00" w:rsidP="00A178A0">
      <w:pPr>
        <w:tabs>
          <w:tab w:val="center" w:pos="4080"/>
          <w:tab w:val="right" w:pos="8160"/>
        </w:tabs>
        <w:spacing w:line="240" w:lineRule="auto"/>
        <w:jc w:val="center"/>
        <w:rPr>
          <w:rFonts w:cs="Times New Roman"/>
        </w:rPr>
      </w:pPr>
      <w:r>
        <w:rPr>
          <w:rFonts w:cs="Times New Roman" w:hint="eastAsia"/>
          <w:noProof/>
        </w:rPr>
        <w:lastRenderedPageBreak/>
        <w:drawing>
          <wp:inline distT="0" distB="0" distL="0" distR="0" wp14:anchorId="76062201" wp14:editId="64537C4B">
            <wp:extent cx="4320000" cy="2199528"/>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320000" cy="2199528"/>
                    </a:xfrm>
                    <a:prstGeom prst="rect">
                      <a:avLst/>
                    </a:prstGeom>
                  </pic:spPr>
                </pic:pic>
              </a:graphicData>
            </a:graphic>
          </wp:inline>
        </w:drawing>
      </w:r>
    </w:p>
    <w:p w14:paraId="732E3553" w14:textId="77777777" w:rsidR="007F6E00" w:rsidRPr="00D67F10" w:rsidRDefault="007F6E00" w:rsidP="00D67F10">
      <w:pPr>
        <w:tabs>
          <w:tab w:val="center" w:pos="4080"/>
          <w:tab w:val="right" w:pos="8160"/>
        </w:tabs>
        <w:spacing w:line="240" w:lineRule="auto"/>
        <w:rPr>
          <w:rFonts w:cs="Times New Roman"/>
          <w:b/>
          <w:bCs/>
        </w:rPr>
      </w:pPr>
      <w:r>
        <w:rPr>
          <w:rFonts w:cs="Times New Roman" w:hint="eastAsia"/>
          <w:b/>
          <w:bCs/>
        </w:rPr>
        <w:t>Supplementary Fig. 5</w:t>
      </w:r>
      <w:r>
        <w:rPr>
          <w:rFonts w:cs="Times New Roman"/>
          <w:b/>
          <w:bCs/>
        </w:rPr>
        <w:t>4</w:t>
      </w:r>
      <w:r w:rsidRPr="009B488D">
        <w:rPr>
          <w:rFonts w:cs="Times New Roman"/>
          <w:b/>
          <w:bCs/>
        </w:rPr>
        <w:t xml:space="preserve"> | Variation</w:t>
      </w:r>
      <w:r>
        <w:rPr>
          <w:rFonts w:cs="Times New Roman"/>
          <w:b/>
          <w:bCs/>
        </w:rPr>
        <w:t>s</w:t>
      </w:r>
      <w:r w:rsidRPr="009B488D">
        <w:rPr>
          <w:rFonts w:cs="Times New Roman"/>
          <w:b/>
          <w:bCs/>
        </w:rPr>
        <w:t xml:space="preserve"> of </w:t>
      </w:r>
      <w:r>
        <w:rPr>
          <w:rFonts w:cs="Times New Roman"/>
          <w:b/>
          <w:bCs/>
        </w:rPr>
        <w:t xml:space="preserve">(a) </w:t>
      </w:r>
      <w:proofErr w:type="spellStart"/>
      <w:r w:rsidRPr="009B488D">
        <w:rPr>
          <w:rFonts w:cs="Times New Roman"/>
          <w:b/>
          <w:bCs/>
          <w:i/>
          <w:iCs/>
        </w:rPr>
        <w:t>Vp</w:t>
      </w:r>
      <w:proofErr w:type="spellEnd"/>
      <w:r w:rsidRPr="009B488D">
        <w:rPr>
          <w:rFonts w:cs="Times New Roman"/>
          <w:b/>
          <w:bCs/>
          <w:i/>
          <w:iCs/>
        </w:rPr>
        <w:t xml:space="preserve"> </w:t>
      </w:r>
      <w:r w:rsidRPr="009B488D">
        <w:rPr>
          <w:rFonts w:cs="Times New Roman"/>
          <w:b/>
          <w:bCs/>
        </w:rPr>
        <w:t xml:space="preserve">and </w:t>
      </w:r>
      <w:r>
        <w:rPr>
          <w:rFonts w:cs="Times New Roman"/>
          <w:b/>
          <w:bCs/>
        </w:rPr>
        <w:t xml:space="preserve">(b) </w:t>
      </w:r>
      <w:r w:rsidRPr="009B488D">
        <w:rPr>
          <w:rFonts w:cs="Times New Roman"/>
          <w:b/>
          <w:bCs/>
          <w:i/>
          <w:iCs/>
        </w:rPr>
        <w:t>Vs</w:t>
      </w:r>
      <w:r w:rsidRPr="009B488D">
        <w:rPr>
          <w:rFonts w:cs="Times New Roman"/>
          <w:b/>
          <w:bCs/>
        </w:rPr>
        <w:t xml:space="preserve"> with different bulk water contents.</w:t>
      </w:r>
    </w:p>
    <w:p w14:paraId="4EC0B76C" w14:textId="77777777" w:rsidR="007F6E00" w:rsidRDefault="007F6E00">
      <w:pPr>
        <w:widowControl/>
        <w:spacing w:line="240" w:lineRule="auto"/>
        <w:jc w:val="left"/>
      </w:pPr>
      <w:r>
        <w:br w:type="page"/>
      </w:r>
    </w:p>
    <w:p w14:paraId="52499741" w14:textId="77777777" w:rsidR="007F6E00" w:rsidRDefault="007F6E00" w:rsidP="00941C4A">
      <w:pPr>
        <w:pStyle w:val="1"/>
      </w:pPr>
      <w:bookmarkStart w:id="51" w:name="_Toc202208139"/>
      <w:r>
        <w:lastRenderedPageBreak/>
        <w:t>8. Martian mantle solidus and geotherm</w:t>
      </w:r>
      <w:bookmarkEnd w:id="51"/>
    </w:p>
    <w:p w14:paraId="6C3C7D77" w14:textId="77777777" w:rsidR="007F6E00" w:rsidRDefault="007F6E00" w:rsidP="00941C4A">
      <w:pPr>
        <w:pStyle w:val="2"/>
      </w:pPr>
      <w:bookmarkStart w:id="52" w:name="_Toc202208140"/>
      <w:r>
        <w:t>8.1. Dry solidus and its variation with Mg#</w:t>
      </w:r>
      <w:bookmarkEnd w:id="52"/>
    </w:p>
    <w:p w14:paraId="67A62ACD" w14:textId="77777777" w:rsidR="007F6E00" w:rsidRDefault="007F6E00" w:rsidP="00427F8F">
      <w:pPr>
        <w:tabs>
          <w:tab w:val="center" w:pos="4080"/>
          <w:tab w:val="right" w:pos="8160"/>
        </w:tabs>
        <w:ind w:firstLineChars="200" w:firstLine="480"/>
      </w:pPr>
      <w:r>
        <w:t>The Martian mantle solidus is believed to be lower than that of Earth at equivalent pressures, as the Martian mantle is thought to be enriched in Na and K and have a lower Mg#</w:t>
      </w:r>
      <w:r w:rsidRPr="00D27662">
        <w:rPr>
          <w:noProof/>
          <w:vertAlign w:val="superscript"/>
        </w:rPr>
        <w:t>80</w:t>
      </w:r>
      <w:r>
        <w:t>. Experimental</w:t>
      </w:r>
      <w:r w:rsidRPr="00FA72BF">
        <w:t xml:space="preserve"> studies have </w:t>
      </w:r>
      <w:r>
        <w:t>modeled Martian mantle solidus as q</w:t>
      </w:r>
      <w:r w:rsidRPr="00F62710">
        <w:t xml:space="preserve">uadratic </w:t>
      </w:r>
      <w:r>
        <w:t xml:space="preserve">or cubic </w:t>
      </w:r>
      <w:r w:rsidRPr="00F62710">
        <w:t>function</w:t>
      </w:r>
      <w:r>
        <w:t>s of pressure</w:t>
      </w:r>
      <w:r w:rsidRPr="00D27662">
        <w:rPr>
          <w:noProof/>
          <w:vertAlign w:val="superscript"/>
        </w:rPr>
        <w:t>85-89</w:t>
      </w:r>
      <w:r>
        <w:t>. Although the a</w:t>
      </w:r>
      <w:r w:rsidRPr="00BE53F5">
        <w:t xml:space="preserve">pplicable pressure </w:t>
      </w:r>
      <w:r>
        <w:t>range</w:t>
      </w:r>
      <w:r w:rsidRPr="00BE53F5">
        <w:t>s</w:t>
      </w:r>
      <w:r>
        <w:t xml:space="preserve"> differ across these studies, these models yield consistent melting temperatures at ~0.8–1.0 </w:t>
      </w:r>
      <w:proofErr w:type="spellStart"/>
      <w:r>
        <w:t>GPa</w:t>
      </w:r>
      <w:proofErr w:type="spellEnd"/>
      <w:r>
        <w:t xml:space="preserve"> </w:t>
      </w:r>
      <w:r w:rsidRPr="00725967">
        <w:rPr>
          <w:color w:val="FF0000"/>
        </w:rPr>
        <w:t>(</w:t>
      </w:r>
      <w:r>
        <w:rPr>
          <w:color w:val="FF0000"/>
        </w:rPr>
        <w:t>Supplementary Fig. 52</w:t>
      </w:r>
      <w:r w:rsidRPr="00725967">
        <w:rPr>
          <w:color w:val="FF0000"/>
        </w:rPr>
        <w:t>)</w:t>
      </w:r>
      <w:r>
        <w:t>. In this study, we adopt the solidus (</w:t>
      </w:r>
      <m:oMath>
        <m:sSub>
          <m:sSubPr>
            <m:ctrlPr>
              <w:rPr>
                <w:rFonts w:ascii="Cambria Math" w:hAnsi="Cambria Math"/>
                <w:i/>
              </w:rPr>
            </m:ctrlPr>
          </m:sSubPr>
          <m:e>
            <m:r>
              <w:rPr>
                <w:rFonts w:ascii="Cambria Math" w:hAnsi="Cambria Math"/>
              </w:rPr>
              <m:t>T</m:t>
            </m:r>
          </m:e>
          <m:sub>
            <m:r>
              <w:rPr>
                <w:rFonts w:ascii="Cambria Math" w:hAnsi="Cambria Math"/>
              </w:rPr>
              <m:t>solidus</m:t>
            </m:r>
          </m:sub>
        </m:sSub>
      </m:oMath>
      <w:r>
        <w:t>) equation provided by ref.</w:t>
      </w:r>
      <w:r w:rsidRPr="00D27662">
        <w:rPr>
          <w:noProof/>
          <w:vertAlign w:val="superscript"/>
        </w:rPr>
        <w:t xml:space="preserve"> 85</w:t>
      </w:r>
      <w:r>
        <w:t xml:space="preserve">, valid for 0.5–2.2 </w:t>
      </w:r>
      <w:proofErr w:type="spellStart"/>
      <w:r>
        <w:t>GPa</w:t>
      </w:r>
      <w:proofErr w:type="spellEnd"/>
      <w:r>
        <w:t>:</w:t>
      </w:r>
    </w:p>
    <w:p w14:paraId="6CC4DBF4" w14:textId="77777777" w:rsidR="007F6E00" w:rsidRDefault="007F6E00" w:rsidP="00427F8F">
      <w:pPr>
        <w:tabs>
          <w:tab w:val="center" w:pos="4080"/>
          <w:tab w:val="right" w:pos="8160"/>
        </w:tabs>
      </w:pPr>
      <w:r>
        <w:tab/>
      </w:r>
      <m:oMath>
        <m:sSub>
          <m:sSubPr>
            <m:ctrlPr>
              <w:rPr>
                <w:rFonts w:ascii="Cambria Math" w:hAnsi="Cambria Math"/>
                <w:i/>
              </w:rPr>
            </m:ctrlPr>
          </m:sSubPr>
          <m:e>
            <m:r>
              <w:rPr>
                <w:rFonts w:ascii="Cambria Math" w:hAnsi="Cambria Math"/>
              </w:rPr>
              <m:t>T</m:t>
            </m:r>
          </m:e>
          <m:sub>
            <m:r>
              <w:rPr>
                <w:rFonts w:ascii="Cambria Math" w:hAnsi="Cambria Math"/>
              </w:rPr>
              <m:t>solidus</m:t>
            </m:r>
          </m:sub>
        </m:sSub>
        <m:r>
          <w:rPr>
            <w:rFonts w:ascii="Cambria Math" w:hAnsi="Cambria Math"/>
          </w:rPr>
          <m:t>(K)=1306.15+168.1P(GPa)-14.22</m:t>
        </m:r>
        <m:sSup>
          <m:sSupPr>
            <m:ctrlPr>
              <w:rPr>
                <w:rFonts w:ascii="Cambria Math" w:hAnsi="Cambria Math"/>
                <w:i/>
              </w:rPr>
            </m:ctrlPr>
          </m:sSupPr>
          <m:e>
            <m:r>
              <w:rPr>
                <w:rFonts w:ascii="Cambria Math" w:hAnsi="Cambria Math"/>
              </w:rPr>
              <m:t>P</m:t>
            </m:r>
          </m:e>
          <m:sup>
            <m:r>
              <w:rPr>
                <w:rFonts w:ascii="Cambria Math" w:hAnsi="Cambria Math"/>
              </w:rPr>
              <m:t>2</m:t>
            </m:r>
          </m:sup>
        </m:sSup>
        <m:r>
          <w:rPr>
            <w:rFonts w:ascii="Cambria Math" w:hAnsi="Cambria Math"/>
          </w:rPr>
          <m:t>(GPa)</m:t>
        </m:r>
      </m:oMath>
      <w:r>
        <w:t>.</w:t>
      </w:r>
      <w:r>
        <w:tab/>
        <w:t>(27)</w:t>
      </w:r>
    </w:p>
    <w:p w14:paraId="5737058B" w14:textId="77777777" w:rsidR="007F6E00" w:rsidRDefault="007F6E00" w:rsidP="00427F8F">
      <w:pPr>
        <w:tabs>
          <w:tab w:val="center" w:pos="4080"/>
          <w:tab w:val="right" w:pos="8160"/>
        </w:tabs>
        <w:ind w:firstLineChars="200" w:firstLine="480"/>
      </w:pPr>
      <w:r>
        <w:rPr>
          <w:rFonts w:hint="eastAsia"/>
        </w:rPr>
        <w:t>T</w:t>
      </w:r>
      <w:r>
        <w:t>he content of major elements in peridotite, such as Na, K, Ca, Mg, and Fe, significantly affects the mantle solidus</w:t>
      </w:r>
      <w:r w:rsidRPr="00D27662">
        <w:rPr>
          <w:noProof/>
          <w:vertAlign w:val="superscript"/>
        </w:rPr>
        <w:t>100</w:t>
      </w:r>
      <w:r>
        <w:t>. Ref.</w:t>
      </w:r>
      <w:r w:rsidRPr="00D27662">
        <w:rPr>
          <w:noProof/>
          <w:vertAlign w:val="superscript"/>
        </w:rPr>
        <w:t xml:space="preserve"> 88</w:t>
      </w:r>
      <w:r>
        <w:t xml:space="preserve"> provides a composition dependent parameterization at 1 </w:t>
      </w:r>
      <w:proofErr w:type="spellStart"/>
      <w:r>
        <w:t>GPa</w:t>
      </w:r>
      <w:proofErr w:type="spellEnd"/>
      <w:r>
        <w:t>:</w:t>
      </w:r>
    </w:p>
    <w:p w14:paraId="74DC8088" w14:textId="77777777" w:rsidR="007F6E00" w:rsidRDefault="007F6E00" w:rsidP="00427F8F">
      <w:pPr>
        <w:tabs>
          <w:tab w:val="center" w:pos="4080"/>
          <w:tab w:val="right" w:pos="8160"/>
        </w:tabs>
      </w:pPr>
      <w:r>
        <w:tab/>
      </w:r>
      <m:oMath>
        <m:sSub>
          <m:sSubPr>
            <m:ctrlPr>
              <w:rPr>
                <w:rFonts w:ascii="Cambria Math" w:hAnsi="Cambria Math"/>
                <w:i/>
              </w:rPr>
            </m:ctrlPr>
          </m:sSubPr>
          <m:e>
            <m:r>
              <w:rPr>
                <w:rFonts w:ascii="Cambria Math" w:hAnsi="Cambria Math"/>
              </w:rPr>
              <m:t>T</m:t>
            </m:r>
          </m:e>
          <m:sub>
            <m:r>
              <w:rPr>
                <w:rFonts w:ascii="Cambria Math" w:hAnsi="Cambria Math"/>
              </w:rPr>
              <m:t>solidus</m:t>
            </m:r>
          </m:sub>
        </m:sSub>
        <m:d>
          <m:dPr>
            <m:ctrlPr>
              <w:rPr>
                <w:rFonts w:ascii="Cambria Math" w:hAnsi="Cambria Math"/>
                <w:i/>
              </w:rPr>
            </m:ctrlPr>
          </m:dPr>
          <m:e>
            <m:r>
              <w:rPr>
                <w:rFonts w:ascii="Cambria Math" w:hAnsi="Cambria Math"/>
              </w:rPr>
              <m:t>K</m:t>
            </m:r>
          </m:e>
        </m:d>
        <m:r>
          <w:rPr>
            <w:rFonts w:ascii="Cambria Math" w:hAnsi="Cambria Math"/>
          </w:rPr>
          <m:t>=1370.15+1.6Mg#-47.6</m:t>
        </m:r>
        <m:d>
          <m:dPr>
            <m:ctrlPr>
              <w:rPr>
                <w:rFonts w:ascii="Cambria Math" w:hAnsi="Cambria Math"/>
                <w:i/>
              </w:rPr>
            </m:ctrlPr>
          </m:dPr>
          <m:e>
            <m:sSub>
              <m:sSubPr>
                <m:ctrlPr>
                  <w:rPr>
                    <w:rFonts w:ascii="Cambria Math" w:hAnsi="Cambria Math"/>
                    <w:i/>
                  </w:rPr>
                </m:ctrlPr>
              </m:sSubPr>
              <m:e>
                <m:r>
                  <w:rPr>
                    <w:rFonts w:ascii="Cambria Math" w:hAnsi="Cambria Math"/>
                  </w:rPr>
                  <m:t>Na</m:t>
                </m:r>
              </m:e>
              <m:sub>
                <m:r>
                  <w:rPr>
                    <w:rFonts w:ascii="Cambria Math" w:hAnsi="Cambria Math"/>
                  </w:rPr>
                  <m:t>2</m:t>
                </m:r>
              </m:sub>
            </m:sSub>
            <m:r>
              <w:rPr>
                <w:rFonts w:ascii="Cambria Math" w:hAnsi="Cambria Math"/>
              </w:rPr>
              <m:t>O+</m:t>
            </m:r>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O</m:t>
            </m:r>
          </m:e>
        </m:d>
        <m:d>
          <m:dPr>
            <m:ctrlPr>
              <w:rPr>
                <w:rFonts w:ascii="Cambria Math" w:hAnsi="Cambria Math"/>
                <w:i/>
              </w:rPr>
            </m:ctrlPr>
          </m:dPr>
          <m:e>
            <m:r>
              <w:rPr>
                <w:rFonts w:ascii="Cambria Math" w:hAnsi="Cambria Math"/>
              </w:rPr>
              <m:t>wt%</m:t>
            </m:r>
          </m:e>
        </m:d>
        <m:r>
          <w:rPr>
            <w:rFonts w:ascii="Cambria Math" w:hAnsi="Cambria Math"/>
          </w:rPr>
          <m:t>+5.7CaO</m:t>
        </m:r>
        <m:d>
          <m:dPr>
            <m:ctrlPr>
              <w:rPr>
                <w:rFonts w:ascii="Cambria Math" w:hAnsi="Cambria Math"/>
                <w:i/>
              </w:rPr>
            </m:ctrlPr>
          </m:dPr>
          <m:e>
            <m:r>
              <w:rPr>
                <w:rFonts w:ascii="Cambria Math" w:hAnsi="Cambria Math"/>
              </w:rPr>
              <m:t>wt%</m:t>
            </m:r>
          </m:e>
        </m:d>
      </m:oMath>
      <w:r>
        <w:rPr>
          <w:rFonts w:hint="eastAsia"/>
        </w:rPr>
        <w:t>.</w:t>
      </w:r>
      <w:r>
        <w:tab/>
      </w:r>
      <w:r>
        <w:tab/>
      </w:r>
      <w:r>
        <w:tab/>
        <w:t>(28)</w:t>
      </w:r>
    </w:p>
    <w:p w14:paraId="4A3BD5D8" w14:textId="77777777" w:rsidR="007F6E00" w:rsidRPr="00427F8F" w:rsidRDefault="007F6E00" w:rsidP="00427F8F">
      <w:pPr>
        <w:tabs>
          <w:tab w:val="center" w:pos="4080"/>
          <w:tab w:val="right" w:pos="8160"/>
        </w:tabs>
      </w:pPr>
      <w:r>
        <w:t xml:space="preserve">Since we use Mg# as a proxy for composition variation </w:t>
      </w:r>
      <w:r w:rsidRPr="009773B4">
        <w:rPr>
          <w:color w:val="FF0000"/>
        </w:rPr>
        <w:t>(Methods, Equation 3)</w:t>
      </w:r>
      <w:r w:rsidRPr="002A3A7D">
        <w:rPr>
          <w:color w:val="000000" w:themeColor="text1"/>
        </w:rPr>
        <w:t xml:space="preserve">, </w:t>
      </w:r>
      <w:r>
        <w:t xml:space="preserve">we focus on the derivative of solidus with respect to Mg#. As shown in </w:t>
      </w:r>
      <w:r>
        <w:rPr>
          <w:color w:val="FF0000"/>
        </w:rPr>
        <w:t>Supplementary Fig. 48</w:t>
      </w:r>
      <w:r w:rsidRPr="009773B4">
        <w:rPr>
          <w:color w:val="000000" w:themeColor="text1"/>
        </w:rPr>
        <w:t xml:space="preserve">, </w:t>
      </w:r>
      <w:r>
        <w:t>our parameterization of the bulk Martian mantle composition indicates a linear relationship between Na</w:t>
      </w:r>
      <w:r w:rsidRPr="00EA1773">
        <w:rPr>
          <w:vertAlign w:val="subscript"/>
        </w:rPr>
        <w:t>2</w:t>
      </w:r>
      <w:r>
        <w:t>O/</w:t>
      </w:r>
      <w:proofErr w:type="spellStart"/>
      <w:r>
        <w:t>CaO</w:t>
      </w:r>
      <w:proofErr w:type="spellEnd"/>
      <w:r>
        <w:t xml:space="preserve"> and Mg#. Thus, it is straightforward to replace the other parameters in the previous solidus equation with Mg#. Subsequently, we derive </w:t>
      </w:r>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solidus</m:t>
                </m:r>
              </m:sub>
            </m:sSub>
          </m:num>
          <m:den>
            <m:r>
              <w:rPr>
                <w:rFonts w:ascii="Cambria Math" w:hAnsi="Cambria Math"/>
              </w:rPr>
              <m:t>∂Mg#</m:t>
            </m:r>
          </m:den>
        </m:f>
        <m:r>
          <w:rPr>
            <w:rFonts w:ascii="Cambria Math" w:hAnsi="Cambria Math"/>
          </w:rPr>
          <m:t>=1.4867(K)</m:t>
        </m:r>
      </m:oMath>
      <w:r>
        <w:t xml:space="preserve">, which is used in </w:t>
      </w:r>
      <w:r w:rsidRPr="00C214B9">
        <w:rPr>
          <w:color w:val="000000" w:themeColor="text1"/>
        </w:rPr>
        <w:t>equation (5) of Methods</w:t>
      </w:r>
      <w:r>
        <w:t>.</w:t>
      </w:r>
    </w:p>
    <w:p w14:paraId="7487A3CB" w14:textId="77777777" w:rsidR="007F6E00" w:rsidRPr="00F62710" w:rsidRDefault="007F6E00" w:rsidP="00427F8F">
      <w:pPr>
        <w:tabs>
          <w:tab w:val="center" w:pos="4080"/>
          <w:tab w:val="right" w:pos="8160"/>
        </w:tabs>
      </w:pPr>
    </w:p>
    <w:p w14:paraId="12A3AB45" w14:textId="77777777" w:rsidR="007F6E00" w:rsidRDefault="007F6E00" w:rsidP="00941C4A">
      <w:pPr>
        <w:pStyle w:val="2"/>
      </w:pPr>
      <w:bookmarkStart w:id="53" w:name="_Toc202208141"/>
      <w:r>
        <w:rPr>
          <w:rFonts w:hint="eastAsia"/>
        </w:rPr>
        <w:t>8</w:t>
      </w:r>
      <w:r>
        <w:t>.2. Hydrous solidus</w:t>
      </w:r>
      <w:bookmarkEnd w:id="53"/>
    </w:p>
    <w:p w14:paraId="2BEE27BF" w14:textId="77777777" w:rsidR="007F6E00" w:rsidRDefault="007F6E00" w:rsidP="003C407E">
      <w:pPr>
        <w:tabs>
          <w:tab w:val="center" w:pos="4080"/>
          <w:tab w:val="right" w:pos="8160"/>
        </w:tabs>
        <w:ind w:firstLineChars="200" w:firstLine="480"/>
      </w:pPr>
      <w:r>
        <w:rPr>
          <w:rFonts w:hint="eastAsia"/>
        </w:rPr>
        <w:t>R</w:t>
      </w:r>
      <w:r>
        <w:t>ef.</w:t>
      </w:r>
      <w:r w:rsidRPr="00D27662">
        <w:rPr>
          <w:noProof/>
          <w:vertAlign w:val="superscript"/>
        </w:rPr>
        <w:t xml:space="preserve"> 101</w:t>
      </w:r>
      <w:r>
        <w:t xml:space="preserve"> proposed a parameterization of hydrous mantle melting based on thermodynamic modeling and experimental investigations. The hydrous mantle solidus is expressed as</w:t>
      </w:r>
    </w:p>
    <w:p w14:paraId="6A778E45" w14:textId="77777777" w:rsidR="007F6E00" w:rsidRDefault="007F6E00" w:rsidP="003C407E">
      <w:pPr>
        <w:tabs>
          <w:tab w:val="center" w:pos="4080"/>
          <w:tab w:val="right" w:pos="8160"/>
        </w:tabs>
      </w:pPr>
      <w:r>
        <w:tab/>
      </w:r>
      <m:oMath>
        <m:sSubSup>
          <m:sSubSupPr>
            <m:ctrlPr>
              <w:rPr>
                <w:rFonts w:ascii="Cambria Math" w:hAnsi="Cambria Math"/>
                <w:i/>
              </w:rPr>
            </m:ctrlPr>
          </m:sSubSupPr>
          <m:e>
            <m:r>
              <w:rPr>
                <w:rFonts w:ascii="Cambria Math" w:hAnsi="Cambria Math"/>
              </w:rPr>
              <m:t>T</m:t>
            </m:r>
          </m:e>
          <m:sub>
            <m:r>
              <w:rPr>
                <w:rFonts w:ascii="Cambria Math" w:hAnsi="Cambria Math"/>
              </w:rPr>
              <m:t>solidus</m:t>
            </m:r>
          </m:sub>
          <m:sup>
            <m:r>
              <w:rPr>
                <w:rFonts w:ascii="Cambria Math" w:hAnsi="Cambria Math"/>
              </w:rPr>
              <m:t>hydrous</m:t>
            </m:r>
          </m:sup>
        </m:sSubSup>
        <m:d>
          <m:dPr>
            <m:ctrlPr>
              <w:rPr>
                <w:rFonts w:ascii="Cambria Math" w:hAnsi="Cambria Math"/>
                <w:i/>
              </w:rPr>
            </m:ctrlPr>
          </m:dPr>
          <m:e>
            <m:r>
              <w:rPr>
                <w:rFonts w:ascii="Cambria Math" w:hAnsi="Cambria Math"/>
              </w:rPr>
              <m:t>P,</m:t>
            </m:r>
            <m:sSub>
              <m:sSubPr>
                <m:ctrlPr>
                  <w:rPr>
                    <w:rFonts w:ascii="Cambria Math" w:hAnsi="Cambria Math"/>
                    <w:i/>
                  </w:rPr>
                </m:ctrlPr>
              </m:sSubPr>
              <m:e>
                <m:r>
                  <w:rPr>
                    <w:rFonts w:ascii="Cambria Math" w:hAnsi="Cambria Math"/>
                  </w:rPr>
                  <m:t>X</m:t>
                </m:r>
              </m:e>
              <m:sub>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m:t>
                </m:r>
              </m:sub>
            </m:sSub>
          </m:e>
        </m:d>
        <m:r>
          <w:rPr>
            <w:rFonts w:ascii="Cambria Math" w:hAnsi="Cambria Math"/>
          </w:rPr>
          <m:t>=</m:t>
        </m:r>
        <m:sSubSup>
          <m:sSubSupPr>
            <m:ctrlPr>
              <w:rPr>
                <w:rFonts w:ascii="Cambria Math" w:hAnsi="Cambria Math"/>
                <w:i/>
              </w:rPr>
            </m:ctrlPr>
          </m:sSubSupPr>
          <m:e>
            <m:r>
              <w:rPr>
                <w:rFonts w:ascii="Cambria Math" w:hAnsi="Cambria Math"/>
              </w:rPr>
              <m:t>T</m:t>
            </m:r>
          </m:e>
          <m:sub>
            <m:r>
              <w:rPr>
                <w:rFonts w:ascii="Cambria Math" w:hAnsi="Cambria Math"/>
              </w:rPr>
              <m:t>solidus</m:t>
            </m:r>
          </m:sub>
          <m:sup>
            <m:r>
              <w:rPr>
                <w:rFonts w:ascii="Cambria Math" w:hAnsi="Cambria Math"/>
              </w:rPr>
              <m:t>dry</m:t>
            </m:r>
          </m:sup>
        </m:sSubSup>
        <m:d>
          <m:dPr>
            <m:ctrlPr>
              <w:rPr>
                <w:rFonts w:ascii="Cambria Math" w:hAnsi="Cambria Math"/>
                <w:i/>
              </w:rPr>
            </m:ctrlPr>
          </m:dPr>
          <m:e>
            <m:r>
              <w:rPr>
                <w:rFonts w:ascii="Cambria Math" w:hAnsi="Cambria Math"/>
              </w:rPr>
              <m:t>P</m:t>
            </m:r>
          </m:e>
        </m:d>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solidus</m:t>
            </m:r>
          </m:sub>
        </m:sSub>
        <m:r>
          <w:rPr>
            <w:rFonts w:ascii="Cambria Math" w:hAnsi="Cambria Math"/>
          </w:rPr>
          <m:t>(</m:t>
        </m:r>
        <m:sSub>
          <m:sSubPr>
            <m:ctrlPr>
              <w:rPr>
                <w:rFonts w:ascii="Cambria Math" w:hAnsi="Cambria Math"/>
                <w:i/>
              </w:rPr>
            </m:ctrlPr>
          </m:sSubPr>
          <m:e>
            <m:r>
              <w:rPr>
                <w:rFonts w:ascii="Cambria Math" w:hAnsi="Cambria Math"/>
              </w:rPr>
              <m:t>X</m:t>
            </m:r>
          </m:e>
          <m:sub>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m:t>
            </m:r>
          </m:sub>
        </m:sSub>
        <m:r>
          <w:rPr>
            <w:rFonts w:ascii="Cambria Math" w:hAnsi="Cambria Math"/>
          </w:rPr>
          <m:t>)</m:t>
        </m:r>
      </m:oMath>
      <w:r>
        <w:rPr>
          <w:rFonts w:hint="eastAsia"/>
        </w:rPr>
        <w:t>,</w:t>
      </w:r>
      <w:r>
        <w:tab/>
        <w:t>(29)</w:t>
      </w:r>
    </w:p>
    <w:p w14:paraId="0799DCA3" w14:textId="77777777" w:rsidR="007F6E00" w:rsidRDefault="007F6E00" w:rsidP="003C407E">
      <w:pPr>
        <w:tabs>
          <w:tab w:val="center" w:pos="4080"/>
          <w:tab w:val="right" w:pos="8160"/>
        </w:tabs>
      </w:pPr>
      <w:r>
        <w:t xml:space="preserve">where </w:t>
      </w:r>
      <m:oMath>
        <m:sSub>
          <m:sSubPr>
            <m:ctrlPr>
              <w:rPr>
                <w:rFonts w:ascii="Cambria Math" w:hAnsi="Cambria Math"/>
                <w:i/>
              </w:rPr>
            </m:ctrlPr>
          </m:sSubPr>
          <m:e>
            <m:r>
              <w:rPr>
                <w:rFonts w:ascii="Cambria Math" w:hAnsi="Cambria Math"/>
              </w:rPr>
              <m:t>X</m:t>
            </m:r>
          </m:e>
          <m:sub>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m:t>
            </m:r>
          </m:sub>
        </m:sSub>
      </m:oMath>
      <w:r>
        <w:rPr>
          <w:rFonts w:hint="eastAsia"/>
        </w:rPr>
        <w:t xml:space="preserve"> </w:t>
      </w:r>
      <w:r>
        <w:t xml:space="preserve">is the weight fraction of water in the </w:t>
      </w:r>
      <w:proofErr w:type="gramStart"/>
      <w:r>
        <w:t>melt.</w:t>
      </w:r>
      <w:proofErr w:type="gramEnd"/>
      <w:r>
        <w:t xml:space="preserve"> The reduction in solidus temperature due to water content is defined as:</w:t>
      </w:r>
    </w:p>
    <w:p w14:paraId="34B21E73" w14:textId="77777777" w:rsidR="007F6E00" w:rsidRDefault="007F6E00" w:rsidP="003C407E">
      <w:pPr>
        <w:tabs>
          <w:tab w:val="center" w:pos="4080"/>
          <w:tab w:val="right" w:pos="8160"/>
        </w:tabs>
      </w:pPr>
      <w:r>
        <w:tab/>
      </w:r>
      <m:oMath>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solidus</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m:t>
                </m:r>
              </m:sub>
            </m:sSub>
          </m:e>
        </m:d>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K</m:t>
                </m:r>
                <m:sSubSup>
                  <m:sSubSupPr>
                    <m:ctrlPr>
                      <w:rPr>
                        <w:rFonts w:ascii="Cambria Math" w:hAnsi="Cambria Math"/>
                        <w:i/>
                      </w:rPr>
                    </m:ctrlPr>
                  </m:sSubSupPr>
                  <m:e>
                    <m:r>
                      <w:rPr>
                        <w:rFonts w:ascii="Cambria Math" w:hAnsi="Cambria Math"/>
                      </w:rPr>
                      <m:t>X</m:t>
                    </m:r>
                  </m:e>
                  <m:sub>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m:t>
                    </m:r>
                  </m:sub>
                  <m:sup>
                    <m:r>
                      <w:rPr>
                        <w:rFonts w:ascii="Cambria Math" w:hAnsi="Cambria Math"/>
                      </w:rPr>
                      <m:t>γ</m:t>
                    </m:r>
                  </m:sup>
                </m:sSubSup>
                <m:r>
                  <w:rPr>
                    <w:rFonts w:ascii="Cambria Math" w:hAnsi="Cambria Math"/>
                  </w:rPr>
                  <m:t xml:space="preserve">,   if </m:t>
                </m:r>
                <m:sSub>
                  <m:sSubPr>
                    <m:ctrlPr>
                      <w:rPr>
                        <w:rFonts w:ascii="Cambria Math" w:hAnsi="Cambria Math"/>
                        <w:i/>
                      </w:rPr>
                    </m:ctrlPr>
                  </m:sSubPr>
                  <m:e>
                    <m:r>
                      <w:rPr>
                        <w:rFonts w:ascii="Cambria Math" w:hAnsi="Cambria Math"/>
                      </w:rPr>
                      <m:t>X</m:t>
                    </m:r>
                  </m:e>
                  <m:sub>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m:t>
                    </m:r>
                  </m:sub>
                </m:sSub>
                <m:r>
                  <w:rPr>
                    <w:rFonts w:ascii="Cambria Math" w:hAnsi="Cambria Math"/>
                  </w:rPr>
                  <m:t>≤</m:t>
                </m:r>
                <m:sSubSup>
                  <m:sSubSupPr>
                    <m:ctrlPr>
                      <w:rPr>
                        <w:rFonts w:ascii="Cambria Math" w:hAnsi="Cambria Math"/>
                        <w:i/>
                      </w:rPr>
                    </m:ctrlPr>
                  </m:sSubSupPr>
                  <m:e>
                    <m:r>
                      <w:rPr>
                        <w:rFonts w:ascii="Cambria Math" w:hAnsi="Cambria Math"/>
                      </w:rPr>
                      <m:t>X</m:t>
                    </m:r>
                  </m:e>
                  <m:sub>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m:t>
                    </m:r>
                  </m:sub>
                  <m:sup>
                    <m:r>
                      <w:rPr>
                        <w:rFonts w:ascii="Cambria Math" w:hAnsi="Cambria Math"/>
                      </w:rPr>
                      <m:t>sat</m:t>
                    </m:r>
                  </m:sup>
                </m:sSubSup>
              </m:e>
              <m:e>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solidus</m:t>
                    </m:r>
                  </m:sub>
                </m:sSub>
                <m:d>
                  <m:dPr>
                    <m:ctrlPr>
                      <w:rPr>
                        <w:rFonts w:ascii="Cambria Math" w:hAnsi="Cambria Math"/>
                        <w:i/>
                      </w:rPr>
                    </m:ctrlPr>
                  </m:dPr>
                  <m:e>
                    <m:sSubSup>
                      <m:sSubSupPr>
                        <m:ctrlPr>
                          <w:rPr>
                            <w:rFonts w:ascii="Cambria Math" w:hAnsi="Cambria Math"/>
                            <w:i/>
                          </w:rPr>
                        </m:ctrlPr>
                      </m:sSubSupPr>
                      <m:e>
                        <m:r>
                          <w:rPr>
                            <w:rFonts w:ascii="Cambria Math" w:hAnsi="Cambria Math"/>
                          </w:rPr>
                          <m:t>X</m:t>
                        </m:r>
                      </m:e>
                      <m:sub>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m:t>
                        </m:r>
                      </m:sub>
                      <m:sup>
                        <m:r>
                          <w:rPr>
                            <w:rFonts w:ascii="Cambria Math" w:hAnsi="Cambria Math"/>
                          </w:rPr>
                          <m:t>sat</m:t>
                        </m:r>
                      </m:sup>
                    </m:sSubSup>
                  </m:e>
                </m:d>
                <m:r>
                  <w:rPr>
                    <w:rFonts w:ascii="Cambria Math" w:hAnsi="Cambria Math"/>
                  </w:rPr>
                  <m:t xml:space="preserve">,   if </m:t>
                </m:r>
                <m:sSub>
                  <m:sSubPr>
                    <m:ctrlPr>
                      <w:rPr>
                        <w:rFonts w:ascii="Cambria Math" w:hAnsi="Cambria Math"/>
                        <w:i/>
                      </w:rPr>
                    </m:ctrlPr>
                  </m:sSubPr>
                  <m:e>
                    <m:r>
                      <w:rPr>
                        <w:rFonts w:ascii="Cambria Math" w:hAnsi="Cambria Math"/>
                      </w:rPr>
                      <m:t>X</m:t>
                    </m:r>
                  </m:e>
                  <m:sub>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m:t>
                    </m:r>
                  </m:sub>
                </m:sSub>
                <m:r>
                  <w:rPr>
                    <w:rFonts w:ascii="Cambria Math" w:hAnsi="Cambria Math"/>
                  </w:rPr>
                  <m:t>&gt;</m:t>
                </m:r>
                <m:sSubSup>
                  <m:sSubSupPr>
                    <m:ctrlPr>
                      <w:rPr>
                        <w:rFonts w:ascii="Cambria Math" w:hAnsi="Cambria Math"/>
                        <w:i/>
                      </w:rPr>
                    </m:ctrlPr>
                  </m:sSubSupPr>
                  <m:e>
                    <m:r>
                      <w:rPr>
                        <w:rFonts w:ascii="Cambria Math" w:hAnsi="Cambria Math"/>
                      </w:rPr>
                      <m:t>X</m:t>
                    </m:r>
                  </m:e>
                  <m:sub>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m:t>
                    </m:r>
                  </m:sub>
                  <m:sup>
                    <m:r>
                      <w:rPr>
                        <w:rFonts w:ascii="Cambria Math" w:hAnsi="Cambria Math"/>
                      </w:rPr>
                      <m:t>sat</m:t>
                    </m:r>
                  </m:sup>
                </m:sSubSup>
              </m:e>
            </m:eqArr>
          </m:e>
        </m:d>
      </m:oMath>
      <w:r>
        <w:rPr>
          <w:rFonts w:hint="eastAsia"/>
        </w:rPr>
        <w:t>.</w:t>
      </w:r>
      <w:r>
        <w:tab/>
        <w:t>(30)</w:t>
      </w:r>
    </w:p>
    <w:p w14:paraId="3046F553" w14:textId="77777777" w:rsidR="007F6E00" w:rsidRDefault="002243C8" w:rsidP="003C407E">
      <w:pPr>
        <w:tabs>
          <w:tab w:val="center" w:pos="4080"/>
          <w:tab w:val="right" w:pos="8160"/>
        </w:tabs>
      </w:pPr>
      <m:oMath>
        <m:sSubSup>
          <m:sSubSupPr>
            <m:ctrlPr>
              <w:rPr>
                <w:rFonts w:ascii="Cambria Math" w:hAnsi="Cambria Math"/>
                <w:i/>
              </w:rPr>
            </m:ctrlPr>
          </m:sSubSupPr>
          <m:e>
            <m:r>
              <w:rPr>
                <w:rFonts w:ascii="Cambria Math" w:hAnsi="Cambria Math"/>
              </w:rPr>
              <m:t>X</m:t>
            </m:r>
          </m:e>
          <m:sub>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m:t>
            </m:r>
          </m:sub>
          <m:sup>
            <m:r>
              <w:rPr>
                <w:rFonts w:ascii="Cambria Math" w:hAnsi="Cambria Math"/>
              </w:rPr>
              <m:t>sat</m:t>
            </m:r>
          </m:sup>
        </m:sSubSup>
      </m:oMath>
      <w:r w:rsidR="007F6E00">
        <w:rPr>
          <w:rFonts w:hint="eastAsia"/>
        </w:rPr>
        <w:t xml:space="preserve"> </w:t>
      </w:r>
      <w:r w:rsidR="007F6E00">
        <w:t>is the weight fraction of water in the saturated melt and is pressure-</w:t>
      </w:r>
      <w:proofErr w:type="gramStart"/>
      <w:r w:rsidR="007F6E00">
        <w:t>dependent:</w:t>
      </w:r>
      <w:proofErr w:type="gramEnd"/>
    </w:p>
    <w:p w14:paraId="2D3E38EF" w14:textId="77777777" w:rsidR="007F6E00" w:rsidRDefault="007F6E00" w:rsidP="003C407E">
      <w:pPr>
        <w:tabs>
          <w:tab w:val="center" w:pos="4080"/>
          <w:tab w:val="right" w:pos="8160"/>
        </w:tabs>
      </w:pPr>
      <w:r>
        <w:tab/>
      </w:r>
      <m:oMath>
        <m:sSubSup>
          <m:sSubSupPr>
            <m:ctrlPr>
              <w:rPr>
                <w:rFonts w:ascii="Cambria Math" w:hAnsi="Cambria Math"/>
                <w:i/>
              </w:rPr>
            </m:ctrlPr>
          </m:sSubSupPr>
          <m:e>
            <m:r>
              <w:rPr>
                <w:rFonts w:ascii="Cambria Math" w:hAnsi="Cambria Math"/>
              </w:rPr>
              <m:t>X</m:t>
            </m:r>
          </m:e>
          <m:sub>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m:t>
            </m:r>
          </m:sub>
          <m:sup>
            <m:r>
              <w:rPr>
                <w:rFonts w:ascii="Cambria Math" w:hAnsi="Cambria Math"/>
              </w:rPr>
              <m:t>sat</m:t>
            </m:r>
          </m:sup>
        </m:sSubSup>
        <m:d>
          <m:dPr>
            <m:ctrlPr>
              <w:rPr>
                <w:rFonts w:ascii="Cambria Math" w:hAnsi="Cambria Math"/>
                <w:i/>
              </w:rPr>
            </m:ctrlPr>
          </m:dPr>
          <m:e>
            <m:r>
              <w:rPr>
                <w:rFonts w:ascii="Cambria Math" w:hAnsi="Cambria Math"/>
              </w:rPr>
              <m:t>P</m:t>
            </m:r>
          </m:e>
        </m:d>
        <m:r>
          <w:rPr>
            <w:rFonts w:ascii="Cambria Math" w:hAnsi="Cambria Math"/>
          </w:rPr>
          <m:t>=</m:t>
        </m:r>
        <m:sSub>
          <m:sSubPr>
            <m:ctrlPr>
              <w:rPr>
                <w:rFonts w:ascii="Cambria Math" w:hAnsi="Cambria Math"/>
                <w:i/>
              </w:rPr>
            </m:ctrlPr>
          </m:sSubPr>
          <m:e>
            <m:r>
              <w:rPr>
                <w:rFonts w:ascii="Cambria Math" w:hAnsi="Cambria Math"/>
              </w:rPr>
              <m:t>χ</m:t>
            </m:r>
          </m:e>
          <m:sub>
            <m:r>
              <w:rPr>
                <w:rFonts w:ascii="Cambria Math" w:hAnsi="Cambria Math"/>
              </w:rPr>
              <m:t>1</m:t>
            </m:r>
          </m:sub>
        </m:sSub>
        <m:sSup>
          <m:sSupPr>
            <m:ctrlPr>
              <w:rPr>
                <w:rFonts w:ascii="Cambria Math" w:hAnsi="Cambria Math"/>
                <w:i/>
              </w:rPr>
            </m:ctrlPr>
          </m:sSupPr>
          <m:e>
            <m:r>
              <w:rPr>
                <w:rFonts w:ascii="Cambria Math" w:hAnsi="Cambria Math"/>
              </w:rPr>
              <m:t>P</m:t>
            </m:r>
          </m:e>
          <m:sup>
            <m:r>
              <w:rPr>
                <w:rFonts w:ascii="Cambria Math" w:hAnsi="Cambria Math"/>
              </w:rPr>
              <m:t>λ</m:t>
            </m:r>
          </m:sup>
        </m:sSup>
        <m:r>
          <w:rPr>
            <w:rFonts w:ascii="Cambria Math" w:hAnsi="Cambria Math"/>
          </w:rPr>
          <m:t>+</m:t>
        </m:r>
        <m:sSub>
          <m:sSubPr>
            <m:ctrlPr>
              <w:rPr>
                <w:rFonts w:ascii="Cambria Math" w:hAnsi="Cambria Math"/>
                <w:i/>
              </w:rPr>
            </m:ctrlPr>
          </m:sSubPr>
          <m:e>
            <m:r>
              <w:rPr>
                <w:rFonts w:ascii="Cambria Math" w:hAnsi="Cambria Math"/>
              </w:rPr>
              <m:t>χ</m:t>
            </m:r>
          </m:e>
          <m:sub>
            <m:r>
              <w:rPr>
                <w:rFonts w:ascii="Cambria Math" w:hAnsi="Cambria Math"/>
              </w:rPr>
              <m:t>2</m:t>
            </m:r>
          </m:sub>
        </m:sSub>
        <m:r>
          <w:rPr>
            <w:rFonts w:ascii="Cambria Math" w:hAnsi="Cambria Math"/>
          </w:rPr>
          <m:t>P</m:t>
        </m:r>
      </m:oMath>
      <w:r>
        <w:rPr>
          <w:rFonts w:hint="eastAsia"/>
        </w:rPr>
        <w:t>.</w:t>
      </w:r>
      <w:r>
        <w:tab/>
        <w:t>(31)</w:t>
      </w:r>
    </w:p>
    <w:p w14:paraId="471B031D" w14:textId="77777777" w:rsidR="007F6E00" w:rsidRDefault="007F6E00" w:rsidP="003C407E">
      <w:pPr>
        <w:tabs>
          <w:tab w:val="center" w:pos="4080"/>
          <w:tab w:val="right" w:pos="8160"/>
        </w:tabs>
      </w:pPr>
      <w:r>
        <w:t>Additional water beyond saturation does not further lower the solidus. The fraction of water in the melt is determined by the bulk water content and the partition coefficient of hydrogen between peridotite and melt:</w:t>
      </w:r>
    </w:p>
    <w:p w14:paraId="725344A7" w14:textId="77777777" w:rsidR="007F6E00" w:rsidRDefault="007F6E00" w:rsidP="003C407E">
      <w:pPr>
        <w:tabs>
          <w:tab w:val="center" w:pos="4080"/>
          <w:tab w:val="right" w:pos="8160"/>
        </w:tabs>
      </w:pPr>
      <w:r>
        <w:tab/>
      </w:r>
      <m:oMath>
        <m:sSub>
          <m:sSubPr>
            <m:ctrlPr>
              <w:rPr>
                <w:rFonts w:ascii="Cambria Math" w:hAnsi="Cambria Math"/>
                <w:i/>
              </w:rPr>
            </m:ctrlPr>
          </m:sSubPr>
          <m:e>
            <m:r>
              <w:rPr>
                <w:rFonts w:ascii="Cambria Math" w:hAnsi="Cambria Math"/>
              </w:rPr>
              <m:t>X</m:t>
            </m:r>
          </m:e>
          <m:sub>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X</m:t>
                </m:r>
              </m:e>
              <m:sub>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m:t>
                </m:r>
              </m:sub>
              <m:sup>
                <m:r>
                  <w:rPr>
                    <w:rFonts w:ascii="Cambria Math" w:hAnsi="Cambria Math"/>
                  </w:rPr>
                  <m:t>bulk</m:t>
                </m:r>
              </m:sup>
            </m:sSubSup>
          </m:num>
          <m:den>
            <m:sSubSup>
              <m:sSubSupPr>
                <m:ctrlPr>
                  <w:rPr>
                    <w:rFonts w:ascii="Cambria Math" w:hAnsi="Cambria Math"/>
                    <w:i/>
                  </w:rPr>
                </m:ctrlPr>
              </m:sSubSupPr>
              <m:e>
                <m:r>
                  <w:rPr>
                    <w:rFonts w:ascii="Cambria Math" w:hAnsi="Cambria Math"/>
                  </w:rPr>
                  <m:t>D</m:t>
                </m:r>
              </m:e>
              <m:sub>
                <m:r>
                  <w:rPr>
                    <w:rFonts w:ascii="Cambria Math" w:hAnsi="Cambria Math"/>
                  </w:rPr>
                  <m:t>H</m:t>
                </m:r>
              </m:sub>
              <m:sup>
                <m:r>
                  <w:rPr>
                    <w:rFonts w:ascii="Cambria Math" w:hAnsi="Cambria Math"/>
                  </w:rPr>
                  <m:t>peridotite/melt</m:t>
                </m:r>
              </m:sup>
            </m:sSubSup>
          </m:den>
        </m:f>
      </m:oMath>
      <w:r>
        <w:t>,</w:t>
      </w:r>
      <w:r>
        <w:tab/>
        <w:t>(32)</w:t>
      </w:r>
    </w:p>
    <w:p w14:paraId="7F7DA1B1" w14:textId="77777777" w:rsidR="007F6E00" w:rsidRDefault="007F6E00" w:rsidP="003C407E">
      <w:pPr>
        <w:tabs>
          <w:tab w:val="center" w:pos="4080"/>
          <w:tab w:val="right" w:pos="8160"/>
        </w:tabs>
      </w:pPr>
      <w:r>
        <w:t xml:space="preserve">where </w:t>
      </w:r>
      <m:oMath>
        <m:sSubSup>
          <m:sSubSupPr>
            <m:ctrlPr>
              <w:rPr>
                <w:rFonts w:ascii="Cambria Math" w:hAnsi="Cambria Math"/>
                <w:i/>
              </w:rPr>
            </m:ctrlPr>
          </m:sSubSupPr>
          <m:e>
            <m:r>
              <w:rPr>
                <w:rFonts w:ascii="Cambria Math" w:hAnsi="Cambria Math"/>
              </w:rPr>
              <m:t>D</m:t>
            </m:r>
          </m:e>
          <m:sub>
            <m:r>
              <w:rPr>
                <w:rFonts w:ascii="Cambria Math" w:hAnsi="Cambria Math"/>
              </w:rPr>
              <m:t>H</m:t>
            </m:r>
          </m:sub>
          <m:sup>
            <m:r>
              <w:rPr>
                <w:rFonts w:ascii="Cambria Math" w:hAnsi="Cambria Math"/>
              </w:rPr>
              <m:t>peridotite/melt</m:t>
            </m:r>
          </m:sup>
        </m:sSubSup>
      </m:oMath>
      <w:r>
        <w:rPr>
          <w:rFonts w:hint="eastAsia"/>
        </w:rPr>
        <w:t xml:space="preserve"> </w:t>
      </w:r>
      <w:r>
        <w:t>is taken as 0.009</w:t>
      </w:r>
      <w:r w:rsidRPr="00D27662">
        <w:rPr>
          <w:noProof/>
          <w:vertAlign w:val="superscript"/>
        </w:rPr>
        <w:t>102</w:t>
      </w:r>
      <w:r>
        <w:t xml:space="preserve">. Other parameters used in </w:t>
      </w:r>
      <w:r w:rsidRPr="00C214B9">
        <w:rPr>
          <w:color w:val="000000" w:themeColor="text1"/>
        </w:rPr>
        <w:t>equations (</w:t>
      </w:r>
      <w:r>
        <w:rPr>
          <w:color w:val="000000" w:themeColor="text1"/>
        </w:rPr>
        <w:t>30</w:t>
      </w:r>
      <w:r w:rsidRPr="00C214B9">
        <w:rPr>
          <w:color w:val="000000" w:themeColor="text1"/>
        </w:rPr>
        <w:t>)</w:t>
      </w:r>
      <w:proofErr w:type="gramStart"/>
      <w:r w:rsidRPr="00C214B9">
        <w:rPr>
          <w:color w:val="000000" w:themeColor="text1"/>
        </w:rPr>
        <w:t>–(</w:t>
      </w:r>
      <w:proofErr w:type="gramEnd"/>
      <w:r>
        <w:rPr>
          <w:color w:val="000000" w:themeColor="text1"/>
        </w:rPr>
        <w:t>31</w:t>
      </w:r>
      <w:r w:rsidRPr="00C214B9">
        <w:rPr>
          <w:color w:val="000000" w:themeColor="text1"/>
        </w:rPr>
        <w:t>)</w:t>
      </w:r>
      <w:r>
        <w:t xml:space="preserve"> are referred to ref.</w:t>
      </w:r>
      <w:r w:rsidRPr="00D27662">
        <w:rPr>
          <w:noProof/>
          <w:vertAlign w:val="superscript"/>
        </w:rPr>
        <w:t xml:space="preserve"> 101</w:t>
      </w:r>
      <w:r>
        <w:t>.</w:t>
      </w:r>
    </w:p>
    <w:p w14:paraId="11B0FA37" w14:textId="77777777" w:rsidR="007F6E00" w:rsidRDefault="007F6E00" w:rsidP="00D5048C">
      <w:pPr>
        <w:tabs>
          <w:tab w:val="center" w:pos="4080"/>
          <w:tab w:val="right" w:pos="8160"/>
        </w:tabs>
        <w:ind w:firstLine="480"/>
      </w:pPr>
      <w:r>
        <w:t xml:space="preserve">An alternative method, </w:t>
      </w:r>
      <w:proofErr w:type="spellStart"/>
      <w:r>
        <w:t>cryoscopic</w:t>
      </w:r>
      <w:proofErr w:type="spellEnd"/>
      <w:r>
        <w:t xml:space="preserve"> relation</w:t>
      </w:r>
      <w:r w:rsidRPr="00D27662">
        <w:rPr>
          <w:noProof/>
          <w:vertAlign w:val="superscript"/>
        </w:rPr>
        <w:t>103</w:t>
      </w:r>
      <w:r>
        <w:t>, is also tested to estimate the effect of water on mantle melting. This method accounts for the freezing point depression caused by an ideal diluent (</w:t>
      </w:r>
      <w:proofErr w:type="gramStart"/>
      <w:r>
        <w:t>e.g.</w:t>
      </w:r>
      <w:proofErr w:type="gramEnd"/>
      <w:r>
        <w:t xml:space="preserve"> water here) as:</w:t>
      </w:r>
    </w:p>
    <w:p w14:paraId="4D7BCDA5" w14:textId="77777777" w:rsidR="007F6E00" w:rsidRDefault="007F6E00" w:rsidP="00D5048C">
      <w:pPr>
        <w:tabs>
          <w:tab w:val="center" w:pos="4080"/>
          <w:tab w:val="right" w:pos="8160"/>
        </w:tabs>
      </w:pPr>
      <w:r>
        <w:tab/>
      </w:r>
      <m:oMath>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T</m:t>
                </m:r>
              </m:e>
              <m:sub>
                <m:r>
                  <w:rPr>
                    <w:rFonts w:ascii="Cambria Math" w:hAnsi="Cambria Math"/>
                  </w:rPr>
                  <m:t>solidus</m:t>
                </m:r>
              </m:sub>
              <m:sup>
                <m:r>
                  <w:rPr>
                    <w:rFonts w:ascii="Cambria Math" w:hAnsi="Cambria Math"/>
                  </w:rPr>
                  <m:t>hydrous</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T</m:t>
                </m:r>
              </m:e>
              <m:sub>
                <m:r>
                  <w:rPr>
                    <w:rFonts w:ascii="Cambria Math" w:hAnsi="Cambria Math"/>
                  </w:rPr>
                  <m:t>solidus</m:t>
                </m:r>
              </m:sub>
              <m:sup>
                <m:r>
                  <w:rPr>
                    <w:rFonts w:ascii="Cambria Math" w:hAnsi="Cambria Math"/>
                  </w:rPr>
                  <m:t>dry</m:t>
                </m:r>
              </m:sup>
            </m:sSubSup>
          </m:den>
        </m:f>
        <m:r>
          <w:rPr>
            <w:rFonts w:ascii="Cambria Math" w:hAnsi="Cambria Math"/>
          </w:rPr>
          <m:t>-</m:t>
        </m:r>
        <m:f>
          <m:fPr>
            <m:ctrlPr>
              <w:rPr>
                <w:rFonts w:ascii="Cambria Math" w:hAnsi="Cambria Math"/>
                <w:i/>
              </w:rPr>
            </m:ctrlPr>
          </m:fPr>
          <m:num>
            <m:r>
              <w:rPr>
                <w:rFonts w:ascii="Cambria Math" w:hAnsi="Cambria Math"/>
              </w:rPr>
              <m:t>R</m:t>
            </m:r>
          </m:num>
          <m:den>
            <m:sSubSup>
              <m:sSubSupPr>
                <m:ctrlPr>
                  <w:rPr>
                    <w:rFonts w:ascii="Cambria Math" w:hAnsi="Cambria Math"/>
                    <w:i/>
                  </w:rPr>
                </m:ctrlPr>
              </m:sSubSupPr>
              <m:e>
                <m:r>
                  <w:rPr>
                    <w:rFonts w:ascii="Cambria Math" w:hAnsi="Cambria Math"/>
                  </w:rPr>
                  <m:t>∆H</m:t>
                </m:r>
              </m:e>
              <m:sub>
                <m:r>
                  <w:rPr>
                    <w:rFonts w:ascii="Cambria Math" w:hAnsi="Cambria Math"/>
                  </w:rPr>
                  <m:t>peridotite</m:t>
                </m:r>
              </m:sub>
              <m:sup>
                <m:r>
                  <w:rPr>
                    <w:rFonts w:ascii="Cambria Math" w:hAnsi="Cambria Math"/>
                  </w:rPr>
                  <m:t>fusion</m:t>
                </m:r>
              </m:sup>
            </m:sSubSup>
          </m:den>
        </m:f>
        <m:r>
          <m:rPr>
            <m:sty m:val="p"/>
          </m:rPr>
          <w:rPr>
            <w:rFonts w:ascii="Cambria Math" w:hAnsi="Cambria Math"/>
          </w:rPr>
          <m:t>ln⁡</m:t>
        </m:r>
        <m:r>
          <w:rPr>
            <w:rFonts w:ascii="Cambria Math" w:hAnsi="Cambria Math"/>
          </w:rPr>
          <m:t>(1-</m:t>
        </m:r>
        <m:sSub>
          <m:sSubPr>
            <m:ctrlPr>
              <w:rPr>
                <w:rFonts w:ascii="Cambria Math" w:hAnsi="Cambria Math"/>
                <w:i/>
              </w:rPr>
            </m:ctrlPr>
          </m:sSubPr>
          <m:e>
            <m:r>
              <w:rPr>
                <w:rFonts w:ascii="Cambria Math" w:hAnsi="Cambria Math"/>
              </w:rPr>
              <m:t>X</m:t>
            </m:r>
          </m:e>
          <m:sub>
            <m:sSup>
              <m:sSupPr>
                <m:ctrlPr>
                  <w:rPr>
                    <w:rFonts w:ascii="Cambria Math" w:hAnsi="Cambria Math"/>
                    <w:i/>
                  </w:rPr>
                </m:ctrlPr>
              </m:sSupPr>
              <m:e>
                <m:r>
                  <w:rPr>
                    <w:rFonts w:ascii="Cambria Math" w:hAnsi="Cambria Math"/>
                  </w:rPr>
                  <m:t>OH</m:t>
                </m:r>
              </m:e>
              <m:sup>
                <m:r>
                  <w:rPr>
                    <w:rFonts w:ascii="Cambria Math" w:hAnsi="Cambria Math"/>
                  </w:rPr>
                  <m:t>-</m:t>
                </m:r>
              </m:sup>
            </m:sSup>
          </m:sub>
        </m:sSub>
        <m:r>
          <w:rPr>
            <w:rFonts w:ascii="Cambria Math" w:hAnsi="Cambria Math"/>
          </w:rPr>
          <m:t>)</m:t>
        </m:r>
      </m:oMath>
      <w:r>
        <w:rPr>
          <w:rFonts w:hint="eastAsia"/>
        </w:rPr>
        <w:t>,</w:t>
      </w:r>
      <w:r>
        <w:tab/>
        <w:t>(33)</w:t>
      </w:r>
    </w:p>
    <w:p w14:paraId="218D1F97" w14:textId="77777777" w:rsidR="007F6E00" w:rsidRDefault="007F6E00" w:rsidP="00D5048C">
      <w:pPr>
        <w:tabs>
          <w:tab w:val="center" w:pos="4080"/>
          <w:tab w:val="right" w:pos="8160"/>
        </w:tabs>
      </w:pPr>
      <w:r>
        <w:lastRenderedPageBreak/>
        <w:t xml:space="preserve">where </w:t>
      </w:r>
      <m:oMath>
        <m:sSub>
          <m:sSubPr>
            <m:ctrlPr>
              <w:rPr>
                <w:rFonts w:ascii="Cambria Math" w:hAnsi="Cambria Math"/>
                <w:i/>
              </w:rPr>
            </m:ctrlPr>
          </m:sSubPr>
          <m:e>
            <m:r>
              <w:rPr>
                <w:rFonts w:ascii="Cambria Math" w:hAnsi="Cambria Math"/>
              </w:rPr>
              <m:t>X</m:t>
            </m:r>
          </m:e>
          <m:sub>
            <m:sSup>
              <m:sSupPr>
                <m:ctrlPr>
                  <w:rPr>
                    <w:rFonts w:ascii="Cambria Math" w:hAnsi="Cambria Math"/>
                    <w:i/>
                  </w:rPr>
                </m:ctrlPr>
              </m:sSupPr>
              <m:e>
                <m:r>
                  <w:rPr>
                    <w:rFonts w:ascii="Cambria Math" w:hAnsi="Cambria Math"/>
                  </w:rPr>
                  <m:t>OH</m:t>
                </m:r>
              </m:e>
              <m:sup>
                <m:r>
                  <w:rPr>
                    <w:rFonts w:ascii="Cambria Math" w:hAnsi="Cambria Math"/>
                  </w:rPr>
                  <m:t>-</m:t>
                </m:r>
              </m:sup>
            </m:sSup>
          </m:sub>
        </m:sSub>
      </m:oMath>
      <w:r>
        <w:rPr>
          <w:rFonts w:hint="eastAsia"/>
        </w:rPr>
        <w:t xml:space="preserve"> </w:t>
      </w:r>
      <w:r>
        <w:t xml:space="preserve">is the mole fraction of hydroxyl in the melt at the solidus and can be derived from </w:t>
      </w:r>
      <m:oMath>
        <m:sSub>
          <m:sSubPr>
            <m:ctrlPr>
              <w:rPr>
                <w:rFonts w:ascii="Cambria Math" w:hAnsi="Cambria Math"/>
                <w:i/>
              </w:rPr>
            </m:ctrlPr>
          </m:sSubPr>
          <m:e>
            <m:r>
              <w:rPr>
                <w:rFonts w:ascii="Cambria Math" w:hAnsi="Cambria Math"/>
              </w:rPr>
              <m:t>X</m:t>
            </m:r>
          </m:e>
          <m:sub>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m:t>
            </m:r>
          </m:sub>
        </m:sSub>
      </m:oMath>
      <w:r>
        <w:rPr>
          <w:rFonts w:hint="eastAsia"/>
        </w:rPr>
        <w:t>,</w:t>
      </w:r>
      <w:r>
        <w:t xml:space="preserve"> </w:t>
      </w:r>
      <m:oMath>
        <m:sSubSup>
          <m:sSubSupPr>
            <m:ctrlPr>
              <w:rPr>
                <w:rFonts w:ascii="Cambria Math" w:hAnsi="Cambria Math"/>
                <w:i/>
              </w:rPr>
            </m:ctrlPr>
          </m:sSubSupPr>
          <m:e>
            <m:r>
              <w:rPr>
                <w:rFonts w:ascii="Cambria Math" w:hAnsi="Cambria Math"/>
              </w:rPr>
              <m:t>∆H</m:t>
            </m:r>
          </m:e>
          <m:sub>
            <m:r>
              <w:rPr>
                <w:rFonts w:ascii="Cambria Math" w:hAnsi="Cambria Math"/>
              </w:rPr>
              <m:t>peridotite</m:t>
            </m:r>
          </m:sub>
          <m:sup>
            <m:r>
              <w:rPr>
                <w:rFonts w:ascii="Cambria Math" w:hAnsi="Cambria Math"/>
              </w:rPr>
              <m:t>fusion</m:t>
            </m:r>
          </m:sup>
        </m:sSubSup>
      </m:oMath>
      <w:r>
        <w:rPr>
          <w:rFonts w:hint="eastAsia"/>
        </w:rPr>
        <w:t xml:space="preserve"> </w:t>
      </w:r>
      <w:r>
        <w:t>is the enthalpy of fusion of peridotite and is linearly extrapolated with pressure based on ref.</w:t>
      </w:r>
      <w:r w:rsidRPr="00D27662">
        <w:rPr>
          <w:noProof/>
          <w:vertAlign w:val="superscript"/>
        </w:rPr>
        <w:t xml:space="preserve"> 104</w:t>
      </w:r>
      <w:r>
        <w:t xml:space="preserve">, and </w:t>
      </w:r>
      <w:r w:rsidRPr="00255DAB">
        <w:rPr>
          <w:i/>
          <w:iCs/>
        </w:rPr>
        <w:t>R</w:t>
      </w:r>
      <w:r>
        <w:t xml:space="preserve"> is the gas constant.</w:t>
      </w:r>
    </w:p>
    <w:p w14:paraId="3E01A5DE" w14:textId="77777777" w:rsidR="007F6E00" w:rsidRPr="005440E8" w:rsidRDefault="007F6E00" w:rsidP="00C051FA">
      <w:pPr>
        <w:tabs>
          <w:tab w:val="center" w:pos="4080"/>
          <w:tab w:val="right" w:pos="8160"/>
        </w:tabs>
        <w:ind w:firstLine="426"/>
      </w:pPr>
      <w:r w:rsidRPr="00A75D5C">
        <w:rPr>
          <w:color w:val="000000" w:themeColor="text1"/>
        </w:rPr>
        <w:t xml:space="preserve">In </w:t>
      </w:r>
      <w:r>
        <w:rPr>
          <w:color w:val="FF0000"/>
        </w:rPr>
        <w:t>Supplementary Fig. 55d</w:t>
      </w:r>
      <w:r w:rsidRPr="00A75D5C">
        <w:rPr>
          <w:color w:val="000000" w:themeColor="text1"/>
        </w:rPr>
        <w:t xml:space="preserve">, </w:t>
      </w:r>
      <w:r>
        <w:t xml:space="preserve">we compare the hydrous solidus results from two methods. For bulk water content below saturated conditions (&lt; 0.107 </w:t>
      </w:r>
      <w:proofErr w:type="spellStart"/>
      <w:r>
        <w:t>wt</w:t>
      </w:r>
      <w:proofErr w:type="spellEnd"/>
      <w:r>
        <w:t xml:space="preserve">%), both methods yield consistent solidus temperatures of ~1200–1400 K at 0.8 </w:t>
      </w:r>
      <w:proofErr w:type="spellStart"/>
      <w:r>
        <w:t>GPa</w:t>
      </w:r>
      <w:proofErr w:type="spellEnd"/>
      <w:r>
        <w:t>, still higher than thermal model predicted temperatures for this depth</w:t>
      </w:r>
      <w:r w:rsidRPr="00D27662">
        <w:rPr>
          <w:noProof/>
          <w:vertAlign w:val="superscript"/>
        </w:rPr>
        <w:t>84</w:t>
      </w:r>
      <w:r>
        <w:t>. Therefore, the upper mantle beneath Elysium Planitia likely requires elevated temperatures, supporting the presence of a mantle plume in this region</w:t>
      </w:r>
      <w:r w:rsidRPr="00C51F15">
        <w:rPr>
          <w:noProof/>
          <w:vertAlign w:val="superscript"/>
        </w:rPr>
        <w:t>11</w:t>
      </w:r>
      <w:r>
        <w:t>.</w:t>
      </w:r>
    </w:p>
    <w:p w14:paraId="60451076" w14:textId="77777777" w:rsidR="007F6E00" w:rsidRDefault="007F6E00" w:rsidP="004D5B5A"/>
    <w:p w14:paraId="54955E66" w14:textId="77777777" w:rsidR="007F6E00" w:rsidRDefault="007F6E00" w:rsidP="00EA198E">
      <w:pPr>
        <w:pStyle w:val="2"/>
        <w:tabs>
          <w:tab w:val="center" w:pos="4080"/>
          <w:tab w:val="right" w:pos="8160"/>
        </w:tabs>
      </w:pPr>
      <w:bookmarkStart w:id="54" w:name="_Toc202208142"/>
      <w:r>
        <w:rPr>
          <w:rFonts w:hint="eastAsia"/>
        </w:rPr>
        <w:t>8</w:t>
      </w:r>
      <w:r>
        <w:t>.3. Upper mantle geotherms</w:t>
      </w:r>
      <w:bookmarkEnd w:id="54"/>
    </w:p>
    <w:p w14:paraId="01535F9A" w14:textId="77777777" w:rsidR="007F6E00" w:rsidRDefault="007F6E00" w:rsidP="00EA198E">
      <w:pPr>
        <w:tabs>
          <w:tab w:val="center" w:pos="4080"/>
          <w:tab w:val="right" w:pos="8160"/>
        </w:tabs>
        <w:ind w:firstLineChars="200" w:firstLine="480"/>
      </w:pPr>
      <w:r>
        <w:t>Given that the LVZs are caused by partial melting, the depths of their top and bottom boundaries, along with the mantle solidus, can be used to derive the geotherm beneath Elysium Planitia. Following ref.</w:t>
      </w:r>
      <w:r w:rsidRPr="006B3717">
        <w:rPr>
          <w:noProof/>
          <w:vertAlign w:val="superscript"/>
        </w:rPr>
        <w:t xml:space="preserve"> 39</w:t>
      </w:r>
      <w:r>
        <w:t>, we model the geotherm as</w:t>
      </w:r>
    </w:p>
    <w:p w14:paraId="768743AD" w14:textId="77777777" w:rsidR="007F6E00" w:rsidRDefault="007F6E00" w:rsidP="00EA198E">
      <w:pPr>
        <w:tabs>
          <w:tab w:val="center" w:pos="4080"/>
          <w:tab w:val="right" w:pos="8160"/>
        </w:tabs>
      </w:pPr>
      <w:r>
        <w:tab/>
      </w:r>
      <m:oMath>
        <m:r>
          <w:rPr>
            <w:rFonts w:ascii="Cambria Math" w:hAnsi="Cambria Math"/>
          </w:rPr>
          <m:t>T</m:t>
        </m:r>
        <m:d>
          <m:dPr>
            <m:ctrlPr>
              <w:rPr>
                <w:rFonts w:ascii="Cambria Math" w:hAnsi="Cambria Math"/>
                <w:i/>
              </w:rPr>
            </m:ctrlPr>
          </m:dPr>
          <m:e>
            <m:r>
              <w:rPr>
                <w:rFonts w:ascii="Cambria Math" w:hAnsi="Cambria Math"/>
              </w:rPr>
              <m:t>z</m:t>
            </m:r>
          </m:e>
        </m:d>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m</m:t>
            </m:r>
          </m:sub>
        </m:sSub>
        <m:r>
          <w:rPr>
            <w:rFonts w:ascii="Cambria Math" w:hAnsi="Cambria Math"/>
          </w:rPr>
          <m:t>erf</m:t>
        </m:r>
        <m:d>
          <m:dPr>
            <m:ctrlPr>
              <w:rPr>
                <w:rFonts w:ascii="Cambria Math" w:hAnsi="Cambria Math"/>
                <w:i/>
              </w:rPr>
            </m:ctrlPr>
          </m:dPr>
          <m:e>
            <m:f>
              <m:fPr>
                <m:ctrlPr>
                  <w:rPr>
                    <w:rFonts w:ascii="Cambria Math" w:hAnsi="Cambria Math"/>
                    <w:i/>
                  </w:rPr>
                </m:ctrlPr>
              </m:fPr>
              <m:num>
                <m:r>
                  <w:rPr>
                    <w:rFonts w:ascii="Cambria Math" w:hAnsi="Cambria Math"/>
                  </w:rPr>
                  <m:t>z</m:t>
                </m:r>
              </m:num>
              <m:den>
                <m:rad>
                  <m:radPr>
                    <m:degHide m:val="1"/>
                    <m:ctrlPr>
                      <w:rPr>
                        <w:rFonts w:ascii="Cambria Math" w:hAnsi="Cambria Math"/>
                        <w:i/>
                      </w:rPr>
                    </m:ctrlPr>
                  </m:radPr>
                  <m:deg/>
                  <m:e>
                    <m:r>
                      <w:rPr>
                        <w:rFonts w:ascii="Cambria Math" w:hAnsi="Cambria Math"/>
                      </w:rPr>
                      <m:t>κt</m:t>
                    </m:r>
                  </m:e>
                </m:rad>
              </m:den>
            </m:f>
          </m:e>
        </m:d>
        <m:r>
          <w:rPr>
            <w:rFonts w:ascii="Cambria Math" w:hAnsi="Cambria Math"/>
          </w:rPr>
          <m:t>+z</m:t>
        </m:r>
        <m:sSub>
          <m:sSubPr>
            <m:ctrlPr>
              <w:rPr>
                <w:rFonts w:ascii="Cambria Math" w:hAnsi="Cambria Math"/>
                <w:i/>
              </w:rPr>
            </m:ctrlPr>
          </m:sSubPr>
          <m:e>
            <m:d>
              <m:dPr>
                <m:ctrlPr>
                  <w:rPr>
                    <w:rFonts w:ascii="Cambria Math" w:hAnsi="Cambria Math"/>
                    <w:i/>
                  </w:rPr>
                </m:ctrlPr>
              </m:dPr>
              <m:e>
                <m:f>
                  <m:fPr>
                    <m:ctrlPr>
                      <w:rPr>
                        <w:rFonts w:ascii="Cambria Math" w:hAnsi="Cambria Math"/>
                        <w:i/>
                      </w:rPr>
                    </m:ctrlPr>
                  </m:fPr>
                  <m:num>
                    <m:r>
                      <w:rPr>
                        <w:rFonts w:ascii="Cambria Math" w:hAnsi="Cambria Math"/>
                      </w:rPr>
                      <m:t>dT</m:t>
                    </m:r>
                  </m:num>
                  <m:den>
                    <m:r>
                      <w:rPr>
                        <w:rFonts w:ascii="Cambria Math" w:hAnsi="Cambria Math"/>
                      </w:rPr>
                      <m:t>dz</m:t>
                    </m:r>
                  </m:den>
                </m:f>
              </m:e>
            </m:d>
          </m:e>
          <m:sub>
            <m:r>
              <w:rPr>
                <w:rFonts w:ascii="Cambria Math" w:hAnsi="Cambria Math"/>
              </w:rPr>
              <m:t>adiabatic</m:t>
            </m:r>
          </m:sub>
        </m:sSub>
      </m:oMath>
      <w:r>
        <w:rPr>
          <w:rFonts w:hint="eastAsia"/>
        </w:rPr>
        <w:t>,</w:t>
      </w:r>
      <w:r>
        <w:tab/>
        <w:t>(34)</w:t>
      </w:r>
    </w:p>
    <w:p w14:paraId="3E3C2E8C" w14:textId="77777777" w:rsidR="007F6E00" w:rsidRDefault="007F6E00" w:rsidP="00EA198E">
      <w:pPr>
        <w:tabs>
          <w:tab w:val="center" w:pos="4080"/>
          <w:tab w:val="right" w:pos="8160"/>
        </w:tabs>
      </w:pPr>
      <w:r>
        <w:t xml:space="preserve">where </w:t>
      </w:r>
      <m:oMath>
        <m:sSub>
          <m:sSubPr>
            <m:ctrlPr>
              <w:rPr>
                <w:rFonts w:ascii="Cambria Math" w:hAnsi="Cambria Math"/>
                <w:i/>
              </w:rPr>
            </m:ctrlPr>
          </m:sSubPr>
          <m:e>
            <m:r>
              <w:rPr>
                <w:rFonts w:ascii="Cambria Math" w:hAnsi="Cambria Math"/>
              </w:rPr>
              <m:t>T</m:t>
            </m:r>
          </m:e>
          <m:sub>
            <m:r>
              <w:rPr>
                <w:rFonts w:ascii="Cambria Math" w:hAnsi="Cambria Math"/>
              </w:rPr>
              <m:t>0</m:t>
            </m:r>
          </m:sub>
        </m:sSub>
      </m:oMath>
      <w:r>
        <w:rPr>
          <w:rFonts w:hint="eastAsia"/>
        </w:rPr>
        <w:t xml:space="preserve"> </w:t>
      </w:r>
      <w:r>
        <w:t xml:space="preserve">is the surface temperature, </w:t>
      </w:r>
      <w:r w:rsidRPr="00936147">
        <w:rPr>
          <w:i/>
          <w:iCs/>
        </w:rPr>
        <w:t>t</w:t>
      </w:r>
      <w:r>
        <w:t xml:space="preserve"> is the thermal age, </w:t>
      </w:r>
      <m:oMath>
        <m:r>
          <w:rPr>
            <w:rFonts w:ascii="Cambria Math" w:hAnsi="Cambria Math"/>
          </w:rPr>
          <m:t>κ</m:t>
        </m:r>
      </m:oMath>
      <w:r>
        <w:rPr>
          <w:rFonts w:hint="eastAsia"/>
        </w:rPr>
        <w:t xml:space="preserve"> </w:t>
      </w:r>
      <w:r>
        <w:t xml:space="preserve">is the thermal diffusivity, and </w:t>
      </w:r>
      <m:oMath>
        <m:sSub>
          <m:sSubPr>
            <m:ctrlPr>
              <w:rPr>
                <w:rFonts w:ascii="Cambria Math" w:hAnsi="Cambria Math"/>
                <w:i/>
              </w:rPr>
            </m:ctrlPr>
          </m:sSubPr>
          <m:e>
            <m:d>
              <m:dPr>
                <m:ctrlPr>
                  <w:rPr>
                    <w:rFonts w:ascii="Cambria Math" w:hAnsi="Cambria Math"/>
                    <w:i/>
                  </w:rPr>
                </m:ctrlPr>
              </m:dPr>
              <m:e>
                <m:f>
                  <m:fPr>
                    <m:ctrlPr>
                      <w:rPr>
                        <w:rFonts w:ascii="Cambria Math" w:hAnsi="Cambria Math"/>
                        <w:i/>
                      </w:rPr>
                    </m:ctrlPr>
                  </m:fPr>
                  <m:num>
                    <m:r>
                      <w:rPr>
                        <w:rFonts w:ascii="Cambria Math" w:hAnsi="Cambria Math"/>
                      </w:rPr>
                      <m:t>dT</m:t>
                    </m:r>
                  </m:num>
                  <m:den>
                    <m:r>
                      <w:rPr>
                        <w:rFonts w:ascii="Cambria Math" w:hAnsi="Cambria Math"/>
                      </w:rPr>
                      <m:t>dz</m:t>
                    </m:r>
                  </m:den>
                </m:f>
              </m:e>
            </m:d>
          </m:e>
          <m:sub>
            <m:r>
              <w:rPr>
                <w:rFonts w:ascii="Cambria Math" w:hAnsi="Cambria Math"/>
              </w:rPr>
              <m:t>adiabatic</m:t>
            </m:r>
          </m:sub>
        </m:sSub>
      </m:oMath>
      <w:r>
        <w:rPr>
          <w:rFonts w:hint="eastAsia"/>
        </w:rPr>
        <w:t xml:space="preserve"> </w:t>
      </w:r>
      <w:r>
        <w:t xml:space="preserve">is the adiabatic thermal </w:t>
      </w:r>
      <w:proofErr w:type="gramStart"/>
      <w:r>
        <w:t>gradient.</w:t>
      </w:r>
      <w:proofErr w:type="gramEnd"/>
      <w:r>
        <w:t xml:space="preserve"> The error function term represents the lithospheric temperature profile above the LVZ, while the linear term accounts for the adiabatic temperature increasing with depth.</w:t>
      </w:r>
    </w:p>
    <w:p w14:paraId="25D2890D" w14:textId="77777777" w:rsidR="007F6E00" w:rsidRDefault="007F6E00" w:rsidP="00C051FA">
      <w:pPr>
        <w:tabs>
          <w:tab w:val="center" w:pos="4080"/>
          <w:tab w:val="right" w:pos="8160"/>
        </w:tabs>
        <w:ind w:firstLine="426"/>
      </w:pPr>
      <w:r>
        <w:tab/>
        <w:t xml:space="preserve">We fix </w:t>
      </w:r>
      <m:oMath>
        <m:sSub>
          <m:sSubPr>
            <m:ctrlPr>
              <w:rPr>
                <w:rFonts w:ascii="Cambria Math" w:hAnsi="Cambria Math"/>
                <w:i/>
              </w:rPr>
            </m:ctrlPr>
          </m:sSubPr>
          <m:e>
            <m:r>
              <w:rPr>
                <w:rFonts w:ascii="Cambria Math" w:hAnsi="Cambria Math"/>
              </w:rPr>
              <m:t>T</m:t>
            </m:r>
          </m:e>
          <m:sub>
            <m:r>
              <w:rPr>
                <w:rFonts w:ascii="Cambria Math" w:hAnsi="Cambria Math"/>
              </w:rPr>
              <m:t>0</m:t>
            </m:r>
          </m:sub>
        </m:sSub>
      </m:oMath>
      <w:r>
        <w:rPr>
          <w:rFonts w:hint="eastAsia"/>
        </w:rPr>
        <w:t xml:space="preserve"> </w:t>
      </w:r>
      <w:r>
        <w:t xml:space="preserve">and </w:t>
      </w:r>
      <w:r w:rsidRPr="00936147">
        <w:rPr>
          <w:i/>
          <w:iCs/>
        </w:rPr>
        <w:t>t</w:t>
      </w:r>
      <w:r>
        <w:t xml:space="preserve"> to be 205 K and 4.25</w:t>
      </w:r>
      <m:oMath>
        <m:r>
          <w:rPr>
            <w:rFonts w:ascii="Cambria Math" w:hAnsi="Cambria Math"/>
          </w:rPr>
          <m:t>×</m:t>
        </m:r>
      </m:oMath>
      <w:r>
        <w:rPr>
          <w:rFonts w:hint="eastAsia"/>
        </w:rPr>
        <w:t>1</w:t>
      </w:r>
      <w:r>
        <w:t>0</w:t>
      </w:r>
      <w:r w:rsidRPr="005515A0">
        <w:rPr>
          <w:vertAlign w:val="superscript"/>
        </w:rPr>
        <w:t>9</w:t>
      </w:r>
      <w:r>
        <w:t xml:space="preserve"> y, same as in ref.</w:t>
      </w:r>
      <w:r w:rsidRPr="006B3717">
        <w:rPr>
          <w:noProof/>
          <w:vertAlign w:val="superscript"/>
        </w:rPr>
        <w:t xml:space="preserve"> 39</w:t>
      </w:r>
      <w:r>
        <w:t xml:space="preserve">. The values of </w:t>
      </w:r>
      <m:oMath>
        <m:sSub>
          <m:sSubPr>
            <m:ctrlPr>
              <w:rPr>
                <w:rFonts w:ascii="Cambria Math" w:hAnsi="Cambria Math"/>
                <w:i/>
              </w:rPr>
            </m:ctrlPr>
          </m:sSubPr>
          <m:e>
            <m:r>
              <w:rPr>
                <w:rFonts w:ascii="Cambria Math" w:hAnsi="Cambria Math"/>
              </w:rPr>
              <m:t>T</m:t>
            </m:r>
          </m:e>
          <m:sub>
            <m:r>
              <w:rPr>
                <w:rFonts w:ascii="Cambria Math" w:hAnsi="Cambria Math"/>
              </w:rPr>
              <m:t>m</m:t>
            </m:r>
          </m:sub>
        </m:sSub>
      </m:oMath>
      <w:r>
        <w:rPr>
          <w:rFonts w:hint="eastAsia"/>
        </w:rPr>
        <w:t>,</w:t>
      </w:r>
      <w:r>
        <w:t xml:space="preserve"> </w:t>
      </w:r>
      <m:oMath>
        <m:r>
          <w:rPr>
            <w:rFonts w:ascii="Cambria Math" w:hAnsi="Cambria Math"/>
          </w:rPr>
          <m:t>κ</m:t>
        </m:r>
      </m:oMath>
      <w:r>
        <w:rPr>
          <w:rFonts w:hint="eastAsia"/>
        </w:rPr>
        <w:t>,</w:t>
      </w:r>
      <w:r>
        <w:t xml:space="preserve"> and </w:t>
      </w:r>
      <m:oMath>
        <m:sSub>
          <m:sSubPr>
            <m:ctrlPr>
              <w:rPr>
                <w:rFonts w:ascii="Cambria Math" w:hAnsi="Cambria Math"/>
                <w:i/>
              </w:rPr>
            </m:ctrlPr>
          </m:sSubPr>
          <m:e>
            <m:d>
              <m:dPr>
                <m:ctrlPr>
                  <w:rPr>
                    <w:rFonts w:ascii="Cambria Math" w:hAnsi="Cambria Math"/>
                    <w:i/>
                  </w:rPr>
                </m:ctrlPr>
              </m:dPr>
              <m:e>
                <m:f>
                  <m:fPr>
                    <m:ctrlPr>
                      <w:rPr>
                        <w:rFonts w:ascii="Cambria Math" w:hAnsi="Cambria Math"/>
                        <w:i/>
                      </w:rPr>
                    </m:ctrlPr>
                  </m:fPr>
                  <m:num>
                    <m:r>
                      <w:rPr>
                        <w:rFonts w:ascii="Cambria Math" w:hAnsi="Cambria Math"/>
                      </w:rPr>
                      <m:t>dT</m:t>
                    </m:r>
                  </m:num>
                  <m:den>
                    <m:r>
                      <w:rPr>
                        <w:rFonts w:ascii="Cambria Math" w:hAnsi="Cambria Math"/>
                      </w:rPr>
                      <m:t>dz</m:t>
                    </m:r>
                  </m:den>
                </m:f>
              </m:e>
            </m:d>
          </m:e>
          <m:sub>
            <m:r>
              <w:rPr>
                <w:rFonts w:ascii="Cambria Math" w:hAnsi="Cambria Math"/>
              </w:rPr>
              <m:t>adiabatic</m:t>
            </m:r>
          </m:sub>
        </m:sSub>
      </m:oMath>
      <w:r>
        <w:rPr>
          <w:rFonts w:hint="eastAsia"/>
        </w:rPr>
        <w:t xml:space="preserve"> </w:t>
      </w:r>
      <w:r>
        <w:t xml:space="preserve">are optimized with </w:t>
      </w:r>
      <w:r w:rsidRPr="00C214B9">
        <w:rPr>
          <w:color w:val="000000" w:themeColor="text1"/>
        </w:rPr>
        <w:t>equation (3</w:t>
      </w:r>
      <w:r>
        <w:rPr>
          <w:color w:val="000000" w:themeColor="text1"/>
        </w:rPr>
        <w:t>4</w:t>
      </w:r>
      <w:r w:rsidRPr="00C214B9">
        <w:rPr>
          <w:color w:val="000000" w:themeColor="text1"/>
        </w:rPr>
        <w:t>)</w:t>
      </w:r>
      <w:r>
        <w:rPr>
          <w:color w:val="000000" w:themeColor="text1"/>
        </w:rPr>
        <w:t xml:space="preserve"> </w:t>
      </w:r>
      <w:r>
        <w:t xml:space="preserve">to ensure the geotherm </w:t>
      </w:r>
      <w:r>
        <w:lastRenderedPageBreak/>
        <w:t xml:space="preserve">intersects the solidus at depths of 70 km and 120 km, corresponding to the top and bottom boundaries of the LVZ. We examine bulk water contents of 0, 0.05 </w:t>
      </w:r>
      <w:proofErr w:type="spellStart"/>
      <w:r>
        <w:t>wt</w:t>
      </w:r>
      <w:proofErr w:type="spellEnd"/>
      <w:r>
        <w:t xml:space="preserve">%, and 0.1 </w:t>
      </w:r>
      <w:proofErr w:type="spellStart"/>
      <w:r>
        <w:t>wt</w:t>
      </w:r>
      <w:proofErr w:type="spellEnd"/>
      <w:r>
        <w:t xml:space="preserve">% for solidus. The resulting geotherms show a steep temperature increase from 205 K at surface to ~1200–1400 K at ~70 km depth </w:t>
      </w:r>
      <w:r w:rsidRPr="00B00BEB">
        <w:rPr>
          <w:color w:val="FF0000"/>
        </w:rPr>
        <w:t>(</w:t>
      </w:r>
      <w:r>
        <w:rPr>
          <w:color w:val="FF0000"/>
        </w:rPr>
        <w:t>Supplementary Fig. 55c</w:t>
      </w:r>
      <w:r w:rsidRPr="00DF5B61">
        <w:rPr>
          <w:color w:val="FF0000"/>
        </w:rPr>
        <w:t>)</w:t>
      </w:r>
      <w:r>
        <w:t>.</w:t>
      </w:r>
    </w:p>
    <w:p w14:paraId="18E0898C" w14:textId="77777777" w:rsidR="007F6E00" w:rsidRDefault="007F6E00">
      <w:pPr>
        <w:widowControl/>
        <w:spacing w:line="240" w:lineRule="auto"/>
        <w:jc w:val="left"/>
      </w:pPr>
      <w:r>
        <w:br w:type="page"/>
      </w:r>
    </w:p>
    <w:p w14:paraId="790980D2" w14:textId="77777777" w:rsidR="007F6E00" w:rsidRDefault="007F6E00" w:rsidP="00414384">
      <w:pPr>
        <w:tabs>
          <w:tab w:val="center" w:pos="4080"/>
          <w:tab w:val="right" w:pos="8160"/>
        </w:tabs>
        <w:spacing w:line="240" w:lineRule="auto"/>
      </w:pPr>
      <w:r>
        <w:rPr>
          <w:rFonts w:hint="eastAsia"/>
          <w:noProof/>
        </w:rPr>
        <w:lastRenderedPageBreak/>
        <w:drawing>
          <wp:inline distT="0" distB="0" distL="0" distR="0" wp14:anchorId="71D433DE" wp14:editId="74D6B7B1">
            <wp:extent cx="5274310" cy="4766945"/>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74310" cy="4766945"/>
                    </a:xfrm>
                    <a:prstGeom prst="rect">
                      <a:avLst/>
                    </a:prstGeom>
                  </pic:spPr>
                </pic:pic>
              </a:graphicData>
            </a:graphic>
          </wp:inline>
        </w:drawing>
      </w:r>
    </w:p>
    <w:p w14:paraId="7C9FE4A2" w14:textId="77777777" w:rsidR="007F6E00" w:rsidRDefault="007F6E00" w:rsidP="00414384">
      <w:pPr>
        <w:tabs>
          <w:tab w:val="center" w:pos="4080"/>
          <w:tab w:val="right" w:pos="8160"/>
        </w:tabs>
        <w:spacing w:line="240" w:lineRule="auto"/>
        <w:rPr>
          <w:rFonts w:cs="Times New Roman"/>
        </w:rPr>
      </w:pPr>
      <w:r>
        <w:rPr>
          <w:rFonts w:hint="eastAsia"/>
          <w:b/>
          <w:bCs/>
        </w:rPr>
        <w:t>Supplementary Fig. 5</w:t>
      </w:r>
      <w:r>
        <w:rPr>
          <w:b/>
          <w:bCs/>
        </w:rPr>
        <w:t>5</w:t>
      </w:r>
      <w:r w:rsidRPr="00414384">
        <w:rPr>
          <w:b/>
          <w:bCs/>
        </w:rPr>
        <w:t xml:space="preserve"> | </w:t>
      </w:r>
      <w:r w:rsidRPr="008F2BEB">
        <w:rPr>
          <w:rFonts w:cs="Times New Roman"/>
          <w:b/>
          <w:bCs/>
        </w:rPr>
        <w:t xml:space="preserve">Hydrous solidi and possible geotherms in the Martian upper mantle beneath Elysium Planitia. </w:t>
      </w:r>
      <w:r>
        <w:rPr>
          <w:rFonts w:cs="Times New Roman"/>
        </w:rPr>
        <w:t>(a) Comparison of geotherms and hydrous solidi calculated with the method in ref.</w:t>
      </w:r>
      <w:r w:rsidRPr="00D27662">
        <w:rPr>
          <w:rFonts w:cs="Times New Roman"/>
          <w:noProof/>
          <w:vertAlign w:val="superscript"/>
        </w:rPr>
        <w:t xml:space="preserve"> 101</w:t>
      </w:r>
      <w:r>
        <w:rPr>
          <w:rFonts w:cs="Times New Roman"/>
        </w:rPr>
        <w:t>. (b) Comparison of geotherms and hydrous solidi calculated with the method in ref.</w:t>
      </w:r>
      <w:r w:rsidRPr="00D27662">
        <w:rPr>
          <w:rFonts w:cs="Times New Roman"/>
          <w:noProof/>
          <w:vertAlign w:val="superscript"/>
        </w:rPr>
        <w:t xml:space="preserve"> 103</w:t>
      </w:r>
      <w:r>
        <w:rPr>
          <w:rFonts w:cs="Times New Roman"/>
        </w:rPr>
        <w:t xml:space="preserve">. (c) </w:t>
      </w:r>
      <w:r w:rsidRPr="00783528">
        <w:rPr>
          <w:rFonts w:cs="Times New Roman"/>
        </w:rPr>
        <w:t>Enlarged view</w:t>
      </w:r>
      <w:r>
        <w:rPr>
          <w:rFonts w:cs="Times New Roman"/>
        </w:rPr>
        <w:t xml:space="preserve"> of (a) focused on the top 150 km depth. Colored curves in (a–c) denote the hydrous mantle solidi with different water contents. Purple curves represent the mantle solidi with saturated water in the melt. Grey shaded areas denote the range of temperature profiles provided in ref.</w:t>
      </w:r>
      <w:r w:rsidRPr="00D27662">
        <w:rPr>
          <w:rFonts w:cs="Times New Roman"/>
          <w:noProof/>
          <w:vertAlign w:val="superscript"/>
        </w:rPr>
        <w:t xml:space="preserve"> 84</w:t>
      </w:r>
      <w:r>
        <w:rPr>
          <w:rFonts w:cs="Times New Roman"/>
        </w:rPr>
        <w:t xml:space="preserve"> with medium crustal HPE enrichment. Solid and dashed black curves denote our calculated geotherms based on the depth and thickness of LVZ and the hydrous solidi with water contents of 0, 0.05 </w:t>
      </w:r>
      <w:proofErr w:type="spellStart"/>
      <w:r>
        <w:rPr>
          <w:rFonts w:cs="Times New Roman"/>
        </w:rPr>
        <w:t>wt</w:t>
      </w:r>
      <w:proofErr w:type="spellEnd"/>
      <w:r>
        <w:rPr>
          <w:rFonts w:cs="Times New Roman"/>
        </w:rPr>
        <w:t xml:space="preserve">%, and 0.10 </w:t>
      </w:r>
      <w:proofErr w:type="spellStart"/>
      <w:r>
        <w:rPr>
          <w:rFonts w:cs="Times New Roman"/>
        </w:rPr>
        <w:t>wt</w:t>
      </w:r>
      <w:proofErr w:type="spellEnd"/>
      <w:r>
        <w:rPr>
          <w:rFonts w:cs="Times New Roman"/>
        </w:rPr>
        <w:t xml:space="preserve">%, respectively. (d) Hydrous solidus temperatures at 80 km depth with different bulk water contents. Solid curves denote the solidi with saturation constraint, while dashed curves stand for those with saturation constraint. Vertical dashed line denotes the saturation state, where bulk water content is 0.107 </w:t>
      </w:r>
      <w:proofErr w:type="spellStart"/>
      <w:r>
        <w:rPr>
          <w:rFonts w:cs="Times New Roman"/>
        </w:rPr>
        <w:t>wt</w:t>
      </w:r>
      <w:proofErr w:type="spellEnd"/>
      <w:r>
        <w:rPr>
          <w:rFonts w:cs="Times New Roman"/>
        </w:rPr>
        <w:t xml:space="preserve">%. </w:t>
      </w:r>
      <w:r>
        <w:t xml:space="preserve">Additional water content beyond saturation does not further lower the solidus temperature. </w:t>
      </w:r>
      <w:r>
        <w:rPr>
          <w:rFonts w:cs="Times New Roman"/>
        </w:rPr>
        <w:t>Grey shaded areas denote the range of temperature profiles at this depth provided in ref.</w:t>
      </w:r>
      <w:r w:rsidRPr="00D27662">
        <w:rPr>
          <w:rFonts w:cs="Times New Roman"/>
          <w:noProof/>
          <w:vertAlign w:val="superscript"/>
        </w:rPr>
        <w:t xml:space="preserve"> 84</w:t>
      </w:r>
      <w:r>
        <w:rPr>
          <w:rFonts w:cs="Times New Roman"/>
        </w:rPr>
        <w:t xml:space="preserve"> with medium crustal HPE enrichment.</w:t>
      </w:r>
    </w:p>
    <w:p w14:paraId="1D130DDE" w14:textId="77777777" w:rsidR="007F6E00" w:rsidRDefault="007F6E00">
      <w:pPr>
        <w:widowControl/>
        <w:spacing w:line="240" w:lineRule="auto"/>
        <w:jc w:val="left"/>
      </w:pPr>
      <w:r>
        <w:br w:type="page"/>
      </w:r>
    </w:p>
    <w:p w14:paraId="7F07D097" w14:textId="77777777" w:rsidR="007F6E00" w:rsidRDefault="007F6E00" w:rsidP="00F035E4">
      <w:pPr>
        <w:tabs>
          <w:tab w:val="center" w:pos="4080"/>
          <w:tab w:val="right" w:pos="8160"/>
        </w:tabs>
        <w:spacing w:line="240" w:lineRule="auto"/>
        <w:jc w:val="center"/>
        <w:rPr>
          <w:rFonts w:cs="Times New Roman"/>
          <w:b/>
          <w:bCs/>
        </w:rPr>
      </w:pPr>
      <w:r>
        <w:rPr>
          <w:rFonts w:cs="Times New Roman" w:hint="eastAsia"/>
          <w:b/>
          <w:bCs/>
          <w:noProof/>
        </w:rPr>
        <w:lastRenderedPageBreak/>
        <w:drawing>
          <wp:inline distT="0" distB="0" distL="0" distR="0" wp14:anchorId="6C51FECE" wp14:editId="20A90845">
            <wp:extent cx="4320000" cy="43200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320000" cy="4320000"/>
                    </a:xfrm>
                    <a:prstGeom prst="rect">
                      <a:avLst/>
                    </a:prstGeom>
                  </pic:spPr>
                </pic:pic>
              </a:graphicData>
            </a:graphic>
          </wp:inline>
        </w:drawing>
      </w:r>
    </w:p>
    <w:p w14:paraId="69DA33FA" w14:textId="77777777" w:rsidR="007F6E00" w:rsidRDefault="007F6E00" w:rsidP="00414384">
      <w:pPr>
        <w:tabs>
          <w:tab w:val="center" w:pos="4080"/>
          <w:tab w:val="right" w:pos="8160"/>
        </w:tabs>
        <w:spacing w:line="240" w:lineRule="auto"/>
        <w:rPr>
          <w:rStyle w:val="20"/>
          <w:b w:val="0"/>
          <w:bCs w:val="0"/>
        </w:rPr>
      </w:pPr>
      <w:r>
        <w:rPr>
          <w:rFonts w:cs="Times New Roman" w:hint="eastAsia"/>
          <w:b/>
          <w:bCs/>
        </w:rPr>
        <w:t>Supplementary Fig. 5</w:t>
      </w:r>
      <w:r>
        <w:rPr>
          <w:rFonts w:cs="Times New Roman"/>
          <w:b/>
          <w:bCs/>
        </w:rPr>
        <w:t xml:space="preserve">6 | Modeling results for fitting the LVZ velocity reductions beneath InSight under the dry mantle assumption. </w:t>
      </w:r>
      <w:r w:rsidRPr="00D7464B">
        <w:rPr>
          <w:rFonts w:cs="Times New Roman"/>
        </w:rPr>
        <w:t>From</w:t>
      </w:r>
      <w:r>
        <w:rPr>
          <w:rFonts w:cs="Times New Roman"/>
        </w:rPr>
        <w:t xml:space="preserve"> (a) </w:t>
      </w:r>
      <w:r w:rsidRPr="00D7464B">
        <w:rPr>
          <w:rFonts w:cs="Times New Roman"/>
        </w:rPr>
        <w:t>to</w:t>
      </w:r>
      <w:r w:rsidRPr="002739A9">
        <w:rPr>
          <w:rFonts w:cs="Times New Roman"/>
        </w:rPr>
        <w:t xml:space="preserve"> (</w:t>
      </w:r>
      <w:proofErr w:type="spellStart"/>
      <w:r w:rsidRPr="002739A9">
        <w:rPr>
          <w:rFonts w:cs="Times New Roman"/>
        </w:rPr>
        <w:t>i</w:t>
      </w:r>
      <w:proofErr w:type="spellEnd"/>
      <w:r w:rsidRPr="002739A9">
        <w:rPr>
          <w:rFonts w:cs="Times New Roman"/>
        </w:rPr>
        <w:t xml:space="preserve">) </w:t>
      </w:r>
      <w:r w:rsidRPr="00D7464B">
        <w:rPr>
          <w:rFonts w:cs="Times New Roman"/>
        </w:rPr>
        <w:t xml:space="preserve">are </w:t>
      </w:r>
      <w:r>
        <w:rPr>
          <w:rFonts w:cs="Times New Roman"/>
        </w:rPr>
        <w:t xml:space="preserve">probability </w:t>
      </w:r>
      <w:r w:rsidRPr="00D7464B">
        <w:rPr>
          <w:rStyle w:val="20"/>
        </w:rPr>
        <w:t>distribution</w:t>
      </w:r>
      <w:r>
        <w:rPr>
          <w:rStyle w:val="20"/>
        </w:rPr>
        <w:t xml:space="preserve"> function</w:t>
      </w:r>
      <w:r w:rsidRPr="00D7464B">
        <w:rPr>
          <w:rStyle w:val="20"/>
        </w:rPr>
        <w:t xml:space="preserve">s of reference mantle temperature, temperature anomaly, mantle solidus, variation of Mg#, melt fraction, bulk water content, </w:t>
      </w:r>
      <w:proofErr w:type="spellStart"/>
      <w:r w:rsidRPr="00D7464B">
        <w:rPr>
          <w:rStyle w:val="20"/>
          <w:i/>
          <w:iCs/>
        </w:rPr>
        <w:t>Vp</w:t>
      </w:r>
      <w:proofErr w:type="spellEnd"/>
      <w:r w:rsidRPr="00D7464B">
        <w:rPr>
          <w:rStyle w:val="20"/>
        </w:rPr>
        <w:t xml:space="preserve"> </w:t>
      </w:r>
      <w:r>
        <w:rPr>
          <w:rStyle w:val="20"/>
        </w:rPr>
        <w:t>perturbation</w:t>
      </w:r>
      <w:r w:rsidRPr="00D7464B">
        <w:rPr>
          <w:rStyle w:val="20"/>
        </w:rPr>
        <w:t xml:space="preserve">, </w:t>
      </w:r>
      <w:r w:rsidRPr="00D7464B">
        <w:rPr>
          <w:rStyle w:val="20"/>
          <w:i/>
          <w:iCs/>
        </w:rPr>
        <w:t>Vs</w:t>
      </w:r>
      <w:r w:rsidRPr="00D7464B">
        <w:rPr>
          <w:rStyle w:val="20"/>
        </w:rPr>
        <w:t xml:space="preserve"> </w:t>
      </w:r>
      <w:r>
        <w:rPr>
          <w:rStyle w:val="20"/>
        </w:rPr>
        <w:t>perturbation</w:t>
      </w:r>
      <w:r w:rsidRPr="00D7464B">
        <w:rPr>
          <w:rStyle w:val="20"/>
        </w:rPr>
        <w:t xml:space="preserve"> and misfit function</w:t>
      </w:r>
      <w:r>
        <w:rPr>
          <w:rStyle w:val="20"/>
        </w:rPr>
        <w:t>. Bulk water content is fixed as 0 in the simulation.</w:t>
      </w:r>
    </w:p>
    <w:p w14:paraId="7308F939" w14:textId="77777777" w:rsidR="007F6E00" w:rsidRDefault="007F6E00">
      <w:pPr>
        <w:widowControl/>
        <w:spacing w:line="240" w:lineRule="auto"/>
        <w:jc w:val="left"/>
        <w:rPr>
          <w:rStyle w:val="20"/>
          <w:b w:val="0"/>
          <w:bCs w:val="0"/>
        </w:rPr>
      </w:pPr>
      <w:r>
        <w:rPr>
          <w:rStyle w:val="20"/>
        </w:rPr>
        <w:br w:type="page"/>
      </w:r>
    </w:p>
    <w:p w14:paraId="3A4E0621" w14:textId="77777777" w:rsidR="007F6E00" w:rsidRDefault="007F6E00" w:rsidP="00414384">
      <w:pPr>
        <w:tabs>
          <w:tab w:val="center" w:pos="4080"/>
          <w:tab w:val="right" w:pos="8160"/>
        </w:tabs>
        <w:spacing w:line="240" w:lineRule="auto"/>
        <w:jc w:val="center"/>
        <w:rPr>
          <w:rFonts w:cs="Times New Roman"/>
          <w:b/>
          <w:bCs/>
        </w:rPr>
      </w:pPr>
      <w:r>
        <w:rPr>
          <w:rFonts w:cs="Times New Roman" w:hint="eastAsia"/>
          <w:b/>
          <w:bCs/>
          <w:noProof/>
        </w:rPr>
        <w:lastRenderedPageBreak/>
        <w:drawing>
          <wp:inline distT="0" distB="0" distL="0" distR="0" wp14:anchorId="0FAEF40B" wp14:editId="45D50D95">
            <wp:extent cx="4230860" cy="432000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230860" cy="4320000"/>
                    </a:xfrm>
                    <a:prstGeom prst="rect">
                      <a:avLst/>
                    </a:prstGeom>
                  </pic:spPr>
                </pic:pic>
              </a:graphicData>
            </a:graphic>
          </wp:inline>
        </w:drawing>
      </w:r>
    </w:p>
    <w:p w14:paraId="5E4DF4BB" w14:textId="77777777" w:rsidR="007F6E00" w:rsidRDefault="007F6E00" w:rsidP="00414384">
      <w:pPr>
        <w:tabs>
          <w:tab w:val="center" w:pos="4080"/>
          <w:tab w:val="right" w:pos="8160"/>
        </w:tabs>
        <w:spacing w:line="240" w:lineRule="auto"/>
        <w:rPr>
          <w:rStyle w:val="20"/>
          <w:b w:val="0"/>
          <w:bCs w:val="0"/>
        </w:rPr>
      </w:pPr>
      <w:r>
        <w:rPr>
          <w:rFonts w:cs="Times New Roman" w:hint="eastAsia"/>
          <w:b/>
          <w:bCs/>
        </w:rPr>
        <w:t>Supplementary Fig. 5</w:t>
      </w:r>
      <w:r>
        <w:rPr>
          <w:rFonts w:cs="Times New Roman"/>
          <w:b/>
          <w:bCs/>
        </w:rPr>
        <w:t xml:space="preserve">7 | Modeling results for fitting the LVZ velocity reductions beneath the southern edge of AP under the dry mantle assumption. </w:t>
      </w:r>
      <w:r>
        <w:rPr>
          <w:rStyle w:val="20"/>
        </w:rPr>
        <w:t xml:space="preserve">Detailed figure captions are same as in </w:t>
      </w:r>
      <w:r w:rsidRPr="002739A9">
        <w:rPr>
          <w:rStyle w:val="20"/>
          <w:color w:val="FF0000"/>
        </w:rPr>
        <w:t xml:space="preserve">Extended Data Fig. </w:t>
      </w:r>
      <w:r>
        <w:rPr>
          <w:rStyle w:val="20"/>
          <w:color w:val="FF0000"/>
        </w:rPr>
        <w:t>6</w:t>
      </w:r>
      <w:r>
        <w:rPr>
          <w:rStyle w:val="20"/>
        </w:rPr>
        <w:t>.</w:t>
      </w:r>
    </w:p>
    <w:p w14:paraId="6FB2947B" w14:textId="77777777" w:rsidR="007F6E00" w:rsidRDefault="007F6E00">
      <w:pPr>
        <w:widowControl/>
        <w:spacing w:line="240" w:lineRule="auto"/>
        <w:jc w:val="left"/>
        <w:rPr>
          <w:rStyle w:val="20"/>
          <w:b w:val="0"/>
          <w:bCs w:val="0"/>
        </w:rPr>
      </w:pPr>
      <w:r>
        <w:rPr>
          <w:rStyle w:val="20"/>
        </w:rPr>
        <w:br w:type="page"/>
      </w:r>
    </w:p>
    <w:p w14:paraId="30F717C3" w14:textId="77777777" w:rsidR="007F6E00" w:rsidRDefault="007F6E00" w:rsidP="002846D2">
      <w:pPr>
        <w:tabs>
          <w:tab w:val="center" w:pos="4080"/>
          <w:tab w:val="right" w:pos="8160"/>
        </w:tabs>
        <w:spacing w:line="240" w:lineRule="auto"/>
        <w:jc w:val="center"/>
        <w:rPr>
          <w:rFonts w:cs="Times New Roman"/>
          <w:b/>
          <w:bCs/>
        </w:rPr>
      </w:pPr>
      <w:r>
        <w:rPr>
          <w:rFonts w:cs="Times New Roman"/>
          <w:b/>
          <w:bCs/>
          <w:noProof/>
        </w:rPr>
        <w:lastRenderedPageBreak/>
        <w:drawing>
          <wp:inline distT="0" distB="0" distL="0" distR="0" wp14:anchorId="1976E0D4" wp14:editId="009BD460">
            <wp:extent cx="4150118" cy="4320000"/>
            <wp:effectExtent l="0" t="0" r="3175"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150118" cy="4320000"/>
                    </a:xfrm>
                    <a:prstGeom prst="rect">
                      <a:avLst/>
                    </a:prstGeom>
                  </pic:spPr>
                </pic:pic>
              </a:graphicData>
            </a:graphic>
          </wp:inline>
        </w:drawing>
      </w:r>
    </w:p>
    <w:p w14:paraId="12576F08" w14:textId="77777777" w:rsidR="007F6E00" w:rsidRDefault="007F6E00" w:rsidP="007F3E1A">
      <w:pPr>
        <w:tabs>
          <w:tab w:val="center" w:pos="4080"/>
          <w:tab w:val="right" w:pos="8160"/>
        </w:tabs>
        <w:spacing w:line="240" w:lineRule="auto"/>
        <w:rPr>
          <w:rFonts w:cs="Times New Roman"/>
        </w:rPr>
      </w:pPr>
      <w:r>
        <w:rPr>
          <w:rFonts w:cs="Times New Roman" w:hint="eastAsia"/>
          <w:b/>
          <w:bCs/>
        </w:rPr>
        <w:t>Supplementary Fig. 5</w:t>
      </w:r>
      <w:r>
        <w:rPr>
          <w:rFonts w:cs="Times New Roman"/>
          <w:b/>
          <w:bCs/>
        </w:rPr>
        <w:t xml:space="preserve">8 | Modeling results for fitting the LVZ velocity reductions beneath the eastern CF under the dry mantle assumption. </w:t>
      </w:r>
      <w:r>
        <w:rPr>
          <w:rStyle w:val="20"/>
        </w:rPr>
        <w:t xml:space="preserve">Detailed figure captions are same as in </w:t>
      </w:r>
      <w:r w:rsidRPr="002739A9">
        <w:rPr>
          <w:rStyle w:val="20"/>
          <w:color w:val="FF0000"/>
        </w:rPr>
        <w:t>Extended Data Fig. 7</w:t>
      </w:r>
      <w:r>
        <w:rPr>
          <w:rStyle w:val="20"/>
        </w:rPr>
        <w:t xml:space="preserve">. </w:t>
      </w:r>
      <w:r>
        <w:rPr>
          <w:rFonts w:cs="Times New Roman"/>
        </w:rPr>
        <w:t xml:space="preserve">Note that no </w:t>
      </w:r>
      <w:proofErr w:type="spellStart"/>
      <w:r w:rsidRPr="00EB0EF8">
        <w:rPr>
          <w:rFonts w:cs="Times New Roman"/>
          <w:i/>
          <w:iCs/>
        </w:rPr>
        <w:t>Vp</w:t>
      </w:r>
      <w:proofErr w:type="spellEnd"/>
      <w:r>
        <w:rPr>
          <w:rFonts w:cs="Times New Roman"/>
        </w:rPr>
        <w:t xml:space="preserve"> information is obtained in the inversion</w:t>
      </w:r>
      <w:r w:rsidRPr="002846D2">
        <w:rPr>
          <w:rFonts w:cs="Times New Roman"/>
        </w:rPr>
        <w:t xml:space="preserve"> (g) </w:t>
      </w:r>
      <w:r>
        <w:rPr>
          <w:rFonts w:cs="Times New Roman"/>
        </w:rPr>
        <w:t>since there is no observation of PP or PP precursor in the waveform of S1153a.</w:t>
      </w:r>
    </w:p>
    <w:p w14:paraId="3F4B3B8E" w14:textId="77777777" w:rsidR="007F6E00" w:rsidRDefault="007F6E00">
      <w:pPr>
        <w:widowControl/>
        <w:spacing w:line="240" w:lineRule="auto"/>
        <w:jc w:val="left"/>
        <w:rPr>
          <w:rFonts w:cs="Times New Roman"/>
        </w:rPr>
      </w:pPr>
      <w:r>
        <w:rPr>
          <w:rFonts w:cs="Times New Roman"/>
        </w:rPr>
        <w:br w:type="page"/>
      </w:r>
    </w:p>
    <w:p w14:paraId="44389286" w14:textId="77777777" w:rsidR="007F6E00" w:rsidRDefault="007F6E00" w:rsidP="007F3E1A">
      <w:pPr>
        <w:tabs>
          <w:tab w:val="center" w:pos="4080"/>
          <w:tab w:val="right" w:pos="8160"/>
        </w:tabs>
        <w:spacing w:line="240" w:lineRule="auto"/>
        <w:jc w:val="center"/>
        <w:rPr>
          <w:rFonts w:cs="Times New Roman"/>
          <w:b/>
          <w:bCs/>
        </w:rPr>
      </w:pPr>
      <w:r>
        <w:rPr>
          <w:rFonts w:cs="Times New Roman" w:hint="eastAsia"/>
          <w:b/>
          <w:bCs/>
          <w:noProof/>
        </w:rPr>
        <w:lastRenderedPageBreak/>
        <w:drawing>
          <wp:inline distT="0" distB="0" distL="0" distR="0" wp14:anchorId="752F128E" wp14:editId="29E7CDD2">
            <wp:extent cx="3960000" cy="5572415"/>
            <wp:effectExtent l="0" t="0" r="2540" b="317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960000" cy="5572415"/>
                    </a:xfrm>
                    <a:prstGeom prst="rect">
                      <a:avLst/>
                    </a:prstGeom>
                  </pic:spPr>
                </pic:pic>
              </a:graphicData>
            </a:graphic>
          </wp:inline>
        </w:drawing>
      </w:r>
    </w:p>
    <w:p w14:paraId="4959F3A6" w14:textId="77777777" w:rsidR="007F6E00" w:rsidRDefault="007F6E00" w:rsidP="00414384">
      <w:pPr>
        <w:tabs>
          <w:tab w:val="center" w:pos="4080"/>
          <w:tab w:val="right" w:pos="8160"/>
        </w:tabs>
        <w:spacing w:line="240" w:lineRule="auto"/>
        <w:rPr>
          <w:rFonts w:cs="Times New Roman"/>
        </w:rPr>
      </w:pPr>
      <w:r>
        <w:rPr>
          <w:rFonts w:cs="Times New Roman" w:hint="eastAsia"/>
          <w:b/>
          <w:bCs/>
        </w:rPr>
        <w:t>Supplementary Fig. 5</w:t>
      </w:r>
      <w:r>
        <w:rPr>
          <w:rFonts w:cs="Times New Roman"/>
          <w:b/>
          <w:bCs/>
        </w:rPr>
        <w:t xml:space="preserve">9 | </w:t>
      </w:r>
      <w:r w:rsidRPr="004B1F1B">
        <w:rPr>
          <w:rStyle w:val="20"/>
        </w:rPr>
        <w:t xml:space="preserve">Contributions of each factor to velocity </w:t>
      </w:r>
      <w:r>
        <w:rPr>
          <w:rStyle w:val="20"/>
        </w:rPr>
        <w:t>perturbations</w:t>
      </w:r>
      <w:r w:rsidRPr="004B1F1B">
        <w:rPr>
          <w:rStyle w:val="20"/>
        </w:rPr>
        <w:t>.</w:t>
      </w:r>
      <w:r>
        <w:rPr>
          <w:rFonts w:cs="Times New Roman"/>
        </w:rPr>
        <w:t xml:space="preserve"> Left and right panels show the distributions of reductions in </w:t>
      </w:r>
      <w:r w:rsidRPr="0044510B">
        <w:rPr>
          <w:rFonts w:cs="Times New Roman"/>
          <w:i/>
          <w:iCs/>
        </w:rPr>
        <w:t>Vs</w:t>
      </w:r>
      <w:r>
        <w:rPr>
          <w:rFonts w:cs="Times New Roman"/>
        </w:rPr>
        <w:t xml:space="preserve"> and </w:t>
      </w:r>
      <w:proofErr w:type="spellStart"/>
      <w:r w:rsidRPr="0044510B">
        <w:rPr>
          <w:rFonts w:cs="Times New Roman"/>
          <w:i/>
          <w:iCs/>
        </w:rPr>
        <w:t>Vp</w:t>
      </w:r>
      <w:proofErr w:type="spellEnd"/>
      <w:r>
        <w:rPr>
          <w:rFonts w:cs="Times New Roman"/>
        </w:rPr>
        <w:t>, respectively, which are calculated by individual mechanisms in different simulations. Partial melting accounts for the largest fraction of the velocity reduction, while the effects of variations in temperature and Mg# are minor.</w:t>
      </w:r>
    </w:p>
    <w:p w14:paraId="1AE50066" w14:textId="77777777" w:rsidR="007F6E00" w:rsidRDefault="007F6E00">
      <w:pPr>
        <w:widowControl/>
        <w:spacing w:line="240" w:lineRule="auto"/>
        <w:jc w:val="left"/>
        <w:rPr>
          <w:rFonts w:cs="Times New Roman"/>
        </w:rPr>
      </w:pPr>
      <w:r>
        <w:rPr>
          <w:rFonts w:cs="Times New Roman"/>
        </w:rPr>
        <w:br w:type="page"/>
      </w:r>
    </w:p>
    <w:p w14:paraId="5E4CFB68" w14:textId="77777777" w:rsidR="007F6E00" w:rsidRDefault="007F6E00" w:rsidP="00C66E9A">
      <w:pPr>
        <w:tabs>
          <w:tab w:val="center" w:pos="4080"/>
          <w:tab w:val="right" w:pos="8160"/>
        </w:tabs>
        <w:spacing w:line="240" w:lineRule="auto"/>
        <w:jc w:val="center"/>
        <w:rPr>
          <w:rFonts w:cs="Times New Roman"/>
        </w:rPr>
      </w:pPr>
      <w:r>
        <w:rPr>
          <w:rFonts w:cs="Times New Roman" w:hint="eastAsia"/>
          <w:noProof/>
        </w:rPr>
        <w:lastRenderedPageBreak/>
        <w:drawing>
          <wp:inline distT="0" distB="0" distL="0" distR="0" wp14:anchorId="3CCFB673" wp14:editId="0797265C">
            <wp:extent cx="4320000" cy="5655112"/>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320000" cy="5655112"/>
                    </a:xfrm>
                    <a:prstGeom prst="rect">
                      <a:avLst/>
                    </a:prstGeom>
                  </pic:spPr>
                </pic:pic>
              </a:graphicData>
            </a:graphic>
          </wp:inline>
        </w:drawing>
      </w:r>
    </w:p>
    <w:p w14:paraId="4A55A105" w14:textId="77777777" w:rsidR="007F6E00" w:rsidRDefault="007F6E00" w:rsidP="00414384">
      <w:pPr>
        <w:tabs>
          <w:tab w:val="center" w:pos="4080"/>
          <w:tab w:val="right" w:pos="8160"/>
        </w:tabs>
        <w:spacing w:line="240" w:lineRule="auto"/>
        <w:rPr>
          <w:rFonts w:cs="Times New Roman"/>
        </w:rPr>
      </w:pPr>
      <w:r>
        <w:rPr>
          <w:b/>
          <w:bCs/>
        </w:rPr>
        <w:t>Supplementary Fig. 60</w:t>
      </w:r>
      <w:r w:rsidRPr="000D5F60">
        <w:rPr>
          <w:b/>
          <w:bCs/>
        </w:rPr>
        <w:t xml:space="preserve"> | Distributions of misfits versus LVZ features from the </w:t>
      </w:r>
      <w:r>
        <w:rPr>
          <w:b/>
          <w:bCs/>
        </w:rPr>
        <w:t>modeling</w:t>
      </w:r>
      <w:r w:rsidRPr="000D5F60">
        <w:rPr>
          <w:b/>
          <w:bCs/>
        </w:rPr>
        <w:t xml:space="preserve"> for fitting the LVZ velocity </w:t>
      </w:r>
      <w:r>
        <w:rPr>
          <w:b/>
          <w:bCs/>
        </w:rPr>
        <w:t>reduction</w:t>
      </w:r>
      <w:r w:rsidRPr="000D5F60">
        <w:rPr>
          <w:b/>
          <w:bCs/>
        </w:rPr>
        <w:t xml:space="preserve">s beneath InSight under the hydrous mantle assumption. </w:t>
      </w:r>
      <w:r>
        <w:rPr>
          <w:rFonts w:cs="Times New Roman"/>
        </w:rPr>
        <w:t>(a) shows the results without melts in the LVZ. (b)–(e) show the result with melts in the LVZ. Colors of dots stand for the misfit values.</w:t>
      </w:r>
    </w:p>
    <w:p w14:paraId="520F074B" w14:textId="77777777" w:rsidR="007F6E00" w:rsidRDefault="007F6E00">
      <w:pPr>
        <w:widowControl/>
        <w:spacing w:line="240" w:lineRule="auto"/>
        <w:jc w:val="left"/>
        <w:rPr>
          <w:rFonts w:cs="Times New Roman"/>
        </w:rPr>
      </w:pPr>
      <w:r>
        <w:rPr>
          <w:rFonts w:cs="Times New Roman"/>
        </w:rPr>
        <w:br w:type="page"/>
      </w:r>
    </w:p>
    <w:p w14:paraId="2597B738" w14:textId="77777777" w:rsidR="007F6E00" w:rsidRDefault="007F6E00" w:rsidP="00C66E9A">
      <w:pPr>
        <w:spacing w:line="240" w:lineRule="auto"/>
        <w:jc w:val="center"/>
      </w:pPr>
      <w:r>
        <w:rPr>
          <w:rFonts w:hint="eastAsia"/>
          <w:noProof/>
        </w:rPr>
        <w:lastRenderedPageBreak/>
        <w:drawing>
          <wp:inline distT="0" distB="0" distL="0" distR="0" wp14:anchorId="4CA73CF6" wp14:editId="46DA8348">
            <wp:extent cx="4320000" cy="5655112"/>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320000" cy="5655112"/>
                    </a:xfrm>
                    <a:prstGeom prst="rect">
                      <a:avLst/>
                    </a:prstGeom>
                  </pic:spPr>
                </pic:pic>
              </a:graphicData>
            </a:graphic>
          </wp:inline>
        </w:drawing>
      </w:r>
    </w:p>
    <w:p w14:paraId="485C9332" w14:textId="77777777" w:rsidR="007F6E00" w:rsidRDefault="007F6E00" w:rsidP="00C66E9A">
      <w:pPr>
        <w:spacing w:line="240" w:lineRule="auto"/>
        <w:rPr>
          <w:b/>
          <w:bCs/>
        </w:rPr>
      </w:pPr>
      <w:r>
        <w:rPr>
          <w:b/>
          <w:bCs/>
        </w:rPr>
        <w:t>Supplementary Fig. 61</w:t>
      </w:r>
      <w:r w:rsidRPr="00C66E9A">
        <w:rPr>
          <w:b/>
          <w:bCs/>
        </w:rPr>
        <w:t xml:space="preserve"> | Similar to </w:t>
      </w:r>
      <w:r>
        <w:rPr>
          <w:b/>
          <w:bCs/>
          <w:color w:val="FF0000"/>
        </w:rPr>
        <w:t>Supplementary Fig. 60</w:t>
      </w:r>
      <w:r w:rsidRPr="00C66E9A">
        <w:rPr>
          <w:b/>
          <w:bCs/>
        </w:rPr>
        <w:t xml:space="preserve"> but for the LVZ beneath the </w:t>
      </w:r>
      <w:r>
        <w:rPr>
          <w:b/>
          <w:bCs/>
        </w:rPr>
        <w:t>southern edge of AP</w:t>
      </w:r>
      <w:r w:rsidRPr="00C66E9A">
        <w:rPr>
          <w:b/>
          <w:bCs/>
        </w:rPr>
        <w:t>.</w:t>
      </w:r>
    </w:p>
    <w:p w14:paraId="2287B351" w14:textId="77777777" w:rsidR="007F6E00" w:rsidRDefault="007F6E00">
      <w:pPr>
        <w:widowControl/>
        <w:spacing w:line="240" w:lineRule="auto"/>
        <w:jc w:val="left"/>
        <w:rPr>
          <w:b/>
          <w:bCs/>
        </w:rPr>
      </w:pPr>
      <w:r>
        <w:rPr>
          <w:b/>
          <w:bCs/>
        </w:rPr>
        <w:br w:type="page"/>
      </w:r>
    </w:p>
    <w:p w14:paraId="4AF6EF36" w14:textId="77777777" w:rsidR="007F6E00" w:rsidRDefault="007F6E00" w:rsidP="00C66E9A">
      <w:pPr>
        <w:spacing w:line="240" w:lineRule="auto"/>
        <w:jc w:val="center"/>
      </w:pPr>
      <w:r>
        <w:rPr>
          <w:rFonts w:hint="eastAsia"/>
          <w:noProof/>
        </w:rPr>
        <w:lastRenderedPageBreak/>
        <w:drawing>
          <wp:inline distT="0" distB="0" distL="0" distR="0" wp14:anchorId="47EB39CC" wp14:editId="26151C61">
            <wp:extent cx="4320000" cy="5655112"/>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320000" cy="5655112"/>
                    </a:xfrm>
                    <a:prstGeom prst="rect">
                      <a:avLst/>
                    </a:prstGeom>
                  </pic:spPr>
                </pic:pic>
              </a:graphicData>
            </a:graphic>
          </wp:inline>
        </w:drawing>
      </w:r>
    </w:p>
    <w:p w14:paraId="7E43BAB6" w14:textId="77777777" w:rsidR="007F6E00" w:rsidRDefault="007F6E00" w:rsidP="00414384">
      <w:pPr>
        <w:spacing w:line="240" w:lineRule="auto"/>
        <w:rPr>
          <w:b/>
          <w:bCs/>
        </w:rPr>
      </w:pPr>
      <w:r>
        <w:rPr>
          <w:b/>
          <w:bCs/>
        </w:rPr>
        <w:t>Supplementary Fig. 62</w:t>
      </w:r>
      <w:r w:rsidRPr="00C66E9A">
        <w:rPr>
          <w:b/>
          <w:bCs/>
        </w:rPr>
        <w:t xml:space="preserve"> | Similar to </w:t>
      </w:r>
      <w:r>
        <w:rPr>
          <w:b/>
          <w:bCs/>
          <w:color w:val="FF0000"/>
        </w:rPr>
        <w:t>Supplementary Fig. 60</w:t>
      </w:r>
      <w:r w:rsidRPr="00C66E9A">
        <w:rPr>
          <w:b/>
          <w:bCs/>
        </w:rPr>
        <w:t xml:space="preserve"> but for the LVZ beneath the </w:t>
      </w:r>
      <w:r>
        <w:rPr>
          <w:b/>
          <w:bCs/>
        </w:rPr>
        <w:t>eastern CF</w:t>
      </w:r>
      <w:r w:rsidRPr="00C66E9A">
        <w:rPr>
          <w:b/>
          <w:bCs/>
        </w:rPr>
        <w:t>.</w:t>
      </w:r>
    </w:p>
    <w:p w14:paraId="075EDEFE" w14:textId="77777777" w:rsidR="007F6E00" w:rsidRDefault="007F6E00">
      <w:pPr>
        <w:widowControl/>
        <w:spacing w:line="240" w:lineRule="auto"/>
        <w:jc w:val="left"/>
        <w:rPr>
          <w:b/>
          <w:bCs/>
        </w:rPr>
      </w:pPr>
      <w:r>
        <w:rPr>
          <w:b/>
          <w:bCs/>
        </w:rPr>
        <w:br w:type="page"/>
      </w:r>
    </w:p>
    <w:p w14:paraId="5D9D67F3" w14:textId="77777777" w:rsidR="007F6E00" w:rsidRDefault="007F6E00" w:rsidP="002D29E3">
      <w:pPr>
        <w:spacing w:line="240" w:lineRule="auto"/>
        <w:jc w:val="center"/>
      </w:pPr>
      <w:r>
        <w:rPr>
          <w:noProof/>
        </w:rPr>
        <w:lastRenderedPageBreak/>
        <w:drawing>
          <wp:inline distT="0" distB="0" distL="0" distR="0" wp14:anchorId="12EE83D7" wp14:editId="63449756">
            <wp:extent cx="5274310" cy="2778760"/>
            <wp:effectExtent l="0" t="0" r="0" b="254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274310" cy="2778760"/>
                    </a:xfrm>
                    <a:prstGeom prst="rect">
                      <a:avLst/>
                    </a:prstGeom>
                  </pic:spPr>
                </pic:pic>
              </a:graphicData>
            </a:graphic>
          </wp:inline>
        </w:drawing>
      </w:r>
    </w:p>
    <w:p w14:paraId="7AA9BF86" w14:textId="77777777" w:rsidR="007F6E00" w:rsidRPr="002D29E3" w:rsidRDefault="007F6E00" w:rsidP="00414384">
      <w:pPr>
        <w:spacing w:line="240" w:lineRule="auto"/>
      </w:pPr>
      <w:r w:rsidRPr="00C66E9A">
        <w:rPr>
          <w:b/>
          <w:bCs/>
        </w:rPr>
        <w:t xml:space="preserve">Supplementary Fig. </w:t>
      </w:r>
      <w:r>
        <w:rPr>
          <w:b/>
          <w:bCs/>
        </w:rPr>
        <w:t>63</w:t>
      </w:r>
      <w:r w:rsidRPr="00876ED0">
        <w:rPr>
          <w:b/>
          <w:bCs/>
        </w:rPr>
        <w:t xml:space="preserve"> | Distribution of intrinsic attenuation factor (Q</w:t>
      </w:r>
      <w:r w:rsidRPr="00876ED0">
        <w:rPr>
          <w:b/>
          <w:bCs/>
          <w:lang w:val="el-GR"/>
        </w:rPr>
        <w:t>μ</w:t>
      </w:r>
      <w:r w:rsidRPr="00876ED0">
        <w:rPr>
          <w:b/>
          <w:bCs/>
        </w:rPr>
        <w:t xml:space="preserve">) in the </w:t>
      </w:r>
      <w:r>
        <w:rPr>
          <w:b/>
          <w:bCs/>
        </w:rPr>
        <w:t>m</w:t>
      </w:r>
      <w:r w:rsidRPr="000D5F60">
        <w:rPr>
          <w:b/>
          <w:bCs/>
        </w:rPr>
        <w:t>o</w:t>
      </w:r>
      <w:r>
        <w:rPr>
          <w:b/>
          <w:bCs/>
        </w:rPr>
        <w:t>deling of</w:t>
      </w:r>
      <w:r w:rsidRPr="000D5F60">
        <w:rPr>
          <w:b/>
          <w:bCs/>
        </w:rPr>
        <w:t xml:space="preserve"> LVZ velocity </w:t>
      </w:r>
      <w:r>
        <w:rPr>
          <w:b/>
          <w:bCs/>
        </w:rPr>
        <w:t>reduction</w:t>
      </w:r>
      <w:r w:rsidRPr="000D5F60">
        <w:rPr>
          <w:b/>
          <w:bCs/>
        </w:rPr>
        <w:t>s beneath InSight</w:t>
      </w:r>
      <w:r>
        <w:rPr>
          <w:b/>
          <w:bCs/>
        </w:rPr>
        <w:t xml:space="preserve">. </w:t>
      </w:r>
      <w:r w:rsidRPr="005D09B4">
        <w:t>(a) shows the results for the dry mantle case, while (b) is for the hydrous mantle case.</w:t>
      </w:r>
      <w:r>
        <w:t xml:space="preserve"> Values of Q</w:t>
      </w:r>
      <w:r>
        <w:rPr>
          <w:lang w:val="el-GR"/>
        </w:rPr>
        <w:t>μ</w:t>
      </w:r>
      <w:r>
        <w:t xml:space="preserve"> are calculated by </w:t>
      </w:r>
      <w:r w:rsidRPr="00C214B9">
        <w:rPr>
          <w:color w:val="000000" w:themeColor="text1"/>
        </w:rPr>
        <w:t>equation (4) in the Methods</w:t>
      </w:r>
      <w:r>
        <w:t>. Horizontal line segments denote the ranges of Q</w:t>
      </w:r>
      <w:r>
        <w:rPr>
          <w:lang w:val="el-GR"/>
        </w:rPr>
        <w:t>μ</w:t>
      </w:r>
      <w:r>
        <w:t xml:space="preserve"> from previous studies. If melts exist in the LVZ, the calculated </w:t>
      </w:r>
      <w:proofErr w:type="spellStart"/>
      <w:r w:rsidRPr="005D09B4">
        <w:t>Qμ</w:t>
      </w:r>
      <w:proofErr w:type="spellEnd"/>
      <w:r>
        <w:t xml:space="preserve"> values are below 100, significantly lower than those derived from previous studies</w:t>
      </w:r>
      <w:r w:rsidRPr="00D27662">
        <w:rPr>
          <w:noProof/>
          <w:vertAlign w:val="superscript"/>
        </w:rPr>
        <w:t>105-107</w:t>
      </w:r>
      <w:r>
        <w:t xml:space="preserve">. L20: </w:t>
      </w:r>
      <w:proofErr w:type="spellStart"/>
      <w:r>
        <w:t>Lognonne</w:t>
      </w:r>
      <w:proofErr w:type="spellEnd"/>
      <w:r>
        <w:t xml:space="preserve"> et al., 2020 (ref.</w:t>
      </w:r>
      <w:r w:rsidRPr="00D27662">
        <w:rPr>
          <w:noProof/>
          <w:vertAlign w:val="superscript"/>
        </w:rPr>
        <w:t xml:space="preserve"> 105</w:t>
      </w:r>
      <w:r>
        <w:t>) (Q</w:t>
      </w:r>
      <w:r>
        <w:rPr>
          <w:lang w:val="el-GR"/>
        </w:rPr>
        <w:t>μ</w:t>
      </w:r>
      <w:r>
        <w:t xml:space="preserve"> = 800–2400 from S0173a and S0235b at ~0.3–0.7 Hz). M23: Menina et al., 2023 (ref.</w:t>
      </w:r>
      <w:r w:rsidRPr="00D27662">
        <w:rPr>
          <w:noProof/>
          <w:vertAlign w:val="superscript"/>
        </w:rPr>
        <w:t xml:space="preserve"> 106</w:t>
      </w:r>
      <w:r>
        <w:t>) (Q</w:t>
      </w:r>
      <w:r>
        <w:rPr>
          <w:lang w:val="el-GR"/>
        </w:rPr>
        <w:t>μ</w:t>
      </w:r>
      <w:r>
        <w:t xml:space="preserve"> = 1200–3500 from near impacts, VF events, and S1222a at ~7.5 Hz). O23: Onodera et al., 2023 (ref.</w:t>
      </w:r>
      <w:r w:rsidRPr="00D27662">
        <w:rPr>
          <w:noProof/>
          <w:vertAlign w:val="superscript"/>
        </w:rPr>
        <w:t xml:space="preserve"> 107</w:t>
      </w:r>
      <w:r>
        <w:t>) (Q</w:t>
      </w:r>
      <w:r>
        <w:rPr>
          <w:lang w:val="el-GR"/>
        </w:rPr>
        <w:t>μ</w:t>
      </w:r>
      <w:r>
        <w:t xml:space="preserve"> = 1000–1500 from surface waves of S1222a at 0.05</w:t>
      </w:r>
      <w:r>
        <w:softHyphen/>
        <w:t>–0.09 Hz).</w:t>
      </w:r>
    </w:p>
    <w:p w14:paraId="5D25673F" w14:textId="77777777" w:rsidR="007F6E00" w:rsidRPr="00414384" w:rsidRDefault="007F6E00" w:rsidP="00414384">
      <w:pPr>
        <w:spacing w:line="240" w:lineRule="auto"/>
        <w:rPr>
          <w:b/>
          <w:bCs/>
        </w:rPr>
        <w:sectPr w:rsidR="007F6E00" w:rsidRPr="00414384" w:rsidSect="007F6E00">
          <w:footerReference w:type="even" r:id="rId71"/>
          <w:footerReference w:type="default" r:id="rId72"/>
          <w:pgSz w:w="11906" w:h="16838"/>
          <w:pgMar w:top="1440" w:right="1800" w:bottom="1440" w:left="1800" w:header="851" w:footer="992" w:gutter="0"/>
          <w:lnNumType w:countBy="1" w:restart="continuous"/>
          <w:cols w:space="425"/>
          <w:docGrid w:type="lines" w:linePitch="326"/>
        </w:sectPr>
      </w:pPr>
    </w:p>
    <w:p w14:paraId="7EF6C78E" w14:textId="77777777" w:rsidR="007F6E00" w:rsidRPr="00731FB0" w:rsidRDefault="007F6E00" w:rsidP="00876ED0">
      <w:pPr>
        <w:rPr>
          <w:b/>
          <w:bCs/>
        </w:rPr>
      </w:pPr>
      <w:r w:rsidRPr="00731FB0">
        <w:rPr>
          <w:rFonts w:hint="eastAsia"/>
          <w:b/>
          <w:bCs/>
        </w:rPr>
        <w:lastRenderedPageBreak/>
        <w:t>S</w:t>
      </w:r>
      <w:r w:rsidRPr="00731FB0">
        <w:rPr>
          <w:b/>
          <w:bCs/>
        </w:rPr>
        <w:t>upplementary Tab. 1 | Information of marsquake events used in this study</w:t>
      </w:r>
    </w:p>
    <w:tbl>
      <w:tblPr>
        <w:tblStyle w:val="ac"/>
        <w:tblW w:w="4965" w:type="pct"/>
        <w:tblLook w:val="04A0" w:firstRow="1" w:lastRow="0" w:firstColumn="1" w:lastColumn="0" w:noHBand="0" w:noVBand="1"/>
      </w:tblPr>
      <w:tblGrid>
        <w:gridCol w:w="1508"/>
        <w:gridCol w:w="1200"/>
        <w:gridCol w:w="933"/>
        <w:gridCol w:w="1507"/>
        <w:gridCol w:w="2012"/>
        <w:gridCol w:w="1474"/>
        <w:gridCol w:w="1474"/>
        <w:gridCol w:w="2835"/>
        <w:gridCol w:w="2252"/>
      </w:tblGrid>
      <w:tr w:rsidR="007F6E00" w:rsidRPr="00731FB0" w14:paraId="6C802196" w14:textId="77777777" w:rsidTr="00291111">
        <w:trPr>
          <w:trHeight w:hRule="exact" w:val="680"/>
        </w:trPr>
        <w:tc>
          <w:tcPr>
            <w:tcW w:w="496" w:type="pct"/>
            <w:tcBorders>
              <w:top w:val="single" w:sz="18" w:space="0" w:color="auto"/>
              <w:left w:val="nil"/>
              <w:bottom w:val="single" w:sz="18" w:space="0" w:color="auto"/>
              <w:right w:val="single" w:sz="4" w:space="0" w:color="auto"/>
            </w:tcBorders>
            <w:vAlign w:val="center"/>
          </w:tcPr>
          <w:p w14:paraId="5C529376" w14:textId="77777777" w:rsidR="007F6E00" w:rsidRPr="00731FB0" w:rsidRDefault="007F6E00" w:rsidP="00731FB0">
            <w:pPr>
              <w:snapToGrid w:val="0"/>
              <w:spacing w:line="360" w:lineRule="auto"/>
              <w:jc w:val="center"/>
              <w:rPr>
                <w:rFonts w:cs="Times New Roman"/>
                <w:b/>
                <w:bCs/>
                <w:sz w:val="20"/>
                <w:szCs w:val="20"/>
              </w:rPr>
            </w:pPr>
            <w:r w:rsidRPr="00731FB0">
              <w:rPr>
                <w:rFonts w:cs="Times New Roman"/>
                <w:b/>
                <w:bCs/>
                <w:sz w:val="20"/>
                <w:szCs w:val="20"/>
              </w:rPr>
              <w:t>Method</w:t>
            </w:r>
          </w:p>
        </w:tc>
        <w:tc>
          <w:tcPr>
            <w:tcW w:w="395" w:type="pct"/>
            <w:tcBorders>
              <w:top w:val="single" w:sz="18" w:space="0" w:color="auto"/>
              <w:left w:val="single" w:sz="4" w:space="0" w:color="auto"/>
              <w:bottom w:val="single" w:sz="18" w:space="0" w:color="auto"/>
              <w:right w:val="nil"/>
            </w:tcBorders>
            <w:vAlign w:val="center"/>
          </w:tcPr>
          <w:p w14:paraId="66EFFFE3" w14:textId="77777777" w:rsidR="007F6E00" w:rsidRPr="00731FB0" w:rsidRDefault="007F6E00" w:rsidP="00731FB0">
            <w:pPr>
              <w:snapToGrid w:val="0"/>
              <w:spacing w:line="360" w:lineRule="auto"/>
              <w:jc w:val="center"/>
              <w:rPr>
                <w:rFonts w:cs="Times New Roman"/>
                <w:b/>
                <w:bCs/>
                <w:sz w:val="20"/>
                <w:szCs w:val="20"/>
              </w:rPr>
            </w:pPr>
            <w:r w:rsidRPr="00731FB0">
              <w:rPr>
                <w:rFonts w:cs="Times New Roman"/>
                <w:b/>
                <w:bCs/>
                <w:sz w:val="20"/>
                <w:szCs w:val="20"/>
              </w:rPr>
              <w:t>Name</w:t>
            </w:r>
          </w:p>
        </w:tc>
        <w:tc>
          <w:tcPr>
            <w:tcW w:w="307" w:type="pct"/>
            <w:tcBorders>
              <w:top w:val="single" w:sz="18" w:space="0" w:color="auto"/>
              <w:left w:val="nil"/>
              <w:bottom w:val="single" w:sz="18" w:space="0" w:color="auto"/>
              <w:right w:val="nil"/>
            </w:tcBorders>
            <w:vAlign w:val="center"/>
          </w:tcPr>
          <w:p w14:paraId="2038A87E" w14:textId="77777777" w:rsidR="007F6E00" w:rsidRPr="00731FB0" w:rsidRDefault="007F6E00" w:rsidP="00731FB0">
            <w:pPr>
              <w:snapToGrid w:val="0"/>
              <w:spacing w:line="360" w:lineRule="auto"/>
              <w:jc w:val="center"/>
              <w:rPr>
                <w:rFonts w:cs="Times New Roman"/>
                <w:b/>
                <w:bCs/>
                <w:sz w:val="20"/>
                <w:szCs w:val="20"/>
              </w:rPr>
            </w:pPr>
            <w:r w:rsidRPr="00731FB0">
              <w:rPr>
                <w:rFonts w:cs="Times New Roman"/>
                <w:b/>
                <w:bCs/>
                <w:sz w:val="20"/>
                <w:szCs w:val="20"/>
              </w:rPr>
              <w:t>Quality</w:t>
            </w:r>
          </w:p>
        </w:tc>
        <w:tc>
          <w:tcPr>
            <w:tcW w:w="496" w:type="pct"/>
            <w:tcBorders>
              <w:top w:val="single" w:sz="18" w:space="0" w:color="auto"/>
              <w:left w:val="nil"/>
              <w:bottom w:val="single" w:sz="18" w:space="0" w:color="auto"/>
              <w:right w:val="nil"/>
            </w:tcBorders>
            <w:vAlign w:val="center"/>
          </w:tcPr>
          <w:p w14:paraId="38A4BB5F" w14:textId="77777777" w:rsidR="007F6E00" w:rsidRPr="00731FB0" w:rsidRDefault="007F6E00" w:rsidP="00731FB0">
            <w:pPr>
              <w:snapToGrid w:val="0"/>
              <w:spacing w:line="360" w:lineRule="auto"/>
              <w:jc w:val="center"/>
              <w:rPr>
                <w:rFonts w:cs="Times New Roman"/>
                <w:b/>
                <w:bCs/>
                <w:sz w:val="20"/>
                <w:szCs w:val="20"/>
              </w:rPr>
            </w:pPr>
            <w:r w:rsidRPr="00731FB0">
              <w:rPr>
                <w:rFonts w:cs="Times New Roman"/>
                <w:b/>
                <w:bCs/>
                <w:sz w:val="20"/>
                <w:szCs w:val="20"/>
              </w:rPr>
              <w:t>Distance (</w:t>
            </w:r>
            <w:proofErr w:type="gramStart"/>
            <w:r w:rsidRPr="00731FB0">
              <w:rPr>
                <w:rFonts w:cs="Times New Roman"/>
                <w:b/>
                <w:bCs/>
              </w:rPr>
              <w:t>°</w:t>
            </w:r>
            <w:r w:rsidRPr="00731FB0">
              <w:rPr>
                <w:rFonts w:cs="Times New Roman"/>
                <w:b/>
                <w:bCs/>
                <w:sz w:val="20"/>
                <w:szCs w:val="20"/>
              </w:rPr>
              <w:t>)*</w:t>
            </w:r>
            <w:proofErr w:type="gramEnd"/>
          </w:p>
        </w:tc>
        <w:tc>
          <w:tcPr>
            <w:tcW w:w="662" w:type="pct"/>
            <w:tcBorders>
              <w:top w:val="single" w:sz="18" w:space="0" w:color="auto"/>
              <w:left w:val="nil"/>
              <w:bottom w:val="single" w:sz="18" w:space="0" w:color="auto"/>
              <w:right w:val="nil"/>
            </w:tcBorders>
            <w:vAlign w:val="center"/>
          </w:tcPr>
          <w:p w14:paraId="22B4FDEF" w14:textId="77777777" w:rsidR="007F6E00" w:rsidRPr="00731FB0" w:rsidRDefault="007F6E00" w:rsidP="00731FB0">
            <w:pPr>
              <w:snapToGrid w:val="0"/>
              <w:spacing w:line="360" w:lineRule="auto"/>
              <w:jc w:val="center"/>
              <w:rPr>
                <w:rFonts w:cs="Times New Roman"/>
                <w:b/>
                <w:bCs/>
                <w:sz w:val="20"/>
                <w:szCs w:val="20"/>
              </w:rPr>
            </w:pPr>
            <w:r w:rsidRPr="00731FB0">
              <w:rPr>
                <w:rFonts w:cs="Times New Roman"/>
                <w:b/>
                <w:bCs/>
                <w:sz w:val="20"/>
                <w:szCs w:val="20"/>
              </w:rPr>
              <w:t>Back azimuth (</w:t>
            </w:r>
            <w:proofErr w:type="gramStart"/>
            <w:r w:rsidRPr="00731FB0">
              <w:rPr>
                <w:rFonts w:cs="Times New Roman"/>
                <w:b/>
                <w:bCs/>
              </w:rPr>
              <w:t>°</w:t>
            </w:r>
            <w:r w:rsidRPr="00731FB0">
              <w:rPr>
                <w:rFonts w:cs="Times New Roman"/>
                <w:b/>
                <w:bCs/>
                <w:sz w:val="20"/>
                <w:szCs w:val="20"/>
              </w:rPr>
              <w:t>)</w:t>
            </w:r>
            <w:r w:rsidRPr="00291111">
              <w:rPr>
                <w:rFonts w:cs="Times New Roman"/>
                <w:b/>
                <w:bCs/>
                <w:sz w:val="20"/>
                <w:szCs w:val="20"/>
                <w:vertAlign w:val="superscript"/>
              </w:rPr>
              <w:t>#</w:t>
            </w:r>
            <w:proofErr w:type="gramEnd"/>
          </w:p>
        </w:tc>
        <w:tc>
          <w:tcPr>
            <w:tcW w:w="485" w:type="pct"/>
            <w:tcBorders>
              <w:top w:val="single" w:sz="18" w:space="0" w:color="auto"/>
              <w:left w:val="nil"/>
              <w:bottom w:val="single" w:sz="18" w:space="0" w:color="auto"/>
              <w:right w:val="nil"/>
            </w:tcBorders>
            <w:vAlign w:val="center"/>
          </w:tcPr>
          <w:p w14:paraId="147E8C2C" w14:textId="77777777" w:rsidR="007F6E00" w:rsidRPr="00731FB0" w:rsidRDefault="007F6E00" w:rsidP="00731FB0">
            <w:pPr>
              <w:snapToGrid w:val="0"/>
              <w:spacing w:line="360" w:lineRule="auto"/>
              <w:jc w:val="center"/>
              <w:rPr>
                <w:rFonts w:cs="Times New Roman"/>
                <w:b/>
                <w:bCs/>
                <w:sz w:val="20"/>
                <w:szCs w:val="20"/>
              </w:rPr>
            </w:pPr>
            <w:r w:rsidRPr="00731FB0">
              <w:rPr>
                <w:rFonts w:cs="Times New Roman"/>
                <w:b/>
                <w:bCs/>
                <w:sz w:val="20"/>
                <w:szCs w:val="20"/>
              </w:rPr>
              <w:t>Bandpass f</w:t>
            </w:r>
            <w:r w:rsidRPr="00731FB0">
              <w:rPr>
                <w:rFonts w:cs="Times New Roman"/>
                <w:b/>
                <w:bCs/>
                <w:sz w:val="20"/>
                <w:szCs w:val="20"/>
                <w:vertAlign w:val="subscript"/>
              </w:rPr>
              <w:t>1</w:t>
            </w:r>
            <w:r w:rsidRPr="00731FB0">
              <w:rPr>
                <w:rFonts w:cs="Times New Roman"/>
                <w:b/>
                <w:bCs/>
                <w:sz w:val="20"/>
                <w:szCs w:val="20"/>
              </w:rPr>
              <w:t xml:space="preserve"> (Hz)</w:t>
            </w:r>
          </w:p>
        </w:tc>
        <w:tc>
          <w:tcPr>
            <w:tcW w:w="485" w:type="pct"/>
            <w:tcBorders>
              <w:top w:val="single" w:sz="18" w:space="0" w:color="auto"/>
              <w:left w:val="nil"/>
              <w:bottom w:val="single" w:sz="18" w:space="0" w:color="auto"/>
              <w:right w:val="single" w:sz="4" w:space="0" w:color="auto"/>
            </w:tcBorders>
            <w:vAlign w:val="center"/>
          </w:tcPr>
          <w:p w14:paraId="55D43F5C" w14:textId="77777777" w:rsidR="007F6E00" w:rsidRPr="00731FB0" w:rsidRDefault="007F6E00" w:rsidP="00731FB0">
            <w:pPr>
              <w:snapToGrid w:val="0"/>
              <w:spacing w:line="360" w:lineRule="auto"/>
              <w:jc w:val="center"/>
              <w:rPr>
                <w:rFonts w:cs="Times New Roman"/>
                <w:b/>
                <w:bCs/>
                <w:sz w:val="20"/>
                <w:szCs w:val="20"/>
              </w:rPr>
            </w:pPr>
            <w:r w:rsidRPr="00731FB0">
              <w:rPr>
                <w:rFonts w:cs="Times New Roman"/>
                <w:b/>
                <w:bCs/>
                <w:sz w:val="20"/>
                <w:szCs w:val="20"/>
              </w:rPr>
              <w:t>Bandpass f</w:t>
            </w:r>
            <w:r w:rsidRPr="00731FB0">
              <w:rPr>
                <w:rFonts w:cs="Times New Roman"/>
                <w:b/>
                <w:bCs/>
                <w:sz w:val="20"/>
                <w:szCs w:val="20"/>
                <w:vertAlign w:val="subscript"/>
              </w:rPr>
              <w:t>2</w:t>
            </w:r>
            <w:r w:rsidRPr="00731FB0">
              <w:rPr>
                <w:rFonts w:cs="Times New Roman"/>
                <w:b/>
                <w:bCs/>
                <w:sz w:val="20"/>
                <w:szCs w:val="20"/>
              </w:rPr>
              <w:t xml:space="preserve"> (Hz)</w:t>
            </w:r>
          </w:p>
        </w:tc>
        <w:tc>
          <w:tcPr>
            <w:tcW w:w="933" w:type="pct"/>
            <w:tcBorders>
              <w:top w:val="single" w:sz="18" w:space="0" w:color="auto"/>
              <w:left w:val="single" w:sz="4" w:space="0" w:color="auto"/>
              <w:bottom w:val="single" w:sz="18" w:space="0" w:color="auto"/>
              <w:right w:val="single" w:sz="4" w:space="0" w:color="auto"/>
            </w:tcBorders>
            <w:vAlign w:val="center"/>
          </w:tcPr>
          <w:p w14:paraId="4A8FA249" w14:textId="77777777" w:rsidR="007F6E00" w:rsidRPr="00731FB0" w:rsidRDefault="007F6E00" w:rsidP="00731FB0">
            <w:pPr>
              <w:snapToGrid w:val="0"/>
              <w:spacing w:line="360" w:lineRule="auto"/>
              <w:jc w:val="center"/>
              <w:rPr>
                <w:rFonts w:cs="Times New Roman"/>
                <w:b/>
                <w:bCs/>
                <w:sz w:val="20"/>
                <w:szCs w:val="20"/>
              </w:rPr>
            </w:pPr>
            <w:r w:rsidRPr="00731FB0">
              <w:rPr>
                <w:rFonts w:cs="Times New Roman"/>
                <w:b/>
                <w:bCs/>
                <w:sz w:val="20"/>
                <w:szCs w:val="20"/>
              </w:rPr>
              <w:t>Subsequent process</w:t>
            </w:r>
          </w:p>
        </w:tc>
        <w:tc>
          <w:tcPr>
            <w:tcW w:w="742" w:type="pct"/>
            <w:tcBorders>
              <w:top w:val="single" w:sz="18" w:space="0" w:color="auto"/>
              <w:left w:val="single" w:sz="4" w:space="0" w:color="auto"/>
              <w:bottom w:val="single" w:sz="18" w:space="0" w:color="auto"/>
              <w:right w:val="nil"/>
            </w:tcBorders>
            <w:vAlign w:val="center"/>
          </w:tcPr>
          <w:p w14:paraId="035199A6" w14:textId="77777777" w:rsidR="007F6E00" w:rsidRPr="00731FB0" w:rsidRDefault="007F6E00" w:rsidP="00731FB0">
            <w:pPr>
              <w:snapToGrid w:val="0"/>
              <w:spacing w:line="360" w:lineRule="auto"/>
              <w:jc w:val="center"/>
              <w:rPr>
                <w:rFonts w:cs="Times New Roman"/>
                <w:b/>
                <w:bCs/>
                <w:sz w:val="20"/>
                <w:szCs w:val="20"/>
              </w:rPr>
            </w:pPr>
            <w:r w:rsidRPr="00731FB0">
              <w:rPr>
                <w:rFonts w:cs="Times New Roman"/>
                <w:b/>
                <w:bCs/>
                <w:sz w:val="20"/>
                <w:szCs w:val="20"/>
              </w:rPr>
              <w:t>Remark</w:t>
            </w:r>
          </w:p>
        </w:tc>
      </w:tr>
      <w:tr w:rsidR="007F6E00" w:rsidRPr="00731FB0" w14:paraId="4F2CF602" w14:textId="77777777" w:rsidTr="00291111">
        <w:trPr>
          <w:trHeight w:hRule="exact" w:val="397"/>
        </w:trPr>
        <w:tc>
          <w:tcPr>
            <w:tcW w:w="496" w:type="pct"/>
            <w:vMerge w:val="restart"/>
            <w:tcBorders>
              <w:top w:val="single" w:sz="18" w:space="0" w:color="auto"/>
              <w:left w:val="nil"/>
            </w:tcBorders>
            <w:vAlign w:val="center"/>
          </w:tcPr>
          <w:p w14:paraId="0A955EC0" w14:textId="77777777" w:rsidR="007F6E00" w:rsidRPr="00731FB0" w:rsidRDefault="007F6E00" w:rsidP="00731FB0">
            <w:pPr>
              <w:snapToGrid w:val="0"/>
              <w:spacing w:line="360" w:lineRule="auto"/>
              <w:jc w:val="center"/>
              <w:rPr>
                <w:rFonts w:cs="Times New Roman"/>
                <w:sz w:val="20"/>
                <w:szCs w:val="20"/>
              </w:rPr>
            </w:pPr>
            <w:r w:rsidRPr="00731FB0">
              <w:rPr>
                <w:rFonts w:cs="Times New Roman" w:hint="eastAsia"/>
                <w:sz w:val="20"/>
                <w:szCs w:val="20"/>
              </w:rPr>
              <w:t>P</w:t>
            </w:r>
            <w:r w:rsidRPr="00731FB0">
              <w:rPr>
                <w:rFonts w:cs="Times New Roman"/>
                <w:sz w:val="20"/>
                <w:szCs w:val="20"/>
              </w:rPr>
              <w:t>-wave RF</w:t>
            </w:r>
          </w:p>
        </w:tc>
        <w:tc>
          <w:tcPr>
            <w:tcW w:w="395" w:type="pct"/>
            <w:tcBorders>
              <w:top w:val="single" w:sz="18" w:space="0" w:color="auto"/>
              <w:bottom w:val="nil"/>
              <w:right w:val="nil"/>
            </w:tcBorders>
            <w:vAlign w:val="center"/>
          </w:tcPr>
          <w:p w14:paraId="1F609B7B" w14:textId="77777777" w:rsidR="007F6E00" w:rsidRPr="00731FB0" w:rsidRDefault="007F6E00" w:rsidP="00731FB0">
            <w:pPr>
              <w:snapToGrid w:val="0"/>
              <w:spacing w:line="360" w:lineRule="auto"/>
              <w:jc w:val="center"/>
              <w:rPr>
                <w:rFonts w:cs="Times New Roman"/>
                <w:sz w:val="20"/>
                <w:szCs w:val="20"/>
              </w:rPr>
            </w:pPr>
            <w:r w:rsidRPr="00731FB0">
              <w:rPr>
                <w:rFonts w:cs="Times New Roman" w:hint="eastAsia"/>
                <w:sz w:val="20"/>
                <w:szCs w:val="20"/>
              </w:rPr>
              <w:t>S</w:t>
            </w:r>
            <w:r w:rsidRPr="00731FB0">
              <w:rPr>
                <w:rFonts w:cs="Times New Roman"/>
                <w:sz w:val="20"/>
                <w:szCs w:val="20"/>
              </w:rPr>
              <w:t>0173a</w:t>
            </w:r>
          </w:p>
        </w:tc>
        <w:tc>
          <w:tcPr>
            <w:tcW w:w="307" w:type="pct"/>
            <w:tcBorders>
              <w:top w:val="single" w:sz="18" w:space="0" w:color="auto"/>
              <w:left w:val="nil"/>
              <w:bottom w:val="nil"/>
              <w:right w:val="nil"/>
            </w:tcBorders>
            <w:vAlign w:val="center"/>
          </w:tcPr>
          <w:p w14:paraId="58398C35"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A</w:t>
            </w:r>
          </w:p>
        </w:tc>
        <w:tc>
          <w:tcPr>
            <w:tcW w:w="496" w:type="pct"/>
            <w:tcBorders>
              <w:top w:val="single" w:sz="18" w:space="0" w:color="auto"/>
              <w:left w:val="nil"/>
              <w:bottom w:val="nil"/>
              <w:right w:val="nil"/>
            </w:tcBorders>
            <w:vAlign w:val="center"/>
          </w:tcPr>
          <w:p w14:paraId="32C4B4E2" w14:textId="77777777" w:rsidR="007F6E00" w:rsidRPr="00731FB0" w:rsidRDefault="007F6E00" w:rsidP="00731FB0">
            <w:pPr>
              <w:snapToGrid w:val="0"/>
              <w:spacing w:line="360" w:lineRule="auto"/>
              <w:jc w:val="center"/>
              <w:rPr>
                <w:rFonts w:cs="Times New Roman"/>
                <w:sz w:val="20"/>
                <w:szCs w:val="20"/>
              </w:rPr>
            </w:pPr>
            <w:r w:rsidRPr="00731FB0">
              <w:rPr>
                <w:rFonts w:cs="Times New Roman" w:hint="eastAsia"/>
                <w:sz w:val="20"/>
                <w:szCs w:val="20"/>
              </w:rPr>
              <w:t>3</w:t>
            </w:r>
            <w:r w:rsidRPr="00731FB0">
              <w:rPr>
                <w:rFonts w:cs="Times New Roman"/>
                <w:sz w:val="20"/>
                <w:szCs w:val="20"/>
              </w:rPr>
              <w:t>0.0 ± 1.0</w:t>
            </w:r>
          </w:p>
        </w:tc>
        <w:tc>
          <w:tcPr>
            <w:tcW w:w="662" w:type="pct"/>
            <w:tcBorders>
              <w:top w:val="single" w:sz="18" w:space="0" w:color="auto"/>
              <w:left w:val="nil"/>
              <w:bottom w:val="nil"/>
              <w:right w:val="nil"/>
            </w:tcBorders>
            <w:vAlign w:val="center"/>
          </w:tcPr>
          <w:p w14:paraId="3F5BFD98"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8</w:t>
            </w:r>
            <w:r>
              <w:rPr>
                <w:rFonts w:cs="Times New Roman"/>
                <w:sz w:val="20"/>
                <w:szCs w:val="20"/>
              </w:rPr>
              <w:t>6.57</w:t>
            </w:r>
            <w:r w:rsidRPr="00731FB0">
              <w:rPr>
                <w:rFonts w:cs="Times New Roman"/>
                <w:sz w:val="20"/>
                <w:szCs w:val="20"/>
              </w:rPr>
              <w:t xml:space="preserve"> ± 1.</w:t>
            </w:r>
            <w:r>
              <w:rPr>
                <w:rFonts w:cs="Times New Roman"/>
                <w:sz w:val="20"/>
                <w:szCs w:val="20"/>
              </w:rPr>
              <w:t>45</w:t>
            </w:r>
          </w:p>
        </w:tc>
        <w:tc>
          <w:tcPr>
            <w:tcW w:w="485" w:type="pct"/>
            <w:tcBorders>
              <w:top w:val="single" w:sz="18" w:space="0" w:color="auto"/>
              <w:left w:val="nil"/>
              <w:bottom w:val="nil"/>
              <w:right w:val="nil"/>
            </w:tcBorders>
            <w:vAlign w:val="center"/>
          </w:tcPr>
          <w:p w14:paraId="471C9299"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.05</w:t>
            </w:r>
          </w:p>
        </w:tc>
        <w:tc>
          <w:tcPr>
            <w:tcW w:w="485" w:type="pct"/>
            <w:tcBorders>
              <w:top w:val="single" w:sz="18" w:space="0" w:color="auto"/>
              <w:left w:val="nil"/>
              <w:bottom w:val="nil"/>
            </w:tcBorders>
            <w:vAlign w:val="center"/>
          </w:tcPr>
          <w:p w14:paraId="2E30E461"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.9</w:t>
            </w:r>
          </w:p>
        </w:tc>
        <w:tc>
          <w:tcPr>
            <w:tcW w:w="933" w:type="pct"/>
            <w:vMerge w:val="restart"/>
            <w:tcBorders>
              <w:top w:val="single" w:sz="18" w:space="0" w:color="auto"/>
            </w:tcBorders>
            <w:vAlign w:val="center"/>
          </w:tcPr>
          <w:p w14:paraId="24B62D30"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B</w:t>
            </w:r>
            <w:r>
              <w:rPr>
                <w:rFonts w:cs="Times New Roman"/>
                <w:sz w:val="20"/>
                <w:szCs w:val="20"/>
              </w:rPr>
              <w:t>andpass filter into 0.15–0.85 Hz after deconvolution</w:t>
            </w:r>
          </w:p>
        </w:tc>
        <w:tc>
          <w:tcPr>
            <w:tcW w:w="742" w:type="pct"/>
            <w:vMerge w:val="restart"/>
            <w:tcBorders>
              <w:top w:val="single" w:sz="18" w:space="0" w:color="auto"/>
              <w:right w:val="nil"/>
            </w:tcBorders>
            <w:vAlign w:val="center"/>
          </w:tcPr>
          <w:p w14:paraId="7BF05D01"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C</w:t>
            </w:r>
            <w:r>
              <w:rPr>
                <w:rFonts w:cs="Times New Roman"/>
                <w:sz w:val="20"/>
                <w:szCs w:val="20"/>
              </w:rPr>
              <w:t>F events used in the RF inversion</w:t>
            </w:r>
          </w:p>
        </w:tc>
      </w:tr>
      <w:tr w:rsidR="007F6E00" w:rsidRPr="00731FB0" w14:paraId="31ABE364" w14:textId="77777777" w:rsidTr="00291111">
        <w:trPr>
          <w:trHeight w:hRule="exact" w:val="397"/>
        </w:trPr>
        <w:tc>
          <w:tcPr>
            <w:tcW w:w="496" w:type="pct"/>
            <w:vMerge/>
            <w:tcBorders>
              <w:left w:val="nil"/>
            </w:tcBorders>
            <w:vAlign w:val="center"/>
          </w:tcPr>
          <w:p w14:paraId="0AE6944E" w14:textId="77777777" w:rsidR="007F6E00" w:rsidRPr="00731FB0" w:rsidRDefault="007F6E00" w:rsidP="00731FB0">
            <w:pPr>
              <w:snapToGrid w:val="0"/>
              <w:spacing w:line="360" w:lineRule="auto"/>
              <w:jc w:val="center"/>
              <w:rPr>
                <w:rFonts w:cs="Times New Roman"/>
                <w:sz w:val="20"/>
                <w:szCs w:val="20"/>
              </w:rPr>
            </w:pPr>
          </w:p>
        </w:tc>
        <w:tc>
          <w:tcPr>
            <w:tcW w:w="395" w:type="pct"/>
            <w:tcBorders>
              <w:top w:val="nil"/>
              <w:bottom w:val="nil"/>
              <w:right w:val="nil"/>
            </w:tcBorders>
            <w:vAlign w:val="center"/>
          </w:tcPr>
          <w:p w14:paraId="4AD42530" w14:textId="77777777" w:rsidR="007F6E00" w:rsidRPr="00731FB0" w:rsidRDefault="007F6E00" w:rsidP="00731FB0">
            <w:pPr>
              <w:snapToGrid w:val="0"/>
              <w:spacing w:line="360" w:lineRule="auto"/>
              <w:jc w:val="center"/>
              <w:rPr>
                <w:rFonts w:cs="Times New Roman"/>
                <w:sz w:val="20"/>
                <w:szCs w:val="20"/>
              </w:rPr>
            </w:pPr>
            <w:r w:rsidRPr="00731FB0">
              <w:rPr>
                <w:rFonts w:cs="Times New Roman" w:hint="eastAsia"/>
                <w:sz w:val="20"/>
                <w:szCs w:val="20"/>
              </w:rPr>
              <w:t>S</w:t>
            </w:r>
            <w:r w:rsidRPr="00731FB0">
              <w:rPr>
                <w:rFonts w:cs="Times New Roman"/>
                <w:sz w:val="20"/>
                <w:szCs w:val="20"/>
              </w:rPr>
              <w:t>0235b</w:t>
            </w:r>
          </w:p>
        </w:tc>
        <w:tc>
          <w:tcPr>
            <w:tcW w:w="307" w:type="pct"/>
            <w:tcBorders>
              <w:top w:val="nil"/>
              <w:left w:val="nil"/>
              <w:bottom w:val="nil"/>
              <w:right w:val="nil"/>
            </w:tcBorders>
            <w:vAlign w:val="center"/>
          </w:tcPr>
          <w:p w14:paraId="47A38CC3"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A</w:t>
            </w:r>
          </w:p>
        </w:tc>
        <w:tc>
          <w:tcPr>
            <w:tcW w:w="496" w:type="pct"/>
            <w:tcBorders>
              <w:top w:val="nil"/>
              <w:left w:val="nil"/>
              <w:bottom w:val="nil"/>
              <w:right w:val="nil"/>
            </w:tcBorders>
            <w:vAlign w:val="center"/>
          </w:tcPr>
          <w:p w14:paraId="685BE503" w14:textId="77777777" w:rsidR="007F6E00" w:rsidRPr="00731FB0" w:rsidRDefault="007F6E00" w:rsidP="00731FB0">
            <w:pPr>
              <w:snapToGrid w:val="0"/>
              <w:spacing w:line="360" w:lineRule="auto"/>
              <w:jc w:val="center"/>
              <w:rPr>
                <w:rFonts w:cs="Times New Roman"/>
                <w:sz w:val="20"/>
                <w:szCs w:val="20"/>
              </w:rPr>
            </w:pPr>
            <w:r>
              <w:rPr>
                <w:rFonts w:cs="Times New Roman"/>
                <w:sz w:val="20"/>
                <w:szCs w:val="20"/>
              </w:rPr>
              <w:t>28.7</w:t>
            </w:r>
            <w:r w:rsidRPr="00731FB0">
              <w:rPr>
                <w:rFonts w:cs="Times New Roman"/>
                <w:sz w:val="20"/>
                <w:szCs w:val="20"/>
              </w:rPr>
              <w:t xml:space="preserve"> ± 1.</w:t>
            </w:r>
            <w:r>
              <w:rPr>
                <w:rFonts w:cs="Times New Roman"/>
                <w:sz w:val="20"/>
                <w:szCs w:val="20"/>
              </w:rPr>
              <w:t>1</w:t>
            </w:r>
          </w:p>
        </w:tc>
        <w:tc>
          <w:tcPr>
            <w:tcW w:w="662" w:type="pct"/>
            <w:tcBorders>
              <w:top w:val="nil"/>
              <w:left w:val="nil"/>
              <w:bottom w:val="nil"/>
              <w:right w:val="nil"/>
            </w:tcBorders>
            <w:vAlign w:val="center"/>
          </w:tcPr>
          <w:p w14:paraId="286D8B91"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7</w:t>
            </w:r>
            <w:r>
              <w:rPr>
                <w:rFonts w:cs="Times New Roman"/>
                <w:sz w:val="20"/>
                <w:szCs w:val="20"/>
              </w:rPr>
              <w:t xml:space="preserve">6.93 </w:t>
            </w:r>
            <w:r w:rsidRPr="00731FB0">
              <w:rPr>
                <w:rFonts w:cs="Times New Roman"/>
                <w:sz w:val="20"/>
                <w:szCs w:val="20"/>
              </w:rPr>
              <w:t>±</w:t>
            </w:r>
            <w:r>
              <w:rPr>
                <w:rFonts w:cs="Times New Roman"/>
                <w:sz w:val="20"/>
                <w:szCs w:val="20"/>
              </w:rPr>
              <w:t xml:space="preserve"> 2.94</w:t>
            </w:r>
          </w:p>
        </w:tc>
        <w:tc>
          <w:tcPr>
            <w:tcW w:w="485" w:type="pct"/>
            <w:tcBorders>
              <w:top w:val="nil"/>
              <w:left w:val="nil"/>
              <w:bottom w:val="nil"/>
              <w:right w:val="nil"/>
            </w:tcBorders>
            <w:vAlign w:val="center"/>
          </w:tcPr>
          <w:p w14:paraId="0D900D99"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.05</w:t>
            </w:r>
          </w:p>
        </w:tc>
        <w:tc>
          <w:tcPr>
            <w:tcW w:w="485" w:type="pct"/>
            <w:tcBorders>
              <w:top w:val="nil"/>
              <w:left w:val="nil"/>
              <w:bottom w:val="nil"/>
            </w:tcBorders>
            <w:vAlign w:val="center"/>
          </w:tcPr>
          <w:p w14:paraId="6A666AD7"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.9</w:t>
            </w:r>
          </w:p>
        </w:tc>
        <w:tc>
          <w:tcPr>
            <w:tcW w:w="933" w:type="pct"/>
            <w:vMerge/>
            <w:vAlign w:val="center"/>
          </w:tcPr>
          <w:p w14:paraId="761DA626" w14:textId="77777777" w:rsidR="007F6E00" w:rsidRPr="00731FB0" w:rsidRDefault="007F6E00" w:rsidP="00731FB0">
            <w:pPr>
              <w:snapToGrid w:val="0"/>
              <w:spacing w:line="360" w:lineRule="auto"/>
              <w:jc w:val="center"/>
              <w:rPr>
                <w:rFonts w:cs="Times New Roman"/>
                <w:sz w:val="20"/>
                <w:szCs w:val="20"/>
              </w:rPr>
            </w:pPr>
          </w:p>
        </w:tc>
        <w:tc>
          <w:tcPr>
            <w:tcW w:w="742" w:type="pct"/>
            <w:vMerge/>
            <w:tcBorders>
              <w:right w:val="nil"/>
            </w:tcBorders>
            <w:vAlign w:val="center"/>
          </w:tcPr>
          <w:p w14:paraId="6A7BFD28" w14:textId="77777777" w:rsidR="007F6E00" w:rsidRPr="00731FB0" w:rsidRDefault="007F6E00" w:rsidP="00731FB0">
            <w:pPr>
              <w:snapToGrid w:val="0"/>
              <w:spacing w:line="360" w:lineRule="auto"/>
              <w:jc w:val="center"/>
              <w:rPr>
                <w:rFonts w:cs="Times New Roman"/>
                <w:sz w:val="20"/>
                <w:szCs w:val="20"/>
              </w:rPr>
            </w:pPr>
          </w:p>
        </w:tc>
      </w:tr>
      <w:tr w:rsidR="007F6E00" w:rsidRPr="00731FB0" w14:paraId="066CB08A" w14:textId="77777777" w:rsidTr="00291111">
        <w:trPr>
          <w:trHeight w:hRule="exact" w:val="397"/>
        </w:trPr>
        <w:tc>
          <w:tcPr>
            <w:tcW w:w="496" w:type="pct"/>
            <w:vMerge/>
            <w:tcBorders>
              <w:left w:val="nil"/>
            </w:tcBorders>
            <w:vAlign w:val="center"/>
          </w:tcPr>
          <w:p w14:paraId="2A3F3079" w14:textId="77777777" w:rsidR="007F6E00" w:rsidRPr="00731FB0" w:rsidRDefault="007F6E00" w:rsidP="00731FB0">
            <w:pPr>
              <w:snapToGrid w:val="0"/>
              <w:spacing w:line="360" w:lineRule="auto"/>
              <w:jc w:val="center"/>
              <w:rPr>
                <w:rFonts w:cs="Times New Roman"/>
                <w:sz w:val="20"/>
                <w:szCs w:val="20"/>
              </w:rPr>
            </w:pPr>
          </w:p>
        </w:tc>
        <w:tc>
          <w:tcPr>
            <w:tcW w:w="395" w:type="pct"/>
            <w:tcBorders>
              <w:top w:val="nil"/>
              <w:bottom w:val="nil"/>
              <w:right w:val="nil"/>
            </w:tcBorders>
            <w:vAlign w:val="center"/>
          </w:tcPr>
          <w:p w14:paraId="55334DD3" w14:textId="77777777" w:rsidR="007F6E00" w:rsidRPr="00731FB0" w:rsidRDefault="007F6E00" w:rsidP="00731FB0">
            <w:pPr>
              <w:snapToGrid w:val="0"/>
              <w:spacing w:line="360" w:lineRule="auto"/>
              <w:jc w:val="center"/>
              <w:rPr>
                <w:rFonts w:cs="Times New Roman"/>
                <w:sz w:val="20"/>
                <w:szCs w:val="20"/>
              </w:rPr>
            </w:pPr>
            <w:r w:rsidRPr="00731FB0">
              <w:rPr>
                <w:rFonts w:cs="Times New Roman" w:hint="eastAsia"/>
                <w:sz w:val="20"/>
                <w:szCs w:val="20"/>
              </w:rPr>
              <w:t>S</w:t>
            </w:r>
            <w:r w:rsidRPr="00731FB0">
              <w:rPr>
                <w:rFonts w:cs="Times New Roman"/>
                <w:sz w:val="20"/>
                <w:szCs w:val="20"/>
              </w:rPr>
              <w:t>0809a</w:t>
            </w:r>
          </w:p>
        </w:tc>
        <w:tc>
          <w:tcPr>
            <w:tcW w:w="307" w:type="pct"/>
            <w:tcBorders>
              <w:top w:val="nil"/>
              <w:left w:val="nil"/>
              <w:bottom w:val="nil"/>
              <w:right w:val="nil"/>
            </w:tcBorders>
            <w:vAlign w:val="center"/>
          </w:tcPr>
          <w:p w14:paraId="2C3D7683"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A</w:t>
            </w:r>
          </w:p>
        </w:tc>
        <w:tc>
          <w:tcPr>
            <w:tcW w:w="496" w:type="pct"/>
            <w:tcBorders>
              <w:top w:val="nil"/>
              <w:left w:val="nil"/>
              <w:bottom w:val="nil"/>
              <w:right w:val="nil"/>
            </w:tcBorders>
            <w:vAlign w:val="center"/>
          </w:tcPr>
          <w:p w14:paraId="4CF857C8" w14:textId="77777777" w:rsidR="007F6E00" w:rsidRPr="00731FB0" w:rsidRDefault="007F6E00" w:rsidP="00731FB0">
            <w:pPr>
              <w:snapToGrid w:val="0"/>
              <w:spacing w:line="360" w:lineRule="auto"/>
              <w:jc w:val="center"/>
              <w:rPr>
                <w:rFonts w:cs="Times New Roman"/>
                <w:sz w:val="20"/>
                <w:szCs w:val="20"/>
              </w:rPr>
            </w:pPr>
            <w:r>
              <w:rPr>
                <w:rFonts w:cs="Times New Roman"/>
                <w:sz w:val="20"/>
                <w:szCs w:val="20"/>
              </w:rPr>
              <w:t>29.8</w:t>
            </w:r>
            <w:r w:rsidRPr="00731FB0">
              <w:rPr>
                <w:rFonts w:cs="Times New Roman"/>
                <w:sz w:val="20"/>
                <w:szCs w:val="20"/>
              </w:rPr>
              <w:t xml:space="preserve"> ± 1.</w:t>
            </w:r>
            <w:r>
              <w:rPr>
                <w:rFonts w:cs="Times New Roman"/>
                <w:sz w:val="20"/>
                <w:szCs w:val="20"/>
              </w:rPr>
              <w:t>4</w:t>
            </w:r>
          </w:p>
        </w:tc>
        <w:tc>
          <w:tcPr>
            <w:tcW w:w="662" w:type="pct"/>
            <w:tcBorders>
              <w:top w:val="nil"/>
              <w:left w:val="nil"/>
              <w:bottom w:val="nil"/>
              <w:right w:val="nil"/>
            </w:tcBorders>
            <w:vAlign w:val="center"/>
          </w:tcPr>
          <w:p w14:paraId="6E4C657A"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8</w:t>
            </w:r>
            <w:r>
              <w:rPr>
                <w:rFonts w:cs="Times New Roman"/>
                <w:sz w:val="20"/>
                <w:szCs w:val="20"/>
              </w:rPr>
              <w:t xml:space="preserve">5.41 </w:t>
            </w:r>
            <w:r w:rsidRPr="00731FB0">
              <w:rPr>
                <w:rFonts w:cs="Times New Roman"/>
                <w:sz w:val="20"/>
                <w:szCs w:val="20"/>
              </w:rPr>
              <w:t>±</w:t>
            </w:r>
            <w:r>
              <w:rPr>
                <w:rFonts w:cs="Times New Roman"/>
                <w:sz w:val="20"/>
                <w:szCs w:val="20"/>
              </w:rPr>
              <w:t xml:space="preserve"> 2.17</w:t>
            </w:r>
          </w:p>
        </w:tc>
        <w:tc>
          <w:tcPr>
            <w:tcW w:w="485" w:type="pct"/>
            <w:tcBorders>
              <w:top w:val="nil"/>
              <w:left w:val="nil"/>
              <w:bottom w:val="nil"/>
              <w:right w:val="nil"/>
            </w:tcBorders>
            <w:vAlign w:val="center"/>
          </w:tcPr>
          <w:p w14:paraId="03DDE0A7"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.05</w:t>
            </w:r>
          </w:p>
        </w:tc>
        <w:tc>
          <w:tcPr>
            <w:tcW w:w="485" w:type="pct"/>
            <w:tcBorders>
              <w:top w:val="nil"/>
              <w:left w:val="nil"/>
              <w:bottom w:val="nil"/>
            </w:tcBorders>
            <w:vAlign w:val="center"/>
          </w:tcPr>
          <w:p w14:paraId="7200065C"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.9</w:t>
            </w:r>
          </w:p>
        </w:tc>
        <w:tc>
          <w:tcPr>
            <w:tcW w:w="933" w:type="pct"/>
            <w:vMerge/>
            <w:vAlign w:val="center"/>
          </w:tcPr>
          <w:p w14:paraId="0600F142" w14:textId="77777777" w:rsidR="007F6E00" w:rsidRPr="00731FB0" w:rsidRDefault="007F6E00" w:rsidP="00731FB0">
            <w:pPr>
              <w:snapToGrid w:val="0"/>
              <w:spacing w:line="360" w:lineRule="auto"/>
              <w:jc w:val="center"/>
              <w:rPr>
                <w:rFonts w:cs="Times New Roman"/>
                <w:sz w:val="20"/>
                <w:szCs w:val="20"/>
              </w:rPr>
            </w:pPr>
          </w:p>
        </w:tc>
        <w:tc>
          <w:tcPr>
            <w:tcW w:w="742" w:type="pct"/>
            <w:vMerge/>
            <w:tcBorders>
              <w:right w:val="nil"/>
            </w:tcBorders>
            <w:vAlign w:val="center"/>
          </w:tcPr>
          <w:p w14:paraId="6D3431F0" w14:textId="77777777" w:rsidR="007F6E00" w:rsidRPr="00731FB0" w:rsidRDefault="007F6E00" w:rsidP="00731FB0">
            <w:pPr>
              <w:snapToGrid w:val="0"/>
              <w:spacing w:line="360" w:lineRule="auto"/>
              <w:jc w:val="center"/>
              <w:rPr>
                <w:rFonts w:cs="Times New Roman"/>
                <w:sz w:val="20"/>
                <w:szCs w:val="20"/>
              </w:rPr>
            </w:pPr>
          </w:p>
        </w:tc>
      </w:tr>
      <w:tr w:rsidR="007F6E00" w:rsidRPr="00731FB0" w14:paraId="23A3B970" w14:textId="77777777" w:rsidTr="00291111">
        <w:trPr>
          <w:trHeight w:hRule="exact" w:val="397"/>
        </w:trPr>
        <w:tc>
          <w:tcPr>
            <w:tcW w:w="496" w:type="pct"/>
            <w:vMerge/>
            <w:tcBorders>
              <w:left w:val="nil"/>
            </w:tcBorders>
            <w:vAlign w:val="center"/>
          </w:tcPr>
          <w:p w14:paraId="12BD446D" w14:textId="77777777" w:rsidR="007F6E00" w:rsidRPr="00731FB0" w:rsidRDefault="007F6E00" w:rsidP="00731FB0">
            <w:pPr>
              <w:snapToGrid w:val="0"/>
              <w:spacing w:line="360" w:lineRule="auto"/>
              <w:jc w:val="center"/>
              <w:rPr>
                <w:rFonts w:cs="Times New Roman"/>
                <w:sz w:val="20"/>
                <w:szCs w:val="20"/>
              </w:rPr>
            </w:pPr>
          </w:p>
        </w:tc>
        <w:tc>
          <w:tcPr>
            <w:tcW w:w="395" w:type="pct"/>
            <w:tcBorders>
              <w:top w:val="nil"/>
              <w:bottom w:val="nil"/>
              <w:right w:val="nil"/>
            </w:tcBorders>
            <w:vAlign w:val="center"/>
          </w:tcPr>
          <w:p w14:paraId="01F6B61C" w14:textId="77777777" w:rsidR="007F6E00" w:rsidRPr="00731FB0" w:rsidRDefault="007F6E00" w:rsidP="00731FB0">
            <w:pPr>
              <w:snapToGrid w:val="0"/>
              <w:spacing w:line="360" w:lineRule="auto"/>
              <w:jc w:val="center"/>
              <w:rPr>
                <w:rFonts w:cs="Times New Roman"/>
                <w:sz w:val="20"/>
                <w:szCs w:val="20"/>
              </w:rPr>
            </w:pPr>
            <w:r w:rsidRPr="00731FB0">
              <w:rPr>
                <w:rFonts w:cs="Times New Roman" w:hint="eastAsia"/>
                <w:sz w:val="20"/>
                <w:szCs w:val="20"/>
              </w:rPr>
              <w:t>S</w:t>
            </w:r>
            <w:r w:rsidRPr="00731FB0">
              <w:rPr>
                <w:rFonts w:cs="Times New Roman"/>
                <w:sz w:val="20"/>
                <w:szCs w:val="20"/>
              </w:rPr>
              <w:t>0820a</w:t>
            </w:r>
          </w:p>
        </w:tc>
        <w:tc>
          <w:tcPr>
            <w:tcW w:w="307" w:type="pct"/>
            <w:tcBorders>
              <w:top w:val="nil"/>
              <w:left w:val="nil"/>
              <w:bottom w:val="nil"/>
              <w:right w:val="nil"/>
            </w:tcBorders>
            <w:vAlign w:val="center"/>
          </w:tcPr>
          <w:p w14:paraId="70B4FF99"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A</w:t>
            </w:r>
          </w:p>
        </w:tc>
        <w:tc>
          <w:tcPr>
            <w:tcW w:w="496" w:type="pct"/>
            <w:tcBorders>
              <w:top w:val="nil"/>
              <w:left w:val="nil"/>
              <w:bottom w:val="nil"/>
              <w:right w:val="nil"/>
            </w:tcBorders>
            <w:vAlign w:val="center"/>
          </w:tcPr>
          <w:p w14:paraId="6ABE8FF6" w14:textId="77777777" w:rsidR="007F6E00" w:rsidRPr="00731FB0" w:rsidRDefault="007F6E00" w:rsidP="00731FB0">
            <w:pPr>
              <w:snapToGrid w:val="0"/>
              <w:spacing w:line="360" w:lineRule="auto"/>
              <w:jc w:val="center"/>
              <w:rPr>
                <w:rFonts w:cs="Times New Roman"/>
                <w:sz w:val="20"/>
                <w:szCs w:val="20"/>
              </w:rPr>
            </w:pPr>
            <w:r w:rsidRPr="00731FB0">
              <w:rPr>
                <w:rFonts w:cs="Times New Roman" w:hint="eastAsia"/>
                <w:sz w:val="20"/>
                <w:szCs w:val="20"/>
              </w:rPr>
              <w:t>3</w:t>
            </w:r>
            <w:r w:rsidRPr="00731FB0">
              <w:rPr>
                <w:rFonts w:cs="Times New Roman"/>
                <w:sz w:val="20"/>
                <w:szCs w:val="20"/>
              </w:rPr>
              <w:t>0.</w:t>
            </w:r>
            <w:r>
              <w:rPr>
                <w:rFonts w:cs="Times New Roman"/>
                <w:sz w:val="20"/>
                <w:szCs w:val="20"/>
              </w:rPr>
              <w:t>2</w:t>
            </w:r>
            <w:r w:rsidRPr="00731FB0">
              <w:rPr>
                <w:rFonts w:cs="Times New Roman"/>
                <w:sz w:val="20"/>
                <w:szCs w:val="20"/>
              </w:rPr>
              <w:t xml:space="preserve"> ± 1.</w:t>
            </w:r>
            <w:r>
              <w:rPr>
                <w:rFonts w:cs="Times New Roman"/>
                <w:sz w:val="20"/>
                <w:szCs w:val="20"/>
              </w:rPr>
              <w:t>7</w:t>
            </w:r>
          </w:p>
        </w:tc>
        <w:tc>
          <w:tcPr>
            <w:tcW w:w="662" w:type="pct"/>
            <w:tcBorders>
              <w:top w:val="nil"/>
              <w:left w:val="nil"/>
              <w:bottom w:val="nil"/>
              <w:right w:val="nil"/>
            </w:tcBorders>
            <w:vAlign w:val="center"/>
          </w:tcPr>
          <w:p w14:paraId="2BA5B932"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9</w:t>
            </w:r>
            <w:r>
              <w:rPr>
                <w:rFonts w:cs="Times New Roman"/>
                <w:sz w:val="20"/>
                <w:szCs w:val="20"/>
              </w:rPr>
              <w:t xml:space="preserve">3.78 </w:t>
            </w:r>
            <w:r w:rsidRPr="00731FB0">
              <w:rPr>
                <w:rFonts w:cs="Times New Roman"/>
                <w:sz w:val="20"/>
                <w:szCs w:val="20"/>
              </w:rPr>
              <w:t>±</w:t>
            </w:r>
            <w:r>
              <w:rPr>
                <w:rFonts w:cs="Times New Roman"/>
                <w:sz w:val="20"/>
                <w:szCs w:val="20"/>
              </w:rPr>
              <w:t xml:space="preserve"> 9.27</w:t>
            </w:r>
          </w:p>
        </w:tc>
        <w:tc>
          <w:tcPr>
            <w:tcW w:w="485" w:type="pct"/>
            <w:tcBorders>
              <w:top w:val="nil"/>
              <w:left w:val="nil"/>
              <w:bottom w:val="nil"/>
              <w:right w:val="nil"/>
            </w:tcBorders>
            <w:vAlign w:val="center"/>
          </w:tcPr>
          <w:p w14:paraId="0FBE6B10"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.05</w:t>
            </w:r>
          </w:p>
        </w:tc>
        <w:tc>
          <w:tcPr>
            <w:tcW w:w="485" w:type="pct"/>
            <w:tcBorders>
              <w:top w:val="nil"/>
              <w:left w:val="nil"/>
              <w:bottom w:val="nil"/>
            </w:tcBorders>
            <w:vAlign w:val="center"/>
          </w:tcPr>
          <w:p w14:paraId="171E0B9F"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.9</w:t>
            </w:r>
          </w:p>
        </w:tc>
        <w:tc>
          <w:tcPr>
            <w:tcW w:w="933" w:type="pct"/>
            <w:vMerge/>
            <w:vAlign w:val="center"/>
          </w:tcPr>
          <w:p w14:paraId="76B09F30" w14:textId="77777777" w:rsidR="007F6E00" w:rsidRPr="00731FB0" w:rsidRDefault="007F6E00" w:rsidP="00731FB0">
            <w:pPr>
              <w:snapToGrid w:val="0"/>
              <w:spacing w:line="360" w:lineRule="auto"/>
              <w:jc w:val="center"/>
              <w:rPr>
                <w:rFonts w:cs="Times New Roman"/>
                <w:sz w:val="20"/>
                <w:szCs w:val="20"/>
              </w:rPr>
            </w:pPr>
          </w:p>
        </w:tc>
        <w:tc>
          <w:tcPr>
            <w:tcW w:w="742" w:type="pct"/>
            <w:vMerge/>
            <w:tcBorders>
              <w:right w:val="nil"/>
            </w:tcBorders>
            <w:vAlign w:val="center"/>
          </w:tcPr>
          <w:p w14:paraId="70D7D8C4" w14:textId="77777777" w:rsidR="007F6E00" w:rsidRPr="00731FB0" w:rsidRDefault="007F6E00" w:rsidP="00731FB0">
            <w:pPr>
              <w:snapToGrid w:val="0"/>
              <w:spacing w:line="360" w:lineRule="auto"/>
              <w:jc w:val="center"/>
              <w:rPr>
                <w:rFonts w:cs="Times New Roman"/>
                <w:sz w:val="20"/>
                <w:szCs w:val="20"/>
              </w:rPr>
            </w:pPr>
          </w:p>
        </w:tc>
      </w:tr>
      <w:tr w:rsidR="007F6E00" w:rsidRPr="00731FB0" w14:paraId="21AF1684" w14:textId="77777777" w:rsidTr="00291111">
        <w:trPr>
          <w:trHeight w:hRule="exact" w:val="397"/>
        </w:trPr>
        <w:tc>
          <w:tcPr>
            <w:tcW w:w="496" w:type="pct"/>
            <w:vMerge/>
            <w:tcBorders>
              <w:left w:val="nil"/>
            </w:tcBorders>
            <w:vAlign w:val="center"/>
          </w:tcPr>
          <w:p w14:paraId="5B0DB642" w14:textId="77777777" w:rsidR="007F6E00" w:rsidRPr="00731FB0" w:rsidRDefault="007F6E00" w:rsidP="00731FB0">
            <w:pPr>
              <w:snapToGrid w:val="0"/>
              <w:spacing w:line="360" w:lineRule="auto"/>
              <w:jc w:val="center"/>
              <w:rPr>
                <w:rFonts w:cs="Times New Roman"/>
                <w:sz w:val="20"/>
                <w:szCs w:val="20"/>
              </w:rPr>
            </w:pPr>
          </w:p>
        </w:tc>
        <w:tc>
          <w:tcPr>
            <w:tcW w:w="395" w:type="pct"/>
            <w:tcBorders>
              <w:top w:val="nil"/>
              <w:bottom w:val="nil"/>
              <w:right w:val="nil"/>
            </w:tcBorders>
            <w:vAlign w:val="center"/>
          </w:tcPr>
          <w:p w14:paraId="3815E123" w14:textId="77777777" w:rsidR="007F6E00" w:rsidRPr="00731FB0" w:rsidRDefault="007F6E00" w:rsidP="00731FB0">
            <w:pPr>
              <w:snapToGrid w:val="0"/>
              <w:spacing w:line="360" w:lineRule="auto"/>
              <w:jc w:val="center"/>
              <w:rPr>
                <w:rFonts w:cs="Times New Roman"/>
                <w:sz w:val="20"/>
                <w:szCs w:val="20"/>
              </w:rPr>
            </w:pPr>
            <w:r w:rsidRPr="00731FB0">
              <w:rPr>
                <w:rFonts w:cs="Times New Roman" w:hint="eastAsia"/>
                <w:sz w:val="20"/>
                <w:szCs w:val="20"/>
              </w:rPr>
              <w:t>S</w:t>
            </w:r>
            <w:r w:rsidRPr="00731FB0">
              <w:rPr>
                <w:rFonts w:cs="Times New Roman"/>
                <w:sz w:val="20"/>
                <w:szCs w:val="20"/>
              </w:rPr>
              <w:t>1048d</w:t>
            </w:r>
          </w:p>
        </w:tc>
        <w:tc>
          <w:tcPr>
            <w:tcW w:w="307" w:type="pct"/>
            <w:tcBorders>
              <w:top w:val="nil"/>
              <w:left w:val="nil"/>
              <w:bottom w:val="nil"/>
              <w:right w:val="nil"/>
            </w:tcBorders>
            <w:vAlign w:val="center"/>
          </w:tcPr>
          <w:p w14:paraId="3A6AC96B"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A</w:t>
            </w:r>
          </w:p>
        </w:tc>
        <w:tc>
          <w:tcPr>
            <w:tcW w:w="496" w:type="pct"/>
            <w:tcBorders>
              <w:top w:val="nil"/>
              <w:left w:val="nil"/>
              <w:bottom w:val="nil"/>
              <w:right w:val="nil"/>
            </w:tcBorders>
            <w:vAlign w:val="center"/>
          </w:tcPr>
          <w:p w14:paraId="2DBDCF36" w14:textId="77777777" w:rsidR="007F6E00" w:rsidRPr="00731FB0" w:rsidRDefault="007F6E00" w:rsidP="00731FB0">
            <w:pPr>
              <w:snapToGrid w:val="0"/>
              <w:spacing w:line="360" w:lineRule="auto"/>
              <w:jc w:val="center"/>
              <w:rPr>
                <w:rFonts w:cs="Times New Roman"/>
                <w:sz w:val="20"/>
                <w:szCs w:val="20"/>
              </w:rPr>
            </w:pPr>
            <w:r w:rsidRPr="00731FB0">
              <w:rPr>
                <w:rFonts w:cs="Times New Roman" w:hint="eastAsia"/>
                <w:sz w:val="20"/>
                <w:szCs w:val="20"/>
              </w:rPr>
              <w:t>3</w:t>
            </w:r>
            <w:r w:rsidRPr="00731FB0">
              <w:rPr>
                <w:rFonts w:cs="Times New Roman"/>
                <w:sz w:val="20"/>
                <w:szCs w:val="20"/>
              </w:rPr>
              <w:t>0.</w:t>
            </w:r>
            <w:r>
              <w:rPr>
                <w:rFonts w:cs="Times New Roman"/>
                <w:sz w:val="20"/>
                <w:szCs w:val="20"/>
              </w:rPr>
              <w:t>2</w:t>
            </w:r>
            <w:r w:rsidRPr="00731FB0">
              <w:rPr>
                <w:rFonts w:cs="Times New Roman"/>
                <w:sz w:val="20"/>
                <w:szCs w:val="20"/>
              </w:rPr>
              <w:t xml:space="preserve"> ± </w:t>
            </w:r>
            <w:r>
              <w:rPr>
                <w:rFonts w:cs="Times New Roman"/>
                <w:sz w:val="20"/>
                <w:szCs w:val="20"/>
              </w:rPr>
              <w:t>0.9</w:t>
            </w:r>
          </w:p>
        </w:tc>
        <w:tc>
          <w:tcPr>
            <w:tcW w:w="662" w:type="pct"/>
            <w:tcBorders>
              <w:top w:val="nil"/>
              <w:left w:val="nil"/>
              <w:bottom w:val="nil"/>
              <w:right w:val="nil"/>
            </w:tcBorders>
            <w:vAlign w:val="center"/>
          </w:tcPr>
          <w:p w14:paraId="65C30D14"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7</w:t>
            </w:r>
            <w:r>
              <w:rPr>
                <w:rFonts w:cs="Times New Roman"/>
                <w:sz w:val="20"/>
                <w:szCs w:val="20"/>
              </w:rPr>
              <w:t xml:space="preserve">7.85 </w:t>
            </w:r>
            <w:r w:rsidRPr="00731FB0">
              <w:rPr>
                <w:rFonts w:cs="Times New Roman"/>
                <w:sz w:val="20"/>
                <w:szCs w:val="20"/>
              </w:rPr>
              <w:t>±</w:t>
            </w:r>
            <w:r>
              <w:rPr>
                <w:rFonts w:cs="Times New Roman"/>
                <w:sz w:val="20"/>
                <w:szCs w:val="20"/>
              </w:rPr>
              <w:t xml:space="preserve"> 21.89</w:t>
            </w:r>
          </w:p>
        </w:tc>
        <w:tc>
          <w:tcPr>
            <w:tcW w:w="485" w:type="pct"/>
            <w:tcBorders>
              <w:top w:val="nil"/>
              <w:left w:val="nil"/>
              <w:bottom w:val="nil"/>
              <w:right w:val="nil"/>
            </w:tcBorders>
            <w:vAlign w:val="center"/>
          </w:tcPr>
          <w:p w14:paraId="06D99687"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.05</w:t>
            </w:r>
          </w:p>
        </w:tc>
        <w:tc>
          <w:tcPr>
            <w:tcW w:w="485" w:type="pct"/>
            <w:tcBorders>
              <w:top w:val="nil"/>
              <w:left w:val="nil"/>
              <w:bottom w:val="nil"/>
            </w:tcBorders>
            <w:vAlign w:val="center"/>
          </w:tcPr>
          <w:p w14:paraId="64707FD9"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.9</w:t>
            </w:r>
          </w:p>
        </w:tc>
        <w:tc>
          <w:tcPr>
            <w:tcW w:w="933" w:type="pct"/>
            <w:vMerge/>
            <w:vAlign w:val="center"/>
          </w:tcPr>
          <w:p w14:paraId="4AE59A9F" w14:textId="77777777" w:rsidR="007F6E00" w:rsidRPr="00731FB0" w:rsidRDefault="007F6E00" w:rsidP="00731FB0">
            <w:pPr>
              <w:snapToGrid w:val="0"/>
              <w:spacing w:line="360" w:lineRule="auto"/>
              <w:jc w:val="center"/>
              <w:rPr>
                <w:rFonts w:cs="Times New Roman"/>
                <w:sz w:val="20"/>
                <w:szCs w:val="20"/>
              </w:rPr>
            </w:pPr>
          </w:p>
        </w:tc>
        <w:tc>
          <w:tcPr>
            <w:tcW w:w="742" w:type="pct"/>
            <w:vMerge/>
            <w:tcBorders>
              <w:right w:val="nil"/>
            </w:tcBorders>
            <w:vAlign w:val="center"/>
          </w:tcPr>
          <w:p w14:paraId="6569AA17" w14:textId="77777777" w:rsidR="007F6E00" w:rsidRPr="00731FB0" w:rsidRDefault="007F6E00" w:rsidP="00731FB0">
            <w:pPr>
              <w:snapToGrid w:val="0"/>
              <w:spacing w:line="360" w:lineRule="auto"/>
              <w:jc w:val="center"/>
              <w:rPr>
                <w:rFonts w:cs="Times New Roman"/>
                <w:sz w:val="20"/>
                <w:szCs w:val="20"/>
              </w:rPr>
            </w:pPr>
          </w:p>
        </w:tc>
      </w:tr>
      <w:tr w:rsidR="007F6E00" w:rsidRPr="00731FB0" w14:paraId="097E0266" w14:textId="77777777" w:rsidTr="00291111">
        <w:trPr>
          <w:trHeight w:hRule="exact" w:val="397"/>
        </w:trPr>
        <w:tc>
          <w:tcPr>
            <w:tcW w:w="496" w:type="pct"/>
            <w:vMerge/>
            <w:tcBorders>
              <w:left w:val="nil"/>
            </w:tcBorders>
            <w:vAlign w:val="center"/>
          </w:tcPr>
          <w:p w14:paraId="54FF777B" w14:textId="77777777" w:rsidR="007F6E00" w:rsidRPr="00731FB0" w:rsidRDefault="007F6E00" w:rsidP="00731FB0">
            <w:pPr>
              <w:snapToGrid w:val="0"/>
              <w:spacing w:line="360" w:lineRule="auto"/>
              <w:jc w:val="center"/>
              <w:rPr>
                <w:rFonts w:cs="Times New Roman"/>
                <w:sz w:val="20"/>
                <w:szCs w:val="20"/>
              </w:rPr>
            </w:pPr>
          </w:p>
        </w:tc>
        <w:tc>
          <w:tcPr>
            <w:tcW w:w="395" w:type="pct"/>
            <w:tcBorders>
              <w:top w:val="nil"/>
              <w:bottom w:val="single" w:sz="4" w:space="0" w:color="auto"/>
              <w:right w:val="nil"/>
            </w:tcBorders>
            <w:vAlign w:val="center"/>
          </w:tcPr>
          <w:p w14:paraId="679785FE" w14:textId="77777777" w:rsidR="007F6E00" w:rsidRPr="00731FB0" w:rsidRDefault="007F6E00" w:rsidP="00731FB0">
            <w:pPr>
              <w:snapToGrid w:val="0"/>
              <w:spacing w:line="360" w:lineRule="auto"/>
              <w:jc w:val="center"/>
              <w:rPr>
                <w:rFonts w:cs="Times New Roman"/>
                <w:sz w:val="20"/>
                <w:szCs w:val="20"/>
              </w:rPr>
            </w:pPr>
            <w:r w:rsidRPr="00731FB0">
              <w:rPr>
                <w:rFonts w:cs="Times New Roman" w:hint="eastAsia"/>
                <w:sz w:val="20"/>
                <w:szCs w:val="20"/>
              </w:rPr>
              <w:t>S</w:t>
            </w:r>
            <w:r w:rsidRPr="00731FB0">
              <w:rPr>
                <w:rFonts w:cs="Times New Roman"/>
                <w:sz w:val="20"/>
                <w:szCs w:val="20"/>
              </w:rPr>
              <w:t>1133c</w:t>
            </w:r>
          </w:p>
        </w:tc>
        <w:tc>
          <w:tcPr>
            <w:tcW w:w="307" w:type="pct"/>
            <w:tcBorders>
              <w:top w:val="nil"/>
              <w:left w:val="nil"/>
              <w:bottom w:val="single" w:sz="4" w:space="0" w:color="auto"/>
              <w:right w:val="nil"/>
            </w:tcBorders>
            <w:vAlign w:val="center"/>
          </w:tcPr>
          <w:p w14:paraId="3AFC5916"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A</w:t>
            </w:r>
          </w:p>
        </w:tc>
        <w:tc>
          <w:tcPr>
            <w:tcW w:w="496" w:type="pct"/>
            <w:tcBorders>
              <w:top w:val="nil"/>
              <w:left w:val="nil"/>
              <w:bottom w:val="single" w:sz="4" w:space="0" w:color="auto"/>
              <w:right w:val="nil"/>
            </w:tcBorders>
            <w:vAlign w:val="center"/>
          </w:tcPr>
          <w:p w14:paraId="7DF26579" w14:textId="77777777" w:rsidR="007F6E00" w:rsidRPr="00731FB0" w:rsidRDefault="007F6E00" w:rsidP="00731FB0">
            <w:pPr>
              <w:snapToGrid w:val="0"/>
              <w:spacing w:line="360" w:lineRule="auto"/>
              <w:jc w:val="center"/>
              <w:rPr>
                <w:rFonts w:cs="Times New Roman"/>
                <w:sz w:val="20"/>
                <w:szCs w:val="20"/>
              </w:rPr>
            </w:pPr>
            <w:r w:rsidRPr="00731FB0">
              <w:rPr>
                <w:rFonts w:cs="Times New Roman" w:hint="eastAsia"/>
                <w:sz w:val="20"/>
                <w:szCs w:val="20"/>
              </w:rPr>
              <w:t>3</w:t>
            </w:r>
            <w:r w:rsidRPr="00731FB0">
              <w:rPr>
                <w:rFonts w:cs="Times New Roman"/>
                <w:sz w:val="20"/>
                <w:szCs w:val="20"/>
              </w:rPr>
              <w:t>0.</w:t>
            </w:r>
            <w:r>
              <w:rPr>
                <w:rFonts w:cs="Times New Roman"/>
                <w:sz w:val="20"/>
                <w:szCs w:val="20"/>
              </w:rPr>
              <w:t>2</w:t>
            </w:r>
            <w:r w:rsidRPr="00731FB0">
              <w:rPr>
                <w:rFonts w:cs="Times New Roman"/>
                <w:sz w:val="20"/>
                <w:szCs w:val="20"/>
              </w:rPr>
              <w:t xml:space="preserve"> ± </w:t>
            </w:r>
            <w:r>
              <w:rPr>
                <w:rFonts w:cs="Times New Roman"/>
                <w:sz w:val="20"/>
                <w:szCs w:val="20"/>
              </w:rPr>
              <w:t>0.9</w:t>
            </w:r>
          </w:p>
        </w:tc>
        <w:tc>
          <w:tcPr>
            <w:tcW w:w="662" w:type="pct"/>
            <w:tcBorders>
              <w:top w:val="nil"/>
              <w:left w:val="nil"/>
              <w:bottom w:val="single" w:sz="4" w:space="0" w:color="auto"/>
              <w:right w:val="nil"/>
            </w:tcBorders>
            <w:vAlign w:val="center"/>
          </w:tcPr>
          <w:p w14:paraId="572BD3E8"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8</w:t>
            </w:r>
            <w:r>
              <w:rPr>
                <w:rFonts w:cs="Times New Roman"/>
                <w:sz w:val="20"/>
                <w:szCs w:val="20"/>
              </w:rPr>
              <w:t xml:space="preserve">6.39 </w:t>
            </w:r>
            <w:r w:rsidRPr="00731FB0">
              <w:rPr>
                <w:rFonts w:cs="Times New Roman"/>
                <w:sz w:val="20"/>
                <w:szCs w:val="20"/>
              </w:rPr>
              <w:t>±</w:t>
            </w:r>
            <w:r>
              <w:rPr>
                <w:rFonts w:cs="Times New Roman"/>
                <w:sz w:val="20"/>
                <w:szCs w:val="20"/>
              </w:rPr>
              <w:t xml:space="preserve"> 2.31</w:t>
            </w:r>
          </w:p>
        </w:tc>
        <w:tc>
          <w:tcPr>
            <w:tcW w:w="485" w:type="pct"/>
            <w:tcBorders>
              <w:top w:val="nil"/>
              <w:left w:val="nil"/>
              <w:bottom w:val="single" w:sz="4" w:space="0" w:color="auto"/>
              <w:right w:val="nil"/>
            </w:tcBorders>
            <w:vAlign w:val="center"/>
          </w:tcPr>
          <w:p w14:paraId="476D5C59"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.05</w:t>
            </w:r>
          </w:p>
        </w:tc>
        <w:tc>
          <w:tcPr>
            <w:tcW w:w="485" w:type="pct"/>
            <w:tcBorders>
              <w:top w:val="nil"/>
              <w:left w:val="nil"/>
              <w:bottom w:val="single" w:sz="4" w:space="0" w:color="auto"/>
            </w:tcBorders>
            <w:vAlign w:val="center"/>
          </w:tcPr>
          <w:p w14:paraId="497C9FD8"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.9</w:t>
            </w:r>
          </w:p>
        </w:tc>
        <w:tc>
          <w:tcPr>
            <w:tcW w:w="933" w:type="pct"/>
            <w:vMerge/>
            <w:vAlign w:val="center"/>
          </w:tcPr>
          <w:p w14:paraId="4D0CEF52" w14:textId="77777777" w:rsidR="007F6E00" w:rsidRPr="00731FB0" w:rsidRDefault="007F6E00" w:rsidP="00731FB0">
            <w:pPr>
              <w:snapToGrid w:val="0"/>
              <w:spacing w:line="360" w:lineRule="auto"/>
              <w:jc w:val="center"/>
              <w:rPr>
                <w:rFonts w:cs="Times New Roman"/>
                <w:sz w:val="20"/>
                <w:szCs w:val="20"/>
              </w:rPr>
            </w:pPr>
          </w:p>
        </w:tc>
        <w:tc>
          <w:tcPr>
            <w:tcW w:w="742" w:type="pct"/>
            <w:vMerge/>
            <w:tcBorders>
              <w:right w:val="nil"/>
            </w:tcBorders>
            <w:vAlign w:val="center"/>
          </w:tcPr>
          <w:p w14:paraId="0445EC11" w14:textId="77777777" w:rsidR="007F6E00" w:rsidRPr="00731FB0" w:rsidRDefault="007F6E00" w:rsidP="00731FB0">
            <w:pPr>
              <w:snapToGrid w:val="0"/>
              <w:spacing w:line="360" w:lineRule="auto"/>
              <w:jc w:val="center"/>
              <w:rPr>
                <w:rFonts w:cs="Times New Roman"/>
                <w:sz w:val="20"/>
                <w:szCs w:val="20"/>
              </w:rPr>
            </w:pPr>
          </w:p>
        </w:tc>
      </w:tr>
      <w:tr w:rsidR="007F6E00" w:rsidRPr="00731FB0" w14:paraId="6B6731D4" w14:textId="77777777" w:rsidTr="00291111">
        <w:trPr>
          <w:trHeight w:hRule="exact" w:val="397"/>
        </w:trPr>
        <w:tc>
          <w:tcPr>
            <w:tcW w:w="496" w:type="pct"/>
            <w:vMerge/>
            <w:tcBorders>
              <w:left w:val="nil"/>
            </w:tcBorders>
            <w:vAlign w:val="center"/>
          </w:tcPr>
          <w:p w14:paraId="422EBBB3" w14:textId="77777777" w:rsidR="007F6E00" w:rsidRPr="00731FB0" w:rsidRDefault="007F6E00" w:rsidP="00731FB0">
            <w:pPr>
              <w:snapToGrid w:val="0"/>
              <w:spacing w:line="360" w:lineRule="auto"/>
              <w:jc w:val="center"/>
              <w:rPr>
                <w:rFonts w:cs="Times New Roman"/>
                <w:sz w:val="20"/>
                <w:szCs w:val="20"/>
              </w:rPr>
            </w:pPr>
          </w:p>
        </w:tc>
        <w:tc>
          <w:tcPr>
            <w:tcW w:w="395" w:type="pct"/>
            <w:tcBorders>
              <w:bottom w:val="nil"/>
              <w:right w:val="nil"/>
            </w:tcBorders>
            <w:vAlign w:val="center"/>
          </w:tcPr>
          <w:p w14:paraId="15E3A828" w14:textId="77777777" w:rsidR="007F6E00" w:rsidRPr="00731FB0" w:rsidRDefault="007F6E00" w:rsidP="00731FB0">
            <w:pPr>
              <w:snapToGrid w:val="0"/>
              <w:spacing w:line="360" w:lineRule="auto"/>
              <w:jc w:val="center"/>
              <w:rPr>
                <w:rFonts w:cs="Times New Roman"/>
                <w:sz w:val="20"/>
                <w:szCs w:val="20"/>
              </w:rPr>
            </w:pPr>
            <w:r w:rsidRPr="00731FB0">
              <w:rPr>
                <w:rFonts w:cs="Times New Roman" w:hint="eastAsia"/>
                <w:sz w:val="20"/>
                <w:szCs w:val="20"/>
              </w:rPr>
              <w:t>S</w:t>
            </w:r>
            <w:r w:rsidRPr="00731FB0">
              <w:rPr>
                <w:rFonts w:cs="Times New Roman"/>
                <w:sz w:val="20"/>
                <w:szCs w:val="20"/>
              </w:rPr>
              <w:t>0802a</w:t>
            </w:r>
          </w:p>
        </w:tc>
        <w:tc>
          <w:tcPr>
            <w:tcW w:w="307" w:type="pct"/>
            <w:tcBorders>
              <w:left w:val="nil"/>
              <w:bottom w:val="nil"/>
              <w:right w:val="nil"/>
            </w:tcBorders>
            <w:vAlign w:val="center"/>
          </w:tcPr>
          <w:p w14:paraId="59B6D01C"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B</w:t>
            </w:r>
          </w:p>
        </w:tc>
        <w:tc>
          <w:tcPr>
            <w:tcW w:w="496" w:type="pct"/>
            <w:tcBorders>
              <w:left w:val="nil"/>
              <w:bottom w:val="nil"/>
              <w:right w:val="nil"/>
            </w:tcBorders>
            <w:vAlign w:val="center"/>
          </w:tcPr>
          <w:p w14:paraId="555AAA3F" w14:textId="77777777" w:rsidR="007F6E00" w:rsidRPr="00731FB0" w:rsidRDefault="007F6E00" w:rsidP="00731FB0">
            <w:pPr>
              <w:snapToGrid w:val="0"/>
              <w:spacing w:line="360" w:lineRule="auto"/>
              <w:jc w:val="center"/>
              <w:rPr>
                <w:rFonts w:cs="Times New Roman"/>
                <w:sz w:val="20"/>
                <w:szCs w:val="20"/>
              </w:rPr>
            </w:pPr>
            <w:r w:rsidRPr="00731FB0">
              <w:rPr>
                <w:rFonts w:cs="Times New Roman" w:hint="eastAsia"/>
                <w:sz w:val="20"/>
                <w:szCs w:val="20"/>
              </w:rPr>
              <w:t>3</w:t>
            </w:r>
            <w:r w:rsidRPr="00731FB0">
              <w:rPr>
                <w:rFonts w:cs="Times New Roman"/>
                <w:sz w:val="20"/>
                <w:szCs w:val="20"/>
              </w:rPr>
              <w:t xml:space="preserve">0.0 ± </w:t>
            </w:r>
            <w:r>
              <w:rPr>
                <w:rFonts w:cs="Times New Roman"/>
                <w:sz w:val="20"/>
                <w:szCs w:val="20"/>
              </w:rPr>
              <w:t>2.5</w:t>
            </w:r>
          </w:p>
        </w:tc>
        <w:tc>
          <w:tcPr>
            <w:tcW w:w="662" w:type="pct"/>
            <w:tcBorders>
              <w:left w:val="nil"/>
              <w:bottom w:val="nil"/>
              <w:right w:val="nil"/>
            </w:tcBorders>
            <w:vAlign w:val="center"/>
          </w:tcPr>
          <w:p w14:paraId="12421831"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7</w:t>
            </w:r>
            <w:r>
              <w:rPr>
                <w:rFonts w:cs="Times New Roman"/>
                <w:sz w:val="20"/>
                <w:szCs w:val="20"/>
              </w:rPr>
              <w:t xml:space="preserve">0.93 </w:t>
            </w:r>
            <w:r w:rsidRPr="00731FB0">
              <w:rPr>
                <w:rFonts w:cs="Times New Roman"/>
                <w:sz w:val="20"/>
                <w:szCs w:val="20"/>
              </w:rPr>
              <w:t>±</w:t>
            </w:r>
            <w:r>
              <w:rPr>
                <w:rFonts w:cs="Times New Roman"/>
                <w:sz w:val="20"/>
                <w:szCs w:val="20"/>
              </w:rPr>
              <w:t xml:space="preserve"> 12.58</w:t>
            </w:r>
          </w:p>
        </w:tc>
        <w:tc>
          <w:tcPr>
            <w:tcW w:w="485" w:type="pct"/>
            <w:tcBorders>
              <w:left w:val="nil"/>
              <w:bottom w:val="nil"/>
              <w:right w:val="nil"/>
            </w:tcBorders>
            <w:vAlign w:val="center"/>
          </w:tcPr>
          <w:p w14:paraId="0CA6D975"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.05</w:t>
            </w:r>
          </w:p>
        </w:tc>
        <w:tc>
          <w:tcPr>
            <w:tcW w:w="485" w:type="pct"/>
            <w:tcBorders>
              <w:left w:val="nil"/>
              <w:bottom w:val="nil"/>
            </w:tcBorders>
            <w:vAlign w:val="center"/>
          </w:tcPr>
          <w:p w14:paraId="77F1262E"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.9</w:t>
            </w:r>
          </w:p>
        </w:tc>
        <w:tc>
          <w:tcPr>
            <w:tcW w:w="933" w:type="pct"/>
            <w:vMerge/>
            <w:vAlign w:val="center"/>
          </w:tcPr>
          <w:p w14:paraId="7952BA41" w14:textId="77777777" w:rsidR="007F6E00" w:rsidRPr="00731FB0" w:rsidRDefault="007F6E00" w:rsidP="00731FB0">
            <w:pPr>
              <w:snapToGrid w:val="0"/>
              <w:spacing w:line="360" w:lineRule="auto"/>
              <w:jc w:val="center"/>
              <w:rPr>
                <w:rFonts w:cs="Times New Roman"/>
                <w:sz w:val="20"/>
                <w:szCs w:val="20"/>
              </w:rPr>
            </w:pPr>
          </w:p>
        </w:tc>
        <w:tc>
          <w:tcPr>
            <w:tcW w:w="742" w:type="pct"/>
            <w:vMerge w:val="restart"/>
            <w:tcBorders>
              <w:right w:val="nil"/>
            </w:tcBorders>
            <w:vAlign w:val="center"/>
          </w:tcPr>
          <w:p w14:paraId="75C04014"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C</w:t>
            </w:r>
            <w:r>
              <w:rPr>
                <w:rFonts w:cs="Times New Roman"/>
                <w:sz w:val="20"/>
                <w:szCs w:val="20"/>
              </w:rPr>
              <w:t>F events not used in the RF inversion</w:t>
            </w:r>
          </w:p>
        </w:tc>
      </w:tr>
      <w:tr w:rsidR="007F6E00" w:rsidRPr="00731FB0" w14:paraId="72C4E3F4" w14:textId="77777777" w:rsidTr="00291111">
        <w:trPr>
          <w:trHeight w:hRule="exact" w:val="397"/>
        </w:trPr>
        <w:tc>
          <w:tcPr>
            <w:tcW w:w="496" w:type="pct"/>
            <w:vMerge/>
            <w:tcBorders>
              <w:left w:val="nil"/>
            </w:tcBorders>
            <w:vAlign w:val="center"/>
          </w:tcPr>
          <w:p w14:paraId="70EF87E0" w14:textId="77777777" w:rsidR="007F6E00" w:rsidRPr="00731FB0" w:rsidRDefault="007F6E00" w:rsidP="00731FB0">
            <w:pPr>
              <w:snapToGrid w:val="0"/>
              <w:spacing w:line="360" w:lineRule="auto"/>
              <w:jc w:val="center"/>
              <w:rPr>
                <w:rFonts w:cs="Times New Roman"/>
                <w:sz w:val="20"/>
                <w:szCs w:val="20"/>
              </w:rPr>
            </w:pPr>
          </w:p>
        </w:tc>
        <w:tc>
          <w:tcPr>
            <w:tcW w:w="395" w:type="pct"/>
            <w:tcBorders>
              <w:top w:val="nil"/>
              <w:bottom w:val="nil"/>
              <w:right w:val="nil"/>
            </w:tcBorders>
            <w:vAlign w:val="center"/>
          </w:tcPr>
          <w:p w14:paraId="303C91F0" w14:textId="77777777" w:rsidR="007F6E00" w:rsidRPr="00731FB0" w:rsidRDefault="007F6E00" w:rsidP="00731FB0">
            <w:pPr>
              <w:snapToGrid w:val="0"/>
              <w:spacing w:line="360" w:lineRule="auto"/>
              <w:jc w:val="center"/>
              <w:rPr>
                <w:rFonts w:cs="Times New Roman"/>
                <w:sz w:val="20"/>
                <w:szCs w:val="20"/>
              </w:rPr>
            </w:pPr>
            <w:r w:rsidRPr="00731FB0">
              <w:rPr>
                <w:rFonts w:cs="Times New Roman" w:hint="eastAsia"/>
                <w:sz w:val="20"/>
                <w:szCs w:val="20"/>
              </w:rPr>
              <w:t>S</w:t>
            </w:r>
            <w:r w:rsidRPr="00731FB0">
              <w:rPr>
                <w:rFonts w:cs="Times New Roman"/>
                <w:sz w:val="20"/>
                <w:szCs w:val="20"/>
              </w:rPr>
              <w:t>1022a</w:t>
            </w:r>
          </w:p>
        </w:tc>
        <w:tc>
          <w:tcPr>
            <w:tcW w:w="307" w:type="pct"/>
            <w:tcBorders>
              <w:top w:val="nil"/>
              <w:left w:val="nil"/>
              <w:bottom w:val="nil"/>
              <w:right w:val="nil"/>
            </w:tcBorders>
            <w:vAlign w:val="center"/>
          </w:tcPr>
          <w:p w14:paraId="1EB77DE1"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A</w:t>
            </w:r>
          </w:p>
        </w:tc>
        <w:tc>
          <w:tcPr>
            <w:tcW w:w="496" w:type="pct"/>
            <w:tcBorders>
              <w:top w:val="nil"/>
              <w:left w:val="nil"/>
              <w:bottom w:val="nil"/>
              <w:right w:val="nil"/>
            </w:tcBorders>
            <w:vAlign w:val="center"/>
          </w:tcPr>
          <w:p w14:paraId="0064E47A" w14:textId="77777777" w:rsidR="007F6E00" w:rsidRPr="00731FB0" w:rsidRDefault="007F6E00" w:rsidP="00731FB0">
            <w:pPr>
              <w:snapToGrid w:val="0"/>
              <w:spacing w:line="360" w:lineRule="auto"/>
              <w:jc w:val="center"/>
              <w:rPr>
                <w:rFonts w:cs="Times New Roman"/>
                <w:sz w:val="20"/>
                <w:szCs w:val="20"/>
              </w:rPr>
            </w:pPr>
            <w:r w:rsidRPr="00731FB0">
              <w:rPr>
                <w:rFonts w:cs="Times New Roman" w:hint="eastAsia"/>
                <w:sz w:val="20"/>
                <w:szCs w:val="20"/>
              </w:rPr>
              <w:t>3</w:t>
            </w:r>
            <w:r w:rsidRPr="00731FB0">
              <w:rPr>
                <w:rFonts w:cs="Times New Roman"/>
                <w:sz w:val="20"/>
                <w:szCs w:val="20"/>
              </w:rPr>
              <w:t>0.</w:t>
            </w:r>
            <w:r>
              <w:rPr>
                <w:rFonts w:cs="Times New Roman"/>
                <w:sz w:val="20"/>
                <w:szCs w:val="20"/>
              </w:rPr>
              <w:t>7</w:t>
            </w:r>
            <w:r w:rsidRPr="00731FB0">
              <w:rPr>
                <w:rFonts w:cs="Times New Roman"/>
                <w:sz w:val="20"/>
                <w:szCs w:val="20"/>
              </w:rPr>
              <w:t xml:space="preserve"> ± </w:t>
            </w:r>
            <w:r>
              <w:rPr>
                <w:rFonts w:cs="Times New Roman"/>
                <w:sz w:val="20"/>
                <w:szCs w:val="20"/>
              </w:rPr>
              <w:t>1.5</w:t>
            </w:r>
          </w:p>
        </w:tc>
        <w:tc>
          <w:tcPr>
            <w:tcW w:w="662" w:type="pct"/>
            <w:tcBorders>
              <w:top w:val="nil"/>
              <w:left w:val="nil"/>
              <w:bottom w:val="nil"/>
              <w:right w:val="nil"/>
            </w:tcBorders>
            <w:vAlign w:val="center"/>
          </w:tcPr>
          <w:p w14:paraId="399DD797"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8</w:t>
            </w:r>
            <w:r>
              <w:rPr>
                <w:rFonts w:cs="Times New Roman"/>
                <w:sz w:val="20"/>
                <w:szCs w:val="20"/>
              </w:rPr>
              <w:t xml:space="preserve">0.62 </w:t>
            </w:r>
            <w:r w:rsidRPr="00731FB0">
              <w:rPr>
                <w:rFonts w:cs="Times New Roman"/>
                <w:sz w:val="20"/>
                <w:szCs w:val="20"/>
              </w:rPr>
              <w:t>±</w:t>
            </w:r>
            <w:r>
              <w:rPr>
                <w:rFonts w:cs="Times New Roman"/>
                <w:sz w:val="20"/>
                <w:szCs w:val="20"/>
              </w:rPr>
              <w:t xml:space="preserve"> 9.66</w:t>
            </w:r>
          </w:p>
        </w:tc>
        <w:tc>
          <w:tcPr>
            <w:tcW w:w="485" w:type="pct"/>
            <w:tcBorders>
              <w:top w:val="nil"/>
              <w:left w:val="nil"/>
              <w:bottom w:val="nil"/>
              <w:right w:val="nil"/>
            </w:tcBorders>
            <w:vAlign w:val="center"/>
          </w:tcPr>
          <w:p w14:paraId="77648954"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.05</w:t>
            </w:r>
          </w:p>
        </w:tc>
        <w:tc>
          <w:tcPr>
            <w:tcW w:w="485" w:type="pct"/>
            <w:tcBorders>
              <w:top w:val="nil"/>
              <w:left w:val="nil"/>
              <w:bottom w:val="nil"/>
            </w:tcBorders>
            <w:vAlign w:val="center"/>
          </w:tcPr>
          <w:p w14:paraId="66F5630F"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.9</w:t>
            </w:r>
          </w:p>
        </w:tc>
        <w:tc>
          <w:tcPr>
            <w:tcW w:w="933" w:type="pct"/>
            <w:vMerge/>
            <w:vAlign w:val="center"/>
          </w:tcPr>
          <w:p w14:paraId="6EE626EA" w14:textId="77777777" w:rsidR="007F6E00" w:rsidRPr="00731FB0" w:rsidRDefault="007F6E00" w:rsidP="00731FB0">
            <w:pPr>
              <w:snapToGrid w:val="0"/>
              <w:spacing w:line="360" w:lineRule="auto"/>
              <w:jc w:val="center"/>
              <w:rPr>
                <w:rFonts w:cs="Times New Roman"/>
                <w:sz w:val="20"/>
                <w:szCs w:val="20"/>
              </w:rPr>
            </w:pPr>
          </w:p>
        </w:tc>
        <w:tc>
          <w:tcPr>
            <w:tcW w:w="742" w:type="pct"/>
            <w:vMerge/>
            <w:tcBorders>
              <w:right w:val="nil"/>
            </w:tcBorders>
            <w:vAlign w:val="center"/>
          </w:tcPr>
          <w:p w14:paraId="0E6FD180" w14:textId="77777777" w:rsidR="007F6E00" w:rsidRPr="00731FB0" w:rsidRDefault="007F6E00" w:rsidP="00731FB0">
            <w:pPr>
              <w:snapToGrid w:val="0"/>
              <w:spacing w:line="360" w:lineRule="auto"/>
              <w:jc w:val="center"/>
              <w:rPr>
                <w:rFonts w:cs="Times New Roman"/>
                <w:sz w:val="20"/>
                <w:szCs w:val="20"/>
              </w:rPr>
            </w:pPr>
          </w:p>
        </w:tc>
      </w:tr>
      <w:tr w:rsidR="007F6E00" w:rsidRPr="00731FB0" w14:paraId="6B26A2B1" w14:textId="77777777" w:rsidTr="00291111">
        <w:trPr>
          <w:trHeight w:hRule="exact" w:val="397"/>
        </w:trPr>
        <w:tc>
          <w:tcPr>
            <w:tcW w:w="496" w:type="pct"/>
            <w:vMerge/>
            <w:tcBorders>
              <w:left w:val="nil"/>
            </w:tcBorders>
            <w:vAlign w:val="center"/>
          </w:tcPr>
          <w:p w14:paraId="0669FA49" w14:textId="77777777" w:rsidR="007F6E00" w:rsidRPr="00731FB0" w:rsidRDefault="007F6E00" w:rsidP="00731FB0">
            <w:pPr>
              <w:snapToGrid w:val="0"/>
              <w:spacing w:line="360" w:lineRule="auto"/>
              <w:jc w:val="center"/>
              <w:rPr>
                <w:rFonts w:cs="Times New Roman"/>
                <w:sz w:val="20"/>
                <w:szCs w:val="20"/>
              </w:rPr>
            </w:pPr>
          </w:p>
        </w:tc>
        <w:tc>
          <w:tcPr>
            <w:tcW w:w="395" w:type="pct"/>
            <w:tcBorders>
              <w:top w:val="nil"/>
              <w:bottom w:val="nil"/>
              <w:right w:val="nil"/>
            </w:tcBorders>
            <w:vAlign w:val="center"/>
          </w:tcPr>
          <w:p w14:paraId="2AB372B3" w14:textId="77777777" w:rsidR="007F6E00" w:rsidRPr="00731FB0" w:rsidRDefault="007F6E00" w:rsidP="00731FB0">
            <w:pPr>
              <w:snapToGrid w:val="0"/>
              <w:spacing w:line="360" w:lineRule="auto"/>
              <w:jc w:val="center"/>
              <w:rPr>
                <w:rFonts w:cs="Times New Roman"/>
                <w:sz w:val="20"/>
                <w:szCs w:val="20"/>
              </w:rPr>
            </w:pPr>
            <w:r w:rsidRPr="00731FB0">
              <w:rPr>
                <w:rFonts w:cs="Times New Roman" w:hint="eastAsia"/>
                <w:sz w:val="20"/>
                <w:szCs w:val="20"/>
              </w:rPr>
              <w:t>S</w:t>
            </w:r>
            <w:r w:rsidRPr="00731FB0">
              <w:rPr>
                <w:rFonts w:cs="Times New Roman"/>
                <w:sz w:val="20"/>
                <w:szCs w:val="20"/>
              </w:rPr>
              <w:t>0484b</w:t>
            </w:r>
          </w:p>
        </w:tc>
        <w:tc>
          <w:tcPr>
            <w:tcW w:w="307" w:type="pct"/>
            <w:tcBorders>
              <w:top w:val="nil"/>
              <w:left w:val="nil"/>
              <w:bottom w:val="nil"/>
              <w:right w:val="nil"/>
            </w:tcBorders>
            <w:vAlign w:val="center"/>
          </w:tcPr>
          <w:p w14:paraId="41440F00"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B</w:t>
            </w:r>
          </w:p>
        </w:tc>
        <w:tc>
          <w:tcPr>
            <w:tcW w:w="496" w:type="pct"/>
            <w:tcBorders>
              <w:top w:val="nil"/>
              <w:left w:val="nil"/>
              <w:bottom w:val="nil"/>
              <w:right w:val="nil"/>
            </w:tcBorders>
            <w:vAlign w:val="center"/>
          </w:tcPr>
          <w:p w14:paraId="6B0041E6" w14:textId="77777777" w:rsidR="007F6E00" w:rsidRPr="00731FB0" w:rsidRDefault="007F6E00" w:rsidP="00731FB0">
            <w:pPr>
              <w:snapToGrid w:val="0"/>
              <w:spacing w:line="360" w:lineRule="auto"/>
              <w:jc w:val="center"/>
              <w:rPr>
                <w:rFonts w:cs="Times New Roman"/>
                <w:sz w:val="20"/>
                <w:szCs w:val="20"/>
              </w:rPr>
            </w:pPr>
            <w:r w:rsidRPr="00731FB0">
              <w:rPr>
                <w:rFonts w:cs="Times New Roman" w:hint="eastAsia"/>
                <w:sz w:val="20"/>
                <w:szCs w:val="20"/>
              </w:rPr>
              <w:t>3</w:t>
            </w:r>
            <w:r>
              <w:rPr>
                <w:rFonts w:cs="Times New Roman"/>
                <w:sz w:val="20"/>
                <w:szCs w:val="20"/>
              </w:rPr>
              <w:t>1.8</w:t>
            </w:r>
            <w:r w:rsidRPr="00731FB0">
              <w:rPr>
                <w:rFonts w:cs="Times New Roman"/>
                <w:sz w:val="20"/>
                <w:szCs w:val="20"/>
              </w:rPr>
              <w:t xml:space="preserve"> ± </w:t>
            </w:r>
            <w:r>
              <w:rPr>
                <w:rFonts w:cs="Times New Roman"/>
                <w:sz w:val="20"/>
                <w:szCs w:val="20"/>
              </w:rPr>
              <w:t>4.2</w:t>
            </w:r>
          </w:p>
        </w:tc>
        <w:tc>
          <w:tcPr>
            <w:tcW w:w="662" w:type="pct"/>
            <w:tcBorders>
              <w:top w:val="nil"/>
              <w:left w:val="nil"/>
              <w:bottom w:val="nil"/>
              <w:right w:val="nil"/>
            </w:tcBorders>
            <w:vAlign w:val="center"/>
          </w:tcPr>
          <w:p w14:paraId="03ECF8AA"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7</w:t>
            </w:r>
            <w:r>
              <w:rPr>
                <w:rFonts w:cs="Times New Roman"/>
                <w:sz w:val="20"/>
                <w:szCs w:val="20"/>
              </w:rPr>
              <w:t xml:space="preserve">0.99 </w:t>
            </w:r>
            <w:r w:rsidRPr="00731FB0">
              <w:rPr>
                <w:rFonts w:cs="Times New Roman"/>
                <w:sz w:val="20"/>
                <w:szCs w:val="20"/>
              </w:rPr>
              <w:t>±</w:t>
            </w:r>
            <w:r>
              <w:rPr>
                <w:rFonts w:cs="Times New Roman"/>
                <w:sz w:val="20"/>
                <w:szCs w:val="20"/>
              </w:rPr>
              <w:t xml:space="preserve"> 3.75</w:t>
            </w:r>
          </w:p>
        </w:tc>
        <w:tc>
          <w:tcPr>
            <w:tcW w:w="485" w:type="pct"/>
            <w:tcBorders>
              <w:top w:val="nil"/>
              <w:left w:val="nil"/>
              <w:bottom w:val="nil"/>
              <w:right w:val="nil"/>
            </w:tcBorders>
            <w:vAlign w:val="center"/>
          </w:tcPr>
          <w:p w14:paraId="350C38A6"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.05</w:t>
            </w:r>
          </w:p>
        </w:tc>
        <w:tc>
          <w:tcPr>
            <w:tcW w:w="485" w:type="pct"/>
            <w:tcBorders>
              <w:top w:val="nil"/>
              <w:left w:val="nil"/>
              <w:bottom w:val="nil"/>
            </w:tcBorders>
            <w:vAlign w:val="center"/>
          </w:tcPr>
          <w:p w14:paraId="30E5F632"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.9</w:t>
            </w:r>
          </w:p>
        </w:tc>
        <w:tc>
          <w:tcPr>
            <w:tcW w:w="933" w:type="pct"/>
            <w:vMerge/>
            <w:vAlign w:val="center"/>
          </w:tcPr>
          <w:p w14:paraId="0122B75B" w14:textId="77777777" w:rsidR="007F6E00" w:rsidRPr="00731FB0" w:rsidRDefault="007F6E00" w:rsidP="00731FB0">
            <w:pPr>
              <w:snapToGrid w:val="0"/>
              <w:spacing w:line="360" w:lineRule="auto"/>
              <w:jc w:val="center"/>
              <w:rPr>
                <w:rFonts w:cs="Times New Roman"/>
                <w:sz w:val="20"/>
                <w:szCs w:val="20"/>
              </w:rPr>
            </w:pPr>
          </w:p>
        </w:tc>
        <w:tc>
          <w:tcPr>
            <w:tcW w:w="742" w:type="pct"/>
            <w:vMerge/>
            <w:tcBorders>
              <w:right w:val="nil"/>
            </w:tcBorders>
            <w:vAlign w:val="center"/>
          </w:tcPr>
          <w:p w14:paraId="2BE0D3B5" w14:textId="77777777" w:rsidR="007F6E00" w:rsidRPr="00731FB0" w:rsidRDefault="007F6E00" w:rsidP="00731FB0">
            <w:pPr>
              <w:snapToGrid w:val="0"/>
              <w:spacing w:line="360" w:lineRule="auto"/>
              <w:jc w:val="center"/>
              <w:rPr>
                <w:rFonts w:cs="Times New Roman"/>
                <w:sz w:val="20"/>
                <w:szCs w:val="20"/>
              </w:rPr>
            </w:pPr>
          </w:p>
        </w:tc>
      </w:tr>
      <w:tr w:rsidR="007F6E00" w:rsidRPr="00731FB0" w14:paraId="7C113DBE" w14:textId="77777777" w:rsidTr="00291111">
        <w:trPr>
          <w:trHeight w:hRule="exact" w:val="397"/>
        </w:trPr>
        <w:tc>
          <w:tcPr>
            <w:tcW w:w="496" w:type="pct"/>
            <w:vMerge/>
            <w:tcBorders>
              <w:left w:val="nil"/>
            </w:tcBorders>
            <w:vAlign w:val="center"/>
          </w:tcPr>
          <w:p w14:paraId="443C40C5" w14:textId="77777777" w:rsidR="007F6E00" w:rsidRPr="00731FB0" w:rsidRDefault="007F6E00" w:rsidP="00731FB0">
            <w:pPr>
              <w:snapToGrid w:val="0"/>
              <w:spacing w:line="360" w:lineRule="auto"/>
              <w:jc w:val="center"/>
              <w:rPr>
                <w:rFonts w:cs="Times New Roman"/>
                <w:sz w:val="20"/>
                <w:szCs w:val="20"/>
              </w:rPr>
            </w:pPr>
          </w:p>
        </w:tc>
        <w:tc>
          <w:tcPr>
            <w:tcW w:w="395" w:type="pct"/>
            <w:tcBorders>
              <w:top w:val="nil"/>
              <w:bottom w:val="nil"/>
              <w:right w:val="nil"/>
            </w:tcBorders>
            <w:vAlign w:val="center"/>
          </w:tcPr>
          <w:p w14:paraId="568DAD57" w14:textId="77777777" w:rsidR="007F6E00" w:rsidRPr="00731FB0" w:rsidRDefault="007F6E00" w:rsidP="00731FB0">
            <w:pPr>
              <w:snapToGrid w:val="0"/>
              <w:spacing w:line="360" w:lineRule="auto"/>
              <w:jc w:val="center"/>
              <w:rPr>
                <w:rFonts w:cs="Times New Roman"/>
                <w:sz w:val="20"/>
                <w:szCs w:val="20"/>
              </w:rPr>
            </w:pPr>
            <w:r w:rsidRPr="00731FB0">
              <w:rPr>
                <w:rFonts w:cs="Times New Roman" w:hint="eastAsia"/>
                <w:sz w:val="20"/>
                <w:szCs w:val="20"/>
              </w:rPr>
              <w:t>S</w:t>
            </w:r>
            <w:r w:rsidRPr="00731FB0">
              <w:rPr>
                <w:rFonts w:cs="Times New Roman"/>
                <w:sz w:val="20"/>
                <w:szCs w:val="20"/>
              </w:rPr>
              <w:t>0864a</w:t>
            </w:r>
          </w:p>
        </w:tc>
        <w:tc>
          <w:tcPr>
            <w:tcW w:w="307" w:type="pct"/>
            <w:tcBorders>
              <w:top w:val="nil"/>
              <w:left w:val="nil"/>
              <w:bottom w:val="nil"/>
              <w:right w:val="nil"/>
            </w:tcBorders>
            <w:vAlign w:val="center"/>
          </w:tcPr>
          <w:p w14:paraId="143FD267"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A</w:t>
            </w:r>
          </w:p>
        </w:tc>
        <w:tc>
          <w:tcPr>
            <w:tcW w:w="496" w:type="pct"/>
            <w:tcBorders>
              <w:top w:val="nil"/>
              <w:left w:val="nil"/>
              <w:bottom w:val="nil"/>
              <w:right w:val="nil"/>
            </w:tcBorders>
            <w:vAlign w:val="center"/>
          </w:tcPr>
          <w:p w14:paraId="6F776D31" w14:textId="77777777" w:rsidR="007F6E00" w:rsidRPr="00731FB0" w:rsidRDefault="007F6E00" w:rsidP="00731FB0">
            <w:pPr>
              <w:snapToGrid w:val="0"/>
              <w:spacing w:line="360" w:lineRule="auto"/>
              <w:jc w:val="center"/>
              <w:rPr>
                <w:rFonts w:cs="Times New Roman"/>
                <w:sz w:val="20"/>
                <w:szCs w:val="20"/>
              </w:rPr>
            </w:pPr>
            <w:r>
              <w:rPr>
                <w:rFonts w:cs="Times New Roman"/>
                <w:sz w:val="20"/>
                <w:szCs w:val="20"/>
              </w:rPr>
              <w:t>28.7</w:t>
            </w:r>
            <w:r w:rsidRPr="00731FB0">
              <w:rPr>
                <w:rFonts w:cs="Times New Roman"/>
                <w:sz w:val="20"/>
                <w:szCs w:val="20"/>
              </w:rPr>
              <w:t xml:space="preserve"> ± </w:t>
            </w:r>
            <w:r>
              <w:rPr>
                <w:rFonts w:cs="Times New Roman"/>
                <w:sz w:val="20"/>
                <w:szCs w:val="20"/>
              </w:rPr>
              <w:t>2.4</w:t>
            </w:r>
          </w:p>
        </w:tc>
        <w:tc>
          <w:tcPr>
            <w:tcW w:w="662" w:type="pct"/>
            <w:tcBorders>
              <w:top w:val="nil"/>
              <w:left w:val="nil"/>
              <w:bottom w:val="nil"/>
              <w:right w:val="nil"/>
            </w:tcBorders>
            <w:vAlign w:val="center"/>
          </w:tcPr>
          <w:p w14:paraId="53A4DE58"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9</w:t>
            </w:r>
            <w:r>
              <w:rPr>
                <w:rFonts w:cs="Times New Roman"/>
                <w:sz w:val="20"/>
                <w:szCs w:val="20"/>
              </w:rPr>
              <w:t xml:space="preserve">4.52 </w:t>
            </w:r>
            <w:r w:rsidRPr="00731FB0">
              <w:rPr>
                <w:rFonts w:cs="Times New Roman"/>
                <w:sz w:val="20"/>
                <w:szCs w:val="20"/>
              </w:rPr>
              <w:t>±</w:t>
            </w:r>
            <w:r>
              <w:rPr>
                <w:rFonts w:cs="Times New Roman"/>
                <w:sz w:val="20"/>
                <w:szCs w:val="20"/>
              </w:rPr>
              <w:t xml:space="preserve"> 6.57</w:t>
            </w:r>
          </w:p>
        </w:tc>
        <w:tc>
          <w:tcPr>
            <w:tcW w:w="485" w:type="pct"/>
            <w:tcBorders>
              <w:top w:val="nil"/>
              <w:left w:val="nil"/>
              <w:bottom w:val="nil"/>
              <w:right w:val="nil"/>
            </w:tcBorders>
            <w:vAlign w:val="center"/>
          </w:tcPr>
          <w:p w14:paraId="76F2C562"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.05</w:t>
            </w:r>
          </w:p>
        </w:tc>
        <w:tc>
          <w:tcPr>
            <w:tcW w:w="485" w:type="pct"/>
            <w:tcBorders>
              <w:top w:val="nil"/>
              <w:left w:val="nil"/>
              <w:bottom w:val="nil"/>
            </w:tcBorders>
            <w:vAlign w:val="center"/>
          </w:tcPr>
          <w:p w14:paraId="5A8B44A0"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.9</w:t>
            </w:r>
          </w:p>
        </w:tc>
        <w:tc>
          <w:tcPr>
            <w:tcW w:w="933" w:type="pct"/>
            <w:vMerge/>
            <w:vAlign w:val="center"/>
          </w:tcPr>
          <w:p w14:paraId="2BD48A10" w14:textId="77777777" w:rsidR="007F6E00" w:rsidRPr="00731FB0" w:rsidRDefault="007F6E00" w:rsidP="00731FB0">
            <w:pPr>
              <w:snapToGrid w:val="0"/>
              <w:spacing w:line="360" w:lineRule="auto"/>
              <w:jc w:val="center"/>
              <w:rPr>
                <w:rFonts w:cs="Times New Roman"/>
                <w:sz w:val="20"/>
                <w:szCs w:val="20"/>
              </w:rPr>
            </w:pPr>
          </w:p>
        </w:tc>
        <w:tc>
          <w:tcPr>
            <w:tcW w:w="742" w:type="pct"/>
            <w:vMerge/>
            <w:tcBorders>
              <w:right w:val="nil"/>
            </w:tcBorders>
            <w:vAlign w:val="center"/>
          </w:tcPr>
          <w:p w14:paraId="13C15CC9" w14:textId="77777777" w:rsidR="007F6E00" w:rsidRPr="00731FB0" w:rsidRDefault="007F6E00" w:rsidP="00731FB0">
            <w:pPr>
              <w:snapToGrid w:val="0"/>
              <w:spacing w:line="360" w:lineRule="auto"/>
              <w:jc w:val="center"/>
              <w:rPr>
                <w:rFonts w:cs="Times New Roman"/>
                <w:sz w:val="20"/>
                <w:szCs w:val="20"/>
              </w:rPr>
            </w:pPr>
          </w:p>
        </w:tc>
      </w:tr>
      <w:tr w:rsidR="007F6E00" w:rsidRPr="00731FB0" w14:paraId="7A6F0B5D" w14:textId="77777777" w:rsidTr="00291111">
        <w:trPr>
          <w:trHeight w:hRule="exact" w:val="397"/>
        </w:trPr>
        <w:tc>
          <w:tcPr>
            <w:tcW w:w="496" w:type="pct"/>
            <w:vMerge/>
            <w:tcBorders>
              <w:left w:val="nil"/>
            </w:tcBorders>
            <w:vAlign w:val="center"/>
          </w:tcPr>
          <w:p w14:paraId="3C7AA11A" w14:textId="77777777" w:rsidR="007F6E00" w:rsidRPr="00731FB0" w:rsidRDefault="007F6E00" w:rsidP="00731FB0">
            <w:pPr>
              <w:snapToGrid w:val="0"/>
              <w:spacing w:line="360" w:lineRule="auto"/>
              <w:jc w:val="center"/>
              <w:rPr>
                <w:rFonts w:cs="Times New Roman"/>
                <w:sz w:val="20"/>
                <w:szCs w:val="20"/>
              </w:rPr>
            </w:pPr>
          </w:p>
        </w:tc>
        <w:tc>
          <w:tcPr>
            <w:tcW w:w="395" w:type="pct"/>
            <w:tcBorders>
              <w:top w:val="nil"/>
              <w:bottom w:val="nil"/>
              <w:right w:val="nil"/>
            </w:tcBorders>
            <w:vAlign w:val="center"/>
          </w:tcPr>
          <w:p w14:paraId="47833EAF" w14:textId="77777777" w:rsidR="007F6E00" w:rsidRPr="00731FB0" w:rsidRDefault="007F6E00" w:rsidP="00731FB0">
            <w:pPr>
              <w:snapToGrid w:val="0"/>
              <w:spacing w:line="360" w:lineRule="auto"/>
              <w:jc w:val="center"/>
              <w:rPr>
                <w:rFonts w:cs="Times New Roman"/>
                <w:sz w:val="20"/>
                <w:szCs w:val="20"/>
              </w:rPr>
            </w:pPr>
            <w:r w:rsidRPr="00731FB0">
              <w:rPr>
                <w:rFonts w:cs="Times New Roman" w:hint="eastAsia"/>
                <w:sz w:val="20"/>
                <w:szCs w:val="20"/>
              </w:rPr>
              <w:t>S</w:t>
            </w:r>
            <w:r w:rsidRPr="00731FB0">
              <w:rPr>
                <w:rFonts w:cs="Times New Roman"/>
                <w:sz w:val="20"/>
                <w:szCs w:val="20"/>
              </w:rPr>
              <w:t>0407a</w:t>
            </w:r>
          </w:p>
        </w:tc>
        <w:tc>
          <w:tcPr>
            <w:tcW w:w="307" w:type="pct"/>
            <w:tcBorders>
              <w:top w:val="nil"/>
              <w:left w:val="nil"/>
              <w:bottom w:val="nil"/>
              <w:right w:val="nil"/>
            </w:tcBorders>
            <w:vAlign w:val="center"/>
          </w:tcPr>
          <w:p w14:paraId="11088A0E"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B</w:t>
            </w:r>
          </w:p>
        </w:tc>
        <w:tc>
          <w:tcPr>
            <w:tcW w:w="496" w:type="pct"/>
            <w:tcBorders>
              <w:top w:val="nil"/>
              <w:left w:val="nil"/>
              <w:bottom w:val="nil"/>
              <w:right w:val="nil"/>
            </w:tcBorders>
            <w:vAlign w:val="center"/>
          </w:tcPr>
          <w:p w14:paraId="0FA503B2" w14:textId="77777777" w:rsidR="007F6E00" w:rsidRPr="00731FB0" w:rsidRDefault="007F6E00" w:rsidP="00731FB0">
            <w:pPr>
              <w:snapToGrid w:val="0"/>
              <w:spacing w:line="360" w:lineRule="auto"/>
              <w:jc w:val="center"/>
              <w:rPr>
                <w:rFonts w:cs="Times New Roman"/>
                <w:sz w:val="20"/>
                <w:szCs w:val="20"/>
              </w:rPr>
            </w:pPr>
            <w:r>
              <w:rPr>
                <w:rFonts w:cs="Times New Roman"/>
                <w:sz w:val="20"/>
                <w:szCs w:val="20"/>
              </w:rPr>
              <w:t>29.3</w:t>
            </w:r>
            <w:r w:rsidRPr="00731FB0">
              <w:rPr>
                <w:rFonts w:cs="Times New Roman"/>
                <w:sz w:val="20"/>
                <w:szCs w:val="20"/>
              </w:rPr>
              <w:t xml:space="preserve"> ± 1.</w:t>
            </w:r>
            <w:r>
              <w:rPr>
                <w:rFonts w:cs="Times New Roman"/>
                <w:sz w:val="20"/>
                <w:szCs w:val="20"/>
              </w:rPr>
              <w:t>5</w:t>
            </w:r>
          </w:p>
        </w:tc>
        <w:tc>
          <w:tcPr>
            <w:tcW w:w="662" w:type="pct"/>
            <w:tcBorders>
              <w:top w:val="nil"/>
              <w:left w:val="nil"/>
              <w:bottom w:val="nil"/>
              <w:right w:val="nil"/>
            </w:tcBorders>
            <w:vAlign w:val="center"/>
          </w:tcPr>
          <w:p w14:paraId="488B7784"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7</w:t>
            </w:r>
            <w:r>
              <w:rPr>
                <w:rFonts w:cs="Times New Roman"/>
                <w:sz w:val="20"/>
                <w:szCs w:val="20"/>
              </w:rPr>
              <w:t xml:space="preserve">4.54 </w:t>
            </w:r>
            <w:r w:rsidRPr="00731FB0">
              <w:rPr>
                <w:rFonts w:cs="Times New Roman"/>
                <w:sz w:val="20"/>
                <w:szCs w:val="20"/>
              </w:rPr>
              <w:t>±</w:t>
            </w:r>
            <w:r>
              <w:rPr>
                <w:rFonts w:cs="Times New Roman"/>
                <w:sz w:val="20"/>
                <w:szCs w:val="20"/>
              </w:rPr>
              <w:t xml:space="preserve"> 12.44</w:t>
            </w:r>
          </w:p>
        </w:tc>
        <w:tc>
          <w:tcPr>
            <w:tcW w:w="485" w:type="pct"/>
            <w:tcBorders>
              <w:top w:val="nil"/>
              <w:left w:val="nil"/>
              <w:bottom w:val="nil"/>
              <w:right w:val="nil"/>
            </w:tcBorders>
            <w:vAlign w:val="center"/>
          </w:tcPr>
          <w:p w14:paraId="2974D11B"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.05</w:t>
            </w:r>
          </w:p>
        </w:tc>
        <w:tc>
          <w:tcPr>
            <w:tcW w:w="485" w:type="pct"/>
            <w:tcBorders>
              <w:top w:val="nil"/>
              <w:left w:val="nil"/>
              <w:bottom w:val="nil"/>
            </w:tcBorders>
            <w:vAlign w:val="center"/>
          </w:tcPr>
          <w:p w14:paraId="0186BD99"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.9</w:t>
            </w:r>
          </w:p>
        </w:tc>
        <w:tc>
          <w:tcPr>
            <w:tcW w:w="933" w:type="pct"/>
            <w:vMerge/>
            <w:vAlign w:val="center"/>
          </w:tcPr>
          <w:p w14:paraId="29244052" w14:textId="77777777" w:rsidR="007F6E00" w:rsidRPr="00731FB0" w:rsidRDefault="007F6E00" w:rsidP="00731FB0">
            <w:pPr>
              <w:snapToGrid w:val="0"/>
              <w:spacing w:line="360" w:lineRule="auto"/>
              <w:jc w:val="center"/>
              <w:rPr>
                <w:rFonts w:cs="Times New Roman"/>
                <w:sz w:val="20"/>
                <w:szCs w:val="20"/>
              </w:rPr>
            </w:pPr>
          </w:p>
        </w:tc>
        <w:tc>
          <w:tcPr>
            <w:tcW w:w="742" w:type="pct"/>
            <w:vMerge/>
            <w:tcBorders>
              <w:right w:val="nil"/>
            </w:tcBorders>
            <w:vAlign w:val="center"/>
          </w:tcPr>
          <w:p w14:paraId="6EC443EF" w14:textId="77777777" w:rsidR="007F6E00" w:rsidRPr="00731FB0" w:rsidRDefault="007F6E00" w:rsidP="00731FB0">
            <w:pPr>
              <w:snapToGrid w:val="0"/>
              <w:spacing w:line="360" w:lineRule="auto"/>
              <w:jc w:val="center"/>
              <w:rPr>
                <w:rFonts w:cs="Times New Roman"/>
                <w:sz w:val="20"/>
                <w:szCs w:val="20"/>
              </w:rPr>
            </w:pPr>
          </w:p>
        </w:tc>
      </w:tr>
      <w:tr w:rsidR="007F6E00" w:rsidRPr="00731FB0" w14:paraId="5852563D" w14:textId="77777777" w:rsidTr="00291111">
        <w:trPr>
          <w:trHeight w:hRule="exact" w:val="397"/>
        </w:trPr>
        <w:tc>
          <w:tcPr>
            <w:tcW w:w="496" w:type="pct"/>
            <w:vMerge/>
            <w:tcBorders>
              <w:left w:val="nil"/>
            </w:tcBorders>
            <w:vAlign w:val="center"/>
          </w:tcPr>
          <w:p w14:paraId="1113E7CC" w14:textId="77777777" w:rsidR="007F6E00" w:rsidRPr="00731FB0" w:rsidRDefault="007F6E00" w:rsidP="00731FB0">
            <w:pPr>
              <w:snapToGrid w:val="0"/>
              <w:spacing w:line="360" w:lineRule="auto"/>
              <w:jc w:val="center"/>
              <w:rPr>
                <w:rFonts w:cs="Times New Roman"/>
                <w:sz w:val="20"/>
                <w:szCs w:val="20"/>
              </w:rPr>
            </w:pPr>
          </w:p>
        </w:tc>
        <w:tc>
          <w:tcPr>
            <w:tcW w:w="395" w:type="pct"/>
            <w:tcBorders>
              <w:top w:val="nil"/>
              <w:bottom w:val="single" w:sz="4" w:space="0" w:color="auto"/>
              <w:right w:val="nil"/>
            </w:tcBorders>
            <w:vAlign w:val="center"/>
          </w:tcPr>
          <w:p w14:paraId="43B03E13" w14:textId="77777777" w:rsidR="007F6E00" w:rsidRPr="00731FB0" w:rsidRDefault="007F6E00" w:rsidP="00731FB0">
            <w:pPr>
              <w:snapToGrid w:val="0"/>
              <w:spacing w:line="360" w:lineRule="auto"/>
              <w:jc w:val="center"/>
              <w:rPr>
                <w:rFonts w:cs="Times New Roman"/>
                <w:sz w:val="20"/>
                <w:szCs w:val="20"/>
              </w:rPr>
            </w:pPr>
            <w:r w:rsidRPr="00731FB0">
              <w:rPr>
                <w:rFonts w:cs="Times New Roman" w:hint="eastAsia"/>
                <w:sz w:val="20"/>
                <w:szCs w:val="20"/>
              </w:rPr>
              <w:t>S</w:t>
            </w:r>
            <w:r w:rsidRPr="00731FB0">
              <w:rPr>
                <w:rFonts w:cs="Times New Roman"/>
                <w:sz w:val="20"/>
                <w:szCs w:val="20"/>
              </w:rPr>
              <w:t>1015f</w:t>
            </w:r>
          </w:p>
        </w:tc>
        <w:tc>
          <w:tcPr>
            <w:tcW w:w="307" w:type="pct"/>
            <w:tcBorders>
              <w:top w:val="nil"/>
              <w:left w:val="nil"/>
              <w:bottom w:val="single" w:sz="4" w:space="0" w:color="auto"/>
              <w:right w:val="nil"/>
            </w:tcBorders>
            <w:vAlign w:val="center"/>
          </w:tcPr>
          <w:p w14:paraId="5B4A24E2"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A</w:t>
            </w:r>
          </w:p>
        </w:tc>
        <w:tc>
          <w:tcPr>
            <w:tcW w:w="496" w:type="pct"/>
            <w:tcBorders>
              <w:top w:val="nil"/>
              <w:left w:val="nil"/>
              <w:bottom w:val="single" w:sz="4" w:space="0" w:color="auto"/>
              <w:right w:val="nil"/>
            </w:tcBorders>
            <w:vAlign w:val="center"/>
          </w:tcPr>
          <w:p w14:paraId="4675E4F7"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2</w:t>
            </w:r>
            <w:r>
              <w:rPr>
                <w:rFonts w:cs="Times New Roman"/>
                <w:sz w:val="20"/>
                <w:szCs w:val="20"/>
              </w:rPr>
              <w:t>7.5</w:t>
            </w:r>
            <w:r w:rsidRPr="00731FB0">
              <w:rPr>
                <w:rFonts w:cs="Times New Roman"/>
                <w:sz w:val="20"/>
                <w:szCs w:val="20"/>
              </w:rPr>
              <w:t xml:space="preserve"> ± 1.</w:t>
            </w:r>
            <w:r>
              <w:rPr>
                <w:rFonts w:cs="Times New Roman"/>
                <w:sz w:val="20"/>
                <w:szCs w:val="20"/>
              </w:rPr>
              <w:t>5</w:t>
            </w:r>
          </w:p>
        </w:tc>
        <w:tc>
          <w:tcPr>
            <w:tcW w:w="662" w:type="pct"/>
            <w:tcBorders>
              <w:top w:val="nil"/>
              <w:left w:val="nil"/>
              <w:bottom w:val="single" w:sz="4" w:space="0" w:color="auto"/>
              <w:right w:val="nil"/>
            </w:tcBorders>
            <w:vAlign w:val="center"/>
          </w:tcPr>
          <w:p w14:paraId="33DDC307"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8</w:t>
            </w:r>
            <w:r>
              <w:rPr>
                <w:rFonts w:cs="Times New Roman"/>
                <w:sz w:val="20"/>
                <w:szCs w:val="20"/>
              </w:rPr>
              <w:t xml:space="preserve">5.09 </w:t>
            </w:r>
            <w:r w:rsidRPr="00731FB0">
              <w:rPr>
                <w:rFonts w:cs="Times New Roman"/>
                <w:sz w:val="20"/>
                <w:szCs w:val="20"/>
              </w:rPr>
              <w:t>±</w:t>
            </w:r>
            <w:r>
              <w:rPr>
                <w:rFonts w:cs="Times New Roman"/>
                <w:sz w:val="20"/>
                <w:szCs w:val="20"/>
              </w:rPr>
              <w:t xml:space="preserve"> 4.76</w:t>
            </w:r>
          </w:p>
        </w:tc>
        <w:tc>
          <w:tcPr>
            <w:tcW w:w="485" w:type="pct"/>
            <w:tcBorders>
              <w:top w:val="nil"/>
              <w:left w:val="nil"/>
              <w:bottom w:val="single" w:sz="4" w:space="0" w:color="auto"/>
              <w:right w:val="nil"/>
            </w:tcBorders>
            <w:vAlign w:val="center"/>
          </w:tcPr>
          <w:p w14:paraId="5D8FC194"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.05</w:t>
            </w:r>
          </w:p>
        </w:tc>
        <w:tc>
          <w:tcPr>
            <w:tcW w:w="485" w:type="pct"/>
            <w:tcBorders>
              <w:top w:val="nil"/>
              <w:left w:val="nil"/>
              <w:bottom w:val="single" w:sz="4" w:space="0" w:color="auto"/>
            </w:tcBorders>
            <w:vAlign w:val="center"/>
          </w:tcPr>
          <w:p w14:paraId="6F022307"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.9</w:t>
            </w:r>
          </w:p>
        </w:tc>
        <w:tc>
          <w:tcPr>
            <w:tcW w:w="933" w:type="pct"/>
            <w:vMerge/>
            <w:vAlign w:val="center"/>
          </w:tcPr>
          <w:p w14:paraId="4006C2B2" w14:textId="77777777" w:rsidR="007F6E00" w:rsidRPr="00731FB0" w:rsidRDefault="007F6E00" w:rsidP="00731FB0">
            <w:pPr>
              <w:snapToGrid w:val="0"/>
              <w:spacing w:line="360" w:lineRule="auto"/>
              <w:jc w:val="center"/>
              <w:rPr>
                <w:rFonts w:cs="Times New Roman"/>
                <w:sz w:val="20"/>
                <w:szCs w:val="20"/>
              </w:rPr>
            </w:pPr>
          </w:p>
        </w:tc>
        <w:tc>
          <w:tcPr>
            <w:tcW w:w="742" w:type="pct"/>
            <w:vMerge/>
            <w:tcBorders>
              <w:bottom w:val="single" w:sz="4" w:space="0" w:color="auto"/>
              <w:right w:val="nil"/>
            </w:tcBorders>
            <w:vAlign w:val="center"/>
          </w:tcPr>
          <w:p w14:paraId="5E6809F1" w14:textId="77777777" w:rsidR="007F6E00" w:rsidRPr="00731FB0" w:rsidRDefault="007F6E00" w:rsidP="00731FB0">
            <w:pPr>
              <w:snapToGrid w:val="0"/>
              <w:spacing w:line="360" w:lineRule="auto"/>
              <w:jc w:val="center"/>
              <w:rPr>
                <w:rFonts w:cs="Times New Roman"/>
                <w:sz w:val="20"/>
                <w:szCs w:val="20"/>
              </w:rPr>
            </w:pPr>
          </w:p>
        </w:tc>
      </w:tr>
      <w:tr w:rsidR="007F6E00" w:rsidRPr="00731FB0" w14:paraId="5143EEF8" w14:textId="77777777" w:rsidTr="00291111">
        <w:trPr>
          <w:trHeight w:hRule="exact" w:val="1020"/>
        </w:trPr>
        <w:tc>
          <w:tcPr>
            <w:tcW w:w="496" w:type="pct"/>
            <w:vMerge/>
            <w:tcBorders>
              <w:left w:val="nil"/>
              <w:bottom w:val="single" w:sz="4" w:space="0" w:color="auto"/>
            </w:tcBorders>
            <w:vAlign w:val="center"/>
          </w:tcPr>
          <w:p w14:paraId="69C34D61" w14:textId="77777777" w:rsidR="007F6E00" w:rsidRPr="00731FB0" w:rsidRDefault="007F6E00" w:rsidP="00731FB0">
            <w:pPr>
              <w:snapToGrid w:val="0"/>
              <w:spacing w:line="360" w:lineRule="auto"/>
              <w:jc w:val="center"/>
              <w:rPr>
                <w:rFonts w:cs="Times New Roman"/>
                <w:sz w:val="20"/>
                <w:szCs w:val="20"/>
              </w:rPr>
            </w:pPr>
          </w:p>
        </w:tc>
        <w:tc>
          <w:tcPr>
            <w:tcW w:w="395" w:type="pct"/>
            <w:tcBorders>
              <w:bottom w:val="single" w:sz="4" w:space="0" w:color="auto"/>
              <w:right w:val="nil"/>
            </w:tcBorders>
            <w:vAlign w:val="center"/>
          </w:tcPr>
          <w:p w14:paraId="047C7FAC" w14:textId="77777777" w:rsidR="007F6E00" w:rsidRPr="00731FB0" w:rsidRDefault="007F6E00" w:rsidP="00731FB0">
            <w:pPr>
              <w:snapToGrid w:val="0"/>
              <w:spacing w:line="360" w:lineRule="auto"/>
              <w:jc w:val="center"/>
              <w:rPr>
                <w:rFonts w:cs="Times New Roman"/>
                <w:sz w:val="20"/>
                <w:szCs w:val="20"/>
              </w:rPr>
            </w:pPr>
            <w:r w:rsidRPr="00731FB0">
              <w:rPr>
                <w:rFonts w:cs="Times New Roman" w:hint="eastAsia"/>
                <w:sz w:val="20"/>
                <w:szCs w:val="20"/>
              </w:rPr>
              <w:t>S</w:t>
            </w:r>
            <w:r w:rsidRPr="00731FB0">
              <w:rPr>
                <w:rFonts w:cs="Times New Roman"/>
                <w:sz w:val="20"/>
                <w:szCs w:val="20"/>
              </w:rPr>
              <w:t>1222a</w:t>
            </w:r>
          </w:p>
        </w:tc>
        <w:tc>
          <w:tcPr>
            <w:tcW w:w="307" w:type="pct"/>
            <w:tcBorders>
              <w:left w:val="nil"/>
              <w:bottom w:val="single" w:sz="4" w:space="0" w:color="auto"/>
              <w:right w:val="nil"/>
            </w:tcBorders>
            <w:vAlign w:val="center"/>
          </w:tcPr>
          <w:p w14:paraId="373A9F82"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A</w:t>
            </w:r>
          </w:p>
        </w:tc>
        <w:tc>
          <w:tcPr>
            <w:tcW w:w="496" w:type="pct"/>
            <w:tcBorders>
              <w:left w:val="nil"/>
              <w:bottom w:val="single" w:sz="4" w:space="0" w:color="auto"/>
              <w:right w:val="nil"/>
            </w:tcBorders>
            <w:vAlign w:val="center"/>
          </w:tcPr>
          <w:p w14:paraId="5F0616A4" w14:textId="77777777" w:rsidR="007F6E00" w:rsidRPr="00731FB0" w:rsidRDefault="007F6E00" w:rsidP="00731FB0">
            <w:pPr>
              <w:snapToGrid w:val="0"/>
              <w:spacing w:line="360" w:lineRule="auto"/>
              <w:jc w:val="center"/>
              <w:rPr>
                <w:rFonts w:cs="Times New Roman"/>
                <w:sz w:val="20"/>
                <w:szCs w:val="20"/>
              </w:rPr>
            </w:pPr>
            <w:r w:rsidRPr="00731FB0">
              <w:rPr>
                <w:rFonts w:cs="Times New Roman" w:hint="eastAsia"/>
                <w:sz w:val="20"/>
                <w:szCs w:val="20"/>
              </w:rPr>
              <w:t>3</w:t>
            </w:r>
            <w:r>
              <w:rPr>
                <w:rFonts w:cs="Times New Roman"/>
                <w:sz w:val="20"/>
                <w:szCs w:val="20"/>
              </w:rPr>
              <w:t>7</w:t>
            </w:r>
            <w:r w:rsidRPr="00731FB0">
              <w:rPr>
                <w:rFonts w:cs="Times New Roman"/>
                <w:sz w:val="20"/>
                <w:szCs w:val="20"/>
              </w:rPr>
              <w:t>.0 ± 1.</w:t>
            </w:r>
            <w:r>
              <w:rPr>
                <w:rFonts w:cs="Times New Roman"/>
                <w:sz w:val="20"/>
                <w:szCs w:val="20"/>
              </w:rPr>
              <w:t>1</w:t>
            </w:r>
          </w:p>
        </w:tc>
        <w:tc>
          <w:tcPr>
            <w:tcW w:w="662" w:type="pct"/>
            <w:tcBorders>
              <w:left w:val="nil"/>
              <w:bottom w:val="single" w:sz="4" w:space="0" w:color="auto"/>
              <w:right w:val="nil"/>
            </w:tcBorders>
            <w:vAlign w:val="center"/>
          </w:tcPr>
          <w:p w14:paraId="079F784F"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1</w:t>
            </w:r>
            <w:r>
              <w:rPr>
                <w:rFonts w:cs="Times New Roman"/>
                <w:sz w:val="20"/>
                <w:szCs w:val="20"/>
              </w:rPr>
              <w:t xml:space="preserve">10.42 </w:t>
            </w:r>
            <w:r w:rsidRPr="00731FB0">
              <w:rPr>
                <w:rFonts w:cs="Times New Roman"/>
                <w:sz w:val="20"/>
                <w:szCs w:val="20"/>
              </w:rPr>
              <w:t>±</w:t>
            </w:r>
            <w:r>
              <w:rPr>
                <w:rFonts w:cs="Times New Roman"/>
                <w:sz w:val="20"/>
                <w:szCs w:val="20"/>
              </w:rPr>
              <w:t xml:space="preserve"> 3.99</w:t>
            </w:r>
          </w:p>
        </w:tc>
        <w:tc>
          <w:tcPr>
            <w:tcW w:w="485" w:type="pct"/>
            <w:tcBorders>
              <w:left w:val="nil"/>
              <w:bottom w:val="single" w:sz="4" w:space="0" w:color="auto"/>
              <w:right w:val="nil"/>
            </w:tcBorders>
            <w:vAlign w:val="center"/>
          </w:tcPr>
          <w:p w14:paraId="0BD7234D"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.05</w:t>
            </w:r>
          </w:p>
        </w:tc>
        <w:tc>
          <w:tcPr>
            <w:tcW w:w="485" w:type="pct"/>
            <w:tcBorders>
              <w:left w:val="nil"/>
              <w:bottom w:val="single" w:sz="4" w:space="0" w:color="auto"/>
            </w:tcBorders>
            <w:vAlign w:val="center"/>
          </w:tcPr>
          <w:p w14:paraId="57720814"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.9</w:t>
            </w:r>
          </w:p>
        </w:tc>
        <w:tc>
          <w:tcPr>
            <w:tcW w:w="933" w:type="pct"/>
            <w:tcBorders>
              <w:bottom w:val="single" w:sz="4" w:space="0" w:color="auto"/>
            </w:tcBorders>
            <w:vAlign w:val="center"/>
          </w:tcPr>
          <w:p w14:paraId="4CACCF91"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B</w:t>
            </w:r>
            <w:r>
              <w:rPr>
                <w:rFonts w:cs="Times New Roman"/>
                <w:sz w:val="20"/>
                <w:szCs w:val="20"/>
              </w:rPr>
              <w:t>andpass filter into 0.15–0.85 Hz (HF) and 0.1</w:t>
            </w:r>
            <w:r>
              <w:rPr>
                <w:rFonts w:cs="Times New Roman"/>
                <w:sz w:val="20"/>
                <w:szCs w:val="20"/>
              </w:rPr>
              <w:softHyphen/>
              <w:t>–0.4 Hz (LF) after deconvolution</w:t>
            </w:r>
          </w:p>
        </w:tc>
        <w:tc>
          <w:tcPr>
            <w:tcW w:w="742" w:type="pct"/>
            <w:tcBorders>
              <w:bottom w:val="single" w:sz="4" w:space="0" w:color="auto"/>
              <w:right w:val="nil"/>
            </w:tcBorders>
            <w:vAlign w:val="center"/>
          </w:tcPr>
          <w:p w14:paraId="1CA3C186"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L</w:t>
            </w:r>
            <w:r>
              <w:rPr>
                <w:rFonts w:cs="Times New Roman"/>
                <w:sz w:val="20"/>
                <w:szCs w:val="20"/>
              </w:rPr>
              <w:t>argest detected marsquake</w:t>
            </w:r>
          </w:p>
        </w:tc>
      </w:tr>
      <w:tr w:rsidR="007F6E00" w:rsidRPr="00731FB0" w14:paraId="5968DC67" w14:textId="77777777" w:rsidTr="00291111">
        <w:trPr>
          <w:trHeight w:hRule="exact" w:val="397"/>
        </w:trPr>
        <w:tc>
          <w:tcPr>
            <w:tcW w:w="496" w:type="pct"/>
            <w:vMerge w:val="restart"/>
            <w:tcBorders>
              <w:left w:val="nil"/>
            </w:tcBorders>
            <w:vAlign w:val="center"/>
          </w:tcPr>
          <w:p w14:paraId="36339043" w14:textId="77777777" w:rsidR="007F6E00" w:rsidRPr="00731FB0" w:rsidRDefault="007F6E00" w:rsidP="00731FB0">
            <w:pPr>
              <w:snapToGrid w:val="0"/>
              <w:spacing w:line="360" w:lineRule="auto"/>
              <w:jc w:val="center"/>
              <w:rPr>
                <w:rFonts w:cs="Times New Roman"/>
                <w:sz w:val="20"/>
                <w:szCs w:val="20"/>
              </w:rPr>
            </w:pPr>
            <w:r w:rsidRPr="00731FB0">
              <w:rPr>
                <w:rFonts w:cs="Times New Roman" w:hint="eastAsia"/>
                <w:sz w:val="20"/>
                <w:szCs w:val="20"/>
              </w:rPr>
              <w:t>S</w:t>
            </w:r>
            <w:r w:rsidRPr="00731FB0">
              <w:rPr>
                <w:rFonts w:cs="Times New Roman"/>
                <w:sz w:val="20"/>
                <w:szCs w:val="20"/>
              </w:rPr>
              <w:t>-wave RF</w:t>
            </w:r>
          </w:p>
        </w:tc>
        <w:tc>
          <w:tcPr>
            <w:tcW w:w="395" w:type="pct"/>
            <w:tcBorders>
              <w:bottom w:val="nil"/>
              <w:right w:val="nil"/>
            </w:tcBorders>
            <w:vAlign w:val="center"/>
          </w:tcPr>
          <w:p w14:paraId="733230F4" w14:textId="77777777" w:rsidR="007F6E00" w:rsidRPr="00731FB0" w:rsidRDefault="007F6E00" w:rsidP="00731FB0">
            <w:pPr>
              <w:snapToGrid w:val="0"/>
              <w:spacing w:line="360" w:lineRule="auto"/>
              <w:jc w:val="center"/>
              <w:rPr>
                <w:rFonts w:cs="Times New Roman"/>
                <w:sz w:val="20"/>
                <w:szCs w:val="20"/>
              </w:rPr>
            </w:pPr>
            <w:r w:rsidRPr="00731FB0">
              <w:rPr>
                <w:rFonts w:cs="Times New Roman" w:hint="eastAsia"/>
                <w:sz w:val="20"/>
                <w:szCs w:val="20"/>
              </w:rPr>
              <w:t>S</w:t>
            </w:r>
            <w:r w:rsidRPr="00731FB0">
              <w:rPr>
                <w:rFonts w:cs="Times New Roman"/>
                <w:sz w:val="20"/>
                <w:szCs w:val="20"/>
              </w:rPr>
              <w:t>1153a</w:t>
            </w:r>
          </w:p>
        </w:tc>
        <w:tc>
          <w:tcPr>
            <w:tcW w:w="307" w:type="pct"/>
            <w:tcBorders>
              <w:left w:val="nil"/>
              <w:bottom w:val="nil"/>
              <w:right w:val="nil"/>
            </w:tcBorders>
            <w:vAlign w:val="center"/>
          </w:tcPr>
          <w:p w14:paraId="678CFFF1"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B</w:t>
            </w:r>
          </w:p>
        </w:tc>
        <w:tc>
          <w:tcPr>
            <w:tcW w:w="496" w:type="pct"/>
            <w:tcBorders>
              <w:left w:val="nil"/>
              <w:bottom w:val="nil"/>
              <w:right w:val="nil"/>
            </w:tcBorders>
            <w:vAlign w:val="center"/>
          </w:tcPr>
          <w:p w14:paraId="2743B1C5" w14:textId="77777777" w:rsidR="007F6E00" w:rsidRPr="00731FB0" w:rsidRDefault="007F6E00" w:rsidP="00731FB0">
            <w:pPr>
              <w:snapToGrid w:val="0"/>
              <w:spacing w:line="360" w:lineRule="auto"/>
              <w:jc w:val="center"/>
              <w:rPr>
                <w:rFonts w:cs="Times New Roman"/>
                <w:sz w:val="20"/>
                <w:szCs w:val="20"/>
              </w:rPr>
            </w:pPr>
            <w:r>
              <w:rPr>
                <w:rFonts w:cs="Times New Roman"/>
                <w:sz w:val="20"/>
                <w:szCs w:val="20"/>
              </w:rPr>
              <w:t>84.8</w:t>
            </w:r>
            <w:r w:rsidRPr="00731FB0">
              <w:rPr>
                <w:rFonts w:cs="Times New Roman"/>
                <w:sz w:val="20"/>
                <w:szCs w:val="20"/>
              </w:rPr>
              <w:t xml:space="preserve"> ±</w:t>
            </w:r>
            <w:r>
              <w:rPr>
                <w:rFonts w:cs="Times New Roman"/>
                <w:sz w:val="20"/>
                <w:szCs w:val="20"/>
              </w:rPr>
              <w:t xml:space="preserve"> 7.7</w:t>
            </w:r>
          </w:p>
        </w:tc>
        <w:tc>
          <w:tcPr>
            <w:tcW w:w="662" w:type="pct"/>
            <w:tcBorders>
              <w:left w:val="nil"/>
              <w:bottom w:val="nil"/>
              <w:right w:val="nil"/>
            </w:tcBorders>
            <w:vAlign w:val="center"/>
          </w:tcPr>
          <w:p w14:paraId="6B0797A6"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8</w:t>
            </w:r>
            <w:r>
              <w:rPr>
                <w:rFonts w:cs="Times New Roman"/>
                <w:sz w:val="20"/>
                <w:szCs w:val="20"/>
              </w:rPr>
              <w:t xml:space="preserve">7.17 </w:t>
            </w:r>
            <w:r w:rsidRPr="00731FB0">
              <w:rPr>
                <w:rFonts w:cs="Times New Roman"/>
                <w:sz w:val="20"/>
                <w:szCs w:val="20"/>
              </w:rPr>
              <w:t>±</w:t>
            </w:r>
            <w:r>
              <w:rPr>
                <w:rFonts w:cs="Times New Roman"/>
                <w:sz w:val="20"/>
                <w:szCs w:val="20"/>
              </w:rPr>
              <w:t xml:space="preserve"> 5.20</w:t>
            </w:r>
          </w:p>
        </w:tc>
        <w:tc>
          <w:tcPr>
            <w:tcW w:w="485" w:type="pct"/>
            <w:tcBorders>
              <w:left w:val="nil"/>
              <w:bottom w:val="nil"/>
              <w:right w:val="nil"/>
            </w:tcBorders>
            <w:vAlign w:val="center"/>
          </w:tcPr>
          <w:p w14:paraId="1D51A747"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.05</w:t>
            </w:r>
          </w:p>
        </w:tc>
        <w:tc>
          <w:tcPr>
            <w:tcW w:w="485" w:type="pct"/>
            <w:tcBorders>
              <w:left w:val="nil"/>
              <w:bottom w:val="nil"/>
            </w:tcBorders>
            <w:vAlign w:val="center"/>
          </w:tcPr>
          <w:p w14:paraId="608B1EE4"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.9</w:t>
            </w:r>
          </w:p>
        </w:tc>
        <w:tc>
          <w:tcPr>
            <w:tcW w:w="933" w:type="pct"/>
            <w:vMerge w:val="restart"/>
            <w:vAlign w:val="center"/>
          </w:tcPr>
          <w:p w14:paraId="542CF156"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B</w:t>
            </w:r>
            <w:r>
              <w:rPr>
                <w:rFonts w:cs="Times New Roman"/>
                <w:sz w:val="20"/>
                <w:szCs w:val="20"/>
              </w:rPr>
              <w:t>andpass filter into 0.15–0.85 Hz after deconvolution</w:t>
            </w:r>
          </w:p>
        </w:tc>
        <w:tc>
          <w:tcPr>
            <w:tcW w:w="742" w:type="pct"/>
            <w:vMerge w:val="restart"/>
            <w:tcBorders>
              <w:right w:val="nil"/>
            </w:tcBorders>
            <w:vAlign w:val="center"/>
          </w:tcPr>
          <w:p w14:paraId="5B334848"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D</w:t>
            </w:r>
            <w:r>
              <w:rPr>
                <w:rFonts w:cs="Times New Roman"/>
                <w:sz w:val="20"/>
                <w:szCs w:val="20"/>
              </w:rPr>
              <w:t>istant events</w:t>
            </w:r>
          </w:p>
        </w:tc>
      </w:tr>
      <w:tr w:rsidR="007F6E00" w:rsidRPr="00731FB0" w14:paraId="603EA205" w14:textId="77777777" w:rsidTr="00291111">
        <w:trPr>
          <w:trHeight w:hRule="exact" w:val="397"/>
        </w:trPr>
        <w:tc>
          <w:tcPr>
            <w:tcW w:w="496" w:type="pct"/>
            <w:vMerge/>
            <w:tcBorders>
              <w:left w:val="nil"/>
            </w:tcBorders>
            <w:vAlign w:val="center"/>
          </w:tcPr>
          <w:p w14:paraId="26DC4AFD" w14:textId="77777777" w:rsidR="007F6E00" w:rsidRPr="00731FB0" w:rsidRDefault="007F6E00" w:rsidP="00731FB0">
            <w:pPr>
              <w:snapToGrid w:val="0"/>
              <w:spacing w:line="360" w:lineRule="auto"/>
              <w:jc w:val="center"/>
              <w:rPr>
                <w:rFonts w:cs="Times New Roman"/>
                <w:sz w:val="20"/>
                <w:szCs w:val="20"/>
              </w:rPr>
            </w:pPr>
          </w:p>
        </w:tc>
        <w:tc>
          <w:tcPr>
            <w:tcW w:w="395" w:type="pct"/>
            <w:tcBorders>
              <w:top w:val="nil"/>
              <w:bottom w:val="single" w:sz="4" w:space="0" w:color="auto"/>
              <w:right w:val="nil"/>
            </w:tcBorders>
            <w:vAlign w:val="center"/>
          </w:tcPr>
          <w:p w14:paraId="6C359124" w14:textId="77777777" w:rsidR="007F6E00" w:rsidRPr="00731FB0" w:rsidRDefault="007F6E00" w:rsidP="00731FB0">
            <w:pPr>
              <w:snapToGrid w:val="0"/>
              <w:spacing w:line="360" w:lineRule="auto"/>
              <w:jc w:val="center"/>
              <w:rPr>
                <w:rFonts w:cs="Times New Roman"/>
                <w:sz w:val="20"/>
                <w:szCs w:val="20"/>
              </w:rPr>
            </w:pPr>
            <w:r w:rsidRPr="00731FB0">
              <w:rPr>
                <w:rFonts w:cs="Times New Roman" w:hint="eastAsia"/>
                <w:sz w:val="20"/>
                <w:szCs w:val="20"/>
              </w:rPr>
              <w:t>S</w:t>
            </w:r>
            <w:r w:rsidRPr="00731FB0">
              <w:rPr>
                <w:rFonts w:cs="Times New Roman"/>
                <w:sz w:val="20"/>
                <w:szCs w:val="20"/>
              </w:rPr>
              <w:t>1415a</w:t>
            </w:r>
          </w:p>
        </w:tc>
        <w:tc>
          <w:tcPr>
            <w:tcW w:w="307" w:type="pct"/>
            <w:tcBorders>
              <w:top w:val="nil"/>
              <w:left w:val="nil"/>
              <w:bottom w:val="single" w:sz="4" w:space="0" w:color="auto"/>
              <w:right w:val="nil"/>
            </w:tcBorders>
            <w:vAlign w:val="center"/>
          </w:tcPr>
          <w:p w14:paraId="5E0E0BFC"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B</w:t>
            </w:r>
          </w:p>
        </w:tc>
        <w:tc>
          <w:tcPr>
            <w:tcW w:w="496" w:type="pct"/>
            <w:tcBorders>
              <w:top w:val="nil"/>
              <w:left w:val="nil"/>
              <w:bottom w:val="single" w:sz="4" w:space="0" w:color="auto"/>
              <w:right w:val="nil"/>
            </w:tcBorders>
            <w:vAlign w:val="center"/>
          </w:tcPr>
          <w:p w14:paraId="5BEEB0C4" w14:textId="77777777" w:rsidR="007F6E00" w:rsidRPr="00731FB0" w:rsidRDefault="007F6E00" w:rsidP="00731FB0">
            <w:pPr>
              <w:snapToGrid w:val="0"/>
              <w:spacing w:line="360" w:lineRule="auto"/>
              <w:jc w:val="center"/>
              <w:rPr>
                <w:rFonts w:cs="Times New Roman"/>
                <w:sz w:val="20"/>
                <w:szCs w:val="20"/>
              </w:rPr>
            </w:pPr>
            <w:r>
              <w:rPr>
                <w:rFonts w:cs="Times New Roman"/>
                <w:sz w:val="20"/>
                <w:szCs w:val="20"/>
              </w:rPr>
              <w:t>88.2</w:t>
            </w:r>
            <w:r w:rsidRPr="00731FB0">
              <w:rPr>
                <w:rFonts w:cs="Times New Roman"/>
                <w:sz w:val="20"/>
                <w:szCs w:val="20"/>
              </w:rPr>
              <w:t xml:space="preserve"> ±</w:t>
            </w:r>
            <w:r>
              <w:rPr>
                <w:rFonts w:cs="Times New Roman"/>
                <w:sz w:val="20"/>
                <w:szCs w:val="20"/>
              </w:rPr>
              <w:t xml:space="preserve"> 7.4</w:t>
            </w:r>
          </w:p>
        </w:tc>
        <w:tc>
          <w:tcPr>
            <w:tcW w:w="662" w:type="pct"/>
            <w:tcBorders>
              <w:top w:val="nil"/>
              <w:left w:val="nil"/>
              <w:bottom w:val="single" w:sz="4" w:space="0" w:color="auto"/>
              <w:right w:val="nil"/>
            </w:tcBorders>
            <w:vAlign w:val="center"/>
          </w:tcPr>
          <w:p w14:paraId="6F003075"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1</w:t>
            </w:r>
            <w:r>
              <w:rPr>
                <w:rFonts w:cs="Times New Roman"/>
                <w:sz w:val="20"/>
                <w:szCs w:val="20"/>
              </w:rPr>
              <w:t xml:space="preserve">15.39 </w:t>
            </w:r>
            <w:r w:rsidRPr="00731FB0">
              <w:rPr>
                <w:rFonts w:cs="Times New Roman"/>
                <w:sz w:val="20"/>
                <w:szCs w:val="20"/>
              </w:rPr>
              <w:t>±</w:t>
            </w:r>
            <w:r>
              <w:rPr>
                <w:rFonts w:cs="Times New Roman"/>
                <w:sz w:val="20"/>
                <w:szCs w:val="20"/>
              </w:rPr>
              <w:t xml:space="preserve"> 11.09</w:t>
            </w:r>
          </w:p>
        </w:tc>
        <w:tc>
          <w:tcPr>
            <w:tcW w:w="485" w:type="pct"/>
            <w:tcBorders>
              <w:top w:val="nil"/>
              <w:left w:val="nil"/>
              <w:bottom w:val="single" w:sz="4" w:space="0" w:color="auto"/>
              <w:right w:val="nil"/>
            </w:tcBorders>
            <w:vAlign w:val="center"/>
          </w:tcPr>
          <w:p w14:paraId="754FEFDD"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.05</w:t>
            </w:r>
          </w:p>
        </w:tc>
        <w:tc>
          <w:tcPr>
            <w:tcW w:w="485" w:type="pct"/>
            <w:tcBorders>
              <w:top w:val="nil"/>
              <w:left w:val="nil"/>
              <w:bottom w:val="single" w:sz="4" w:space="0" w:color="auto"/>
            </w:tcBorders>
            <w:vAlign w:val="center"/>
          </w:tcPr>
          <w:p w14:paraId="16B1D8C4"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.9</w:t>
            </w:r>
          </w:p>
        </w:tc>
        <w:tc>
          <w:tcPr>
            <w:tcW w:w="933" w:type="pct"/>
            <w:vMerge/>
            <w:vAlign w:val="center"/>
          </w:tcPr>
          <w:p w14:paraId="3FD584D6" w14:textId="77777777" w:rsidR="007F6E00" w:rsidRPr="00731FB0" w:rsidRDefault="007F6E00" w:rsidP="00731FB0">
            <w:pPr>
              <w:snapToGrid w:val="0"/>
              <w:spacing w:line="360" w:lineRule="auto"/>
              <w:jc w:val="center"/>
              <w:rPr>
                <w:rFonts w:cs="Times New Roman"/>
                <w:sz w:val="20"/>
                <w:szCs w:val="20"/>
              </w:rPr>
            </w:pPr>
          </w:p>
        </w:tc>
        <w:tc>
          <w:tcPr>
            <w:tcW w:w="742" w:type="pct"/>
            <w:vMerge/>
            <w:tcBorders>
              <w:right w:val="nil"/>
            </w:tcBorders>
            <w:vAlign w:val="center"/>
          </w:tcPr>
          <w:p w14:paraId="7D55D0F7" w14:textId="77777777" w:rsidR="007F6E00" w:rsidRPr="00731FB0" w:rsidRDefault="007F6E00" w:rsidP="00731FB0">
            <w:pPr>
              <w:snapToGrid w:val="0"/>
              <w:spacing w:line="360" w:lineRule="auto"/>
              <w:jc w:val="center"/>
              <w:rPr>
                <w:rFonts w:cs="Times New Roman"/>
                <w:sz w:val="20"/>
                <w:szCs w:val="20"/>
              </w:rPr>
            </w:pPr>
          </w:p>
        </w:tc>
      </w:tr>
      <w:tr w:rsidR="007F6E00" w:rsidRPr="00731FB0" w14:paraId="5932FE7E" w14:textId="77777777" w:rsidTr="00291111">
        <w:trPr>
          <w:trHeight w:hRule="exact" w:val="397"/>
        </w:trPr>
        <w:tc>
          <w:tcPr>
            <w:tcW w:w="496" w:type="pct"/>
            <w:tcBorders>
              <w:left w:val="nil"/>
              <w:bottom w:val="single" w:sz="4" w:space="0" w:color="auto"/>
            </w:tcBorders>
            <w:vAlign w:val="center"/>
          </w:tcPr>
          <w:p w14:paraId="5DDA7142" w14:textId="77777777" w:rsidR="007F6E00" w:rsidRPr="00731FB0" w:rsidRDefault="007F6E00" w:rsidP="00731FB0">
            <w:pPr>
              <w:snapToGrid w:val="0"/>
              <w:spacing w:line="360" w:lineRule="auto"/>
              <w:jc w:val="center"/>
              <w:rPr>
                <w:rFonts w:cs="Times New Roman"/>
                <w:sz w:val="20"/>
                <w:szCs w:val="20"/>
              </w:rPr>
            </w:pPr>
            <w:r w:rsidRPr="00731FB0">
              <w:rPr>
                <w:rFonts w:cs="Times New Roman" w:hint="eastAsia"/>
                <w:sz w:val="20"/>
                <w:szCs w:val="20"/>
              </w:rPr>
              <w:t>P</w:t>
            </w:r>
            <w:r w:rsidRPr="00731FB0">
              <w:rPr>
                <w:rFonts w:cs="Times New Roman"/>
                <w:sz w:val="20"/>
                <w:szCs w:val="20"/>
              </w:rPr>
              <w:t>P precursor</w:t>
            </w:r>
          </w:p>
        </w:tc>
        <w:tc>
          <w:tcPr>
            <w:tcW w:w="395" w:type="pct"/>
            <w:tcBorders>
              <w:bottom w:val="single" w:sz="4" w:space="0" w:color="auto"/>
              <w:right w:val="nil"/>
            </w:tcBorders>
            <w:vAlign w:val="center"/>
          </w:tcPr>
          <w:p w14:paraId="2037C9D8" w14:textId="77777777" w:rsidR="007F6E00" w:rsidRPr="00731FB0" w:rsidRDefault="007F6E00" w:rsidP="00731FB0">
            <w:pPr>
              <w:snapToGrid w:val="0"/>
              <w:spacing w:line="360" w:lineRule="auto"/>
              <w:jc w:val="center"/>
              <w:rPr>
                <w:rFonts w:cs="Times New Roman"/>
                <w:sz w:val="20"/>
                <w:szCs w:val="20"/>
              </w:rPr>
            </w:pPr>
            <w:r w:rsidRPr="00731FB0">
              <w:rPr>
                <w:rFonts w:cs="Times New Roman" w:hint="eastAsia"/>
                <w:sz w:val="20"/>
                <w:szCs w:val="20"/>
              </w:rPr>
              <w:t>S</w:t>
            </w:r>
            <w:r w:rsidRPr="00731FB0">
              <w:rPr>
                <w:rFonts w:cs="Times New Roman"/>
                <w:sz w:val="20"/>
                <w:szCs w:val="20"/>
              </w:rPr>
              <w:t>0976a</w:t>
            </w:r>
          </w:p>
        </w:tc>
        <w:tc>
          <w:tcPr>
            <w:tcW w:w="307" w:type="pct"/>
            <w:tcBorders>
              <w:left w:val="nil"/>
              <w:bottom w:val="single" w:sz="4" w:space="0" w:color="auto"/>
              <w:right w:val="nil"/>
            </w:tcBorders>
            <w:vAlign w:val="center"/>
          </w:tcPr>
          <w:p w14:paraId="17472748"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A</w:t>
            </w:r>
          </w:p>
        </w:tc>
        <w:tc>
          <w:tcPr>
            <w:tcW w:w="496" w:type="pct"/>
            <w:tcBorders>
              <w:left w:val="nil"/>
              <w:bottom w:val="single" w:sz="4" w:space="0" w:color="auto"/>
              <w:right w:val="nil"/>
            </w:tcBorders>
            <w:vAlign w:val="center"/>
          </w:tcPr>
          <w:p w14:paraId="1FBAB765"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1</w:t>
            </w:r>
            <w:r>
              <w:rPr>
                <w:rFonts w:cs="Times New Roman"/>
                <w:sz w:val="20"/>
                <w:szCs w:val="20"/>
              </w:rPr>
              <w:t>46.3</w:t>
            </w:r>
            <w:r w:rsidRPr="00731FB0">
              <w:rPr>
                <w:rFonts w:cs="Times New Roman"/>
                <w:sz w:val="20"/>
                <w:szCs w:val="20"/>
              </w:rPr>
              <w:t xml:space="preserve"> ±</w:t>
            </w:r>
            <w:r>
              <w:rPr>
                <w:rFonts w:cs="Times New Roman"/>
                <w:sz w:val="20"/>
                <w:szCs w:val="20"/>
              </w:rPr>
              <w:t xml:space="preserve"> 5.2</w:t>
            </w:r>
          </w:p>
        </w:tc>
        <w:tc>
          <w:tcPr>
            <w:tcW w:w="662" w:type="pct"/>
            <w:tcBorders>
              <w:left w:val="nil"/>
              <w:bottom w:val="single" w:sz="4" w:space="0" w:color="auto"/>
              <w:right w:val="nil"/>
            </w:tcBorders>
            <w:vAlign w:val="center"/>
          </w:tcPr>
          <w:p w14:paraId="591A670C"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9</w:t>
            </w:r>
            <w:r>
              <w:rPr>
                <w:rFonts w:cs="Times New Roman"/>
                <w:sz w:val="20"/>
                <w:szCs w:val="20"/>
              </w:rPr>
              <w:t xml:space="preserve">7.62 </w:t>
            </w:r>
            <w:r w:rsidRPr="00731FB0">
              <w:rPr>
                <w:rFonts w:cs="Times New Roman"/>
                <w:sz w:val="20"/>
                <w:szCs w:val="20"/>
              </w:rPr>
              <w:t>±</w:t>
            </w:r>
            <w:r>
              <w:rPr>
                <w:rFonts w:cs="Times New Roman"/>
                <w:sz w:val="20"/>
                <w:szCs w:val="20"/>
              </w:rPr>
              <w:t xml:space="preserve"> 2.18</w:t>
            </w:r>
          </w:p>
        </w:tc>
        <w:tc>
          <w:tcPr>
            <w:tcW w:w="485" w:type="pct"/>
            <w:tcBorders>
              <w:left w:val="nil"/>
              <w:bottom w:val="single" w:sz="4" w:space="0" w:color="auto"/>
              <w:right w:val="nil"/>
            </w:tcBorders>
            <w:vAlign w:val="center"/>
          </w:tcPr>
          <w:p w14:paraId="64F00A87"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.125–0.167</w:t>
            </w:r>
          </w:p>
        </w:tc>
        <w:tc>
          <w:tcPr>
            <w:tcW w:w="485" w:type="pct"/>
            <w:tcBorders>
              <w:left w:val="nil"/>
              <w:bottom w:val="single" w:sz="4" w:space="0" w:color="auto"/>
            </w:tcBorders>
            <w:vAlign w:val="center"/>
          </w:tcPr>
          <w:p w14:paraId="67D0CEB5"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.33–0.50</w:t>
            </w:r>
          </w:p>
        </w:tc>
        <w:tc>
          <w:tcPr>
            <w:tcW w:w="933" w:type="pct"/>
            <w:vMerge w:val="restart"/>
            <w:vAlign w:val="center"/>
          </w:tcPr>
          <w:p w14:paraId="5096E4A6"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P</w:t>
            </w:r>
            <w:r>
              <w:rPr>
                <w:rFonts w:cs="Times New Roman"/>
                <w:sz w:val="20"/>
                <w:szCs w:val="20"/>
              </w:rPr>
              <w:t>olarization filter</w:t>
            </w:r>
          </w:p>
        </w:tc>
        <w:tc>
          <w:tcPr>
            <w:tcW w:w="742" w:type="pct"/>
            <w:vMerge/>
            <w:tcBorders>
              <w:right w:val="nil"/>
            </w:tcBorders>
            <w:vAlign w:val="center"/>
          </w:tcPr>
          <w:p w14:paraId="47CE878D" w14:textId="77777777" w:rsidR="007F6E00" w:rsidRPr="00731FB0" w:rsidRDefault="007F6E00" w:rsidP="00731FB0">
            <w:pPr>
              <w:snapToGrid w:val="0"/>
              <w:spacing w:line="360" w:lineRule="auto"/>
              <w:jc w:val="center"/>
              <w:rPr>
                <w:rFonts w:cs="Times New Roman"/>
                <w:sz w:val="20"/>
                <w:szCs w:val="20"/>
              </w:rPr>
            </w:pPr>
          </w:p>
        </w:tc>
      </w:tr>
      <w:tr w:rsidR="007F6E00" w:rsidRPr="00731FB0" w14:paraId="738FD9C7" w14:textId="77777777" w:rsidTr="00291111">
        <w:trPr>
          <w:trHeight w:hRule="exact" w:val="397"/>
        </w:trPr>
        <w:tc>
          <w:tcPr>
            <w:tcW w:w="496" w:type="pct"/>
            <w:vMerge w:val="restart"/>
            <w:tcBorders>
              <w:left w:val="nil"/>
              <w:bottom w:val="single" w:sz="18" w:space="0" w:color="auto"/>
            </w:tcBorders>
            <w:vAlign w:val="center"/>
          </w:tcPr>
          <w:p w14:paraId="145A128D" w14:textId="77777777" w:rsidR="007F6E00" w:rsidRPr="00731FB0" w:rsidRDefault="007F6E00" w:rsidP="00731FB0">
            <w:pPr>
              <w:snapToGrid w:val="0"/>
              <w:spacing w:line="360" w:lineRule="auto"/>
              <w:jc w:val="center"/>
              <w:rPr>
                <w:rFonts w:cs="Times New Roman"/>
                <w:sz w:val="20"/>
                <w:szCs w:val="20"/>
              </w:rPr>
            </w:pPr>
            <w:r w:rsidRPr="00731FB0">
              <w:rPr>
                <w:rFonts w:cs="Times New Roman" w:hint="eastAsia"/>
                <w:sz w:val="20"/>
                <w:szCs w:val="20"/>
              </w:rPr>
              <w:t>S</w:t>
            </w:r>
            <w:r w:rsidRPr="00731FB0">
              <w:rPr>
                <w:rFonts w:cs="Times New Roman"/>
                <w:sz w:val="20"/>
                <w:szCs w:val="20"/>
              </w:rPr>
              <w:t>S precursor</w:t>
            </w:r>
          </w:p>
        </w:tc>
        <w:tc>
          <w:tcPr>
            <w:tcW w:w="395" w:type="pct"/>
            <w:tcBorders>
              <w:bottom w:val="nil"/>
              <w:right w:val="nil"/>
            </w:tcBorders>
            <w:vAlign w:val="center"/>
          </w:tcPr>
          <w:p w14:paraId="5E86587A" w14:textId="77777777" w:rsidR="007F6E00" w:rsidRPr="00731FB0" w:rsidRDefault="007F6E00" w:rsidP="00731FB0">
            <w:pPr>
              <w:snapToGrid w:val="0"/>
              <w:spacing w:line="360" w:lineRule="auto"/>
              <w:jc w:val="center"/>
              <w:rPr>
                <w:rFonts w:cs="Times New Roman"/>
                <w:sz w:val="20"/>
                <w:szCs w:val="20"/>
              </w:rPr>
            </w:pPr>
            <w:r w:rsidRPr="00731FB0">
              <w:rPr>
                <w:rFonts w:cs="Times New Roman" w:hint="eastAsia"/>
                <w:sz w:val="20"/>
                <w:szCs w:val="20"/>
              </w:rPr>
              <w:t>S</w:t>
            </w:r>
            <w:r w:rsidRPr="00731FB0">
              <w:rPr>
                <w:rFonts w:cs="Times New Roman"/>
                <w:sz w:val="20"/>
                <w:szCs w:val="20"/>
              </w:rPr>
              <w:t>0976a</w:t>
            </w:r>
          </w:p>
        </w:tc>
        <w:tc>
          <w:tcPr>
            <w:tcW w:w="307" w:type="pct"/>
            <w:tcBorders>
              <w:left w:val="nil"/>
              <w:bottom w:val="nil"/>
              <w:right w:val="nil"/>
            </w:tcBorders>
            <w:vAlign w:val="center"/>
          </w:tcPr>
          <w:p w14:paraId="62FD356E"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A</w:t>
            </w:r>
          </w:p>
        </w:tc>
        <w:tc>
          <w:tcPr>
            <w:tcW w:w="496" w:type="pct"/>
            <w:tcBorders>
              <w:left w:val="nil"/>
              <w:bottom w:val="nil"/>
              <w:right w:val="nil"/>
            </w:tcBorders>
            <w:vAlign w:val="center"/>
          </w:tcPr>
          <w:p w14:paraId="26F7B97E"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1</w:t>
            </w:r>
            <w:r>
              <w:rPr>
                <w:rFonts w:cs="Times New Roman"/>
                <w:sz w:val="20"/>
                <w:szCs w:val="20"/>
              </w:rPr>
              <w:t>46.3</w:t>
            </w:r>
            <w:r w:rsidRPr="00731FB0">
              <w:rPr>
                <w:rFonts w:cs="Times New Roman"/>
                <w:sz w:val="20"/>
                <w:szCs w:val="20"/>
              </w:rPr>
              <w:t xml:space="preserve"> ±</w:t>
            </w:r>
            <w:r>
              <w:rPr>
                <w:rFonts w:cs="Times New Roman"/>
                <w:sz w:val="20"/>
                <w:szCs w:val="20"/>
              </w:rPr>
              <w:t xml:space="preserve"> 5.2</w:t>
            </w:r>
          </w:p>
        </w:tc>
        <w:tc>
          <w:tcPr>
            <w:tcW w:w="662" w:type="pct"/>
            <w:tcBorders>
              <w:left w:val="nil"/>
              <w:bottom w:val="nil"/>
              <w:right w:val="nil"/>
            </w:tcBorders>
            <w:vAlign w:val="center"/>
          </w:tcPr>
          <w:p w14:paraId="0893EC45"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9</w:t>
            </w:r>
            <w:r>
              <w:rPr>
                <w:rFonts w:cs="Times New Roman"/>
                <w:sz w:val="20"/>
                <w:szCs w:val="20"/>
              </w:rPr>
              <w:t xml:space="preserve">7.62 </w:t>
            </w:r>
            <w:r w:rsidRPr="00731FB0">
              <w:rPr>
                <w:rFonts w:cs="Times New Roman"/>
                <w:sz w:val="20"/>
                <w:szCs w:val="20"/>
              </w:rPr>
              <w:t>±</w:t>
            </w:r>
            <w:r>
              <w:rPr>
                <w:rFonts w:cs="Times New Roman"/>
                <w:sz w:val="20"/>
                <w:szCs w:val="20"/>
              </w:rPr>
              <w:t xml:space="preserve"> 2.18</w:t>
            </w:r>
          </w:p>
        </w:tc>
        <w:tc>
          <w:tcPr>
            <w:tcW w:w="485" w:type="pct"/>
            <w:tcBorders>
              <w:left w:val="nil"/>
              <w:bottom w:val="nil"/>
              <w:right w:val="nil"/>
            </w:tcBorders>
            <w:vAlign w:val="center"/>
          </w:tcPr>
          <w:p w14:paraId="2DDBD036"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.118–0.154</w:t>
            </w:r>
          </w:p>
        </w:tc>
        <w:tc>
          <w:tcPr>
            <w:tcW w:w="485" w:type="pct"/>
            <w:tcBorders>
              <w:left w:val="nil"/>
              <w:bottom w:val="nil"/>
            </w:tcBorders>
            <w:vAlign w:val="center"/>
          </w:tcPr>
          <w:p w14:paraId="64CF637C"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.25</w:t>
            </w:r>
            <w:r>
              <w:rPr>
                <w:rFonts w:cs="Times New Roman"/>
                <w:sz w:val="20"/>
                <w:szCs w:val="20"/>
              </w:rPr>
              <w:softHyphen/>
              <w:t>–0.33</w:t>
            </w:r>
          </w:p>
        </w:tc>
        <w:tc>
          <w:tcPr>
            <w:tcW w:w="933" w:type="pct"/>
            <w:vMerge/>
            <w:vAlign w:val="center"/>
          </w:tcPr>
          <w:p w14:paraId="03286AE9" w14:textId="77777777" w:rsidR="007F6E00" w:rsidRPr="00731FB0" w:rsidRDefault="007F6E00" w:rsidP="00731FB0">
            <w:pPr>
              <w:snapToGrid w:val="0"/>
              <w:spacing w:line="360" w:lineRule="auto"/>
              <w:jc w:val="center"/>
              <w:rPr>
                <w:rFonts w:cs="Times New Roman"/>
                <w:sz w:val="20"/>
                <w:szCs w:val="20"/>
              </w:rPr>
            </w:pPr>
          </w:p>
        </w:tc>
        <w:tc>
          <w:tcPr>
            <w:tcW w:w="742" w:type="pct"/>
            <w:vMerge/>
            <w:tcBorders>
              <w:right w:val="nil"/>
            </w:tcBorders>
            <w:vAlign w:val="center"/>
          </w:tcPr>
          <w:p w14:paraId="409A1E79" w14:textId="77777777" w:rsidR="007F6E00" w:rsidRPr="00731FB0" w:rsidRDefault="007F6E00" w:rsidP="00731FB0">
            <w:pPr>
              <w:snapToGrid w:val="0"/>
              <w:spacing w:line="360" w:lineRule="auto"/>
              <w:jc w:val="center"/>
              <w:rPr>
                <w:rFonts w:cs="Times New Roman"/>
                <w:sz w:val="20"/>
                <w:szCs w:val="20"/>
              </w:rPr>
            </w:pPr>
          </w:p>
        </w:tc>
      </w:tr>
      <w:tr w:rsidR="007F6E00" w:rsidRPr="00731FB0" w14:paraId="55050652" w14:textId="77777777" w:rsidTr="00291111">
        <w:trPr>
          <w:trHeight w:hRule="exact" w:val="397"/>
        </w:trPr>
        <w:tc>
          <w:tcPr>
            <w:tcW w:w="496" w:type="pct"/>
            <w:vMerge/>
            <w:tcBorders>
              <w:left w:val="nil"/>
              <w:bottom w:val="single" w:sz="18" w:space="0" w:color="auto"/>
            </w:tcBorders>
            <w:vAlign w:val="center"/>
          </w:tcPr>
          <w:p w14:paraId="70A2A59F" w14:textId="77777777" w:rsidR="007F6E00" w:rsidRPr="00731FB0" w:rsidRDefault="007F6E00" w:rsidP="00731FB0">
            <w:pPr>
              <w:snapToGrid w:val="0"/>
              <w:spacing w:line="360" w:lineRule="auto"/>
              <w:jc w:val="center"/>
              <w:rPr>
                <w:rFonts w:cs="Times New Roman"/>
                <w:sz w:val="20"/>
                <w:szCs w:val="20"/>
              </w:rPr>
            </w:pPr>
          </w:p>
        </w:tc>
        <w:tc>
          <w:tcPr>
            <w:tcW w:w="395" w:type="pct"/>
            <w:tcBorders>
              <w:top w:val="nil"/>
              <w:bottom w:val="single" w:sz="18" w:space="0" w:color="auto"/>
              <w:right w:val="nil"/>
            </w:tcBorders>
            <w:vAlign w:val="center"/>
          </w:tcPr>
          <w:p w14:paraId="2AB8A831" w14:textId="77777777" w:rsidR="007F6E00" w:rsidRPr="00731FB0" w:rsidRDefault="007F6E00" w:rsidP="00731FB0">
            <w:pPr>
              <w:snapToGrid w:val="0"/>
              <w:spacing w:line="360" w:lineRule="auto"/>
              <w:jc w:val="center"/>
              <w:rPr>
                <w:rFonts w:cs="Times New Roman"/>
                <w:sz w:val="20"/>
                <w:szCs w:val="20"/>
              </w:rPr>
            </w:pPr>
            <w:r w:rsidRPr="00731FB0">
              <w:rPr>
                <w:rFonts w:cs="Times New Roman" w:hint="eastAsia"/>
                <w:sz w:val="20"/>
                <w:szCs w:val="20"/>
              </w:rPr>
              <w:t>S</w:t>
            </w:r>
            <w:r w:rsidRPr="00731FB0">
              <w:rPr>
                <w:rFonts w:cs="Times New Roman"/>
                <w:sz w:val="20"/>
                <w:szCs w:val="20"/>
              </w:rPr>
              <w:t>1153a</w:t>
            </w:r>
          </w:p>
        </w:tc>
        <w:tc>
          <w:tcPr>
            <w:tcW w:w="307" w:type="pct"/>
            <w:tcBorders>
              <w:top w:val="nil"/>
              <w:left w:val="nil"/>
              <w:bottom w:val="single" w:sz="18" w:space="0" w:color="auto"/>
              <w:right w:val="nil"/>
            </w:tcBorders>
            <w:vAlign w:val="center"/>
          </w:tcPr>
          <w:p w14:paraId="09193B24"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B</w:t>
            </w:r>
          </w:p>
        </w:tc>
        <w:tc>
          <w:tcPr>
            <w:tcW w:w="496" w:type="pct"/>
            <w:tcBorders>
              <w:top w:val="nil"/>
              <w:left w:val="nil"/>
              <w:bottom w:val="single" w:sz="18" w:space="0" w:color="auto"/>
              <w:right w:val="nil"/>
            </w:tcBorders>
            <w:vAlign w:val="center"/>
          </w:tcPr>
          <w:p w14:paraId="27FE97AA" w14:textId="77777777" w:rsidR="007F6E00" w:rsidRPr="00731FB0" w:rsidRDefault="007F6E00" w:rsidP="00731FB0">
            <w:pPr>
              <w:snapToGrid w:val="0"/>
              <w:spacing w:line="360" w:lineRule="auto"/>
              <w:jc w:val="center"/>
              <w:rPr>
                <w:rFonts w:cs="Times New Roman"/>
                <w:sz w:val="20"/>
                <w:szCs w:val="20"/>
              </w:rPr>
            </w:pPr>
            <w:r>
              <w:rPr>
                <w:rFonts w:cs="Times New Roman"/>
                <w:sz w:val="20"/>
                <w:szCs w:val="20"/>
              </w:rPr>
              <w:t>84.8</w:t>
            </w:r>
            <w:r w:rsidRPr="00731FB0">
              <w:rPr>
                <w:rFonts w:cs="Times New Roman"/>
                <w:sz w:val="20"/>
                <w:szCs w:val="20"/>
              </w:rPr>
              <w:t xml:space="preserve"> ±</w:t>
            </w:r>
            <w:r>
              <w:rPr>
                <w:rFonts w:cs="Times New Roman"/>
                <w:sz w:val="20"/>
                <w:szCs w:val="20"/>
              </w:rPr>
              <w:t xml:space="preserve"> 7.7</w:t>
            </w:r>
          </w:p>
        </w:tc>
        <w:tc>
          <w:tcPr>
            <w:tcW w:w="662" w:type="pct"/>
            <w:tcBorders>
              <w:top w:val="nil"/>
              <w:left w:val="nil"/>
              <w:bottom w:val="single" w:sz="18" w:space="0" w:color="auto"/>
              <w:right w:val="nil"/>
            </w:tcBorders>
            <w:vAlign w:val="center"/>
          </w:tcPr>
          <w:p w14:paraId="6D0D2873"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8</w:t>
            </w:r>
            <w:r>
              <w:rPr>
                <w:rFonts w:cs="Times New Roman"/>
                <w:sz w:val="20"/>
                <w:szCs w:val="20"/>
              </w:rPr>
              <w:t xml:space="preserve">7.17 </w:t>
            </w:r>
            <w:r w:rsidRPr="00731FB0">
              <w:rPr>
                <w:rFonts w:cs="Times New Roman"/>
                <w:sz w:val="20"/>
                <w:szCs w:val="20"/>
              </w:rPr>
              <w:t>±</w:t>
            </w:r>
            <w:r>
              <w:rPr>
                <w:rFonts w:cs="Times New Roman"/>
                <w:sz w:val="20"/>
                <w:szCs w:val="20"/>
              </w:rPr>
              <w:t xml:space="preserve"> 5.20</w:t>
            </w:r>
          </w:p>
        </w:tc>
        <w:tc>
          <w:tcPr>
            <w:tcW w:w="485" w:type="pct"/>
            <w:tcBorders>
              <w:top w:val="nil"/>
              <w:left w:val="nil"/>
              <w:bottom w:val="single" w:sz="18" w:space="0" w:color="auto"/>
              <w:right w:val="nil"/>
            </w:tcBorders>
            <w:vAlign w:val="center"/>
          </w:tcPr>
          <w:p w14:paraId="2CD5BFDC"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.133</w:t>
            </w:r>
            <w:r>
              <w:rPr>
                <w:rFonts w:cs="Times New Roman"/>
                <w:sz w:val="20"/>
                <w:szCs w:val="20"/>
              </w:rPr>
              <w:softHyphen/>
              <w:t>–0.250</w:t>
            </w:r>
          </w:p>
        </w:tc>
        <w:tc>
          <w:tcPr>
            <w:tcW w:w="485" w:type="pct"/>
            <w:tcBorders>
              <w:top w:val="nil"/>
              <w:left w:val="nil"/>
              <w:bottom w:val="single" w:sz="18" w:space="0" w:color="auto"/>
            </w:tcBorders>
            <w:vAlign w:val="center"/>
          </w:tcPr>
          <w:p w14:paraId="1F2E2CF8" w14:textId="77777777" w:rsidR="007F6E00" w:rsidRPr="00731FB0" w:rsidRDefault="007F6E00" w:rsidP="00731FB0">
            <w:pPr>
              <w:snapToGrid w:val="0"/>
              <w:spacing w:line="360" w:lineRule="auto"/>
              <w:jc w:val="center"/>
              <w:rPr>
                <w:rFonts w:cs="Times New Roman"/>
                <w:sz w:val="20"/>
                <w:szCs w:val="20"/>
              </w:rPr>
            </w:pPr>
            <w:r>
              <w:rPr>
                <w:rFonts w:cs="Times New Roman" w:hint="eastAsia"/>
                <w:sz w:val="20"/>
                <w:szCs w:val="20"/>
              </w:rPr>
              <w:t>0</w:t>
            </w:r>
            <w:r>
              <w:rPr>
                <w:rFonts w:cs="Times New Roman"/>
                <w:sz w:val="20"/>
                <w:szCs w:val="20"/>
              </w:rPr>
              <w:t>.67–1.00</w:t>
            </w:r>
          </w:p>
        </w:tc>
        <w:tc>
          <w:tcPr>
            <w:tcW w:w="933" w:type="pct"/>
            <w:vMerge/>
            <w:tcBorders>
              <w:bottom w:val="single" w:sz="18" w:space="0" w:color="auto"/>
            </w:tcBorders>
            <w:vAlign w:val="center"/>
          </w:tcPr>
          <w:p w14:paraId="497FFBF6" w14:textId="77777777" w:rsidR="007F6E00" w:rsidRPr="00731FB0" w:rsidRDefault="007F6E00" w:rsidP="00731FB0">
            <w:pPr>
              <w:snapToGrid w:val="0"/>
              <w:spacing w:line="360" w:lineRule="auto"/>
              <w:jc w:val="center"/>
              <w:rPr>
                <w:rFonts w:cs="Times New Roman"/>
                <w:sz w:val="20"/>
                <w:szCs w:val="20"/>
              </w:rPr>
            </w:pPr>
          </w:p>
        </w:tc>
        <w:tc>
          <w:tcPr>
            <w:tcW w:w="742" w:type="pct"/>
            <w:vMerge/>
            <w:tcBorders>
              <w:bottom w:val="single" w:sz="18" w:space="0" w:color="auto"/>
              <w:right w:val="nil"/>
            </w:tcBorders>
            <w:vAlign w:val="center"/>
          </w:tcPr>
          <w:p w14:paraId="4DF1EC5A" w14:textId="77777777" w:rsidR="007F6E00" w:rsidRPr="00731FB0" w:rsidRDefault="007F6E00" w:rsidP="00731FB0">
            <w:pPr>
              <w:snapToGrid w:val="0"/>
              <w:spacing w:line="360" w:lineRule="auto"/>
              <w:jc w:val="center"/>
              <w:rPr>
                <w:rFonts w:cs="Times New Roman"/>
                <w:sz w:val="20"/>
                <w:szCs w:val="20"/>
              </w:rPr>
            </w:pPr>
          </w:p>
        </w:tc>
      </w:tr>
    </w:tbl>
    <w:p w14:paraId="3CD05886" w14:textId="77777777" w:rsidR="007F6E00" w:rsidRDefault="007F6E00" w:rsidP="00291111">
      <w:pPr>
        <w:spacing w:line="240" w:lineRule="auto"/>
      </w:pPr>
      <w:r>
        <w:rPr>
          <w:rFonts w:hint="eastAsia"/>
        </w:rPr>
        <w:t>*</w:t>
      </w:r>
      <w:r>
        <w:t>Epicentral distances and their 1</w:t>
      </w:r>
      <w:r>
        <w:rPr>
          <w:lang w:val="el-GR"/>
        </w:rPr>
        <w:t>σ</w:t>
      </w:r>
      <w:r>
        <w:t xml:space="preserve"> uncertainty ranges are from MQS V14 catalogue</w:t>
      </w:r>
      <w:r w:rsidRPr="00731FB0">
        <w:rPr>
          <w:noProof/>
          <w:vertAlign w:val="superscript"/>
        </w:rPr>
        <w:t>2</w:t>
      </w:r>
      <w:r>
        <w:t>.</w:t>
      </w:r>
    </w:p>
    <w:p w14:paraId="1FE0D344" w14:textId="77777777" w:rsidR="007F6E00" w:rsidRPr="00731FB0" w:rsidRDefault="007F6E00" w:rsidP="00291111">
      <w:pPr>
        <w:spacing w:line="240" w:lineRule="auto"/>
      </w:pPr>
      <w:r w:rsidRPr="00291111">
        <w:rPr>
          <w:rFonts w:hint="eastAsia"/>
          <w:vertAlign w:val="superscript"/>
        </w:rPr>
        <w:t>#</w:t>
      </w:r>
      <w:r>
        <w:t>Back azimuths and their 1</w:t>
      </w:r>
      <w:r>
        <w:rPr>
          <w:lang w:val="el-GR"/>
        </w:rPr>
        <w:t>σ</w:t>
      </w:r>
      <w:r>
        <w:t xml:space="preserve"> uncertainty ranges are from ref.</w:t>
      </w:r>
      <w:r w:rsidRPr="00731FB0">
        <w:rPr>
          <w:noProof/>
          <w:vertAlign w:val="superscript"/>
        </w:rPr>
        <w:t xml:space="preserve"> 5</w:t>
      </w:r>
      <w:r>
        <w:t>.</w:t>
      </w:r>
    </w:p>
    <w:p w14:paraId="0F158F3A" w14:textId="77777777" w:rsidR="007F6E00" w:rsidRDefault="007F6E00" w:rsidP="00876ED0">
      <w:pPr>
        <w:sectPr w:rsidR="007F6E00" w:rsidSect="005C7BF4">
          <w:pgSz w:w="16838" w:h="11906" w:orient="landscape"/>
          <w:pgMar w:top="454" w:right="816" w:bottom="454" w:left="720" w:header="851" w:footer="992" w:gutter="0"/>
          <w:lnNumType w:countBy="1" w:restart="continuous"/>
          <w:cols w:space="425"/>
          <w:docGrid w:type="lines" w:linePitch="326"/>
        </w:sectPr>
      </w:pPr>
    </w:p>
    <w:p w14:paraId="49246E66" w14:textId="77777777" w:rsidR="007F6E00" w:rsidRDefault="007F6E00" w:rsidP="00876ED0">
      <w:pPr>
        <w:rPr>
          <w:b/>
          <w:bCs/>
        </w:rPr>
      </w:pPr>
      <w:r w:rsidRPr="00731FB0">
        <w:rPr>
          <w:rFonts w:hint="eastAsia"/>
          <w:b/>
          <w:bCs/>
        </w:rPr>
        <w:lastRenderedPageBreak/>
        <w:t>S</w:t>
      </w:r>
      <w:r w:rsidRPr="00731FB0">
        <w:rPr>
          <w:b/>
          <w:bCs/>
        </w:rPr>
        <w:t xml:space="preserve">upplementary Tab. </w:t>
      </w:r>
      <w:r>
        <w:rPr>
          <w:b/>
          <w:bCs/>
        </w:rPr>
        <w:t>2</w:t>
      </w:r>
      <w:r w:rsidRPr="00731FB0">
        <w:rPr>
          <w:b/>
          <w:bCs/>
        </w:rPr>
        <w:t xml:space="preserve"> | </w:t>
      </w:r>
      <w:r>
        <w:rPr>
          <w:b/>
          <w:bCs/>
        </w:rPr>
        <w:t>Prior ranges of model parameters in RF inversion</w:t>
      </w:r>
    </w:p>
    <w:tbl>
      <w:tblPr>
        <w:tblStyle w:val="ac"/>
        <w:tblW w:w="0" w:type="auto"/>
        <w:tblLook w:val="04A0" w:firstRow="1" w:lastRow="0" w:firstColumn="1" w:lastColumn="0" w:noHBand="0" w:noVBand="1"/>
      </w:tblPr>
      <w:tblGrid>
        <w:gridCol w:w="2127"/>
        <w:gridCol w:w="1842"/>
        <w:gridCol w:w="3544"/>
      </w:tblGrid>
      <w:tr w:rsidR="007F6E00" w:rsidRPr="00174192" w14:paraId="4E97DF2D" w14:textId="77777777" w:rsidTr="00174192">
        <w:tc>
          <w:tcPr>
            <w:tcW w:w="3969" w:type="dxa"/>
            <w:gridSpan w:val="2"/>
            <w:tcBorders>
              <w:top w:val="single" w:sz="18" w:space="0" w:color="auto"/>
              <w:left w:val="nil"/>
              <w:bottom w:val="single" w:sz="18" w:space="0" w:color="auto"/>
              <w:right w:val="single" w:sz="4" w:space="0" w:color="auto"/>
            </w:tcBorders>
            <w:vAlign w:val="center"/>
          </w:tcPr>
          <w:p w14:paraId="15AC2017" w14:textId="77777777" w:rsidR="007F6E00" w:rsidRPr="00174192" w:rsidRDefault="007F6E00" w:rsidP="00174192">
            <w:pPr>
              <w:jc w:val="center"/>
              <w:rPr>
                <w:b/>
                <w:bCs/>
              </w:rPr>
            </w:pPr>
            <w:r w:rsidRPr="00174192">
              <w:rPr>
                <w:rFonts w:hint="eastAsia"/>
                <w:b/>
                <w:bCs/>
              </w:rPr>
              <w:t>P</w:t>
            </w:r>
            <w:r w:rsidRPr="00174192">
              <w:rPr>
                <w:b/>
                <w:bCs/>
              </w:rPr>
              <w:t>arameter</w:t>
            </w:r>
          </w:p>
        </w:tc>
        <w:tc>
          <w:tcPr>
            <w:tcW w:w="3544" w:type="dxa"/>
            <w:tcBorders>
              <w:top w:val="single" w:sz="18" w:space="0" w:color="auto"/>
              <w:left w:val="single" w:sz="4" w:space="0" w:color="auto"/>
              <w:bottom w:val="single" w:sz="18" w:space="0" w:color="auto"/>
              <w:right w:val="nil"/>
            </w:tcBorders>
            <w:vAlign w:val="center"/>
          </w:tcPr>
          <w:p w14:paraId="0757CE74" w14:textId="77777777" w:rsidR="007F6E00" w:rsidRPr="00174192" w:rsidRDefault="007F6E00" w:rsidP="00174192">
            <w:pPr>
              <w:jc w:val="center"/>
              <w:rPr>
                <w:b/>
                <w:bCs/>
              </w:rPr>
            </w:pPr>
            <w:r>
              <w:rPr>
                <w:b/>
                <w:bCs/>
              </w:rPr>
              <w:t>R</w:t>
            </w:r>
            <w:r w:rsidRPr="00174192">
              <w:rPr>
                <w:b/>
                <w:bCs/>
              </w:rPr>
              <w:t>ange</w:t>
            </w:r>
          </w:p>
        </w:tc>
      </w:tr>
      <w:tr w:rsidR="007F6E00" w:rsidRPr="00174192" w14:paraId="309C9570" w14:textId="77777777" w:rsidTr="00174192">
        <w:tc>
          <w:tcPr>
            <w:tcW w:w="2127" w:type="dxa"/>
            <w:vMerge w:val="restart"/>
            <w:tcBorders>
              <w:top w:val="single" w:sz="18" w:space="0" w:color="auto"/>
              <w:left w:val="nil"/>
            </w:tcBorders>
            <w:vAlign w:val="center"/>
          </w:tcPr>
          <w:p w14:paraId="3359B38A" w14:textId="77777777" w:rsidR="007F6E00" w:rsidRPr="00174192" w:rsidRDefault="007F6E00" w:rsidP="00174192">
            <w:pPr>
              <w:jc w:val="center"/>
            </w:pPr>
            <w:r w:rsidRPr="00174192">
              <w:rPr>
                <w:rFonts w:hint="eastAsia"/>
              </w:rPr>
              <w:t>C</w:t>
            </w:r>
            <w:r w:rsidRPr="00174192">
              <w:t>rust layer 1</w:t>
            </w:r>
          </w:p>
        </w:tc>
        <w:tc>
          <w:tcPr>
            <w:tcW w:w="1842" w:type="dxa"/>
            <w:tcBorders>
              <w:top w:val="single" w:sz="18" w:space="0" w:color="auto"/>
              <w:bottom w:val="nil"/>
              <w:right w:val="single" w:sz="4" w:space="0" w:color="auto"/>
            </w:tcBorders>
            <w:vAlign w:val="center"/>
          </w:tcPr>
          <w:p w14:paraId="13498815" w14:textId="77777777" w:rsidR="007F6E00" w:rsidRPr="003130C0" w:rsidRDefault="007F6E00" w:rsidP="00174192">
            <w:pPr>
              <w:jc w:val="center"/>
              <w:rPr>
                <w:i/>
                <w:iCs/>
              </w:rPr>
            </w:pPr>
            <w:r w:rsidRPr="003130C0">
              <w:rPr>
                <w:rFonts w:hint="eastAsia"/>
                <w:i/>
                <w:iCs/>
              </w:rPr>
              <w:t>V</w:t>
            </w:r>
            <w:r w:rsidRPr="003130C0">
              <w:rPr>
                <w:i/>
                <w:iCs/>
              </w:rPr>
              <w:t>s</w:t>
            </w:r>
            <w:r w:rsidRPr="003130C0">
              <w:rPr>
                <w:i/>
                <w:iCs/>
                <w:vertAlign w:val="subscript"/>
              </w:rPr>
              <w:t>0</w:t>
            </w:r>
          </w:p>
        </w:tc>
        <w:tc>
          <w:tcPr>
            <w:tcW w:w="3544" w:type="dxa"/>
            <w:tcBorders>
              <w:top w:val="single" w:sz="18" w:space="0" w:color="auto"/>
              <w:left w:val="single" w:sz="4" w:space="0" w:color="auto"/>
              <w:bottom w:val="nil"/>
              <w:right w:val="nil"/>
            </w:tcBorders>
            <w:vAlign w:val="center"/>
          </w:tcPr>
          <w:p w14:paraId="06F64408" w14:textId="77777777" w:rsidR="007F6E00" w:rsidRPr="00174192" w:rsidRDefault="007F6E00" w:rsidP="00174192">
            <w:pPr>
              <w:jc w:val="center"/>
            </w:pPr>
            <w:r w:rsidRPr="00174192">
              <w:rPr>
                <w:rFonts w:hint="eastAsia"/>
              </w:rPr>
              <w:t>0</w:t>
            </w:r>
            <w:r w:rsidRPr="00174192">
              <w:t>.9–1.7 km/s</w:t>
            </w:r>
          </w:p>
        </w:tc>
      </w:tr>
      <w:tr w:rsidR="007F6E00" w:rsidRPr="00174192" w14:paraId="4A14575B" w14:textId="77777777" w:rsidTr="00174192">
        <w:tc>
          <w:tcPr>
            <w:tcW w:w="2127" w:type="dxa"/>
            <w:vMerge/>
            <w:tcBorders>
              <w:left w:val="nil"/>
            </w:tcBorders>
            <w:vAlign w:val="center"/>
          </w:tcPr>
          <w:p w14:paraId="021DBBD0" w14:textId="77777777" w:rsidR="007F6E00" w:rsidRPr="00174192" w:rsidRDefault="007F6E00" w:rsidP="00174192">
            <w:pPr>
              <w:jc w:val="center"/>
            </w:pPr>
          </w:p>
        </w:tc>
        <w:tc>
          <w:tcPr>
            <w:tcW w:w="1842" w:type="dxa"/>
            <w:tcBorders>
              <w:top w:val="nil"/>
              <w:bottom w:val="nil"/>
              <w:right w:val="single" w:sz="4" w:space="0" w:color="auto"/>
            </w:tcBorders>
            <w:vAlign w:val="center"/>
          </w:tcPr>
          <w:p w14:paraId="49BAD109" w14:textId="77777777" w:rsidR="007F6E00" w:rsidRPr="003130C0" w:rsidRDefault="007F6E00" w:rsidP="00174192">
            <w:pPr>
              <w:jc w:val="center"/>
              <w:rPr>
                <w:i/>
                <w:iCs/>
              </w:rPr>
            </w:pPr>
            <w:r w:rsidRPr="003130C0">
              <w:rPr>
                <w:rFonts w:hint="eastAsia"/>
                <w:i/>
                <w:iCs/>
              </w:rPr>
              <w:t>R</w:t>
            </w:r>
            <w:r w:rsidRPr="003130C0">
              <w:rPr>
                <w:i/>
                <w:iCs/>
                <w:vertAlign w:val="subscript"/>
              </w:rPr>
              <w:t>0</w:t>
            </w:r>
          </w:p>
        </w:tc>
        <w:tc>
          <w:tcPr>
            <w:tcW w:w="3544" w:type="dxa"/>
            <w:tcBorders>
              <w:top w:val="nil"/>
              <w:left w:val="single" w:sz="4" w:space="0" w:color="auto"/>
              <w:bottom w:val="nil"/>
              <w:right w:val="nil"/>
            </w:tcBorders>
            <w:vAlign w:val="center"/>
          </w:tcPr>
          <w:p w14:paraId="1EF22223" w14:textId="77777777" w:rsidR="007F6E00" w:rsidRPr="00174192" w:rsidRDefault="007F6E00" w:rsidP="00174192">
            <w:pPr>
              <w:jc w:val="center"/>
            </w:pPr>
            <w:r w:rsidRPr="00174192">
              <w:rPr>
                <w:rFonts w:hint="eastAsia"/>
              </w:rPr>
              <w:t>1</w:t>
            </w:r>
            <w:r w:rsidRPr="00174192">
              <w:t>.5–2.1</w:t>
            </w:r>
          </w:p>
        </w:tc>
      </w:tr>
      <w:tr w:rsidR="007F6E00" w:rsidRPr="00174192" w14:paraId="57CB93C2" w14:textId="77777777" w:rsidTr="00174192">
        <w:tc>
          <w:tcPr>
            <w:tcW w:w="2127" w:type="dxa"/>
            <w:vMerge/>
            <w:tcBorders>
              <w:left w:val="nil"/>
            </w:tcBorders>
            <w:vAlign w:val="center"/>
          </w:tcPr>
          <w:p w14:paraId="09681235" w14:textId="77777777" w:rsidR="007F6E00" w:rsidRPr="00174192" w:rsidRDefault="007F6E00" w:rsidP="00174192">
            <w:pPr>
              <w:jc w:val="center"/>
            </w:pPr>
          </w:p>
        </w:tc>
        <w:tc>
          <w:tcPr>
            <w:tcW w:w="1842" w:type="dxa"/>
            <w:tcBorders>
              <w:top w:val="nil"/>
              <w:bottom w:val="single" w:sz="4" w:space="0" w:color="auto"/>
              <w:right w:val="single" w:sz="4" w:space="0" w:color="auto"/>
            </w:tcBorders>
            <w:vAlign w:val="center"/>
          </w:tcPr>
          <w:p w14:paraId="788F2E0D" w14:textId="77777777" w:rsidR="007F6E00" w:rsidRPr="003130C0" w:rsidRDefault="007F6E00" w:rsidP="00174192">
            <w:pPr>
              <w:jc w:val="center"/>
              <w:rPr>
                <w:i/>
                <w:iCs/>
              </w:rPr>
            </w:pPr>
            <w:r w:rsidRPr="003130C0">
              <w:rPr>
                <w:rFonts w:hint="eastAsia"/>
                <w:i/>
                <w:iCs/>
              </w:rPr>
              <w:t>H</w:t>
            </w:r>
            <w:r w:rsidRPr="003130C0">
              <w:rPr>
                <w:i/>
                <w:iCs/>
                <w:vertAlign w:val="subscript"/>
              </w:rPr>
              <w:t>1</w:t>
            </w:r>
          </w:p>
        </w:tc>
        <w:tc>
          <w:tcPr>
            <w:tcW w:w="3544" w:type="dxa"/>
            <w:tcBorders>
              <w:top w:val="nil"/>
              <w:left w:val="single" w:sz="4" w:space="0" w:color="auto"/>
              <w:bottom w:val="single" w:sz="4" w:space="0" w:color="auto"/>
              <w:right w:val="nil"/>
            </w:tcBorders>
            <w:vAlign w:val="center"/>
          </w:tcPr>
          <w:p w14:paraId="27E6AEC5" w14:textId="77777777" w:rsidR="007F6E00" w:rsidRPr="00174192" w:rsidRDefault="007F6E00" w:rsidP="00174192">
            <w:pPr>
              <w:jc w:val="center"/>
            </w:pPr>
            <w:r w:rsidRPr="00174192">
              <w:rPr>
                <w:rFonts w:hint="eastAsia"/>
              </w:rPr>
              <w:t>1</w:t>
            </w:r>
            <w:r w:rsidRPr="00174192">
              <w:t>.5–5.5 km</w:t>
            </w:r>
          </w:p>
        </w:tc>
      </w:tr>
      <w:tr w:rsidR="007F6E00" w:rsidRPr="00174192" w14:paraId="45D39E7C" w14:textId="77777777" w:rsidTr="00174192">
        <w:tc>
          <w:tcPr>
            <w:tcW w:w="2127" w:type="dxa"/>
            <w:vMerge w:val="restart"/>
            <w:tcBorders>
              <w:left w:val="nil"/>
            </w:tcBorders>
            <w:vAlign w:val="center"/>
          </w:tcPr>
          <w:p w14:paraId="37F04B4D" w14:textId="77777777" w:rsidR="007F6E00" w:rsidRPr="00174192" w:rsidRDefault="007F6E00" w:rsidP="00174192">
            <w:pPr>
              <w:jc w:val="center"/>
            </w:pPr>
            <w:r w:rsidRPr="00174192">
              <w:rPr>
                <w:rFonts w:hint="eastAsia"/>
              </w:rPr>
              <w:t>C</w:t>
            </w:r>
            <w:r w:rsidRPr="00174192">
              <w:t>rust layer 2</w:t>
            </w:r>
          </w:p>
        </w:tc>
        <w:tc>
          <w:tcPr>
            <w:tcW w:w="1842" w:type="dxa"/>
            <w:tcBorders>
              <w:bottom w:val="nil"/>
              <w:right w:val="single" w:sz="4" w:space="0" w:color="auto"/>
            </w:tcBorders>
            <w:vAlign w:val="center"/>
          </w:tcPr>
          <w:p w14:paraId="188589F0" w14:textId="77777777" w:rsidR="007F6E00" w:rsidRPr="003130C0" w:rsidRDefault="007F6E00" w:rsidP="00174192">
            <w:pPr>
              <w:jc w:val="center"/>
              <w:rPr>
                <w:i/>
                <w:iCs/>
              </w:rPr>
            </w:pPr>
            <w:r w:rsidRPr="003130C0">
              <w:rPr>
                <w:rFonts w:hint="eastAsia"/>
                <w:i/>
                <w:iCs/>
              </w:rPr>
              <w:t>V</w:t>
            </w:r>
            <w:r w:rsidRPr="003130C0">
              <w:rPr>
                <w:i/>
                <w:iCs/>
              </w:rPr>
              <w:t>s</w:t>
            </w:r>
            <w:r w:rsidRPr="003130C0">
              <w:rPr>
                <w:i/>
                <w:iCs/>
                <w:vertAlign w:val="subscript"/>
              </w:rPr>
              <w:t>1</w:t>
            </w:r>
          </w:p>
        </w:tc>
        <w:tc>
          <w:tcPr>
            <w:tcW w:w="3544" w:type="dxa"/>
            <w:tcBorders>
              <w:left w:val="single" w:sz="4" w:space="0" w:color="auto"/>
              <w:bottom w:val="nil"/>
              <w:right w:val="nil"/>
            </w:tcBorders>
            <w:vAlign w:val="center"/>
          </w:tcPr>
          <w:p w14:paraId="5609822B" w14:textId="77777777" w:rsidR="007F6E00" w:rsidRPr="00174192" w:rsidRDefault="007F6E00" w:rsidP="00174192">
            <w:pPr>
              <w:jc w:val="center"/>
            </w:pPr>
            <w:r w:rsidRPr="00174192">
              <w:t>1.3–2.3 km/s</w:t>
            </w:r>
          </w:p>
        </w:tc>
      </w:tr>
      <w:tr w:rsidR="007F6E00" w:rsidRPr="00174192" w14:paraId="5C4FBB47" w14:textId="77777777" w:rsidTr="00174192">
        <w:tc>
          <w:tcPr>
            <w:tcW w:w="2127" w:type="dxa"/>
            <w:vMerge/>
            <w:tcBorders>
              <w:left w:val="nil"/>
            </w:tcBorders>
            <w:vAlign w:val="center"/>
          </w:tcPr>
          <w:p w14:paraId="6273E658" w14:textId="77777777" w:rsidR="007F6E00" w:rsidRPr="00174192" w:rsidRDefault="007F6E00" w:rsidP="00174192">
            <w:pPr>
              <w:jc w:val="center"/>
            </w:pPr>
          </w:p>
        </w:tc>
        <w:tc>
          <w:tcPr>
            <w:tcW w:w="1842" w:type="dxa"/>
            <w:tcBorders>
              <w:top w:val="nil"/>
              <w:bottom w:val="nil"/>
              <w:right w:val="single" w:sz="4" w:space="0" w:color="auto"/>
            </w:tcBorders>
            <w:vAlign w:val="center"/>
          </w:tcPr>
          <w:p w14:paraId="13589C02" w14:textId="77777777" w:rsidR="007F6E00" w:rsidRPr="003130C0" w:rsidRDefault="007F6E00" w:rsidP="00174192">
            <w:pPr>
              <w:jc w:val="center"/>
              <w:rPr>
                <w:i/>
                <w:iCs/>
              </w:rPr>
            </w:pPr>
            <w:r w:rsidRPr="003130C0">
              <w:rPr>
                <w:rFonts w:hint="eastAsia"/>
                <w:i/>
                <w:iCs/>
              </w:rPr>
              <w:t>R</w:t>
            </w:r>
            <w:r w:rsidRPr="003130C0">
              <w:rPr>
                <w:i/>
                <w:iCs/>
                <w:vertAlign w:val="subscript"/>
              </w:rPr>
              <w:t>1</w:t>
            </w:r>
          </w:p>
        </w:tc>
        <w:tc>
          <w:tcPr>
            <w:tcW w:w="3544" w:type="dxa"/>
            <w:tcBorders>
              <w:top w:val="nil"/>
              <w:left w:val="single" w:sz="4" w:space="0" w:color="auto"/>
              <w:bottom w:val="nil"/>
              <w:right w:val="nil"/>
            </w:tcBorders>
            <w:vAlign w:val="center"/>
          </w:tcPr>
          <w:p w14:paraId="4965AAA1" w14:textId="77777777" w:rsidR="007F6E00" w:rsidRPr="00174192" w:rsidRDefault="007F6E00" w:rsidP="00174192">
            <w:pPr>
              <w:jc w:val="center"/>
            </w:pPr>
            <w:r w:rsidRPr="00174192">
              <w:rPr>
                <w:rFonts w:hint="eastAsia"/>
              </w:rPr>
              <w:t>1</w:t>
            </w:r>
            <w:r w:rsidRPr="00174192">
              <w:t>.5–2.1</w:t>
            </w:r>
          </w:p>
        </w:tc>
      </w:tr>
      <w:tr w:rsidR="007F6E00" w:rsidRPr="00174192" w14:paraId="49E9F3FB" w14:textId="77777777" w:rsidTr="00174192">
        <w:tc>
          <w:tcPr>
            <w:tcW w:w="2127" w:type="dxa"/>
            <w:vMerge/>
            <w:tcBorders>
              <w:left w:val="nil"/>
            </w:tcBorders>
            <w:vAlign w:val="center"/>
          </w:tcPr>
          <w:p w14:paraId="79D075FF" w14:textId="77777777" w:rsidR="007F6E00" w:rsidRPr="00174192" w:rsidRDefault="007F6E00" w:rsidP="00174192">
            <w:pPr>
              <w:jc w:val="center"/>
            </w:pPr>
          </w:p>
        </w:tc>
        <w:tc>
          <w:tcPr>
            <w:tcW w:w="1842" w:type="dxa"/>
            <w:tcBorders>
              <w:top w:val="nil"/>
              <w:bottom w:val="single" w:sz="4" w:space="0" w:color="auto"/>
              <w:right w:val="single" w:sz="4" w:space="0" w:color="auto"/>
            </w:tcBorders>
            <w:vAlign w:val="center"/>
          </w:tcPr>
          <w:p w14:paraId="4D4BA45B" w14:textId="77777777" w:rsidR="007F6E00" w:rsidRPr="003130C0" w:rsidRDefault="007F6E00" w:rsidP="00174192">
            <w:pPr>
              <w:jc w:val="center"/>
              <w:rPr>
                <w:i/>
                <w:iCs/>
              </w:rPr>
            </w:pPr>
            <w:r w:rsidRPr="003130C0">
              <w:rPr>
                <w:rFonts w:hint="eastAsia"/>
                <w:i/>
                <w:iCs/>
              </w:rPr>
              <w:t>H</w:t>
            </w:r>
            <w:r w:rsidRPr="003130C0">
              <w:rPr>
                <w:i/>
                <w:iCs/>
                <w:vertAlign w:val="subscript"/>
              </w:rPr>
              <w:t>2</w:t>
            </w:r>
          </w:p>
        </w:tc>
        <w:tc>
          <w:tcPr>
            <w:tcW w:w="3544" w:type="dxa"/>
            <w:tcBorders>
              <w:top w:val="nil"/>
              <w:left w:val="single" w:sz="4" w:space="0" w:color="auto"/>
              <w:bottom w:val="single" w:sz="4" w:space="0" w:color="auto"/>
              <w:right w:val="nil"/>
            </w:tcBorders>
            <w:vAlign w:val="center"/>
          </w:tcPr>
          <w:p w14:paraId="69ED267A" w14:textId="77777777" w:rsidR="007F6E00" w:rsidRPr="00174192" w:rsidRDefault="007F6E00" w:rsidP="00174192">
            <w:pPr>
              <w:jc w:val="center"/>
            </w:pPr>
            <w:r w:rsidRPr="00174192">
              <w:t>6–12 km</w:t>
            </w:r>
          </w:p>
        </w:tc>
      </w:tr>
      <w:tr w:rsidR="007F6E00" w:rsidRPr="00174192" w14:paraId="5B9CC6FD" w14:textId="77777777" w:rsidTr="00174192">
        <w:tc>
          <w:tcPr>
            <w:tcW w:w="2127" w:type="dxa"/>
            <w:vMerge w:val="restart"/>
            <w:tcBorders>
              <w:left w:val="nil"/>
            </w:tcBorders>
            <w:vAlign w:val="center"/>
          </w:tcPr>
          <w:p w14:paraId="2F41BFF9" w14:textId="77777777" w:rsidR="007F6E00" w:rsidRPr="00174192" w:rsidRDefault="007F6E00" w:rsidP="00174192">
            <w:pPr>
              <w:jc w:val="center"/>
            </w:pPr>
            <w:r w:rsidRPr="00174192">
              <w:rPr>
                <w:rFonts w:hint="eastAsia"/>
              </w:rPr>
              <w:t>C</w:t>
            </w:r>
            <w:r w:rsidRPr="00174192">
              <w:t>rust layer 3</w:t>
            </w:r>
          </w:p>
        </w:tc>
        <w:tc>
          <w:tcPr>
            <w:tcW w:w="1842" w:type="dxa"/>
            <w:tcBorders>
              <w:bottom w:val="nil"/>
              <w:right w:val="single" w:sz="4" w:space="0" w:color="auto"/>
            </w:tcBorders>
            <w:vAlign w:val="center"/>
          </w:tcPr>
          <w:p w14:paraId="086E7A7E" w14:textId="77777777" w:rsidR="007F6E00" w:rsidRPr="003130C0" w:rsidRDefault="007F6E00" w:rsidP="00174192">
            <w:pPr>
              <w:jc w:val="center"/>
              <w:rPr>
                <w:i/>
                <w:iCs/>
              </w:rPr>
            </w:pPr>
            <w:r w:rsidRPr="003130C0">
              <w:rPr>
                <w:rFonts w:hint="eastAsia"/>
                <w:i/>
                <w:iCs/>
              </w:rPr>
              <w:t>V</w:t>
            </w:r>
            <w:r w:rsidRPr="003130C0">
              <w:rPr>
                <w:i/>
                <w:iCs/>
              </w:rPr>
              <w:t>s</w:t>
            </w:r>
            <w:r w:rsidRPr="003130C0">
              <w:rPr>
                <w:i/>
                <w:iCs/>
                <w:vertAlign w:val="subscript"/>
              </w:rPr>
              <w:t>2</w:t>
            </w:r>
          </w:p>
        </w:tc>
        <w:tc>
          <w:tcPr>
            <w:tcW w:w="3544" w:type="dxa"/>
            <w:tcBorders>
              <w:left w:val="single" w:sz="4" w:space="0" w:color="auto"/>
              <w:bottom w:val="nil"/>
              <w:right w:val="nil"/>
            </w:tcBorders>
            <w:vAlign w:val="center"/>
          </w:tcPr>
          <w:p w14:paraId="115DEEBF" w14:textId="77777777" w:rsidR="007F6E00" w:rsidRPr="00174192" w:rsidRDefault="007F6E00" w:rsidP="00174192">
            <w:pPr>
              <w:jc w:val="center"/>
            </w:pPr>
            <w:r w:rsidRPr="00174192">
              <w:t>2.0–3.2 km/s</w:t>
            </w:r>
          </w:p>
        </w:tc>
      </w:tr>
      <w:tr w:rsidR="007F6E00" w:rsidRPr="00174192" w14:paraId="1C902DFA" w14:textId="77777777" w:rsidTr="00174192">
        <w:tc>
          <w:tcPr>
            <w:tcW w:w="2127" w:type="dxa"/>
            <w:vMerge/>
            <w:tcBorders>
              <w:left w:val="nil"/>
            </w:tcBorders>
            <w:vAlign w:val="center"/>
          </w:tcPr>
          <w:p w14:paraId="288ABB31" w14:textId="77777777" w:rsidR="007F6E00" w:rsidRPr="00174192" w:rsidRDefault="007F6E00" w:rsidP="00174192">
            <w:pPr>
              <w:jc w:val="center"/>
            </w:pPr>
          </w:p>
        </w:tc>
        <w:tc>
          <w:tcPr>
            <w:tcW w:w="1842" w:type="dxa"/>
            <w:tcBorders>
              <w:top w:val="nil"/>
              <w:bottom w:val="nil"/>
              <w:right w:val="single" w:sz="4" w:space="0" w:color="auto"/>
            </w:tcBorders>
            <w:vAlign w:val="center"/>
          </w:tcPr>
          <w:p w14:paraId="6D3C1420" w14:textId="77777777" w:rsidR="007F6E00" w:rsidRPr="003130C0" w:rsidRDefault="007F6E00" w:rsidP="00174192">
            <w:pPr>
              <w:jc w:val="center"/>
              <w:rPr>
                <w:i/>
                <w:iCs/>
              </w:rPr>
            </w:pPr>
            <w:r w:rsidRPr="003130C0">
              <w:rPr>
                <w:rFonts w:hint="eastAsia"/>
                <w:i/>
                <w:iCs/>
              </w:rPr>
              <w:t>R</w:t>
            </w:r>
            <w:r w:rsidRPr="003130C0">
              <w:rPr>
                <w:i/>
                <w:iCs/>
                <w:vertAlign w:val="subscript"/>
              </w:rPr>
              <w:t>2</w:t>
            </w:r>
          </w:p>
        </w:tc>
        <w:tc>
          <w:tcPr>
            <w:tcW w:w="3544" w:type="dxa"/>
            <w:tcBorders>
              <w:top w:val="nil"/>
              <w:left w:val="single" w:sz="4" w:space="0" w:color="auto"/>
              <w:bottom w:val="nil"/>
              <w:right w:val="nil"/>
            </w:tcBorders>
            <w:vAlign w:val="center"/>
          </w:tcPr>
          <w:p w14:paraId="34DCFAD9" w14:textId="77777777" w:rsidR="007F6E00" w:rsidRPr="00174192" w:rsidRDefault="007F6E00" w:rsidP="00174192">
            <w:pPr>
              <w:jc w:val="center"/>
            </w:pPr>
            <w:r w:rsidRPr="00174192">
              <w:rPr>
                <w:rFonts w:hint="eastAsia"/>
              </w:rPr>
              <w:t>1</w:t>
            </w:r>
            <w:r w:rsidRPr="00174192">
              <w:t>.5–2.1</w:t>
            </w:r>
          </w:p>
        </w:tc>
      </w:tr>
      <w:tr w:rsidR="007F6E00" w:rsidRPr="00174192" w14:paraId="1282F5D7" w14:textId="77777777" w:rsidTr="00174192">
        <w:tc>
          <w:tcPr>
            <w:tcW w:w="2127" w:type="dxa"/>
            <w:vMerge/>
            <w:tcBorders>
              <w:left w:val="nil"/>
            </w:tcBorders>
            <w:vAlign w:val="center"/>
          </w:tcPr>
          <w:p w14:paraId="62408CCF" w14:textId="77777777" w:rsidR="007F6E00" w:rsidRPr="00174192" w:rsidRDefault="007F6E00" w:rsidP="00174192">
            <w:pPr>
              <w:jc w:val="center"/>
            </w:pPr>
          </w:p>
        </w:tc>
        <w:tc>
          <w:tcPr>
            <w:tcW w:w="1842" w:type="dxa"/>
            <w:tcBorders>
              <w:top w:val="nil"/>
              <w:bottom w:val="single" w:sz="4" w:space="0" w:color="auto"/>
              <w:right w:val="single" w:sz="4" w:space="0" w:color="auto"/>
            </w:tcBorders>
            <w:vAlign w:val="center"/>
          </w:tcPr>
          <w:p w14:paraId="6166DBDB" w14:textId="77777777" w:rsidR="007F6E00" w:rsidRPr="003130C0" w:rsidRDefault="007F6E00" w:rsidP="00174192">
            <w:pPr>
              <w:jc w:val="center"/>
              <w:rPr>
                <w:i/>
                <w:iCs/>
              </w:rPr>
            </w:pPr>
            <w:r w:rsidRPr="003130C0">
              <w:rPr>
                <w:rFonts w:hint="eastAsia"/>
                <w:i/>
                <w:iCs/>
              </w:rPr>
              <w:t>H</w:t>
            </w:r>
            <w:r w:rsidRPr="003130C0">
              <w:rPr>
                <w:i/>
                <w:iCs/>
                <w:vertAlign w:val="subscript"/>
              </w:rPr>
              <w:t>3</w:t>
            </w:r>
          </w:p>
        </w:tc>
        <w:tc>
          <w:tcPr>
            <w:tcW w:w="3544" w:type="dxa"/>
            <w:tcBorders>
              <w:top w:val="nil"/>
              <w:left w:val="single" w:sz="4" w:space="0" w:color="auto"/>
              <w:bottom w:val="single" w:sz="4" w:space="0" w:color="auto"/>
              <w:right w:val="nil"/>
            </w:tcBorders>
            <w:vAlign w:val="center"/>
          </w:tcPr>
          <w:p w14:paraId="420D47A9" w14:textId="77777777" w:rsidR="007F6E00" w:rsidRPr="00174192" w:rsidRDefault="007F6E00" w:rsidP="00174192">
            <w:pPr>
              <w:jc w:val="center"/>
            </w:pPr>
            <w:r w:rsidRPr="00174192">
              <w:rPr>
                <w:rFonts w:hint="eastAsia"/>
              </w:rPr>
              <w:t>1</w:t>
            </w:r>
            <w:r w:rsidRPr="00174192">
              <w:t>4–30 km</w:t>
            </w:r>
          </w:p>
        </w:tc>
      </w:tr>
      <w:tr w:rsidR="007F6E00" w:rsidRPr="00174192" w14:paraId="60862FDF" w14:textId="77777777" w:rsidTr="00174192">
        <w:tc>
          <w:tcPr>
            <w:tcW w:w="2127" w:type="dxa"/>
            <w:vMerge w:val="restart"/>
            <w:tcBorders>
              <w:left w:val="nil"/>
            </w:tcBorders>
            <w:vAlign w:val="center"/>
          </w:tcPr>
          <w:p w14:paraId="451DEB9B" w14:textId="77777777" w:rsidR="007F6E00" w:rsidRPr="00174192" w:rsidRDefault="007F6E00" w:rsidP="00174192">
            <w:pPr>
              <w:jc w:val="center"/>
            </w:pPr>
            <w:r w:rsidRPr="00174192">
              <w:rPr>
                <w:rFonts w:hint="eastAsia"/>
              </w:rPr>
              <w:t>C</w:t>
            </w:r>
            <w:r w:rsidRPr="00174192">
              <w:t>rust layer 4</w:t>
            </w:r>
          </w:p>
        </w:tc>
        <w:tc>
          <w:tcPr>
            <w:tcW w:w="1842" w:type="dxa"/>
            <w:tcBorders>
              <w:bottom w:val="nil"/>
              <w:right w:val="single" w:sz="4" w:space="0" w:color="auto"/>
            </w:tcBorders>
            <w:vAlign w:val="center"/>
          </w:tcPr>
          <w:p w14:paraId="27E4837C" w14:textId="77777777" w:rsidR="007F6E00" w:rsidRPr="003130C0" w:rsidRDefault="007F6E00" w:rsidP="00174192">
            <w:pPr>
              <w:jc w:val="center"/>
              <w:rPr>
                <w:i/>
                <w:iCs/>
              </w:rPr>
            </w:pPr>
            <w:r w:rsidRPr="003130C0">
              <w:rPr>
                <w:rFonts w:hint="eastAsia"/>
                <w:i/>
                <w:iCs/>
              </w:rPr>
              <w:t>V</w:t>
            </w:r>
            <w:r w:rsidRPr="003130C0">
              <w:rPr>
                <w:i/>
                <w:iCs/>
              </w:rPr>
              <w:t>s</w:t>
            </w:r>
            <w:r w:rsidRPr="003130C0">
              <w:rPr>
                <w:i/>
                <w:iCs/>
                <w:vertAlign w:val="subscript"/>
              </w:rPr>
              <w:t>3</w:t>
            </w:r>
          </w:p>
        </w:tc>
        <w:tc>
          <w:tcPr>
            <w:tcW w:w="3544" w:type="dxa"/>
            <w:tcBorders>
              <w:left w:val="single" w:sz="4" w:space="0" w:color="auto"/>
              <w:bottom w:val="nil"/>
              <w:right w:val="nil"/>
            </w:tcBorders>
            <w:vAlign w:val="center"/>
          </w:tcPr>
          <w:p w14:paraId="0494EE4A" w14:textId="77777777" w:rsidR="007F6E00" w:rsidRPr="00174192" w:rsidRDefault="007F6E00" w:rsidP="00174192">
            <w:pPr>
              <w:jc w:val="center"/>
            </w:pPr>
            <w:r w:rsidRPr="00174192">
              <w:t>2.5–4.0 km/s</w:t>
            </w:r>
          </w:p>
        </w:tc>
      </w:tr>
      <w:tr w:rsidR="007F6E00" w:rsidRPr="00174192" w14:paraId="191AC8A1" w14:textId="77777777" w:rsidTr="00174192">
        <w:tc>
          <w:tcPr>
            <w:tcW w:w="2127" w:type="dxa"/>
            <w:vMerge/>
            <w:tcBorders>
              <w:left w:val="nil"/>
            </w:tcBorders>
            <w:vAlign w:val="center"/>
          </w:tcPr>
          <w:p w14:paraId="16E7778C" w14:textId="77777777" w:rsidR="007F6E00" w:rsidRPr="00174192" w:rsidRDefault="007F6E00" w:rsidP="00174192">
            <w:pPr>
              <w:jc w:val="center"/>
            </w:pPr>
          </w:p>
        </w:tc>
        <w:tc>
          <w:tcPr>
            <w:tcW w:w="1842" w:type="dxa"/>
            <w:tcBorders>
              <w:top w:val="nil"/>
              <w:bottom w:val="nil"/>
              <w:right w:val="single" w:sz="4" w:space="0" w:color="auto"/>
            </w:tcBorders>
            <w:vAlign w:val="center"/>
          </w:tcPr>
          <w:p w14:paraId="48E20129" w14:textId="77777777" w:rsidR="007F6E00" w:rsidRPr="003130C0" w:rsidRDefault="007F6E00" w:rsidP="00174192">
            <w:pPr>
              <w:jc w:val="center"/>
              <w:rPr>
                <w:i/>
                <w:iCs/>
              </w:rPr>
            </w:pPr>
            <w:r w:rsidRPr="003130C0">
              <w:rPr>
                <w:rFonts w:hint="eastAsia"/>
                <w:i/>
                <w:iCs/>
              </w:rPr>
              <w:t>R</w:t>
            </w:r>
            <w:r w:rsidRPr="003130C0">
              <w:rPr>
                <w:i/>
                <w:iCs/>
                <w:vertAlign w:val="subscript"/>
              </w:rPr>
              <w:t>3</w:t>
            </w:r>
          </w:p>
        </w:tc>
        <w:tc>
          <w:tcPr>
            <w:tcW w:w="3544" w:type="dxa"/>
            <w:tcBorders>
              <w:top w:val="nil"/>
              <w:left w:val="single" w:sz="4" w:space="0" w:color="auto"/>
              <w:bottom w:val="nil"/>
              <w:right w:val="nil"/>
            </w:tcBorders>
            <w:vAlign w:val="center"/>
          </w:tcPr>
          <w:p w14:paraId="215370CA" w14:textId="77777777" w:rsidR="007F6E00" w:rsidRPr="00174192" w:rsidRDefault="007F6E00" w:rsidP="00174192">
            <w:pPr>
              <w:jc w:val="center"/>
            </w:pPr>
            <w:r w:rsidRPr="00174192">
              <w:rPr>
                <w:rFonts w:hint="eastAsia"/>
              </w:rPr>
              <w:t>1</w:t>
            </w:r>
            <w:r w:rsidRPr="00174192">
              <w:t>.5–2.1</w:t>
            </w:r>
          </w:p>
        </w:tc>
      </w:tr>
      <w:tr w:rsidR="007F6E00" w:rsidRPr="00174192" w14:paraId="7CED62C2" w14:textId="77777777" w:rsidTr="00174192">
        <w:tc>
          <w:tcPr>
            <w:tcW w:w="2127" w:type="dxa"/>
            <w:vMerge/>
            <w:tcBorders>
              <w:left w:val="nil"/>
            </w:tcBorders>
            <w:vAlign w:val="center"/>
          </w:tcPr>
          <w:p w14:paraId="338F9AC3" w14:textId="77777777" w:rsidR="007F6E00" w:rsidRPr="00174192" w:rsidRDefault="007F6E00" w:rsidP="00174192">
            <w:pPr>
              <w:jc w:val="center"/>
            </w:pPr>
          </w:p>
        </w:tc>
        <w:tc>
          <w:tcPr>
            <w:tcW w:w="1842" w:type="dxa"/>
            <w:tcBorders>
              <w:top w:val="nil"/>
              <w:bottom w:val="single" w:sz="4" w:space="0" w:color="auto"/>
              <w:right w:val="single" w:sz="4" w:space="0" w:color="auto"/>
            </w:tcBorders>
            <w:vAlign w:val="center"/>
          </w:tcPr>
          <w:p w14:paraId="2730EF40" w14:textId="77777777" w:rsidR="007F6E00" w:rsidRPr="003130C0" w:rsidRDefault="007F6E00" w:rsidP="00174192">
            <w:pPr>
              <w:jc w:val="center"/>
              <w:rPr>
                <w:i/>
                <w:iCs/>
              </w:rPr>
            </w:pPr>
            <w:r w:rsidRPr="003130C0">
              <w:rPr>
                <w:rFonts w:hint="eastAsia"/>
                <w:i/>
                <w:iCs/>
              </w:rPr>
              <w:t>H</w:t>
            </w:r>
            <w:r w:rsidRPr="003130C0">
              <w:rPr>
                <w:i/>
                <w:iCs/>
                <w:vertAlign w:val="subscript"/>
              </w:rPr>
              <w:t>4</w:t>
            </w:r>
          </w:p>
        </w:tc>
        <w:tc>
          <w:tcPr>
            <w:tcW w:w="3544" w:type="dxa"/>
            <w:tcBorders>
              <w:top w:val="nil"/>
              <w:left w:val="single" w:sz="4" w:space="0" w:color="auto"/>
              <w:bottom w:val="single" w:sz="4" w:space="0" w:color="auto"/>
              <w:right w:val="nil"/>
            </w:tcBorders>
            <w:vAlign w:val="center"/>
          </w:tcPr>
          <w:p w14:paraId="1B573DDF" w14:textId="77777777" w:rsidR="007F6E00" w:rsidRPr="00174192" w:rsidRDefault="007F6E00" w:rsidP="00174192">
            <w:pPr>
              <w:jc w:val="center"/>
            </w:pPr>
            <w:r w:rsidRPr="00174192">
              <w:t>30–55 km</w:t>
            </w:r>
          </w:p>
        </w:tc>
      </w:tr>
      <w:tr w:rsidR="007F6E00" w:rsidRPr="00174192" w14:paraId="452E04D8" w14:textId="77777777" w:rsidTr="00174192">
        <w:tc>
          <w:tcPr>
            <w:tcW w:w="2127" w:type="dxa"/>
            <w:vMerge w:val="restart"/>
            <w:tcBorders>
              <w:left w:val="nil"/>
            </w:tcBorders>
            <w:vAlign w:val="center"/>
          </w:tcPr>
          <w:p w14:paraId="39F2A902" w14:textId="77777777" w:rsidR="007F6E00" w:rsidRPr="00174192" w:rsidRDefault="007F6E00" w:rsidP="00174192">
            <w:pPr>
              <w:jc w:val="center"/>
            </w:pPr>
            <w:r w:rsidRPr="00174192">
              <w:rPr>
                <w:rFonts w:hint="eastAsia"/>
              </w:rPr>
              <w:t>U</w:t>
            </w:r>
            <w:r w:rsidRPr="00174192">
              <w:t>ppermost mantle above the LVZ</w:t>
            </w:r>
          </w:p>
        </w:tc>
        <w:tc>
          <w:tcPr>
            <w:tcW w:w="1842" w:type="dxa"/>
            <w:tcBorders>
              <w:bottom w:val="nil"/>
              <w:right w:val="single" w:sz="4" w:space="0" w:color="auto"/>
            </w:tcBorders>
            <w:vAlign w:val="center"/>
          </w:tcPr>
          <w:p w14:paraId="2D4A875F" w14:textId="77777777" w:rsidR="007F6E00" w:rsidRPr="003130C0" w:rsidRDefault="007F6E00" w:rsidP="00174192">
            <w:pPr>
              <w:jc w:val="center"/>
              <w:rPr>
                <w:i/>
                <w:iCs/>
              </w:rPr>
            </w:pPr>
            <w:r w:rsidRPr="003130C0">
              <w:rPr>
                <w:rFonts w:hint="eastAsia"/>
                <w:i/>
                <w:iCs/>
              </w:rPr>
              <w:t>V</w:t>
            </w:r>
            <w:r w:rsidRPr="003130C0">
              <w:rPr>
                <w:i/>
                <w:iCs/>
              </w:rPr>
              <w:t>s</w:t>
            </w:r>
            <w:r w:rsidRPr="003130C0">
              <w:rPr>
                <w:i/>
                <w:iCs/>
                <w:vertAlign w:val="subscript"/>
              </w:rPr>
              <w:t>4</w:t>
            </w:r>
          </w:p>
        </w:tc>
        <w:tc>
          <w:tcPr>
            <w:tcW w:w="3544" w:type="dxa"/>
            <w:tcBorders>
              <w:left w:val="single" w:sz="4" w:space="0" w:color="auto"/>
              <w:bottom w:val="nil"/>
              <w:right w:val="nil"/>
            </w:tcBorders>
            <w:vAlign w:val="center"/>
          </w:tcPr>
          <w:p w14:paraId="1F381298" w14:textId="77777777" w:rsidR="007F6E00" w:rsidRPr="00174192" w:rsidRDefault="007F6E00" w:rsidP="00174192">
            <w:pPr>
              <w:jc w:val="center"/>
            </w:pPr>
            <w:r w:rsidRPr="00174192">
              <w:t>2.8–4.6 km/s</w:t>
            </w:r>
          </w:p>
        </w:tc>
      </w:tr>
      <w:tr w:rsidR="007F6E00" w:rsidRPr="00174192" w14:paraId="4B4B70E8" w14:textId="77777777" w:rsidTr="00174192">
        <w:tc>
          <w:tcPr>
            <w:tcW w:w="2127" w:type="dxa"/>
            <w:vMerge/>
            <w:tcBorders>
              <w:left w:val="nil"/>
            </w:tcBorders>
            <w:vAlign w:val="center"/>
          </w:tcPr>
          <w:p w14:paraId="117CB215" w14:textId="77777777" w:rsidR="007F6E00" w:rsidRPr="00174192" w:rsidRDefault="007F6E00" w:rsidP="00174192">
            <w:pPr>
              <w:jc w:val="center"/>
            </w:pPr>
          </w:p>
        </w:tc>
        <w:tc>
          <w:tcPr>
            <w:tcW w:w="1842" w:type="dxa"/>
            <w:tcBorders>
              <w:top w:val="nil"/>
              <w:bottom w:val="nil"/>
              <w:right w:val="single" w:sz="4" w:space="0" w:color="auto"/>
            </w:tcBorders>
            <w:vAlign w:val="center"/>
          </w:tcPr>
          <w:p w14:paraId="77C87A69" w14:textId="77777777" w:rsidR="007F6E00" w:rsidRPr="003130C0" w:rsidRDefault="007F6E00" w:rsidP="00174192">
            <w:pPr>
              <w:jc w:val="center"/>
              <w:rPr>
                <w:i/>
                <w:iCs/>
              </w:rPr>
            </w:pPr>
            <w:r w:rsidRPr="003130C0">
              <w:rPr>
                <w:rFonts w:hint="eastAsia"/>
                <w:i/>
                <w:iCs/>
              </w:rPr>
              <w:t>R</w:t>
            </w:r>
            <w:r w:rsidRPr="003130C0">
              <w:rPr>
                <w:i/>
                <w:iCs/>
                <w:vertAlign w:val="subscript"/>
              </w:rPr>
              <w:t>4</w:t>
            </w:r>
          </w:p>
        </w:tc>
        <w:tc>
          <w:tcPr>
            <w:tcW w:w="3544" w:type="dxa"/>
            <w:tcBorders>
              <w:top w:val="nil"/>
              <w:left w:val="single" w:sz="4" w:space="0" w:color="auto"/>
              <w:bottom w:val="nil"/>
              <w:right w:val="nil"/>
            </w:tcBorders>
            <w:vAlign w:val="center"/>
          </w:tcPr>
          <w:p w14:paraId="610D037B" w14:textId="77777777" w:rsidR="007F6E00" w:rsidRPr="00174192" w:rsidRDefault="007F6E00" w:rsidP="00174192">
            <w:pPr>
              <w:jc w:val="center"/>
            </w:pPr>
            <w:r w:rsidRPr="00174192">
              <w:rPr>
                <w:rFonts w:hint="eastAsia"/>
              </w:rPr>
              <w:t>1</w:t>
            </w:r>
            <w:r w:rsidRPr="00174192">
              <w:t>.5–2.1</w:t>
            </w:r>
          </w:p>
        </w:tc>
      </w:tr>
      <w:tr w:rsidR="007F6E00" w:rsidRPr="00174192" w14:paraId="31CF62B4" w14:textId="77777777" w:rsidTr="00174192">
        <w:tc>
          <w:tcPr>
            <w:tcW w:w="2127" w:type="dxa"/>
            <w:vMerge/>
            <w:tcBorders>
              <w:left w:val="nil"/>
              <w:bottom w:val="single" w:sz="4" w:space="0" w:color="auto"/>
            </w:tcBorders>
            <w:vAlign w:val="center"/>
          </w:tcPr>
          <w:p w14:paraId="28374B5A" w14:textId="77777777" w:rsidR="007F6E00" w:rsidRPr="00174192" w:rsidRDefault="007F6E00" w:rsidP="00174192">
            <w:pPr>
              <w:jc w:val="center"/>
            </w:pPr>
          </w:p>
        </w:tc>
        <w:tc>
          <w:tcPr>
            <w:tcW w:w="1842" w:type="dxa"/>
            <w:tcBorders>
              <w:top w:val="nil"/>
              <w:bottom w:val="single" w:sz="4" w:space="0" w:color="auto"/>
              <w:right w:val="single" w:sz="4" w:space="0" w:color="auto"/>
            </w:tcBorders>
            <w:vAlign w:val="center"/>
          </w:tcPr>
          <w:p w14:paraId="6C5271B7" w14:textId="77777777" w:rsidR="007F6E00" w:rsidRPr="003130C0" w:rsidRDefault="007F6E00" w:rsidP="00174192">
            <w:pPr>
              <w:jc w:val="center"/>
              <w:rPr>
                <w:i/>
                <w:iCs/>
              </w:rPr>
            </w:pPr>
            <w:r w:rsidRPr="003130C0">
              <w:rPr>
                <w:rFonts w:hint="eastAsia"/>
                <w:i/>
                <w:iCs/>
              </w:rPr>
              <w:t>H</w:t>
            </w:r>
            <w:r w:rsidRPr="003130C0">
              <w:rPr>
                <w:i/>
                <w:iCs/>
                <w:vertAlign w:val="subscript"/>
              </w:rPr>
              <w:t>5</w:t>
            </w:r>
          </w:p>
        </w:tc>
        <w:tc>
          <w:tcPr>
            <w:tcW w:w="3544" w:type="dxa"/>
            <w:tcBorders>
              <w:top w:val="nil"/>
              <w:left w:val="single" w:sz="4" w:space="0" w:color="auto"/>
              <w:bottom w:val="single" w:sz="4" w:space="0" w:color="auto"/>
              <w:right w:val="nil"/>
            </w:tcBorders>
            <w:vAlign w:val="center"/>
          </w:tcPr>
          <w:p w14:paraId="31E17843" w14:textId="77777777" w:rsidR="007F6E00" w:rsidRPr="00174192" w:rsidRDefault="007F6E00" w:rsidP="00174192">
            <w:pPr>
              <w:jc w:val="center"/>
            </w:pPr>
            <w:r w:rsidRPr="00174192">
              <w:t>50–90 km</w:t>
            </w:r>
          </w:p>
        </w:tc>
      </w:tr>
      <w:tr w:rsidR="007F6E00" w:rsidRPr="00174192" w14:paraId="64D408AA" w14:textId="77777777" w:rsidTr="00174192">
        <w:tc>
          <w:tcPr>
            <w:tcW w:w="2127" w:type="dxa"/>
            <w:vMerge w:val="restart"/>
            <w:tcBorders>
              <w:left w:val="nil"/>
              <w:bottom w:val="single" w:sz="18" w:space="0" w:color="auto"/>
            </w:tcBorders>
            <w:vAlign w:val="center"/>
          </w:tcPr>
          <w:p w14:paraId="7C0A6E5A" w14:textId="77777777" w:rsidR="007F6E00" w:rsidRPr="00174192" w:rsidRDefault="007F6E00" w:rsidP="00174192">
            <w:pPr>
              <w:jc w:val="center"/>
            </w:pPr>
            <w:r w:rsidRPr="00174192">
              <w:rPr>
                <w:rFonts w:hint="eastAsia"/>
              </w:rPr>
              <w:t>U</w:t>
            </w:r>
            <w:r w:rsidRPr="00174192">
              <w:t>pper mantle LVZ</w:t>
            </w:r>
          </w:p>
        </w:tc>
        <w:tc>
          <w:tcPr>
            <w:tcW w:w="1842" w:type="dxa"/>
            <w:tcBorders>
              <w:bottom w:val="nil"/>
              <w:right w:val="single" w:sz="4" w:space="0" w:color="auto"/>
            </w:tcBorders>
            <w:vAlign w:val="center"/>
          </w:tcPr>
          <w:p w14:paraId="3738602B" w14:textId="77777777" w:rsidR="007F6E00" w:rsidRPr="003130C0" w:rsidRDefault="007F6E00" w:rsidP="00174192">
            <w:pPr>
              <w:jc w:val="center"/>
              <w:rPr>
                <w:i/>
                <w:iCs/>
              </w:rPr>
            </w:pPr>
            <w:r w:rsidRPr="003130C0">
              <w:rPr>
                <w:rFonts w:hint="eastAsia"/>
                <w:i/>
                <w:iCs/>
              </w:rPr>
              <w:t>V</w:t>
            </w:r>
            <w:r w:rsidRPr="003130C0">
              <w:rPr>
                <w:i/>
                <w:iCs/>
              </w:rPr>
              <w:t>s</w:t>
            </w:r>
            <w:r w:rsidRPr="003130C0">
              <w:rPr>
                <w:i/>
                <w:iCs/>
                <w:vertAlign w:val="subscript"/>
              </w:rPr>
              <w:t>5</w:t>
            </w:r>
          </w:p>
        </w:tc>
        <w:tc>
          <w:tcPr>
            <w:tcW w:w="3544" w:type="dxa"/>
            <w:tcBorders>
              <w:left w:val="single" w:sz="4" w:space="0" w:color="auto"/>
              <w:bottom w:val="nil"/>
              <w:right w:val="nil"/>
            </w:tcBorders>
            <w:vAlign w:val="center"/>
          </w:tcPr>
          <w:p w14:paraId="08CE13A3" w14:textId="77777777" w:rsidR="007F6E00" w:rsidRPr="00174192" w:rsidRDefault="007F6E00" w:rsidP="00174192">
            <w:pPr>
              <w:jc w:val="center"/>
            </w:pPr>
            <w:r w:rsidRPr="00174192">
              <w:rPr>
                <w:rFonts w:hint="eastAsia"/>
              </w:rPr>
              <w:t>2</w:t>
            </w:r>
            <w:r w:rsidRPr="00174192">
              <w:t>.0–4.0 km/s</w:t>
            </w:r>
          </w:p>
        </w:tc>
      </w:tr>
      <w:tr w:rsidR="007F6E00" w:rsidRPr="00174192" w14:paraId="7D51BCFF" w14:textId="77777777" w:rsidTr="00174192">
        <w:tc>
          <w:tcPr>
            <w:tcW w:w="2127" w:type="dxa"/>
            <w:vMerge/>
            <w:tcBorders>
              <w:left w:val="nil"/>
              <w:bottom w:val="single" w:sz="18" w:space="0" w:color="auto"/>
            </w:tcBorders>
            <w:vAlign w:val="center"/>
          </w:tcPr>
          <w:p w14:paraId="355D414B" w14:textId="77777777" w:rsidR="007F6E00" w:rsidRPr="00174192" w:rsidRDefault="007F6E00" w:rsidP="00174192">
            <w:pPr>
              <w:jc w:val="center"/>
            </w:pPr>
          </w:p>
        </w:tc>
        <w:tc>
          <w:tcPr>
            <w:tcW w:w="1842" w:type="dxa"/>
            <w:tcBorders>
              <w:top w:val="nil"/>
              <w:bottom w:val="single" w:sz="18" w:space="0" w:color="auto"/>
              <w:right w:val="single" w:sz="4" w:space="0" w:color="auto"/>
            </w:tcBorders>
            <w:vAlign w:val="center"/>
          </w:tcPr>
          <w:p w14:paraId="559EA46D" w14:textId="77777777" w:rsidR="007F6E00" w:rsidRPr="003130C0" w:rsidRDefault="007F6E00" w:rsidP="00174192">
            <w:pPr>
              <w:jc w:val="center"/>
              <w:rPr>
                <w:i/>
                <w:iCs/>
              </w:rPr>
            </w:pPr>
            <w:r w:rsidRPr="003130C0">
              <w:rPr>
                <w:rFonts w:hint="eastAsia"/>
                <w:i/>
                <w:iCs/>
              </w:rPr>
              <w:t>R</w:t>
            </w:r>
            <w:r w:rsidRPr="003130C0">
              <w:rPr>
                <w:i/>
                <w:iCs/>
                <w:vertAlign w:val="subscript"/>
              </w:rPr>
              <w:t>5</w:t>
            </w:r>
          </w:p>
        </w:tc>
        <w:tc>
          <w:tcPr>
            <w:tcW w:w="3544" w:type="dxa"/>
            <w:tcBorders>
              <w:top w:val="nil"/>
              <w:left w:val="single" w:sz="4" w:space="0" w:color="auto"/>
              <w:bottom w:val="single" w:sz="18" w:space="0" w:color="auto"/>
              <w:right w:val="nil"/>
            </w:tcBorders>
            <w:vAlign w:val="center"/>
          </w:tcPr>
          <w:p w14:paraId="4216BCB1" w14:textId="77777777" w:rsidR="007F6E00" w:rsidRPr="00174192" w:rsidRDefault="007F6E00" w:rsidP="00174192">
            <w:pPr>
              <w:jc w:val="center"/>
            </w:pPr>
            <w:r w:rsidRPr="00174192">
              <w:rPr>
                <w:rFonts w:hint="eastAsia"/>
              </w:rPr>
              <w:t>1</w:t>
            </w:r>
            <w:r w:rsidRPr="00174192">
              <w:t>.5–2.7</w:t>
            </w:r>
          </w:p>
        </w:tc>
      </w:tr>
    </w:tbl>
    <w:p w14:paraId="43CC75A7" w14:textId="77777777" w:rsidR="007F6E00" w:rsidRDefault="007F6E00" w:rsidP="00876ED0">
      <w:pPr>
        <w:rPr>
          <w:b/>
          <w:bCs/>
        </w:rPr>
      </w:pPr>
    </w:p>
    <w:p w14:paraId="15CA5A9E" w14:textId="77777777" w:rsidR="007F6E00" w:rsidRDefault="007F6E00">
      <w:pPr>
        <w:widowControl/>
        <w:spacing w:line="240" w:lineRule="auto"/>
        <w:jc w:val="left"/>
        <w:rPr>
          <w:b/>
          <w:bCs/>
        </w:rPr>
      </w:pPr>
      <w:r>
        <w:rPr>
          <w:b/>
          <w:bCs/>
        </w:rPr>
        <w:br w:type="page"/>
      </w:r>
    </w:p>
    <w:p w14:paraId="0F0315CD" w14:textId="77777777" w:rsidR="007F6E00" w:rsidRDefault="007F6E00" w:rsidP="00174192">
      <w:pPr>
        <w:rPr>
          <w:b/>
          <w:bCs/>
        </w:rPr>
      </w:pPr>
      <w:r w:rsidRPr="00731FB0">
        <w:rPr>
          <w:rFonts w:hint="eastAsia"/>
          <w:b/>
          <w:bCs/>
        </w:rPr>
        <w:lastRenderedPageBreak/>
        <w:t>S</w:t>
      </w:r>
      <w:r w:rsidRPr="00731FB0">
        <w:rPr>
          <w:b/>
          <w:bCs/>
        </w:rPr>
        <w:t xml:space="preserve">upplementary Tab. </w:t>
      </w:r>
      <w:r>
        <w:rPr>
          <w:b/>
          <w:bCs/>
        </w:rPr>
        <w:t>3</w:t>
      </w:r>
      <w:r w:rsidRPr="00731FB0">
        <w:rPr>
          <w:b/>
          <w:bCs/>
        </w:rPr>
        <w:t xml:space="preserve"> | </w:t>
      </w:r>
      <w:r>
        <w:rPr>
          <w:b/>
          <w:bCs/>
        </w:rPr>
        <w:t>Prior ranges of model parameters in PP/SS precursor inversions</w:t>
      </w:r>
    </w:p>
    <w:tbl>
      <w:tblPr>
        <w:tblStyle w:val="ac"/>
        <w:tblW w:w="0" w:type="auto"/>
        <w:tblLook w:val="04A0" w:firstRow="1" w:lastRow="0" w:firstColumn="1" w:lastColumn="0" w:noHBand="0" w:noVBand="1"/>
      </w:tblPr>
      <w:tblGrid>
        <w:gridCol w:w="2127"/>
        <w:gridCol w:w="1842"/>
        <w:gridCol w:w="3544"/>
      </w:tblGrid>
      <w:tr w:rsidR="007F6E00" w:rsidRPr="00915153" w14:paraId="173BD1E3" w14:textId="77777777" w:rsidTr="00901BA9">
        <w:tc>
          <w:tcPr>
            <w:tcW w:w="3969" w:type="dxa"/>
            <w:gridSpan w:val="2"/>
            <w:tcBorders>
              <w:top w:val="single" w:sz="18" w:space="0" w:color="auto"/>
              <w:left w:val="nil"/>
              <w:bottom w:val="single" w:sz="18" w:space="0" w:color="auto"/>
              <w:right w:val="single" w:sz="4" w:space="0" w:color="auto"/>
            </w:tcBorders>
            <w:vAlign w:val="center"/>
          </w:tcPr>
          <w:p w14:paraId="04680802" w14:textId="77777777" w:rsidR="007F6E00" w:rsidRPr="00915153" w:rsidRDefault="007F6E00" w:rsidP="00901BA9">
            <w:pPr>
              <w:jc w:val="center"/>
              <w:rPr>
                <w:rFonts w:cs="Times New Roman"/>
                <w:b/>
                <w:bCs/>
              </w:rPr>
            </w:pPr>
            <w:r w:rsidRPr="00915153">
              <w:rPr>
                <w:rFonts w:cs="Times New Roman"/>
                <w:b/>
                <w:bCs/>
              </w:rPr>
              <w:t>Parameter</w:t>
            </w:r>
          </w:p>
        </w:tc>
        <w:tc>
          <w:tcPr>
            <w:tcW w:w="3544" w:type="dxa"/>
            <w:tcBorders>
              <w:top w:val="single" w:sz="18" w:space="0" w:color="auto"/>
              <w:left w:val="single" w:sz="4" w:space="0" w:color="auto"/>
              <w:bottom w:val="single" w:sz="18" w:space="0" w:color="auto"/>
              <w:right w:val="nil"/>
            </w:tcBorders>
            <w:vAlign w:val="center"/>
          </w:tcPr>
          <w:p w14:paraId="2607E07D" w14:textId="77777777" w:rsidR="007F6E00" w:rsidRPr="00915153" w:rsidRDefault="007F6E00" w:rsidP="00901BA9">
            <w:pPr>
              <w:jc w:val="center"/>
              <w:rPr>
                <w:rFonts w:cs="Times New Roman"/>
                <w:b/>
                <w:bCs/>
              </w:rPr>
            </w:pPr>
            <w:r w:rsidRPr="00915153">
              <w:rPr>
                <w:rFonts w:cs="Times New Roman"/>
                <w:b/>
                <w:bCs/>
              </w:rPr>
              <w:t>Range</w:t>
            </w:r>
          </w:p>
        </w:tc>
      </w:tr>
      <w:tr w:rsidR="007F6E00" w:rsidRPr="00915153" w14:paraId="476A11A7" w14:textId="77777777" w:rsidTr="00901BA9">
        <w:tc>
          <w:tcPr>
            <w:tcW w:w="2127" w:type="dxa"/>
            <w:vMerge w:val="restart"/>
            <w:tcBorders>
              <w:top w:val="single" w:sz="18" w:space="0" w:color="auto"/>
              <w:left w:val="nil"/>
            </w:tcBorders>
            <w:vAlign w:val="center"/>
          </w:tcPr>
          <w:p w14:paraId="6CEFA6F6" w14:textId="77777777" w:rsidR="007F6E00" w:rsidRPr="00915153" w:rsidRDefault="007F6E00" w:rsidP="00901BA9">
            <w:pPr>
              <w:jc w:val="center"/>
              <w:rPr>
                <w:rFonts w:cs="Times New Roman"/>
              </w:rPr>
            </w:pPr>
            <w:r w:rsidRPr="00915153">
              <w:rPr>
                <w:rFonts w:cs="Times New Roman"/>
              </w:rPr>
              <w:t>Crust layer 1</w:t>
            </w:r>
          </w:p>
        </w:tc>
        <w:tc>
          <w:tcPr>
            <w:tcW w:w="1842" w:type="dxa"/>
            <w:tcBorders>
              <w:top w:val="single" w:sz="18" w:space="0" w:color="auto"/>
              <w:bottom w:val="nil"/>
              <w:right w:val="single" w:sz="4" w:space="0" w:color="auto"/>
            </w:tcBorders>
            <w:vAlign w:val="center"/>
          </w:tcPr>
          <w:p w14:paraId="40E51FBB" w14:textId="77777777" w:rsidR="007F6E00" w:rsidRPr="00915153" w:rsidRDefault="007F6E00" w:rsidP="00901BA9">
            <w:pPr>
              <w:jc w:val="center"/>
              <w:rPr>
                <w:rFonts w:cs="Times New Roman"/>
                <w:i/>
                <w:iCs/>
              </w:rPr>
            </w:pPr>
            <w:r w:rsidRPr="00915153">
              <w:rPr>
                <w:rFonts w:cs="Times New Roman"/>
                <w:i/>
                <w:iCs/>
              </w:rPr>
              <w:t>Vs</w:t>
            </w:r>
            <w:r w:rsidRPr="00915153">
              <w:rPr>
                <w:rFonts w:cs="Times New Roman"/>
                <w:i/>
                <w:iCs/>
                <w:vertAlign w:val="subscript"/>
              </w:rPr>
              <w:t>1</w:t>
            </w:r>
          </w:p>
        </w:tc>
        <w:tc>
          <w:tcPr>
            <w:tcW w:w="3544" w:type="dxa"/>
            <w:tcBorders>
              <w:top w:val="single" w:sz="18" w:space="0" w:color="auto"/>
              <w:left w:val="single" w:sz="4" w:space="0" w:color="auto"/>
              <w:bottom w:val="nil"/>
              <w:right w:val="nil"/>
            </w:tcBorders>
            <w:vAlign w:val="center"/>
          </w:tcPr>
          <w:p w14:paraId="30FF2638" w14:textId="77777777" w:rsidR="007F6E00" w:rsidRPr="00915153" w:rsidRDefault="007F6E00" w:rsidP="00901BA9">
            <w:pPr>
              <w:jc w:val="center"/>
              <w:rPr>
                <w:rFonts w:cs="Times New Roman"/>
              </w:rPr>
            </w:pPr>
            <w:r w:rsidRPr="00915153">
              <w:rPr>
                <w:rFonts w:cs="Times New Roman"/>
              </w:rPr>
              <w:t>1.0–3.5 km/s</w:t>
            </w:r>
          </w:p>
        </w:tc>
      </w:tr>
      <w:tr w:rsidR="007F6E00" w:rsidRPr="00915153" w14:paraId="020C9402" w14:textId="77777777" w:rsidTr="00901BA9">
        <w:tc>
          <w:tcPr>
            <w:tcW w:w="2127" w:type="dxa"/>
            <w:vMerge/>
            <w:tcBorders>
              <w:left w:val="nil"/>
            </w:tcBorders>
            <w:vAlign w:val="center"/>
          </w:tcPr>
          <w:p w14:paraId="4B340F4E" w14:textId="77777777" w:rsidR="007F6E00" w:rsidRPr="00915153" w:rsidRDefault="007F6E00" w:rsidP="00901BA9">
            <w:pPr>
              <w:jc w:val="center"/>
              <w:rPr>
                <w:rFonts w:cs="Times New Roman"/>
              </w:rPr>
            </w:pPr>
          </w:p>
        </w:tc>
        <w:tc>
          <w:tcPr>
            <w:tcW w:w="1842" w:type="dxa"/>
            <w:tcBorders>
              <w:top w:val="nil"/>
              <w:bottom w:val="nil"/>
              <w:right w:val="single" w:sz="4" w:space="0" w:color="auto"/>
            </w:tcBorders>
            <w:vAlign w:val="center"/>
          </w:tcPr>
          <w:p w14:paraId="273C02CC" w14:textId="77777777" w:rsidR="007F6E00" w:rsidRPr="00915153" w:rsidRDefault="007F6E00" w:rsidP="00901BA9">
            <w:pPr>
              <w:jc w:val="center"/>
              <w:rPr>
                <w:rFonts w:cs="Times New Roman"/>
                <w:i/>
                <w:iCs/>
              </w:rPr>
            </w:pPr>
            <w:r w:rsidRPr="00915153">
              <w:rPr>
                <w:rFonts w:cs="Times New Roman"/>
                <w:i/>
                <w:iCs/>
              </w:rPr>
              <w:t>Vp</w:t>
            </w:r>
            <w:r w:rsidRPr="00915153">
              <w:rPr>
                <w:rFonts w:cs="Times New Roman"/>
                <w:i/>
                <w:iCs/>
                <w:vertAlign w:val="subscript"/>
              </w:rPr>
              <w:t>1</w:t>
            </w:r>
          </w:p>
        </w:tc>
        <w:tc>
          <w:tcPr>
            <w:tcW w:w="3544" w:type="dxa"/>
            <w:tcBorders>
              <w:top w:val="nil"/>
              <w:left w:val="single" w:sz="4" w:space="0" w:color="auto"/>
              <w:bottom w:val="nil"/>
              <w:right w:val="nil"/>
            </w:tcBorders>
            <w:vAlign w:val="center"/>
          </w:tcPr>
          <w:p w14:paraId="44440F52" w14:textId="77777777" w:rsidR="007F6E00" w:rsidRPr="00915153" w:rsidRDefault="007F6E00" w:rsidP="00901BA9">
            <w:pPr>
              <w:jc w:val="center"/>
              <w:rPr>
                <w:rFonts w:cs="Times New Roman"/>
              </w:rPr>
            </w:pPr>
            <w:r w:rsidRPr="00915153">
              <w:rPr>
                <w:rFonts w:cs="Times New Roman"/>
              </w:rPr>
              <w:t>2.0–6.0 km/s</w:t>
            </w:r>
          </w:p>
        </w:tc>
      </w:tr>
      <w:tr w:rsidR="007F6E00" w:rsidRPr="00915153" w14:paraId="354B1586" w14:textId="77777777" w:rsidTr="00901BA9">
        <w:tc>
          <w:tcPr>
            <w:tcW w:w="2127" w:type="dxa"/>
            <w:vMerge/>
            <w:tcBorders>
              <w:left w:val="nil"/>
            </w:tcBorders>
            <w:vAlign w:val="center"/>
          </w:tcPr>
          <w:p w14:paraId="3796D4B0" w14:textId="77777777" w:rsidR="007F6E00" w:rsidRPr="00915153" w:rsidRDefault="007F6E00" w:rsidP="00174192">
            <w:pPr>
              <w:jc w:val="center"/>
              <w:rPr>
                <w:rFonts w:cs="Times New Roman"/>
              </w:rPr>
            </w:pPr>
          </w:p>
        </w:tc>
        <w:tc>
          <w:tcPr>
            <w:tcW w:w="1842" w:type="dxa"/>
            <w:tcBorders>
              <w:top w:val="nil"/>
              <w:bottom w:val="nil"/>
              <w:right w:val="single" w:sz="4" w:space="0" w:color="auto"/>
            </w:tcBorders>
            <w:vAlign w:val="center"/>
          </w:tcPr>
          <w:p w14:paraId="306A341D" w14:textId="77777777" w:rsidR="007F6E00" w:rsidRPr="00915153" w:rsidRDefault="007F6E00" w:rsidP="00174192">
            <w:pPr>
              <w:jc w:val="center"/>
              <w:rPr>
                <w:rFonts w:cs="Times New Roman"/>
                <w:i/>
                <w:iCs/>
              </w:rPr>
            </w:pPr>
            <w:r w:rsidRPr="00915153">
              <w:rPr>
                <w:rFonts w:cs="Times New Roman"/>
                <w:i/>
                <w:iCs/>
              </w:rPr>
              <w:t>ρ</w:t>
            </w:r>
            <w:r w:rsidRPr="00915153">
              <w:rPr>
                <w:rFonts w:cs="Times New Roman"/>
                <w:i/>
                <w:iCs/>
                <w:vertAlign w:val="subscript"/>
              </w:rPr>
              <w:t>1</w:t>
            </w:r>
          </w:p>
        </w:tc>
        <w:tc>
          <w:tcPr>
            <w:tcW w:w="3544" w:type="dxa"/>
            <w:tcBorders>
              <w:top w:val="nil"/>
              <w:left w:val="single" w:sz="4" w:space="0" w:color="auto"/>
              <w:bottom w:val="nil"/>
              <w:right w:val="nil"/>
            </w:tcBorders>
            <w:vAlign w:val="center"/>
          </w:tcPr>
          <w:p w14:paraId="755E14A6" w14:textId="77777777" w:rsidR="007F6E00" w:rsidRPr="00915153" w:rsidRDefault="007F6E00" w:rsidP="00174192">
            <w:pPr>
              <w:jc w:val="center"/>
              <w:rPr>
                <w:rFonts w:cs="Times New Roman"/>
              </w:rPr>
            </w:pPr>
            <w:r w:rsidRPr="00915153">
              <w:rPr>
                <w:rFonts w:cs="Times New Roman"/>
              </w:rPr>
              <w:t>0–4.2 g/cm</w:t>
            </w:r>
            <w:r w:rsidRPr="00915153">
              <w:rPr>
                <w:rFonts w:cs="Times New Roman"/>
                <w:vertAlign w:val="superscript"/>
              </w:rPr>
              <w:t>3</w:t>
            </w:r>
          </w:p>
        </w:tc>
      </w:tr>
      <w:tr w:rsidR="007F6E00" w:rsidRPr="00915153" w14:paraId="3541793C" w14:textId="77777777" w:rsidTr="00901BA9">
        <w:tc>
          <w:tcPr>
            <w:tcW w:w="2127" w:type="dxa"/>
            <w:vMerge/>
            <w:tcBorders>
              <w:left w:val="nil"/>
            </w:tcBorders>
            <w:vAlign w:val="center"/>
          </w:tcPr>
          <w:p w14:paraId="1C857AD7" w14:textId="77777777" w:rsidR="007F6E00" w:rsidRPr="00915153" w:rsidRDefault="007F6E00" w:rsidP="00174192">
            <w:pPr>
              <w:jc w:val="center"/>
              <w:rPr>
                <w:rFonts w:cs="Times New Roman"/>
              </w:rPr>
            </w:pPr>
          </w:p>
        </w:tc>
        <w:tc>
          <w:tcPr>
            <w:tcW w:w="1842" w:type="dxa"/>
            <w:tcBorders>
              <w:top w:val="nil"/>
              <w:bottom w:val="single" w:sz="4" w:space="0" w:color="auto"/>
              <w:right w:val="single" w:sz="4" w:space="0" w:color="auto"/>
            </w:tcBorders>
            <w:vAlign w:val="center"/>
          </w:tcPr>
          <w:p w14:paraId="47C656AF" w14:textId="77777777" w:rsidR="007F6E00" w:rsidRPr="00915153" w:rsidRDefault="007F6E00" w:rsidP="00174192">
            <w:pPr>
              <w:jc w:val="center"/>
              <w:rPr>
                <w:rFonts w:cs="Times New Roman"/>
                <w:i/>
                <w:iCs/>
              </w:rPr>
            </w:pPr>
            <w:r w:rsidRPr="00915153">
              <w:rPr>
                <w:rFonts w:cs="Times New Roman"/>
                <w:i/>
                <w:iCs/>
              </w:rPr>
              <w:t>H</w:t>
            </w:r>
            <w:r w:rsidRPr="00915153">
              <w:rPr>
                <w:rFonts w:cs="Times New Roman"/>
                <w:i/>
                <w:iCs/>
                <w:vertAlign w:val="subscript"/>
              </w:rPr>
              <w:t>2</w:t>
            </w:r>
          </w:p>
        </w:tc>
        <w:tc>
          <w:tcPr>
            <w:tcW w:w="3544" w:type="dxa"/>
            <w:tcBorders>
              <w:top w:val="nil"/>
              <w:left w:val="single" w:sz="4" w:space="0" w:color="auto"/>
              <w:bottom w:val="single" w:sz="4" w:space="0" w:color="auto"/>
              <w:right w:val="nil"/>
            </w:tcBorders>
            <w:vAlign w:val="center"/>
          </w:tcPr>
          <w:p w14:paraId="1EF8437B" w14:textId="77777777" w:rsidR="007F6E00" w:rsidRPr="00915153" w:rsidRDefault="007F6E00" w:rsidP="00174192">
            <w:pPr>
              <w:jc w:val="center"/>
              <w:rPr>
                <w:rFonts w:cs="Times New Roman"/>
              </w:rPr>
            </w:pPr>
            <w:r w:rsidRPr="00915153">
              <w:rPr>
                <w:rFonts w:cs="Times New Roman"/>
              </w:rPr>
              <w:t>10–40 km</w:t>
            </w:r>
          </w:p>
        </w:tc>
      </w:tr>
      <w:tr w:rsidR="007F6E00" w:rsidRPr="00915153" w14:paraId="0AC88F8B" w14:textId="77777777" w:rsidTr="00901BA9">
        <w:tc>
          <w:tcPr>
            <w:tcW w:w="2127" w:type="dxa"/>
            <w:vMerge w:val="restart"/>
            <w:tcBorders>
              <w:left w:val="nil"/>
            </w:tcBorders>
            <w:vAlign w:val="center"/>
          </w:tcPr>
          <w:p w14:paraId="2BD4CB70" w14:textId="77777777" w:rsidR="007F6E00" w:rsidRPr="00915153" w:rsidRDefault="007F6E00" w:rsidP="00174192">
            <w:pPr>
              <w:jc w:val="center"/>
              <w:rPr>
                <w:rFonts w:cs="Times New Roman"/>
              </w:rPr>
            </w:pPr>
            <w:r w:rsidRPr="00915153">
              <w:rPr>
                <w:rFonts w:cs="Times New Roman"/>
              </w:rPr>
              <w:t>Crust layer 2 and uppermost mantle above the LVZ</w:t>
            </w:r>
          </w:p>
        </w:tc>
        <w:tc>
          <w:tcPr>
            <w:tcW w:w="1842" w:type="dxa"/>
            <w:tcBorders>
              <w:bottom w:val="nil"/>
              <w:right w:val="single" w:sz="4" w:space="0" w:color="auto"/>
            </w:tcBorders>
            <w:vAlign w:val="center"/>
          </w:tcPr>
          <w:p w14:paraId="1D8D5CF5" w14:textId="77777777" w:rsidR="007F6E00" w:rsidRPr="00915153" w:rsidRDefault="007F6E00" w:rsidP="00174192">
            <w:pPr>
              <w:jc w:val="center"/>
              <w:rPr>
                <w:rFonts w:cs="Times New Roman"/>
                <w:i/>
                <w:iCs/>
                <w:lang w:val="el-GR"/>
              </w:rPr>
            </w:pPr>
            <w:r w:rsidRPr="00915153">
              <w:rPr>
                <w:rFonts w:cs="Times New Roman"/>
                <w:i/>
                <w:iCs/>
              </w:rPr>
              <w:t>Vs</w:t>
            </w:r>
            <w:r w:rsidRPr="00915153">
              <w:rPr>
                <w:rFonts w:cs="Times New Roman"/>
                <w:i/>
                <w:iCs/>
                <w:vertAlign w:val="subscript"/>
                <w:lang w:val="el-GR"/>
              </w:rPr>
              <w:t>2</w:t>
            </w:r>
          </w:p>
        </w:tc>
        <w:tc>
          <w:tcPr>
            <w:tcW w:w="3544" w:type="dxa"/>
            <w:tcBorders>
              <w:left w:val="single" w:sz="4" w:space="0" w:color="auto"/>
              <w:bottom w:val="nil"/>
              <w:right w:val="nil"/>
            </w:tcBorders>
            <w:vAlign w:val="center"/>
          </w:tcPr>
          <w:p w14:paraId="5333F19A" w14:textId="77777777" w:rsidR="007F6E00" w:rsidRPr="00915153" w:rsidRDefault="007F6E00" w:rsidP="00174192">
            <w:pPr>
              <w:jc w:val="center"/>
              <w:rPr>
                <w:rFonts w:cs="Times New Roman"/>
              </w:rPr>
            </w:pPr>
            <w:r w:rsidRPr="00915153">
              <w:rPr>
                <w:rFonts w:cs="Times New Roman"/>
              </w:rPr>
              <w:t>2.0–4.5 km/s</w:t>
            </w:r>
          </w:p>
        </w:tc>
      </w:tr>
      <w:tr w:rsidR="007F6E00" w:rsidRPr="00915153" w14:paraId="59107502" w14:textId="77777777" w:rsidTr="00174192">
        <w:tc>
          <w:tcPr>
            <w:tcW w:w="2127" w:type="dxa"/>
            <w:vMerge/>
            <w:tcBorders>
              <w:left w:val="nil"/>
            </w:tcBorders>
            <w:vAlign w:val="center"/>
          </w:tcPr>
          <w:p w14:paraId="4B377EDE" w14:textId="77777777" w:rsidR="007F6E00" w:rsidRPr="00915153" w:rsidRDefault="007F6E00" w:rsidP="00174192">
            <w:pPr>
              <w:jc w:val="center"/>
              <w:rPr>
                <w:rFonts w:cs="Times New Roman"/>
              </w:rPr>
            </w:pPr>
          </w:p>
        </w:tc>
        <w:tc>
          <w:tcPr>
            <w:tcW w:w="1842" w:type="dxa"/>
            <w:tcBorders>
              <w:top w:val="nil"/>
              <w:bottom w:val="nil"/>
              <w:right w:val="single" w:sz="4" w:space="0" w:color="auto"/>
            </w:tcBorders>
            <w:vAlign w:val="center"/>
          </w:tcPr>
          <w:p w14:paraId="2B0AED68" w14:textId="77777777" w:rsidR="007F6E00" w:rsidRPr="00915153" w:rsidRDefault="007F6E00" w:rsidP="00174192">
            <w:pPr>
              <w:jc w:val="center"/>
              <w:rPr>
                <w:rFonts w:cs="Times New Roman"/>
                <w:i/>
                <w:iCs/>
              </w:rPr>
            </w:pPr>
            <w:r w:rsidRPr="00915153">
              <w:rPr>
                <w:rFonts w:cs="Times New Roman"/>
                <w:i/>
                <w:iCs/>
              </w:rPr>
              <w:t>Vp</w:t>
            </w:r>
            <w:r w:rsidRPr="00915153">
              <w:rPr>
                <w:rFonts w:cs="Times New Roman"/>
                <w:i/>
                <w:iCs/>
                <w:vertAlign w:val="subscript"/>
              </w:rPr>
              <w:t>2</w:t>
            </w:r>
          </w:p>
        </w:tc>
        <w:tc>
          <w:tcPr>
            <w:tcW w:w="3544" w:type="dxa"/>
            <w:tcBorders>
              <w:top w:val="nil"/>
              <w:left w:val="single" w:sz="4" w:space="0" w:color="auto"/>
              <w:bottom w:val="nil"/>
              <w:right w:val="nil"/>
            </w:tcBorders>
            <w:vAlign w:val="center"/>
          </w:tcPr>
          <w:p w14:paraId="5D4271B1" w14:textId="77777777" w:rsidR="007F6E00" w:rsidRPr="00915153" w:rsidRDefault="007F6E00" w:rsidP="00174192">
            <w:pPr>
              <w:jc w:val="center"/>
              <w:rPr>
                <w:rFonts w:cs="Times New Roman"/>
              </w:rPr>
            </w:pPr>
            <w:r w:rsidRPr="00915153">
              <w:rPr>
                <w:rFonts w:cs="Times New Roman"/>
              </w:rPr>
              <w:t>4.0–8.0 km/s</w:t>
            </w:r>
          </w:p>
        </w:tc>
      </w:tr>
      <w:tr w:rsidR="007F6E00" w:rsidRPr="00915153" w14:paraId="411F3AD5" w14:textId="77777777" w:rsidTr="00174192">
        <w:tc>
          <w:tcPr>
            <w:tcW w:w="2127" w:type="dxa"/>
            <w:vMerge/>
            <w:tcBorders>
              <w:left w:val="nil"/>
            </w:tcBorders>
            <w:vAlign w:val="center"/>
          </w:tcPr>
          <w:p w14:paraId="6765A22B" w14:textId="77777777" w:rsidR="007F6E00" w:rsidRPr="00915153" w:rsidRDefault="007F6E00" w:rsidP="00174192">
            <w:pPr>
              <w:jc w:val="center"/>
              <w:rPr>
                <w:rFonts w:cs="Times New Roman"/>
              </w:rPr>
            </w:pPr>
          </w:p>
        </w:tc>
        <w:tc>
          <w:tcPr>
            <w:tcW w:w="1842" w:type="dxa"/>
            <w:tcBorders>
              <w:top w:val="nil"/>
              <w:bottom w:val="nil"/>
              <w:right w:val="single" w:sz="4" w:space="0" w:color="auto"/>
            </w:tcBorders>
            <w:vAlign w:val="center"/>
          </w:tcPr>
          <w:p w14:paraId="410B40A9" w14:textId="77777777" w:rsidR="007F6E00" w:rsidRPr="00915153" w:rsidRDefault="007F6E00" w:rsidP="00174192">
            <w:pPr>
              <w:jc w:val="center"/>
              <w:rPr>
                <w:rFonts w:cs="Times New Roman"/>
                <w:i/>
                <w:iCs/>
              </w:rPr>
            </w:pPr>
            <w:r w:rsidRPr="00915153">
              <w:rPr>
                <w:rFonts w:cs="Times New Roman"/>
                <w:i/>
                <w:iCs/>
              </w:rPr>
              <w:t>ρ</w:t>
            </w:r>
            <w:r w:rsidRPr="00915153">
              <w:rPr>
                <w:rFonts w:cs="Times New Roman"/>
                <w:i/>
                <w:iCs/>
                <w:vertAlign w:val="subscript"/>
              </w:rPr>
              <w:t>2</w:t>
            </w:r>
          </w:p>
        </w:tc>
        <w:tc>
          <w:tcPr>
            <w:tcW w:w="3544" w:type="dxa"/>
            <w:tcBorders>
              <w:top w:val="nil"/>
              <w:left w:val="single" w:sz="4" w:space="0" w:color="auto"/>
              <w:bottom w:val="nil"/>
              <w:right w:val="nil"/>
            </w:tcBorders>
            <w:vAlign w:val="center"/>
          </w:tcPr>
          <w:p w14:paraId="67BC6297" w14:textId="77777777" w:rsidR="007F6E00" w:rsidRPr="00915153" w:rsidRDefault="007F6E00" w:rsidP="00174192">
            <w:pPr>
              <w:jc w:val="center"/>
              <w:rPr>
                <w:rFonts w:cs="Times New Roman"/>
              </w:rPr>
            </w:pPr>
            <w:r w:rsidRPr="00915153">
              <w:rPr>
                <w:rFonts w:cs="Times New Roman"/>
              </w:rPr>
              <w:t>0–4.2 g/cm</w:t>
            </w:r>
            <w:r w:rsidRPr="00915153">
              <w:rPr>
                <w:rFonts w:cs="Times New Roman"/>
                <w:vertAlign w:val="superscript"/>
              </w:rPr>
              <w:t>3</w:t>
            </w:r>
          </w:p>
        </w:tc>
      </w:tr>
      <w:tr w:rsidR="007F6E00" w:rsidRPr="00915153" w14:paraId="191408D7" w14:textId="77777777" w:rsidTr="00174192">
        <w:tc>
          <w:tcPr>
            <w:tcW w:w="2127" w:type="dxa"/>
            <w:vMerge/>
            <w:tcBorders>
              <w:left w:val="nil"/>
            </w:tcBorders>
            <w:vAlign w:val="center"/>
          </w:tcPr>
          <w:p w14:paraId="6620E082" w14:textId="77777777" w:rsidR="007F6E00" w:rsidRPr="00915153" w:rsidRDefault="007F6E00" w:rsidP="00174192">
            <w:pPr>
              <w:jc w:val="center"/>
              <w:rPr>
                <w:rFonts w:cs="Times New Roman"/>
              </w:rPr>
            </w:pPr>
          </w:p>
        </w:tc>
        <w:tc>
          <w:tcPr>
            <w:tcW w:w="1842" w:type="dxa"/>
            <w:tcBorders>
              <w:top w:val="nil"/>
              <w:bottom w:val="single" w:sz="4" w:space="0" w:color="auto"/>
              <w:right w:val="single" w:sz="4" w:space="0" w:color="auto"/>
            </w:tcBorders>
            <w:vAlign w:val="center"/>
          </w:tcPr>
          <w:p w14:paraId="1651C0FB" w14:textId="77777777" w:rsidR="007F6E00" w:rsidRPr="00915153" w:rsidRDefault="007F6E00" w:rsidP="00174192">
            <w:pPr>
              <w:jc w:val="center"/>
              <w:rPr>
                <w:rFonts w:cs="Times New Roman"/>
                <w:i/>
                <w:iCs/>
              </w:rPr>
            </w:pPr>
            <w:r w:rsidRPr="00915153">
              <w:rPr>
                <w:rFonts w:cs="Times New Roman"/>
                <w:i/>
                <w:iCs/>
              </w:rPr>
              <w:t>H</w:t>
            </w:r>
            <w:r w:rsidRPr="00915153">
              <w:rPr>
                <w:rFonts w:cs="Times New Roman"/>
                <w:i/>
                <w:iCs/>
                <w:vertAlign w:val="subscript"/>
              </w:rPr>
              <w:t>2</w:t>
            </w:r>
          </w:p>
        </w:tc>
        <w:tc>
          <w:tcPr>
            <w:tcW w:w="3544" w:type="dxa"/>
            <w:tcBorders>
              <w:top w:val="nil"/>
              <w:left w:val="single" w:sz="4" w:space="0" w:color="auto"/>
              <w:bottom w:val="single" w:sz="4" w:space="0" w:color="auto"/>
              <w:right w:val="nil"/>
            </w:tcBorders>
            <w:vAlign w:val="center"/>
          </w:tcPr>
          <w:p w14:paraId="59652A49" w14:textId="77777777" w:rsidR="007F6E00" w:rsidRPr="00915153" w:rsidRDefault="007F6E00" w:rsidP="00174192">
            <w:pPr>
              <w:jc w:val="center"/>
              <w:rPr>
                <w:rFonts w:cs="Times New Roman"/>
              </w:rPr>
            </w:pPr>
            <w:r w:rsidRPr="00915153">
              <w:rPr>
                <w:rFonts w:cs="Times New Roman"/>
              </w:rPr>
              <w:t>40–120 km</w:t>
            </w:r>
          </w:p>
        </w:tc>
      </w:tr>
      <w:tr w:rsidR="007F6E00" w:rsidRPr="00915153" w14:paraId="4CA3DF77" w14:textId="77777777" w:rsidTr="00174192">
        <w:tc>
          <w:tcPr>
            <w:tcW w:w="2127" w:type="dxa"/>
            <w:vMerge w:val="restart"/>
            <w:tcBorders>
              <w:left w:val="nil"/>
              <w:bottom w:val="single" w:sz="18" w:space="0" w:color="auto"/>
            </w:tcBorders>
            <w:vAlign w:val="center"/>
          </w:tcPr>
          <w:p w14:paraId="30A3DD2C" w14:textId="77777777" w:rsidR="007F6E00" w:rsidRPr="00915153" w:rsidRDefault="007F6E00" w:rsidP="00174192">
            <w:pPr>
              <w:jc w:val="center"/>
              <w:rPr>
                <w:rFonts w:cs="Times New Roman"/>
              </w:rPr>
            </w:pPr>
            <w:r w:rsidRPr="00915153">
              <w:rPr>
                <w:rFonts w:cs="Times New Roman"/>
              </w:rPr>
              <w:t>Upper mantle LVZ</w:t>
            </w:r>
          </w:p>
        </w:tc>
        <w:tc>
          <w:tcPr>
            <w:tcW w:w="1842" w:type="dxa"/>
            <w:tcBorders>
              <w:bottom w:val="nil"/>
              <w:right w:val="single" w:sz="4" w:space="0" w:color="auto"/>
            </w:tcBorders>
            <w:vAlign w:val="center"/>
          </w:tcPr>
          <w:p w14:paraId="1968BC40" w14:textId="77777777" w:rsidR="007F6E00" w:rsidRPr="00915153" w:rsidRDefault="007F6E00" w:rsidP="00174192">
            <w:pPr>
              <w:jc w:val="center"/>
              <w:rPr>
                <w:rFonts w:cs="Times New Roman"/>
                <w:i/>
                <w:iCs/>
              </w:rPr>
            </w:pPr>
            <w:r w:rsidRPr="00915153">
              <w:rPr>
                <w:rFonts w:cs="Times New Roman"/>
                <w:i/>
                <w:iCs/>
              </w:rPr>
              <w:t>Vs</w:t>
            </w:r>
            <w:r w:rsidRPr="00915153">
              <w:rPr>
                <w:rFonts w:cs="Times New Roman"/>
                <w:i/>
                <w:iCs/>
                <w:vertAlign w:val="subscript"/>
              </w:rPr>
              <w:t>3</w:t>
            </w:r>
          </w:p>
        </w:tc>
        <w:tc>
          <w:tcPr>
            <w:tcW w:w="3544" w:type="dxa"/>
            <w:tcBorders>
              <w:left w:val="single" w:sz="4" w:space="0" w:color="auto"/>
              <w:bottom w:val="nil"/>
              <w:right w:val="nil"/>
            </w:tcBorders>
            <w:vAlign w:val="center"/>
          </w:tcPr>
          <w:p w14:paraId="620A9FDE" w14:textId="77777777" w:rsidR="007F6E00" w:rsidRPr="00915153" w:rsidRDefault="007F6E00" w:rsidP="00174192">
            <w:pPr>
              <w:jc w:val="center"/>
              <w:rPr>
                <w:rFonts w:cs="Times New Roman"/>
              </w:rPr>
            </w:pPr>
            <w:r w:rsidRPr="00915153">
              <w:rPr>
                <w:rFonts w:cs="Times New Roman"/>
              </w:rPr>
              <w:t>1.0–4.5 km/s</w:t>
            </w:r>
          </w:p>
        </w:tc>
      </w:tr>
      <w:tr w:rsidR="007F6E00" w:rsidRPr="00915153" w14:paraId="1501F9CA" w14:textId="77777777" w:rsidTr="00174192">
        <w:tc>
          <w:tcPr>
            <w:tcW w:w="2127" w:type="dxa"/>
            <w:vMerge/>
            <w:tcBorders>
              <w:left w:val="nil"/>
              <w:bottom w:val="single" w:sz="18" w:space="0" w:color="auto"/>
            </w:tcBorders>
            <w:vAlign w:val="center"/>
          </w:tcPr>
          <w:p w14:paraId="45C0AD93" w14:textId="77777777" w:rsidR="007F6E00" w:rsidRPr="00915153" w:rsidRDefault="007F6E00" w:rsidP="00174192">
            <w:pPr>
              <w:jc w:val="center"/>
              <w:rPr>
                <w:rFonts w:cs="Times New Roman"/>
              </w:rPr>
            </w:pPr>
          </w:p>
        </w:tc>
        <w:tc>
          <w:tcPr>
            <w:tcW w:w="1842" w:type="dxa"/>
            <w:tcBorders>
              <w:top w:val="nil"/>
              <w:bottom w:val="nil"/>
              <w:right w:val="single" w:sz="4" w:space="0" w:color="auto"/>
            </w:tcBorders>
            <w:vAlign w:val="center"/>
          </w:tcPr>
          <w:p w14:paraId="0BCFB5F9" w14:textId="77777777" w:rsidR="007F6E00" w:rsidRPr="00915153" w:rsidRDefault="007F6E00" w:rsidP="00174192">
            <w:pPr>
              <w:jc w:val="center"/>
              <w:rPr>
                <w:rFonts w:cs="Times New Roman"/>
                <w:i/>
                <w:iCs/>
              </w:rPr>
            </w:pPr>
            <w:r w:rsidRPr="00915153">
              <w:rPr>
                <w:rFonts w:cs="Times New Roman"/>
                <w:i/>
                <w:iCs/>
              </w:rPr>
              <w:t>Vp</w:t>
            </w:r>
            <w:r w:rsidRPr="00915153">
              <w:rPr>
                <w:rFonts w:cs="Times New Roman"/>
                <w:i/>
                <w:iCs/>
                <w:vertAlign w:val="subscript"/>
              </w:rPr>
              <w:t>3</w:t>
            </w:r>
          </w:p>
        </w:tc>
        <w:tc>
          <w:tcPr>
            <w:tcW w:w="3544" w:type="dxa"/>
            <w:tcBorders>
              <w:top w:val="nil"/>
              <w:left w:val="single" w:sz="4" w:space="0" w:color="auto"/>
              <w:bottom w:val="nil"/>
              <w:right w:val="nil"/>
            </w:tcBorders>
            <w:vAlign w:val="center"/>
          </w:tcPr>
          <w:p w14:paraId="3A84D591" w14:textId="77777777" w:rsidR="007F6E00" w:rsidRPr="00915153" w:rsidRDefault="007F6E00" w:rsidP="00174192">
            <w:pPr>
              <w:jc w:val="center"/>
              <w:rPr>
                <w:rFonts w:cs="Times New Roman"/>
              </w:rPr>
            </w:pPr>
            <w:r w:rsidRPr="00915153">
              <w:rPr>
                <w:rFonts w:cs="Times New Roman"/>
              </w:rPr>
              <w:t>2.0–8.0 km/s</w:t>
            </w:r>
          </w:p>
        </w:tc>
      </w:tr>
      <w:tr w:rsidR="007F6E00" w:rsidRPr="00915153" w14:paraId="5D05CF7F" w14:textId="77777777" w:rsidTr="00174192">
        <w:tc>
          <w:tcPr>
            <w:tcW w:w="2127" w:type="dxa"/>
            <w:vMerge/>
            <w:tcBorders>
              <w:left w:val="nil"/>
              <w:bottom w:val="single" w:sz="18" w:space="0" w:color="auto"/>
            </w:tcBorders>
            <w:vAlign w:val="center"/>
          </w:tcPr>
          <w:p w14:paraId="07D87342" w14:textId="77777777" w:rsidR="007F6E00" w:rsidRPr="00915153" w:rsidRDefault="007F6E00" w:rsidP="00174192">
            <w:pPr>
              <w:jc w:val="center"/>
              <w:rPr>
                <w:rFonts w:cs="Times New Roman"/>
              </w:rPr>
            </w:pPr>
          </w:p>
        </w:tc>
        <w:tc>
          <w:tcPr>
            <w:tcW w:w="1842" w:type="dxa"/>
            <w:tcBorders>
              <w:top w:val="nil"/>
              <w:bottom w:val="single" w:sz="18" w:space="0" w:color="auto"/>
              <w:right w:val="single" w:sz="4" w:space="0" w:color="auto"/>
            </w:tcBorders>
            <w:vAlign w:val="center"/>
          </w:tcPr>
          <w:p w14:paraId="15CA5949" w14:textId="77777777" w:rsidR="007F6E00" w:rsidRPr="00915153" w:rsidRDefault="007F6E00" w:rsidP="00174192">
            <w:pPr>
              <w:jc w:val="center"/>
              <w:rPr>
                <w:rFonts w:cs="Times New Roman"/>
                <w:i/>
                <w:iCs/>
              </w:rPr>
            </w:pPr>
            <w:r w:rsidRPr="00915153">
              <w:rPr>
                <w:rFonts w:cs="Times New Roman"/>
                <w:i/>
                <w:iCs/>
              </w:rPr>
              <w:t>ρ</w:t>
            </w:r>
            <w:r w:rsidRPr="00915153">
              <w:rPr>
                <w:rFonts w:cs="Times New Roman"/>
                <w:i/>
                <w:iCs/>
                <w:vertAlign w:val="subscript"/>
              </w:rPr>
              <w:t>3</w:t>
            </w:r>
          </w:p>
        </w:tc>
        <w:tc>
          <w:tcPr>
            <w:tcW w:w="3544" w:type="dxa"/>
            <w:tcBorders>
              <w:top w:val="nil"/>
              <w:left w:val="single" w:sz="4" w:space="0" w:color="auto"/>
              <w:bottom w:val="single" w:sz="18" w:space="0" w:color="auto"/>
              <w:right w:val="nil"/>
            </w:tcBorders>
            <w:vAlign w:val="center"/>
          </w:tcPr>
          <w:p w14:paraId="0ED002BD" w14:textId="77777777" w:rsidR="007F6E00" w:rsidRPr="00915153" w:rsidRDefault="007F6E00" w:rsidP="00174192">
            <w:pPr>
              <w:jc w:val="center"/>
              <w:rPr>
                <w:rFonts w:cs="Times New Roman"/>
              </w:rPr>
            </w:pPr>
            <w:r w:rsidRPr="00915153">
              <w:rPr>
                <w:rFonts w:cs="Times New Roman"/>
              </w:rPr>
              <w:t>0–4.2 g/cm</w:t>
            </w:r>
            <w:r w:rsidRPr="00915153">
              <w:rPr>
                <w:rFonts w:cs="Times New Roman"/>
                <w:vertAlign w:val="superscript"/>
              </w:rPr>
              <w:t>3</w:t>
            </w:r>
          </w:p>
        </w:tc>
      </w:tr>
    </w:tbl>
    <w:p w14:paraId="42F615E0" w14:textId="77777777" w:rsidR="007F6E00" w:rsidRPr="00731FB0" w:rsidRDefault="007F6E00" w:rsidP="00876ED0">
      <w:pPr>
        <w:rPr>
          <w:b/>
          <w:bCs/>
        </w:rPr>
      </w:pPr>
    </w:p>
    <w:p w14:paraId="75B20AF0" w14:textId="77777777" w:rsidR="007F6E00" w:rsidRDefault="007F6E00" w:rsidP="007C6227">
      <w:pPr>
        <w:pStyle w:val="1"/>
        <w:sectPr w:rsidR="007F6E00" w:rsidSect="005C7BF4">
          <w:pgSz w:w="11906" w:h="16838"/>
          <w:pgMar w:top="1440" w:right="1800" w:bottom="1440" w:left="1800" w:header="851" w:footer="992" w:gutter="0"/>
          <w:lnNumType w:countBy="1" w:restart="continuous"/>
          <w:cols w:space="425"/>
          <w:docGrid w:type="lines" w:linePitch="326"/>
        </w:sectPr>
      </w:pPr>
    </w:p>
    <w:p w14:paraId="4A5A8DDA" w14:textId="77777777" w:rsidR="007F6E00" w:rsidRPr="00617414" w:rsidRDefault="007F6E00" w:rsidP="007C6227">
      <w:pPr>
        <w:pStyle w:val="1"/>
      </w:pPr>
      <w:bookmarkStart w:id="55" w:name="_Toc202208143"/>
      <w:r>
        <w:lastRenderedPageBreak/>
        <w:t>R</w:t>
      </w:r>
      <w:r w:rsidRPr="00617414">
        <w:t>eferences</w:t>
      </w:r>
      <w:bookmarkEnd w:id="55"/>
    </w:p>
    <w:p w14:paraId="0F00B6FF" w14:textId="77777777" w:rsidR="007F6E00" w:rsidRPr="007F6E00" w:rsidRDefault="007F6E00" w:rsidP="009B36E9">
      <w:pPr>
        <w:pStyle w:val="EndNoteBibliography"/>
        <w:ind w:left="720" w:hanging="720"/>
        <w:rPr>
          <w:noProof/>
          <w:lang w:val="fr-FR"/>
        </w:rPr>
      </w:pPr>
      <w:r w:rsidRPr="00D642CF">
        <w:rPr>
          <w:noProof/>
          <w:lang w:val="fr-FR"/>
        </w:rPr>
        <w:t>1</w:t>
      </w:r>
      <w:r w:rsidRPr="00D642CF">
        <w:rPr>
          <w:noProof/>
          <w:lang w:val="fr-FR"/>
        </w:rPr>
        <w:tab/>
        <w:t>Stähler, S. C.</w:t>
      </w:r>
      <w:r w:rsidRPr="00D642CF">
        <w:rPr>
          <w:i/>
          <w:noProof/>
          <w:lang w:val="fr-FR"/>
        </w:rPr>
        <w:t xml:space="preserve"> et al.</w:t>
      </w:r>
      <w:r w:rsidRPr="00D642CF">
        <w:rPr>
          <w:noProof/>
          <w:lang w:val="fr-FR"/>
        </w:rPr>
        <w:t xml:space="preserve"> </w:t>
      </w:r>
      <w:r w:rsidRPr="009B36E9">
        <w:rPr>
          <w:noProof/>
        </w:rPr>
        <w:t xml:space="preserve">Seismic detection of the martian core. </w:t>
      </w:r>
      <w:r w:rsidRPr="007F6E00">
        <w:rPr>
          <w:i/>
          <w:noProof/>
          <w:lang w:val="fr-FR"/>
        </w:rPr>
        <w:t>Science</w:t>
      </w:r>
      <w:r w:rsidRPr="007F6E00">
        <w:rPr>
          <w:noProof/>
          <w:lang w:val="fr-FR"/>
        </w:rPr>
        <w:t xml:space="preserve"> </w:t>
      </w:r>
      <w:r w:rsidRPr="007F6E00">
        <w:rPr>
          <w:b/>
          <w:noProof/>
          <w:lang w:val="fr-FR"/>
        </w:rPr>
        <w:t>373</w:t>
      </w:r>
      <w:r w:rsidRPr="007F6E00">
        <w:rPr>
          <w:noProof/>
          <w:lang w:val="fr-FR"/>
        </w:rPr>
        <w:t>, 443-448 (2021). https://doi.org/10.1126/science.abi7730</w:t>
      </w:r>
    </w:p>
    <w:p w14:paraId="2978FD1A" w14:textId="77777777" w:rsidR="007F6E00" w:rsidRPr="009B36E9" w:rsidRDefault="007F6E00" w:rsidP="009B36E9">
      <w:pPr>
        <w:pStyle w:val="EndNoteBibliography"/>
        <w:ind w:left="720" w:hanging="720"/>
        <w:rPr>
          <w:noProof/>
        </w:rPr>
      </w:pPr>
      <w:r w:rsidRPr="009B36E9">
        <w:rPr>
          <w:noProof/>
        </w:rPr>
        <w:t>2</w:t>
      </w:r>
      <w:r w:rsidRPr="009B36E9">
        <w:rPr>
          <w:noProof/>
        </w:rPr>
        <w:tab/>
        <w:t>InSight Marsquake Service.     (ETHZ, IPGP, JPL, ICL, Univ. Bristol, 2023).</w:t>
      </w:r>
    </w:p>
    <w:p w14:paraId="21928538" w14:textId="77777777" w:rsidR="007F6E00" w:rsidRPr="009B36E9" w:rsidRDefault="007F6E00" w:rsidP="009B36E9">
      <w:pPr>
        <w:pStyle w:val="EndNoteBibliography"/>
        <w:ind w:left="720" w:hanging="720"/>
        <w:rPr>
          <w:noProof/>
        </w:rPr>
      </w:pPr>
      <w:r w:rsidRPr="009B36E9">
        <w:rPr>
          <w:rFonts w:hint="eastAsia"/>
          <w:noProof/>
        </w:rPr>
        <w:t>3</w:t>
      </w:r>
      <w:r w:rsidRPr="009B36E9">
        <w:rPr>
          <w:rFonts w:hint="eastAsia"/>
          <w:noProof/>
        </w:rPr>
        <w:tab/>
        <w:t>Zenhäusern, G.</w:t>
      </w:r>
      <w:r w:rsidRPr="009B36E9">
        <w:rPr>
          <w:rFonts w:hint="eastAsia"/>
          <w:i/>
          <w:noProof/>
        </w:rPr>
        <w:t xml:space="preserve"> et al.</w:t>
      </w:r>
      <w:r w:rsidRPr="009B36E9">
        <w:rPr>
          <w:rFonts w:hint="eastAsia"/>
          <w:noProof/>
        </w:rPr>
        <w:t xml:space="preserve"> Low</w:t>
      </w:r>
      <w:r w:rsidRPr="009B36E9">
        <w:rPr>
          <w:rFonts w:hint="eastAsia"/>
          <w:noProof/>
        </w:rPr>
        <w:t>‐</w:t>
      </w:r>
      <w:r w:rsidRPr="009B36E9">
        <w:rPr>
          <w:rFonts w:hint="eastAsia"/>
          <w:noProof/>
        </w:rPr>
        <w:t>Frequency Marsqua</w:t>
      </w:r>
      <w:r w:rsidRPr="009B36E9">
        <w:rPr>
          <w:noProof/>
        </w:rPr>
        <w:t xml:space="preserve">kes and Where to Find Them: Back Azimuth Determination Using a Polarization Analysis Approach. </w:t>
      </w:r>
      <w:r w:rsidRPr="009B36E9">
        <w:rPr>
          <w:i/>
          <w:noProof/>
        </w:rPr>
        <w:t>Bulletin of the Seismological Society of America</w:t>
      </w:r>
      <w:r w:rsidRPr="009B36E9">
        <w:rPr>
          <w:noProof/>
        </w:rPr>
        <w:t xml:space="preserve"> </w:t>
      </w:r>
      <w:r w:rsidRPr="009B36E9">
        <w:rPr>
          <w:b/>
          <w:noProof/>
        </w:rPr>
        <w:t>112</w:t>
      </w:r>
      <w:r w:rsidRPr="009B36E9">
        <w:rPr>
          <w:noProof/>
        </w:rPr>
        <w:t xml:space="preserve">, 1787-1805 (2022). </w:t>
      </w:r>
      <w:r w:rsidRPr="007F6E00">
        <w:rPr>
          <w:noProof/>
        </w:rPr>
        <w:t>https://doi.org/10.1785/0120220019</w:t>
      </w:r>
    </w:p>
    <w:p w14:paraId="0D0D86B8" w14:textId="77777777" w:rsidR="007F6E00" w:rsidRPr="009B36E9" w:rsidRDefault="007F6E00" w:rsidP="009B36E9">
      <w:pPr>
        <w:pStyle w:val="EndNoteBibliography"/>
        <w:ind w:left="720" w:hanging="720"/>
        <w:rPr>
          <w:noProof/>
        </w:rPr>
      </w:pPr>
      <w:r w:rsidRPr="009B36E9">
        <w:rPr>
          <w:noProof/>
        </w:rPr>
        <w:t>4</w:t>
      </w:r>
      <w:r w:rsidRPr="009B36E9">
        <w:rPr>
          <w:noProof/>
        </w:rPr>
        <w:tab/>
        <w:t>Ceylan, S.</w:t>
      </w:r>
      <w:r w:rsidRPr="009B36E9">
        <w:rPr>
          <w:i/>
          <w:noProof/>
        </w:rPr>
        <w:t xml:space="preserve"> et al.</w:t>
      </w:r>
      <w:r w:rsidRPr="009B36E9">
        <w:rPr>
          <w:noProof/>
        </w:rPr>
        <w:t xml:space="preserve"> Mapping the Seismicity of Mars With InSight. </w:t>
      </w:r>
      <w:r w:rsidRPr="009B36E9">
        <w:rPr>
          <w:i/>
          <w:noProof/>
        </w:rPr>
        <w:t>Journal of Geophysical Research: Planets</w:t>
      </w:r>
      <w:r w:rsidRPr="009B36E9">
        <w:rPr>
          <w:noProof/>
        </w:rPr>
        <w:t xml:space="preserve"> </w:t>
      </w:r>
      <w:r w:rsidRPr="009B36E9">
        <w:rPr>
          <w:b/>
          <w:noProof/>
        </w:rPr>
        <w:t>128</w:t>
      </w:r>
      <w:r w:rsidRPr="009B36E9">
        <w:rPr>
          <w:noProof/>
        </w:rPr>
        <w:t xml:space="preserve">, e2023JE007826 (2023). </w:t>
      </w:r>
      <w:r w:rsidRPr="007F6E00">
        <w:rPr>
          <w:noProof/>
        </w:rPr>
        <w:t>https://doi.org/10.1029/2023JE007826</w:t>
      </w:r>
    </w:p>
    <w:p w14:paraId="5AF5FE5C" w14:textId="77777777" w:rsidR="007F6E00" w:rsidRPr="009B36E9" w:rsidRDefault="007F6E00" w:rsidP="009B36E9">
      <w:pPr>
        <w:pStyle w:val="EndNoteBibliography"/>
        <w:ind w:left="720" w:hanging="720"/>
        <w:rPr>
          <w:noProof/>
        </w:rPr>
      </w:pPr>
      <w:r w:rsidRPr="009B36E9">
        <w:rPr>
          <w:noProof/>
        </w:rPr>
        <w:t>5</w:t>
      </w:r>
      <w:r w:rsidRPr="009B36E9">
        <w:rPr>
          <w:noProof/>
        </w:rPr>
        <w:tab/>
        <w:t xml:space="preserve">Wang, X., Chen, L. &amp; Wang, X. Renewed Epicentral Distribution of Low Frequency Marsquakes by Varying-Parameter Polarization Analysis of InSight Data. </w:t>
      </w:r>
      <w:r w:rsidRPr="009B36E9">
        <w:rPr>
          <w:i/>
          <w:noProof/>
        </w:rPr>
        <w:t>Geophysical Research Letters</w:t>
      </w:r>
      <w:r w:rsidRPr="009B36E9">
        <w:rPr>
          <w:noProof/>
        </w:rPr>
        <w:t xml:space="preserve"> </w:t>
      </w:r>
      <w:r w:rsidRPr="009B36E9">
        <w:rPr>
          <w:b/>
          <w:noProof/>
        </w:rPr>
        <w:t>50</w:t>
      </w:r>
      <w:r w:rsidRPr="009B36E9">
        <w:rPr>
          <w:noProof/>
        </w:rPr>
        <w:t xml:space="preserve">, e2023GL103896 (2023). </w:t>
      </w:r>
      <w:r w:rsidRPr="007F6E00">
        <w:rPr>
          <w:noProof/>
        </w:rPr>
        <w:t>https://doi.org/10.1029/2023GL103896</w:t>
      </w:r>
    </w:p>
    <w:p w14:paraId="2A2BEE22" w14:textId="77777777" w:rsidR="007F6E00" w:rsidRPr="009B36E9" w:rsidRDefault="007F6E00" w:rsidP="009B36E9">
      <w:pPr>
        <w:pStyle w:val="EndNoteBibliography"/>
        <w:ind w:left="720" w:hanging="720"/>
        <w:rPr>
          <w:noProof/>
        </w:rPr>
      </w:pPr>
      <w:r w:rsidRPr="009B36E9">
        <w:rPr>
          <w:noProof/>
        </w:rPr>
        <w:t>6</w:t>
      </w:r>
      <w:r w:rsidRPr="009B36E9">
        <w:rPr>
          <w:noProof/>
        </w:rPr>
        <w:tab/>
        <w:t>Brinkman, N.</w:t>
      </w:r>
      <w:r w:rsidRPr="009B36E9">
        <w:rPr>
          <w:i/>
          <w:noProof/>
        </w:rPr>
        <w:t xml:space="preserve"> et al.</w:t>
      </w:r>
      <w:r w:rsidRPr="009B36E9">
        <w:rPr>
          <w:noProof/>
        </w:rPr>
        <w:t xml:space="preserve"> First Focal Mechanisms of Marsquakes. </w:t>
      </w:r>
      <w:r w:rsidRPr="009B36E9">
        <w:rPr>
          <w:i/>
          <w:noProof/>
        </w:rPr>
        <w:t>Journal of Geophysical Research: Planets</w:t>
      </w:r>
      <w:r w:rsidRPr="009B36E9">
        <w:rPr>
          <w:noProof/>
        </w:rPr>
        <w:t xml:space="preserve"> </w:t>
      </w:r>
      <w:r w:rsidRPr="009B36E9">
        <w:rPr>
          <w:b/>
          <w:noProof/>
        </w:rPr>
        <w:t>126</w:t>
      </w:r>
      <w:r w:rsidRPr="009B36E9">
        <w:rPr>
          <w:noProof/>
        </w:rPr>
        <w:t xml:space="preserve">, e2020JE006546 (2021). </w:t>
      </w:r>
      <w:r w:rsidRPr="007F6E00">
        <w:rPr>
          <w:noProof/>
        </w:rPr>
        <w:t>https://doi.org/10.1029/2020JE006546</w:t>
      </w:r>
    </w:p>
    <w:p w14:paraId="725B589A" w14:textId="77777777" w:rsidR="007F6E00" w:rsidRPr="009B36E9" w:rsidRDefault="007F6E00" w:rsidP="009B36E9">
      <w:pPr>
        <w:pStyle w:val="EndNoteBibliography"/>
        <w:ind w:left="720" w:hanging="720"/>
        <w:rPr>
          <w:noProof/>
        </w:rPr>
      </w:pPr>
      <w:r w:rsidRPr="009B36E9">
        <w:rPr>
          <w:noProof/>
        </w:rPr>
        <w:t>7</w:t>
      </w:r>
      <w:r w:rsidRPr="009B36E9">
        <w:rPr>
          <w:noProof/>
        </w:rPr>
        <w:tab/>
        <w:t>Kedar, S.</w:t>
      </w:r>
      <w:r w:rsidRPr="009B36E9">
        <w:rPr>
          <w:i/>
          <w:noProof/>
        </w:rPr>
        <w:t xml:space="preserve"> et al.</w:t>
      </w:r>
      <w:r w:rsidRPr="009B36E9">
        <w:rPr>
          <w:noProof/>
        </w:rPr>
        <w:t xml:space="preserve"> Analyzing Low Frequency Seismic Events at Cerberus Fossae as Long Period Volcanic Quakes. </w:t>
      </w:r>
      <w:r w:rsidRPr="009B36E9">
        <w:rPr>
          <w:i/>
          <w:noProof/>
        </w:rPr>
        <w:t>Journal of Geophysical Research: Planets</w:t>
      </w:r>
      <w:r w:rsidRPr="009B36E9">
        <w:rPr>
          <w:noProof/>
        </w:rPr>
        <w:t xml:space="preserve"> </w:t>
      </w:r>
      <w:r w:rsidRPr="009B36E9">
        <w:rPr>
          <w:b/>
          <w:noProof/>
        </w:rPr>
        <w:t>126</w:t>
      </w:r>
      <w:r w:rsidRPr="009B36E9">
        <w:rPr>
          <w:noProof/>
        </w:rPr>
        <w:t xml:space="preserve">, e2020JE006518 (2021). </w:t>
      </w:r>
      <w:r w:rsidRPr="007F6E00">
        <w:rPr>
          <w:noProof/>
        </w:rPr>
        <w:t>https://doi.org/10.1029/2020JE006518</w:t>
      </w:r>
    </w:p>
    <w:p w14:paraId="35630C60" w14:textId="77777777" w:rsidR="007F6E00" w:rsidRPr="009B36E9" w:rsidRDefault="007F6E00" w:rsidP="009B36E9">
      <w:pPr>
        <w:pStyle w:val="EndNoteBibliography"/>
        <w:ind w:left="720" w:hanging="720"/>
        <w:rPr>
          <w:noProof/>
        </w:rPr>
      </w:pPr>
      <w:r w:rsidRPr="009B36E9">
        <w:rPr>
          <w:noProof/>
        </w:rPr>
        <w:t>8</w:t>
      </w:r>
      <w:r w:rsidRPr="009B36E9">
        <w:rPr>
          <w:noProof/>
        </w:rPr>
        <w:tab/>
        <w:t>Perrin, C.</w:t>
      </w:r>
      <w:r w:rsidRPr="009B36E9">
        <w:rPr>
          <w:i/>
          <w:noProof/>
        </w:rPr>
        <w:t xml:space="preserve"> et al.</w:t>
      </w:r>
      <w:r w:rsidRPr="009B36E9">
        <w:rPr>
          <w:noProof/>
        </w:rPr>
        <w:t xml:space="preserve"> Geometry and Segmentation of Cerberus Fossae, Mars: Implications for Marsquake Properties. </w:t>
      </w:r>
      <w:r w:rsidRPr="009B36E9">
        <w:rPr>
          <w:i/>
          <w:noProof/>
        </w:rPr>
        <w:t>Journal of Geophysical Research: Planets</w:t>
      </w:r>
      <w:r w:rsidRPr="009B36E9">
        <w:rPr>
          <w:noProof/>
        </w:rPr>
        <w:t xml:space="preserve"> </w:t>
      </w:r>
      <w:r w:rsidRPr="009B36E9">
        <w:rPr>
          <w:b/>
          <w:noProof/>
        </w:rPr>
        <w:t>127</w:t>
      </w:r>
      <w:r w:rsidRPr="009B36E9">
        <w:rPr>
          <w:noProof/>
        </w:rPr>
        <w:t xml:space="preserve">, e2021JE007118 (2022). </w:t>
      </w:r>
      <w:r w:rsidRPr="007F6E00">
        <w:rPr>
          <w:noProof/>
        </w:rPr>
        <w:t>https://doi.org/10.1029/2021JE007118</w:t>
      </w:r>
    </w:p>
    <w:p w14:paraId="33DE7F3D" w14:textId="77777777" w:rsidR="007F6E00" w:rsidRPr="007F6E00" w:rsidRDefault="007F6E00" w:rsidP="009B36E9">
      <w:pPr>
        <w:pStyle w:val="EndNoteBibliography"/>
        <w:ind w:left="720" w:hanging="720"/>
        <w:rPr>
          <w:noProof/>
          <w:lang w:val="fr-FR"/>
        </w:rPr>
      </w:pPr>
      <w:r w:rsidRPr="005C7BF4">
        <w:rPr>
          <w:noProof/>
        </w:rPr>
        <w:t>9</w:t>
      </w:r>
      <w:r w:rsidRPr="005C7BF4">
        <w:rPr>
          <w:noProof/>
        </w:rPr>
        <w:tab/>
        <w:t>Stähler, S. C.</w:t>
      </w:r>
      <w:r w:rsidRPr="005C7BF4">
        <w:rPr>
          <w:i/>
          <w:noProof/>
        </w:rPr>
        <w:t xml:space="preserve"> et al.</w:t>
      </w:r>
      <w:r w:rsidRPr="005C7BF4">
        <w:rPr>
          <w:noProof/>
        </w:rPr>
        <w:t xml:space="preserve"> </w:t>
      </w:r>
      <w:r w:rsidRPr="009B36E9">
        <w:rPr>
          <w:noProof/>
        </w:rPr>
        <w:t xml:space="preserve">Tectonics of Cerberus Fossae unveiled by marsquakes. </w:t>
      </w:r>
      <w:r w:rsidRPr="007F6E00">
        <w:rPr>
          <w:i/>
          <w:noProof/>
          <w:lang w:val="fr-FR"/>
        </w:rPr>
        <w:t>Nature Astronomy</w:t>
      </w:r>
      <w:r w:rsidRPr="007F6E00">
        <w:rPr>
          <w:noProof/>
          <w:lang w:val="fr-FR"/>
        </w:rPr>
        <w:t xml:space="preserve"> </w:t>
      </w:r>
      <w:r w:rsidRPr="007F6E00">
        <w:rPr>
          <w:b/>
          <w:noProof/>
          <w:lang w:val="fr-FR"/>
        </w:rPr>
        <w:t>6</w:t>
      </w:r>
      <w:r w:rsidRPr="007F6E00">
        <w:rPr>
          <w:noProof/>
          <w:lang w:val="fr-FR"/>
        </w:rPr>
        <w:t>, 1376-1386 (2022). https://doi.org/10.1038/s41550-022-01803-y</w:t>
      </w:r>
    </w:p>
    <w:p w14:paraId="79C4221F" w14:textId="77777777" w:rsidR="007F6E00" w:rsidRPr="009B36E9" w:rsidRDefault="007F6E00" w:rsidP="009B36E9">
      <w:pPr>
        <w:pStyle w:val="EndNoteBibliography"/>
        <w:ind w:left="720" w:hanging="720"/>
        <w:rPr>
          <w:noProof/>
        </w:rPr>
      </w:pPr>
      <w:r w:rsidRPr="007F6E00">
        <w:rPr>
          <w:noProof/>
          <w:lang w:val="fr-FR"/>
        </w:rPr>
        <w:t>10</w:t>
      </w:r>
      <w:r w:rsidRPr="007F6E00">
        <w:rPr>
          <w:noProof/>
          <w:lang w:val="fr-FR"/>
        </w:rPr>
        <w:tab/>
        <w:t>Jacob, A.</w:t>
      </w:r>
      <w:r w:rsidRPr="007F6E00">
        <w:rPr>
          <w:i/>
          <w:noProof/>
          <w:lang w:val="fr-FR"/>
        </w:rPr>
        <w:t xml:space="preserve"> et al.</w:t>
      </w:r>
      <w:r w:rsidRPr="007F6E00">
        <w:rPr>
          <w:noProof/>
          <w:lang w:val="fr-FR"/>
        </w:rPr>
        <w:t xml:space="preserve"> </w:t>
      </w:r>
      <w:r w:rsidRPr="009B36E9">
        <w:rPr>
          <w:noProof/>
        </w:rPr>
        <w:t xml:space="preserve">Seismic sources of InSight marsquakes and seismotectonic context of Elysium Planitia, Mars. </w:t>
      </w:r>
      <w:r w:rsidRPr="009B36E9">
        <w:rPr>
          <w:i/>
          <w:noProof/>
        </w:rPr>
        <w:t>Tectonophysics</w:t>
      </w:r>
      <w:r w:rsidRPr="009B36E9">
        <w:rPr>
          <w:noProof/>
        </w:rPr>
        <w:t xml:space="preserve"> </w:t>
      </w:r>
      <w:r w:rsidRPr="009B36E9">
        <w:rPr>
          <w:b/>
          <w:noProof/>
        </w:rPr>
        <w:t>837</w:t>
      </w:r>
      <w:r w:rsidRPr="009B36E9">
        <w:rPr>
          <w:noProof/>
        </w:rPr>
        <w:t xml:space="preserve">, 229434 (2022). </w:t>
      </w:r>
      <w:r w:rsidRPr="007F6E00">
        <w:rPr>
          <w:noProof/>
        </w:rPr>
        <w:t>https://doi.org/10.1016/j.tecto.2022.229434</w:t>
      </w:r>
    </w:p>
    <w:p w14:paraId="745DECBB" w14:textId="77777777" w:rsidR="007F6E00" w:rsidRPr="007F6E00" w:rsidRDefault="007F6E00" w:rsidP="009B36E9">
      <w:pPr>
        <w:pStyle w:val="EndNoteBibliography"/>
        <w:ind w:left="720" w:hanging="720"/>
        <w:rPr>
          <w:noProof/>
          <w:lang w:val="fr-FR"/>
        </w:rPr>
      </w:pPr>
      <w:r w:rsidRPr="009B36E9">
        <w:rPr>
          <w:noProof/>
        </w:rPr>
        <w:t>11</w:t>
      </w:r>
      <w:r w:rsidRPr="009B36E9">
        <w:rPr>
          <w:noProof/>
        </w:rPr>
        <w:tab/>
        <w:t xml:space="preserve">Broquet, A. &amp; Andrews-Hanna, J. C. Geophysical evidence for an active mantle plume underneath Elysium Planitia on Mars. </w:t>
      </w:r>
      <w:r w:rsidRPr="007F6E00">
        <w:rPr>
          <w:i/>
          <w:noProof/>
          <w:lang w:val="fr-FR"/>
        </w:rPr>
        <w:t>Nature Astronomy</w:t>
      </w:r>
      <w:r w:rsidRPr="007F6E00">
        <w:rPr>
          <w:noProof/>
          <w:lang w:val="fr-FR"/>
        </w:rPr>
        <w:t xml:space="preserve"> </w:t>
      </w:r>
      <w:r w:rsidRPr="007F6E00">
        <w:rPr>
          <w:b/>
          <w:noProof/>
          <w:lang w:val="fr-FR"/>
        </w:rPr>
        <w:t>7</w:t>
      </w:r>
      <w:r w:rsidRPr="007F6E00">
        <w:rPr>
          <w:noProof/>
          <w:lang w:val="fr-FR"/>
        </w:rPr>
        <w:t>, 160-169 (2023). https://doi.org/10.1038/s41550-022-01836-3</w:t>
      </w:r>
    </w:p>
    <w:p w14:paraId="524FAA4F" w14:textId="77777777" w:rsidR="007F6E00" w:rsidRPr="007F6E00" w:rsidRDefault="007F6E00" w:rsidP="009B36E9">
      <w:pPr>
        <w:pStyle w:val="EndNoteBibliography"/>
        <w:ind w:left="720" w:hanging="720"/>
        <w:rPr>
          <w:noProof/>
        </w:rPr>
      </w:pPr>
      <w:r w:rsidRPr="007F6E00">
        <w:rPr>
          <w:noProof/>
          <w:lang w:val="fr-FR"/>
        </w:rPr>
        <w:t>12</w:t>
      </w:r>
      <w:r w:rsidRPr="007F6E00">
        <w:rPr>
          <w:noProof/>
          <w:lang w:val="fr-FR"/>
        </w:rPr>
        <w:tab/>
        <w:t>Giardini, D.</w:t>
      </w:r>
      <w:r w:rsidRPr="007F6E00">
        <w:rPr>
          <w:i/>
          <w:noProof/>
          <w:lang w:val="fr-FR"/>
        </w:rPr>
        <w:t xml:space="preserve"> et al.</w:t>
      </w:r>
      <w:r w:rsidRPr="007F6E00">
        <w:rPr>
          <w:noProof/>
          <w:lang w:val="fr-FR"/>
        </w:rPr>
        <w:t xml:space="preserve"> </w:t>
      </w:r>
      <w:r w:rsidRPr="009B36E9">
        <w:rPr>
          <w:noProof/>
        </w:rPr>
        <w:t xml:space="preserve">The seismicity of Mars. </w:t>
      </w:r>
      <w:r w:rsidRPr="007F6E00">
        <w:rPr>
          <w:i/>
          <w:noProof/>
        </w:rPr>
        <w:t>Nature Geoscience</w:t>
      </w:r>
      <w:r w:rsidRPr="007F6E00">
        <w:rPr>
          <w:noProof/>
        </w:rPr>
        <w:t xml:space="preserve"> </w:t>
      </w:r>
      <w:r w:rsidRPr="007F6E00">
        <w:rPr>
          <w:b/>
          <w:noProof/>
        </w:rPr>
        <w:t>13</w:t>
      </w:r>
      <w:r w:rsidRPr="007F6E00">
        <w:rPr>
          <w:noProof/>
        </w:rPr>
        <w:t>, 205-212 (2020). https://doi.org/10.1038/s41561-020-0539-8</w:t>
      </w:r>
    </w:p>
    <w:p w14:paraId="55457396" w14:textId="77777777" w:rsidR="007F6E00" w:rsidRPr="009B36E9" w:rsidRDefault="007F6E00" w:rsidP="009B36E9">
      <w:pPr>
        <w:pStyle w:val="EndNoteBibliography"/>
        <w:ind w:left="720" w:hanging="720"/>
        <w:rPr>
          <w:noProof/>
        </w:rPr>
      </w:pPr>
      <w:r w:rsidRPr="00D642CF">
        <w:rPr>
          <w:noProof/>
          <w:lang w:val="fr-FR"/>
        </w:rPr>
        <w:t>13</w:t>
      </w:r>
      <w:r w:rsidRPr="00D642CF">
        <w:rPr>
          <w:noProof/>
          <w:lang w:val="fr-FR"/>
        </w:rPr>
        <w:tab/>
        <w:t>Tanaka, K. L.</w:t>
      </w:r>
      <w:r w:rsidRPr="00D642CF">
        <w:rPr>
          <w:i/>
          <w:noProof/>
          <w:lang w:val="fr-FR"/>
        </w:rPr>
        <w:t xml:space="preserve"> et al.</w:t>
      </w:r>
      <w:r w:rsidRPr="00D642CF">
        <w:rPr>
          <w:noProof/>
          <w:lang w:val="fr-FR"/>
        </w:rPr>
        <w:t xml:space="preserve"> </w:t>
      </w:r>
      <w:r w:rsidRPr="009B36E9">
        <w:rPr>
          <w:noProof/>
        </w:rPr>
        <w:t>Geologic map of Mars. Report No. 3292, 48 (Reston, VA, 2014).</w:t>
      </w:r>
    </w:p>
    <w:p w14:paraId="647027FE" w14:textId="77777777" w:rsidR="007F6E00" w:rsidRPr="007F6E00" w:rsidRDefault="007F6E00" w:rsidP="009B36E9">
      <w:pPr>
        <w:pStyle w:val="EndNoteBibliography"/>
        <w:ind w:left="720" w:hanging="720"/>
        <w:rPr>
          <w:noProof/>
          <w:lang w:val="fr-FR"/>
        </w:rPr>
      </w:pPr>
      <w:r w:rsidRPr="009B36E9">
        <w:rPr>
          <w:noProof/>
        </w:rPr>
        <w:t>14</w:t>
      </w:r>
      <w:r w:rsidRPr="009B36E9">
        <w:rPr>
          <w:noProof/>
        </w:rPr>
        <w:tab/>
        <w:t xml:space="preserve">Montalbetti, J. F. &amp; Kanasewich, E. R. Enhancement of Teleseismic Body Phases with a Polarization Filter. </w:t>
      </w:r>
      <w:r w:rsidRPr="007F6E00">
        <w:rPr>
          <w:i/>
          <w:noProof/>
          <w:lang w:val="fr-FR"/>
        </w:rPr>
        <w:t>Geophysical Journal International</w:t>
      </w:r>
      <w:r w:rsidRPr="007F6E00">
        <w:rPr>
          <w:noProof/>
          <w:lang w:val="fr-FR"/>
        </w:rPr>
        <w:t xml:space="preserve"> </w:t>
      </w:r>
      <w:r w:rsidRPr="007F6E00">
        <w:rPr>
          <w:b/>
          <w:noProof/>
          <w:lang w:val="fr-FR"/>
        </w:rPr>
        <w:t>21</w:t>
      </w:r>
      <w:r w:rsidRPr="007F6E00">
        <w:rPr>
          <w:noProof/>
          <w:lang w:val="fr-FR"/>
        </w:rPr>
        <w:t>, 119-129 (1970). https://doi.org/10.1111/j.1365-246X.1970.tb01771.x</w:t>
      </w:r>
    </w:p>
    <w:p w14:paraId="3DBB27B2" w14:textId="77777777" w:rsidR="007F6E00" w:rsidRPr="009B36E9" w:rsidRDefault="007F6E00" w:rsidP="009B36E9">
      <w:pPr>
        <w:pStyle w:val="EndNoteBibliography"/>
        <w:ind w:left="720" w:hanging="720"/>
        <w:rPr>
          <w:noProof/>
        </w:rPr>
      </w:pPr>
      <w:r w:rsidRPr="007F6E00">
        <w:rPr>
          <w:noProof/>
          <w:lang w:val="fr-FR"/>
        </w:rPr>
        <w:t>15</w:t>
      </w:r>
      <w:r w:rsidRPr="007F6E00">
        <w:rPr>
          <w:noProof/>
          <w:lang w:val="fr-FR"/>
        </w:rPr>
        <w:tab/>
        <w:t>Shi, J.</w:t>
      </w:r>
      <w:r w:rsidRPr="007F6E00">
        <w:rPr>
          <w:i/>
          <w:noProof/>
          <w:lang w:val="fr-FR"/>
        </w:rPr>
        <w:t xml:space="preserve"> et al.</w:t>
      </w:r>
      <w:r w:rsidRPr="007F6E00">
        <w:rPr>
          <w:noProof/>
          <w:lang w:val="fr-FR"/>
        </w:rPr>
        <w:t xml:space="preserve"> </w:t>
      </w:r>
      <w:r w:rsidRPr="009B36E9">
        <w:rPr>
          <w:noProof/>
        </w:rPr>
        <w:t xml:space="preserve">High-Frequency Receiver Functions With Event S1222a Reveal a </w:t>
      </w:r>
      <w:r w:rsidRPr="009B36E9">
        <w:rPr>
          <w:noProof/>
        </w:rPr>
        <w:lastRenderedPageBreak/>
        <w:t xml:space="preserve">Discontinuity in the Martian Shallow Crust. </w:t>
      </w:r>
      <w:r w:rsidRPr="009B36E9">
        <w:rPr>
          <w:i/>
          <w:noProof/>
        </w:rPr>
        <w:t>Geophysical Research Letters</w:t>
      </w:r>
      <w:r w:rsidRPr="009B36E9">
        <w:rPr>
          <w:noProof/>
        </w:rPr>
        <w:t xml:space="preserve"> </w:t>
      </w:r>
      <w:r w:rsidRPr="009B36E9">
        <w:rPr>
          <w:b/>
          <w:noProof/>
        </w:rPr>
        <w:t>50</w:t>
      </w:r>
      <w:r w:rsidRPr="009B36E9">
        <w:rPr>
          <w:noProof/>
        </w:rPr>
        <w:t xml:space="preserve">, e2022GL101627 (2023). </w:t>
      </w:r>
      <w:r w:rsidRPr="007F6E00">
        <w:rPr>
          <w:noProof/>
        </w:rPr>
        <w:t>https://doi.org/10.1029/2022GL101627</w:t>
      </w:r>
    </w:p>
    <w:p w14:paraId="4FEEAB22" w14:textId="77777777" w:rsidR="007F6E00" w:rsidRPr="009B36E9" w:rsidRDefault="007F6E00" w:rsidP="009B36E9">
      <w:pPr>
        <w:pStyle w:val="EndNoteBibliography"/>
        <w:ind w:left="720" w:hanging="720"/>
        <w:rPr>
          <w:noProof/>
        </w:rPr>
      </w:pPr>
      <w:r w:rsidRPr="009B36E9">
        <w:rPr>
          <w:noProof/>
        </w:rPr>
        <w:t>16</w:t>
      </w:r>
      <w:r w:rsidRPr="009B36E9">
        <w:rPr>
          <w:noProof/>
        </w:rPr>
        <w:tab/>
        <w:t xml:space="preserve">Zhang, J., Chen, L. &amp; Wang, X. Crustal structure study based on principal component analysis of receiver functions. </w:t>
      </w:r>
      <w:r w:rsidRPr="009B36E9">
        <w:rPr>
          <w:i/>
          <w:noProof/>
        </w:rPr>
        <w:t>Science China Earth Sciences</w:t>
      </w:r>
      <w:r w:rsidRPr="009B36E9">
        <w:rPr>
          <w:noProof/>
        </w:rPr>
        <w:t xml:space="preserve"> </w:t>
      </w:r>
      <w:r w:rsidRPr="009B36E9">
        <w:rPr>
          <w:b/>
          <w:noProof/>
        </w:rPr>
        <w:t>62</w:t>
      </w:r>
      <w:r w:rsidRPr="009B36E9">
        <w:rPr>
          <w:noProof/>
        </w:rPr>
        <w:t xml:space="preserve">, 1110-1124 (2019). </w:t>
      </w:r>
      <w:r w:rsidRPr="007F6E00">
        <w:rPr>
          <w:noProof/>
        </w:rPr>
        <w:t>https://doi.org/10.1007/s11430-018-9341-9</w:t>
      </w:r>
    </w:p>
    <w:p w14:paraId="12281E88" w14:textId="77777777" w:rsidR="007F6E00" w:rsidRPr="009B36E9" w:rsidRDefault="007F6E00" w:rsidP="009B36E9">
      <w:pPr>
        <w:pStyle w:val="EndNoteBibliography"/>
        <w:ind w:left="720" w:hanging="720"/>
        <w:rPr>
          <w:noProof/>
        </w:rPr>
      </w:pPr>
      <w:r w:rsidRPr="009B36E9">
        <w:rPr>
          <w:noProof/>
        </w:rPr>
        <w:t>17</w:t>
      </w:r>
      <w:r w:rsidRPr="009B36E9">
        <w:rPr>
          <w:noProof/>
        </w:rPr>
        <w:tab/>
        <w:t>Beghein, C.</w:t>
      </w:r>
      <w:r w:rsidRPr="009B36E9">
        <w:rPr>
          <w:i/>
          <w:noProof/>
        </w:rPr>
        <w:t xml:space="preserve"> et al.</w:t>
      </w:r>
      <w:r w:rsidRPr="009B36E9">
        <w:rPr>
          <w:noProof/>
        </w:rPr>
        <w:t xml:space="preserve"> Crustal Anisotropy in the Martian Lowlands From Surface Waves. </w:t>
      </w:r>
      <w:r w:rsidRPr="009B36E9">
        <w:rPr>
          <w:i/>
          <w:noProof/>
        </w:rPr>
        <w:t>Geophysical Research Letters</w:t>
      </w:r>
      <w:r w:rsidRPr="009B36E9">
        <w:rPr>
          <w:noProof/>
        </w:rPr>
        <w:t xml:space="preserve"> </w:t>
      </w:r>
      <w:r w:rsidRPr="009B36E9">
        <w:rPr>
          <w:b/>
          <w:noProof/>
        </w:rPr>
        <w:t>49</w:t>
      </w:r>
      <w:r w:rsidRPr="009B36E9">
        <w:rPr>
          <w:noProof/>
        </w:rPr>
        <w:t xml:space="preserve">, e2022GL101508 (2022). </w:t>
      </w:r>
      <w:r w:rsidRPr="007F6E00">
        <w:rPr>
          <w:noProof/>
        </w:rPr>
        <w:t>https://doi.org/10.1029/2022GL101508</w:t>
      </w:r>
    </w:p>
    <w:p w14:paraId="2827FF74" w14:textId="77777777" w:rsidR="007F6E00" w:rsidRPr="009B36E9" w:rsidRDefault="007F6E00" w:rsidP="009B36E9">
      <w:pPr>
        <w:pStyle w:val="EndNoteBibliography"/>
        <w:ind w:left="720" w:hanging="720"/>
        <w:rPr>
          <w:noProof/>
        </w:rPr>
      </w:pPr>
      <w:r w:rsidRPr="009B36E9">
        <w:rPr>
          <w:noProof/>
        </w:rPr>
        <w:t>18</w:t>
      </w:r>
      <w:r w:rsidRPr="009B36E9">
        <w:rPr>
          <w:noProof/>
        </w:rPr>
        <w:tab/>
        <w:t>Li, J.</w:t>
      </w:r>
      <w:r w:rsidRPr="009B36E9">
        <w:rPr>
          <w:i/>
          <w:noProof/>
        </w:rPr>
        <w:t xml:space="preserve"> et al.</w:t>
      </w:r>
      <w:r w:rsidRPr="009B36E9">
        <w:rPr>
          <w:noProof/>
        </w:rPr>
        <w:t xml:space="preserve"> Evidence for crustal seismic anisotropy at the InSight lander site. </w:t>
      </w:r>
      <w:r w:rsidRPr="009B36E9">
        <w:rPr>
          <w:i/>
          <w:noProof/>
        </w:rPr>
        <w:t>Earth and Planetary Science Letters</w:t>
      </w:r>
      <w:r w:rsidRPr="009B36E9">
        <w:rPr>
          <w:noProof/>
        </w:rPr>
        <w:t xml:space="preserve"> </w:t>
      </w:r>
      <w:r w:rsidRPr="009B36E9">
        <w:rPr>
          <w:b/>
          <w:noProof/>
        </w:rPr>
        <w:t>593</w:t>
      </w:r>
      <w:r w:rsidRPr="009B36E9">
        <w:rPr>
          <w:noProof/>
        </w:rPr>
        <w:t xml:space="preserve">, 117654 (2022). </w:t>
      </w:r>
      <w:r w:rsidRPr="007F6E00">
        <w:rPr>
          <w:noProof/>
        </w:rPr>
        <w:t>https://doi.org/10.1016/j.epsl.2022.117654</w:t>
      </w:r>
    </w:p>
    <w:p w14:paraId="217FD9E3" w14:textId="77777777" w:rsidR="007F6E00" w:rsidRPr="009B36E9" w:rsidRDefault="007F6E00" w:rsidP="009B36E9">
      <w:pPr>
        <w:pStyle w:val="EndNoteBibliography"/>
        <w:ind w:left="720" w:hanging="720"/>
        <w:rPr>
          <w:noProof/>
        </w:rPr>
      </w:pPr>
      <w:r w:rsidRPr="009B36E9">
        <w:rPr>
          <w:noProof/>
        </w:rPr>
        <w:t>19</w:t>
      </w:r>
      <w:r w:rsidRPr="009B36E9">
        <w:rPr>
          <w:noProof/>
        </w:rPr>
        <w:tab/>
        <w:t>Ceylan, S.</w:t>
      </w:r>
      <w:r w:rsidRPr="009B36E9">
        <w:rPr>
          <w:i/>
          <w:noProof/>
        </w:rPr>
        <w:t xml:space="preserve"> et al.</w:t>
      </w:r>
      <w:r w:rsidRPr="009B36E9">
        <w:rPr>
          <w:noProof/>
        </w:rPr>
        <w:t xml:space="preserve"> Companion guide to the marsquake catalog from InSight, Sols 0–478: Data content and non-seismic events. </w:t>
      </w:r>
      <w:r w:rsidRPr="009B36E9">
        <w:rPr>
          <w:i/>
          <w:noProof/>
        </w:rPr>
        <w:t>Physics of the Earth and Planetary Interiors</w:t>
      </w:r>
      <w:r w:rsidRPr="009B36E9">
        <w:rPr>
          <w:noProof/>
        </w:rPr>
        <w:t xml:space="preserve"> </w:t>
      </w:r>
      <w:r w:rsidRPr="009B36E9">
        <w:rPr>
          <w:b/>
          <w:noProof/>
        </w:rPr>
        <w:t>310</w:t>
      </w:r>
      <w:r w:rsidRPr="009B36E9">
        <w:rPr>
          <w:noProof/>
        </w:rPr>
        <w:t xml:space="preserve">, 106597 (2021). </w:t>
      </w:r>
      <w:r w:rsidRPr="007F6E00">
        <w:rPr>
          <w:noProof/>
        </w:rPr>
        <w:t>https://doi.org/10.1016/j.pepi.2020.106597</w:t>
      </w:r>
    </w:p>
    <w:p w14:paraId="40D69DA6" w14:textId="77777777" w:rsidR="007F6E00" w:rsidRPr="009B36E9" w:rsidRDefault="007F6E00" w:rsidP="009B36E9">
      <w:pPr>
        <w:pStyle w:val="EndNoteBibliography"/>
        <w:ind w:left="720" w:hanging="720"/>
        <w:rPr>
          <w:noProof/>
        </w:rPr>
      </w:pPr>
      <w:r w:rsidRPr="007F6E00">
        <w:rPr>
          <w:noProof/>
          <w:lang w:val="fr-FR"/>
        </w:rPr>
        <w:t>20</w:t>
      </w:r>
      <w:r w:rsidRPr="007F6E00">
        <w:rPr>
          <w:noProof/>
          <w:lang w:val="fr-FR"/>
        </w:rPr>
        <w:tab/>
        <w:t>Dahmen, N. L.</w:t>
      </w:r>
      <w:r w:rsidRPr="007F6E00">
        <w:rPr>
          <w:i/>
          <w:noProof/>
          <w:lang w:val="fr-FR"/>
        </w:rPr>
        <w:t xml:space="preserve"> et al.</w:t>
      </w:r>
      <w:r w:rsidRPr="007F6E00">
        <w:rPr>
          <w:noProof/>
          <w:lang w:val="fr-FR"/>
        </w:rPr>
        <w:t xml:space="preserve"> </w:t>
      </w:r>
      <w:r w:rsidRPr="009B36E9">
        <w:rPr>
          <w:noProof/>
        </w:rPr>
        <w:t xml:space="preserve">Resonances and Lander Modes Observed by InSight on Mars (1–9 Hz). </w:t>
      </w:r>
      <w:r w:rsidRPr="009B36E9">
        <w:rPr>
          <w:i/>
          <w:noProof/>
        </w:rPr>
        <w:t>Bulletin of the Seismological Society of America</w:t>
      </w:r>
      <w:r w:rsidRPr="009B36E9">
        <w:rPr>
          <w:noProof/>
        </w:rPr>
        <w:t xml:space="preserve"> </w:t>
      </w:r>
      <w:r w:rsidRPr="009B36E9">
        <w:rPr>
          <w:b/>
          <w:noProof/>
        </w:rPr>
        <w:t>111</w:t>
      </w:r>
      <w:r w:rsidRPr="009B36E9">
        <w:rPr>
          <w:noProof/>
        </w:rPr>
        <w:t xml:space="preserve">, 2924-2950 (2021). </w:t>
      </w:r>
      <w:r w:rsidRPr="007F6E00">
        <w:rPr>
          <w:noProof/>
        </w:rPr>
        <w:t>https://doi.org/10.1785/0120210056</w:t>
      </w:r>
    </w:p>
    <w:p w14:paraId="046ACE63" w14:textId="77777777" w:rsidR="007F6E00" w:rsidRPr="009B36E9" w:rsidRDefault="007F6E00" w:rsidP="009B36E9">
      <w:pPr>
        <w:pStyle w:val="EndNoteBibliography"/>
        <w:ind w:left="720" w:hanging="720"/>
        <w:rPr>
          <w:noProof/>
        </w:rPr>
      </w:pPr>
      <w:r w:rsidRPr="009B36E9">
        <w:rPr>
          <w:noProof/>
        </w:rPr>
        <w:t>21</w:t>
      </w:r>
      <w:r w:rsidRPr="009B36E9">
        <w:rPr>
          <w:noProof/>
        </w:rPr>
        <w:tab/>
        <w:t xml:space="preserve">Ligorría, J. P. &amp; Ammon, C. J. Iterative deconvolution and receiver-function estimation. </w:t>
      </w:r>
      <w:r w:rsidRPr="009B36E9">
        <w:rPr>
          <w:i/>
          <w:noProof/>
        </w:rPr>
        <w:t>Bulletin of the Seismological Society of America</w:t>
      </w:r>
      <w:r w:rsidRPr="009B36E9">
        <w:rPr>
          <w:noProof/>
        </w:rPr>
        <w:t xml:space="preserve"> </w:t>
      </w:r>
      <w:r w:rsidRPr="009B36E9">
        <w:rPr>
          <w:b/>
          <w:noProof/>
        </w:rPr>
        <w:t>89</w:t>
      </w:r>
      <w:r w:rsidRPr="009B36E9">
        <w:rPr>
          <w:noProof/>
        </w:rPr>
        <w:t xml:space="preserve">, 1395-1400 (1999). </w:t>
      </w:r>
    </w:p>
    <w:p w14:paraId="107C60B8" w14:textId="77777777" w:rsidR="007F6E00" w:rsidRPr="009B36E9" w:rsidRDefault="007F6E00" w:rsidP="009B36E9">
      <w:pPr>
        <w:pStyle w:val="EndNoteBibliography"/>
        <w:ind w:left="720" w:hanging="720"/>
        <w:rPr>
          <w:noProof/>
        </w:rPr>
      </w:pPr>
      <w:r w:rsidRPr="009B36E9">
        <w:rPr>
          <w:noProof/>
        </w:rPr>
        <w:t>22</w:t>
      </w:r>
      <w:r w:rsidRPr="009B36E9">
        <w:rPr>
          <w:noProof/>
        </w:rPr>
        <w:tab/>
        <w:t>Joshi, R.</w:t>
      </w:r>
      <w:r w:rsidRPr="009B36E9">
        <w:rPr>
          <w:i/>
          <w:noProof/>
        </w:rPr>
        <w:t xml:space="preserve"> et al.</w:t>
      </w:r>
      <w:r w:rsidRPr="009B36E9">
        <w:rPr>
          <w:noProof/>
        </w:rPr>
        <w:t xml:space="preserve"> Joint Inversion of Receiver Functions and Apparent Incidence Angles to Determine the Crustal Structure of Mars. </w:t>
      </w:r>
      <w:r w:rsidRPr="009B36E9">
        <w:rPr>
          <w:i/>
          <w:noProof/>
        </w:rPr>
        <w:t>Geophysical Research Letters</w:t>
      </w:r>
      <w:r w:rsidRPr="009B36E9">
        <w:rPr>
          <w:noProof/>
        </w:rPr>
        <w:t xml:space="preserve"> </w:t>
      </w:r>
      <w:r w:rsidRPr="009B36E9">
        <w:rPr>
          <w:b/>
          <w:noProof/>
        </w:rPr>
        <w:t>50</w:t>
      </w:r>
      <w:r w:rsidRPr="009B36E9">
        <w:rPr>
          <w:noProof/>
        </w:rPr>
        <w:t xml:space="preserve">, e2022GL100469 (2023). </w:t>
      </w:r>
      <w:r w:rsidRPr="007F6E00">
        <w:rPr>
          <w:noProof/>
        </w:rPr>
        <w:t>https://doi.org/10.1029/2022GL100469</w:t>
      </w:r>
    </w:p>
    <w:p w14:paraId="0E972187" w14:textId="77777777" w:rsidR="007F6E00" w:rsidRPr="009B36E9" w:rsidRDefault="007F6E00" w:rsidP="009B36E9">
      <w:pPr>
        <w:pStyle w:val="EndNoteBibliography"/>
        <w:ind w:left="720" w:hanging="720"/>
        <w:rPr>
          <w:noProof/>
        </w:rPr>
      </w:pPr>
      <w:r w:rsidRPr="009B36E9">
        <w:rPr>
          <w:noProof/>
        </w:rPr>
        <w:t>23</w:t>
      </w:r>
      <w:r w:rsidRPr="009B36E9">
        <w:rPr>
          <w:noProof/>
        </w:rPr>
        <w:tab/>
        <w:t>Kim, D.</w:t>
      </w:r>
      <w:r w:rsidRPr="009B36E9">
        <w:rPr>
          <w:i/>
          <w:noProof/>
        </w:rPr>
        <w:t xml:space="preserve"> et al.</w:t>
      </w:r>
      <w:r w:rsidRPr="009B36E9">
        <w:rPr>
          <w:noProof/>
        </w:rPr>
        <w:t xml:space="preserve"> Improving Constraints on Planetary Interiors With PPs Receiver Functions. </w:t>
      </w:r>
      <w:r w:rsidRPr="009B36E9">
        <w:rPr>
          <w:i/>
          <w:noProof/>
        </w:rPr>
        <w:t>Journal of Geophysical Research: Planets</w:t>
      </w:r>
      <w:r w:rsidRPr="009B36E9">
        <w:rPr>
          <w:noProof/>
        </w:rPr>
        <w:t xml:space="preserve"> </w:t>
      </w:r>
      <w:r w:rsidRPr="009B36E9">
        <w:rPr>
          <w:b/>
          <w:noProof/>
        </w:rPr>
        <w:t>126</w:t>
      </w:r>
      <w:r w:rsidRPr="009B36E9">
        <w:rPr>
          <w:noProof/>
        </w:rPr>
        <w:t xml:space="preserve">, e2021JE006983 (2021). </w:t>
      </w:r>
      <w:r w:rsidRPr="007F6E00">
        <w:rPr>
          <w:noProof/>
        </w:rPr>
        <w:t>https://doi.org/10.1029/2021JE006983</w:t>
      </w:r>
    </w:p>
    <w:p w14:paraId="56EDF1BD" w14:textId="77777777" w:rsidR="007F6E00" w:rsidRPr="009B36E9" w:rsidRDefault="007F6E00" w:rsidP="009B36E9">
      <w:pPr>
        <w:pStyle w:val="EndNoteBibliography"/>
        <w:ind w:left="720" w:hanging="720"/>
        <w:rPr>
          <w:noProof/>
        </w:rPr>
      </w:pPr>
      <w:r w:rsidRPr="009B36E9">
        <w:rPr>
          <w:noProof/>
        </w:rPr>
        <w:t>24</w:t>
      </w:r>
      <w:r w:rsidRPr="009B36E9">
        <w:rPr>
          <w:noProof/>
        </w:rPr>
        <w:tab/>
        <w:t xml:space="preserve">Dai, M. &amp; Sun, D. Martian Crustal Model From a Joint Inversion of Receiver Functions and Apparent Shear Wave Velocity. </w:t>
      </w:r>
      <w:r w:rsidRPr="009B36E9">
        <w:rPr>
          <w:i/>
          <w:noProof/>
        </w:rPr>
        <w:t>Journal of Geophysical Research: Planets</w:t>
      </w:r>
      <w:r w:rsidRPr="009B36E9">
        <w:rPr>
          <w:noProof/>
        </w:rPr>
        <w:t xml:space="preserve"> </w:t>
      </w:r>
      <w:r w:rsidRPr="009B36E9">
        <w:rPr>
          <w:b/>
          <w:noProof/>
        </w:rPr>
        <w:t>128</w:t>
      </w:r>
      <w:r w:rsidRPr="009B36E9">
        <w:rPr>
          <w:noProof/>
        </w:rPr>
        <w:t xml:space="preserve">, e2022JE007702 (2023). </w:t>
      </w:r>
      <w:r w:rsidRPr="007F6E00">
        <w:rPr>
          <w:noProof/>
        </w:rPr>
        <w:t>https://doi.org/10.1029/2022JE007702</w:t>
      </w:r>
    </w:p>
    <w:p w14:paraId="015FB442" w14:textId="77777777" w:rsidR="007F6E00" w:rsidRPr="007F6E00" w:rsidRDefault="007F6E00" w:rsidP="009B36E9">
      <w:pPr>
        <w:pStyle w:val="EndNoteBibliography"/>
        <w:ind w:left="720" w:hanging="720"/>
        <w:rPr>
          <w:noProof/>
          <w:lang w:val="fr-FR"/>
        </w:rPr>
      </w:pPr>
      <w:r w:rsidRPr="009B36E9">
        <w:rPr>
          <w:noProof/>
        </w:rPr>
        <w:t>25</w:t>
      </w:r>
      <w:r w:rsidRPr="009B36E9">
        <w:rPr>
          <w:noProof/>
        </w:rPr>
        <w:tab/>
        <w:t>Knapmeyer-Endrun, B.</w:t>
      </w:r>
      <w:r w:rsidRPr="009B36E9">
        <w:rPr>
          <w:i/>
          <w:noProof/>
        </w:rPr>
        <w:t xml:space="preserve"> et al.</w:t>
      </w:r>
      <w:r w:rsidRPr="009B36E9">
        <w:rPr>
          <w:noProof/>
        </w:rPr>
        <w:t xml:space="preserve"> Thickness and structure of the martian crust from InSight seismic data. </w:t>
      </w:r>
      <w:r w:rsidRPr="007F6E00">
        <w:rPr>
          <w:i/>
          <w:noProof/>
          <w:lang w:val="fr-FR"/>
        </w:rPr>
        <w:t>Science</w:t>
      </w:r>
      <w:r w:rsidRPr="007F6E00">
        <w:rPr>
          <w:noProof/>
          <w:lang w:val="fr-FR"/>
        </w:rPr>
        <w:t xml:space="preserve"> </w:t>
      </w:r>
      <w:r w:rsidRPr="007F6E00">
        <w:rPr>
          <w:b/>
          <w:noProof/>
          <w:lang w:val="fr-FR"/>
        </w:rPr>
        <w:t>373</w:t>
      </w:r>
      <w:r w:rsidRPr="007F6E00">
        <w:rPr>
          <w:noProof/>
          <w:lang w:val="fr-FR"/>
        </w:rPr>
        <w:t>, 438-443 (2021). https://doi.org/10.1126/science.abf8966</w:t>
      </w:r>
    </w:p>
    <w:p w14:paraId="4F92FE39" w14:textId="77777777" w:rsidR="007F6E00" w:rsidRPr="009B36E9" w:rsidRDefault="007F6E00" w:rsidP="009B36E9">
      <w:pPr>
        <w:pStyle w:val="EndNoteBibliography"/>
        <w:ind w:left="720" w:hanging="720"/>
        <w:rPr>
          <w:noProof/>
        </w:rPr>
      </w:pPr>
      <w:r w:rsidRPr="007F6E00">
        <w:rPr>
          <w:noProof/>
          <w:lang w:val="fr-FR"/>
        </w:rPr>
        <w:t>26</w:t>
      </w:r>
      <w:r w:rsidRPr="007F6E00">
        <w:rPr>
          <w:noProof/>
          <w:lang w:val="fr-FR"/>
        </w:rPr>
        <w:tab/>
        <w:t>Shi, J.</w:t>
      </w:r>
      <w:r w:rsidRPr="007F6E00">
        <w:rPr>
          <w:i/>
          <w:noProof/>
          <w:lang w:val="fr-FR"/>
        </w:rPr>
        <w:t xml:space="preserve"> et al.</w:t>
      </w:r>
      <w:r w:rsidRPr="007F6E00">
        <w:rPr>
          <w:noProof/>
          <w:lang w:val="fr-FR"/>
        </w:rPr>
        <w:t xml:space="preserve"> </w:t>
      </w:r>
      <w:r w:rsidRPr="009B36E9">
        <w:rPr>
          <w:noProof/>
        </w:rPr>
        <w:t xml:space="preserve">Differences in Scattering Properties of the Shallow Crusts of Earth, Mars, and the Moon Revealed by P-Wave Receiver Functions. </w:t>
      </w:r>
      <w:r w:rsidRPr="009B36E9">
        <w:rPr>
          <w:i/>
          <w:noProof/>
        </w:rPr>
        <w:t>Journal of Geophysical Research: Planets</w:t>
      </w:r>
      <w:r w:rsidRPr="009B36E9">
        <w:rPr>
          <w:noProof/>
        </w:rPr>
        <w:t xml:space="preserve"> </w:t>
      </w:r>
      <w:r w:rsidRPr="009B36E9">
        <w:rPr>
          <w:b/>
          <w:noProof/>
        </w:rPr>
        <w:t>128</w:t>
      </w:r>
      <w:r w:rsidRPr="009B36E9">
        <w:rPr>
          <w:noProof/>
        </w:rPr>
        <w:t xml:space="preserve">, e2022JE007676 (2023). </w:t>
      </w:r>
      <w:r w:rsidRPr="007F6E00">
        <w:rPr>
          <w:noProof/>
        </w:rPr>
        <w:t>https://doi.org/10.1029/2022JE007676</w:t>
      </w:r>
    </w:p>
    <w:p w14:paraId="552FBE07" w14:textId="77777777" w:rsidR="007F6E00" w:rsidRPr="009B36E9" w:rsidRDefault="007F6E00" w:rsidP="009B36E9">
      <w:pPr>
        <w:pStyle w:val="EndNoteBibliography"/>
        <w:ind w:left="720" w:hanging="720"/>
        <w:rPr>
          <w:noProof/>
        </w:rPr>
      </w:pPr>
      <w:r w:rsidRPr="009B36E9">
        <w:rPr>
          <w:noProof/>
        </w:rPr>
        <w:t>27</w:t>
      </w:r>
      <w:r w:rsidRPr="009B36E9">
        <w:rPr>
          <w:noProof/>
        </w:rPr>
        <w:tab/>
        <w:t xml:space="preserve">Gavish, M. &amp; Donoho, D. L. The Optimal Hard Threshold for Singular Values is $4/\sqrt {3}$. </w:t>
      </w:r>
      <w:r w:rsidRPr="009B36E9">
        <w:rPr>
          <w:i/>
          <w:noProof/>
        </w:rPr>
        <w:t>IEEE Transactions on Information Theory</w:t>
      </w:r>
      <w:r w:rsidRPr="009B36E9">
        <w:rPr>
          <w:noProof/>
        </w:rPr>
        <w:t xml:space="preserve"> </w:t>
      </w:r>
      <w:r w:rsidRPr="009B36E9">
        <w:rPr>
          <w:b/>
          <w:noProof/>
        </w:rPr>
        <w:t>60</w:t>
      </w:r>
      <w:r w:rsidRPr="009B36E9">
        <w:rPr>
          <w:noProof/>
        </w:rPr>
        <w:t xml:space="preserve">, 5040-5053 (2014). </w:t>
      </w:r>
      <w:r w:rsidRPr="007F6E00">
        <w:rPr>
          <w:noProof/>
        </w:rPr>
        <w:t>https://doi.org/10.1109/TIT.2014.2323359</w:t>
      </w:r>
    </w:p>
    <w:p w14:paraId="2399F85F" w14:textId="77777777" w:rsidR="007F6E00" w:rsidRPr="009B36E9" w:rsidRDefault="007F6E00" w:rsidP="009B36E9">
      <w:pPr>
        <w:pStyle w:val="EndNoteBibliography"/>
        <w:ind w:left="720" w:hanging="720"/>
        <w:rPr>
          <w:noProof/>
        </w:rPr>
      </w:pPr>
      <w:r w:rsidRPr="009B36E9">
        <w:rPr>
          <w:noProof/>
        </w:rPr>
        <w:t>28</w:t>
      </w:r>
      <w:r w:rsidRPr="009B36E9">
        <w:rPr>
          <w:noProof/>
        </w:rPr>
        <w:tab/>
        <w:t>Dur</w:t>
      </w:r>
      <w:r w:rsidRPr="009B36E9">
        <w:rPr>
          <w:rFonts w:hint="eastAsia"/>
          <w:noProof/>
        </w:rPr>
        <w:t>á</w:t>
      </w:r>
      <w:r w:rsidRPr="009B36E9">
        <w:rPr>
          <w:noProof/>
        </w:rPr>
        <w:t>n, C.</w:t>
      </w:r>
      <w:r w:rsidRPr="009B36E9">
        <w:rPr>
          <w:i/>
          <w:noProof/>
        </w:rPr>
        <w:t xml:space="preserve"> et al.</w:t>
      </w:r>
      <w:r w:rsidRPr="009B36E9">
        <w:rPr>
          <w:noProof/>
        </w:rPr>
        <w:t xml:space="preserve"> Seismology on Mars: An analysis of direct, reflected, and converted seismic body waves with implications for interior structure. </w:t>
      </w:r>
      <w:r w:rsidRPr="009B36E9">
        <w:rPr>
          <w:i/>
          <w:noProof/>
        </w:rPr>
        <w:t>Physics of the Earth and Planetary Interiors</w:t>
      </w:r>
      <w:r w:rsidRPr="009B36E9">
        <w:rPr>
          <w:noProof/>
        </w:rPr>
        <w:t xml:space="preserve"> </w:t>
      </w:r>
      <w:r w:rsidRPr="009B36E9">
        <w:rPr>
          <w:b/>
          <w:noProof/>
        </w:rPr>
        <w:t>325</w:t>
      </w:r>
      <w:r w:rsidRPr="009B36E9">
        <w:rPr>
          <w:noProof/>
        </w:rPr>
        <w:t xml:space="preserve">, 106851 (2022). </w:t>
      </w:r>
      <w:r w:rsidRPr="007F6E00">
        <w:rPr>
          <w:noProof/>
        </w:rPr>
        <w:lastRenderedPageBreak/>
        <w:t>https://doi.org/10.1016/j.pepi.2022.106851</w:t>
      </w:r>
    </w:p>
    <w:p w14:paraId="64DA2894" w14:textId="77777777" w:rsidR="007F6E00" w:rsidRPr="009B36E9" w:rsidRDefault="007F6E00" w:rsidP="009B36E9">
      <w:pPr>
        <w:pStyle w:val="EndNoteBibliography"/>
        <w:ind w:left="720" w:hanging="720"/>
        <w:rPr>
          <w:noProof/>
        </w:rPr>
      </w:pPr>
      <w:r w:rsidRPr="009B36E9">
        <w:rPr>
          <w:noProof/>
        </w:rPr>
        <w:t>29</w:t>
      </w:r>
      <w:r w:rsidRPr="009B36E9">
        <w:rPr>
          <w:noProof/>
        </w:rPr>
        <w:tab/>
        <w:t>Carrasco, S.</w:t>
      </w:r>
      <w:r w:rsidRPr="009B36E9">
        <w:rPr>
          <w:i/>
          <w:noProof/>
        </w:rPr>
        <w:t xml:space="preserve"> et al.</w:t>
      </w:r>
      <w:r w:rsidRPr="009B36E9">
        <w:rPr>
          <w:noProof/>
        </w:rPr>
        <w:t xml:space="preserve"> Constraints for the Martian Crustal Structure From Rayleigh Waves Ellipticity of Large Seismic Events. </w:t>
      </w:r>
      <w:r w:rsidRPr="009B36E9">
        <w:rPr>
          <w:i/>
          <w:noProof/>
        </w:rPr>
        <w:t>Geophysical Research Letters</w:t>
      </w:r>
      <w:r w:rsidRPr="009B36E9">
        <w:rPr>
          <w:noProof/>
        </w:rPr>
        <w:t xml:space="preserve"> </w:t>
      </w:r>
      <w:r w:rsidRPr="009B36E9">
        <w:rPr>
          <w:b/>
          <w:noProof/>
        </w:rPr>
        <w:t>50</w:t>
      </w:r>
      <w:r w:rsidRPr="009B36E9">
        <w:rPr>
          <w:noProof/>
        </w:rPr>
        <w:t xml:space="preserve">, e2023GL104816 (2023). </w:t>
      </w:r>
      <w:r w:rsidRPr="007F6E00">
        <w:rPr>
          <w:noProof/>
        </w:rPr>
        <w:t>https://doi.org/10.1029/2023GL104816</w:t>
      </w:r>
    </w:p>
    <w:p w14:paraId="2053AE54" w14:textId="77777777" w:rsidR="007F6E00" w:rsidRPr="009B36E9" w:rsidRDefault="007F6E00" w:rsidP="009B36E9">
      <w:pPr>
        <w:pStyle w:val="EndNoteBibliography"/>
        <w:ind w:left="720" w:hanging="720"/>
        <w:rPr>
          <w:noProof/>
        </w:rPr>
      </w:pPr>
      <w:r w:rsidRPr="009B36E9">
        <w:rPr>
          <w:noProof/>
        </w:rPr>
        <w:t>30</w:t>
      </w:r>
      <w:r w:rsidRPr="009B36E9">
        <w:rPr>
          <w:noProof/>
        </w:rPr>
        <w:tab/>
        <w:t>Drilleau, M.</w:t>
      </w:r>
      <w:r w:rsidRPr="009B36E9">
        <w:rPr>
          <w:i/>
          <w:noProof/>
        </w:rPr>
        <w:t xml:space="preserve"> et al.</w:t>
      </w:r>
      <w:r w:rsidRPr="009B36E9">
        <w:rPr>
          <w:noProof/>
        </w:rPr>
        <w:t xml:space="preserve"> Structure of the Martian Crust Below InSight From Surface Waves and Body Waves Generated by Nearby Meteoroid Impacts. </w:t>
      </w:r>
      <w:r w:rsidRPr="009B36E9">
        <w:rPr>
          <w:i/>
          <w:noProof/>
        </w:rPr>
        <w:t>Geophysical Research Letters</w:t>
      </w:r>
      <w:r w:rsidRPr="009B36E9">
        <w:rPr>
          <w:noProof/>
        </w:rPr>
        <w:t xml:space="preserve"> </w:t>
      </w:r>
      <w:r w:rsidRPr="009B36E9">
        <w:rPr>
          <w:b/>
          <w:noProof/>
        </w:rPr>
        <w:t>50</w:t>
      </w:r>
      <w:r w:rsidRPr="009B36E9">
        <w:rPr>
          <w:noProof/>
        </w:rPr>
        <w:t xml:space="preserve">, e2023GL104601 (2023). </w:t>
      </w:r>
      <w:r w:rsidRPr="007F6E00">
        <w:rPr>
          <w:noProof/>
        </w:rPr>
        <w:t>https://doi.org/10.1029/2023GL104601</w:t>
      </w:r>
    </w:p>
    <w:p w14:paraId="455389F5" w14:textId="77777777" w:rsidR="007F6E00" w:rsidRPr="009B36E9" w:rsidRDefault="007F6E00" w:rsidP="009B36E9">
      <w:pPr>
        <w:pStyle w:val="EndNoteBibliography"/>
        <w:ind w:left="720" w:hanging="720"/>
        <w:rPr>
          <w:noProof/>
        </w:rPr>
      </w:pPr>
      <w:r w:rsidRPr="009B36E9">
        <w:rPr>
          <w:noProof/>
        </w:rPr>
        <w:t>31</w:t>
      </w:r>
      <w:r w:rsidRPr="009B36E9">
        <w:rPr>
          <w:noProof/>
        </w:rPr>
        <w:tab/>
        <w:t>Li, J.</w:t>
      </w:r>
      <w:r w:rsidRPr="009B36E9">
        <w:rPr>
          <w:i/>
          <w:noProof/>
        </w:rPr>
        <w:t xml:space="preserve"> et al.</w:t>
      </w:r>
      <w:r w:rsidRPr="009B36E9">
        <w:rPr>
          <w:noProof/>
        </w:rPr>
        <w:t xml:space="preserve"> Constraints on the martian crust away from the InSight landing site. </w:t>
      </w:r>
      <w:r w:rsidRPr="009B36E9">
        <w:rPr>
          <w:i/>
          <w:noProof/>
        </w:rPr>
        <w:t>Nature Communications</w:t>
      </w:r>
      <w:r w:rsidRPr="009B36E9">
        <w:rPr>
          <w:noProof/>
        </w:rPr>
        <w:t xml:space="preserve"> </w:t>
      </w:r>
      <w:r w:rsidRPr="009B36E9">
        <w:rPr>
          <w:b/>
          <w:noProof/>
        </w:rPr>
        <w:t>13</w:t>
      </w:r>
      <w:r w:rsidRPr="009B36E9">
        <w:rPr>
          <w:noProof/>
        </w:rPr>
        <w:t xml:space="preserve">, 7950 (2022). </w:t>
      </w:r>
      <w:r w:rsidRPr="007F6E00">
        <w:rPr>
          <w:noProof/>
        </w:rPr>
        <w:t>https://doi.org/10.1038/s41467-022-35662-y</w:t>
      </w:r>
    </w:p>
    <w:p w14:paraId="30E053BF" w14:textId="77777777" w:rsidR="007F6E00" w:rsidRPr="009B36E9" w:rsidRDefault="007F6E00" w:rsidP="009B36E9">
      <w:pPr>
        <w:pStyle w:val="EndNoteBibliography"/>
        <w:ind w:left="720" w:hanging="720"/>
        <w:rPr>
          <w:noProof/>
        </w:rPr>
      </w:pPr>
      <w:r w:rsidRPr="009B36E9">
        <w:rPr>
          <w:noProof/>
        </w:rPr>
        <w:t>32</w:t>
      </w:r>
      <w:r w:rsidRPr="009B36E9">
        <w:rPr>
          <w:noProof/>
        </w:rPr>
        <w:tab/>
        <w:t xml:space="preserve">Choy, G. L. &amp; Richards, P. G. Pulse distortion and Hilbert transformation in multiply reflected and refracted body waves. </w:t>
      </w:r>
      <w:r w:rsidRPr="009B36E9">
        <w:rPr>
          <w:i/>
          <w:noProof/>
        </w:rPr>
        <w:t>Bulletin of the Seismological Society of America</w:t>
      </w:r>
      <w:r w:rsidRPr="009B36E9">
        <w:rPr>
          <w:noProof/>
        </w:rPr>
        <w:t xml:space="preserve"> </w:t>
      </w:r>
      <w:r w:rsidRPr="009B36E9">
        <w:rPr>
          <w:b/>
          <w:noProof/>
        </w:rPr>
        <w:t>65</w:t>
      </w:r>
      <w:r w:rsidRPr="009B36E9">
        <w:rPr>
          <w:noProof/>
        </w:rPr>
        <w:t xml:space="preserve">, 55-70 (1975). </w:t>
      </w:r>
      <w:r w:rsidRPr="007F6E00">
        <w:rPr>
          <w:noProof/>
        </w:rPr>
        <w:t>https://doi.org/10.1785/bssa0650010055</w:t>
      </w:r>
    </w:p>
    <w:p w14:paraId="28F994C3" w14:textId="77777777" w:rsidR="007F6E00" w:rsidRPr="007F6E00" w:rsidRDefault="007F6E00" w:rsidP="009B36E9">
      <w:pPr>
        <w:pStyle w:val="EndNoteBibliography"/>
        <w:ind w:left="720" w:hanging="720"/>
        <w:rPr>
          <w:noProof/>
          <w:lang w:val="fr-FR"/>
        </w:rPr>
      </w:pPr>
      <w:r w:rsidRPr="009B36E9">
        <w:rPr>
          <w:noProof/>
        </w:rPr>
        <w:t>33</w:t>
      </w:r>
      <w:r w:rsidRPr="009B36E9">
        <w:rPr>
          <w:noProof/>
        </w:rPr>
        <w:tab/>
        <w:t>Khan, A.</w:t>
      </w:r>
      <w:r w:rsidRPr="009B36E9">
        <w:rPr>
          <w:i/>
          <w:noProof/>
        </w:rPr>
        <w:t xml:space="preserve"> et al.</w:t>
      </w:r>
      <w:r w:rsidRPr="009B36E9">
        <w:rPr>
          <w:noProof/>
        </w:rPr>
        <w:t xml:space="preserve"> Upper mantle structure of Mars from InSight seismic data. </w:t>
      </w:r>
      <w:r w:rsidRPr="007F6E00">
        <w:rPr>
          <w:i/>
          <w:noProof/>
          <w:lang w:val="fr-FR"/>
        </w:rPr>
        <w:t>Science</w:t>
      </w:r>
      <w:r w:rsidRPr="007F6E00">
        <w:rPr>
          <w:noProof/>
          <w:lang w:val="fr-FR"/>
        </w:rPr>
        <w:t xml:space="preserve"> </w:t>
      </w:r>
      <w:r w:rsidRPr="007F6E00">
        <w:rPr>
          <w:b/>
          <w:noProof/>
          <w:lang w:val="fr-FR"/>
        </w:rPr>
        <w:t>373</w:t>
      </w:r>
      <w:r w:rsidRPr="007F6E00">
        <w:rPr>
          <w:noProof/>
          <w:lang w:val="fr-FR"/>
        </w:rPr>
        <w:t>, 434-438 (2021). https://doi.org/10.1126/science.abf2966</w:t>
      </w:r>
    </w:p>
    <w:p w14:paraId="09CCD688" w14:textId="77777777" w:rsidR="007F6E00" w:rsidRPr="009B36E9" w:rsidRDefault="007F6E00" w:rsidP="009B36E9">
      <w:pPr>
        <w:pStyle w:val="EndNoteBibliography"/>
        <w:ind w:left="720" w:hanging="720"/>
        <w:rPr>
          <w:noProof/>
        </w:rPr>
      </w:pPr>
      <w:r w:rsidRPr="007F6E00">
        <w:rPr>
          <w:noProof/>
          <w:lang w:val="fr-FR"/>
        </w:rPr>
        <w:t>34</w:t>
      </w:r>
      <w:r w:rsidRPr="007F6E00">
        <w:rPr>
          <w:noProof/>
          <w:lang w:val="fr-FR"/>
        </w:rPr>
        <w:tab/>
        <w:t>Drilleau, M.</w:t>
      </w:r>
      <w:r w:rsidRPr="007F6E00">
        <w:rPr>
          <w:i/>
          <w:noProof/>
          <w:lang w:val="fr-FR"/>
        </w:rPr>
        <w:t xml:space="preserve"> et al.</w:t>
      </w:r>
      <w:r w:rsidRPr="007F6E00">
        <w:rPr>
          <w:noProof/>
          <w:lang w:val="fr-FR"/>
        </w:rPr>
        <w:t xml:space="preserve"> </w:t>
      </w:r>
      <w:r w:rsidRPr="009B36E9">
        <w:rPr>
          <w:noProof/>
        </w:rPr>
        <w:t xml:space="preserve">Marsquake Locations and 1-D Seismic Models for Mars From InSight Data. </w:t>
      </w:r>
      <w:r w:rsidRPr="009B36E9">
        <w:rPr>
          <w:i/>
          <w:noProof/>
        </w:rPr>
        <w:t>Journal of Geophysical Research: Planets</w:t>
      </w:r>
      <w:r w:rsidRPr="009B36E9">
        <w:rPr>
          <w:noProof/>
        </w:rPr>
        <w:t xml:space="preserve"> </w:t>
      </w:r>
      <w:r w:rsidRPr="009B36E9">
        <w:rPr>
          <w:b/>
          <w:noProof/>
        </w:rPr>
        <w:t>127</w:t>
      </w:r>
      <w:r w:rsidRPr="009B36E9">
        <w:rPr>
          <w:noProof/>
        </w:rPr>
        <w:t xml:space="preserve">, e2021JE007067 (2022). </w:t>
      </w:r>
      <w:r w:rsidRPr="007F6E00">
        <w:rPr>
          <w:noProof/>
        </w:rPr>
        <w:t>https://doi.org/10.1029/2021JE007067</w:t>
      </w:r>
    </w:p>
    <w:p w14:paraId="124EE325" w14:textId="77777777" w:rsidR="007F6E00" w:rsidRPr="009B36E9" w:rsidRDefault="007F6E00" w:rsidP="009B36E9">
      <w:pPr>
        <w:pStyle w:val="EndNoteBibliography"/>
        <w:ind w:left="720" w:hanging="720"/>
        <w:rPr>
          <w:noProof/>
        </w:rPr>
      </w:pPr>
      <w:r w:rsidRPr="009B36E9">
        <w:rPr>
          <w:noProof/>
        </w:rPr>
        <w:t>35</w:t>
      </w:r>
      <w:r w:rsidRPr="009B36E9">
        <w:rPr>
          <w:noProof/>
        </w:rPr>
        <w:tab/>
        <w:t>Durán, C.</w:t>
      </w:r>
      <w:r w:rsidRPr="009B36E9">
        <w:rPr>
          <w:i/>
          <w:noProof/>
        </w:rPr>
        <w:t xml:space="preserve"> et al.</w:t>
      </w:r>
      <w:r w:rsidRPr="009B36E9">
        <w:rPr>
          <w:noProof/>
        </w:rPr>
        <w:t xml:space="preserve">     (IPGP Research Collection, 2022).</w:t>
      </w:r>
    </w:p>
    <w:p w14:paraId="776CBDB5" w14:textId="77777777" w:rsidR="007F6E00" w:rsidRPr="009B36E9" w:rsidRDefault="007F6E00" w:rsidP="009B36E9">
      <w:pPr>
        <w:pStyle w:val="EndNoteBibliography"/>
        <w:ind w:left="720" w:hanging="720"/>
        <w:rPr>
          <w:noProof/>
        </w:rPr>
      </w:pPr>
      <w:r w:rsidRPr="009B36E9">
        <w:rPr>
          <w:noProof/>
        </w:rPr>
        <w:t>36</w:t>
      </w:r>
      <w:r w:rsidRPr="009B36E9">
        <w:rPr>
          <w:noProof/>
        </w:rPr>
        <w:tab/>
        <w:t>Charalambous, C.</w:t>
      </w:r>
      <w:r w:rsidRPr="009B36E9">
        <w:rPr>
          <w:i/>
          <w:noProof/>
        </w:rPr>
        <w:t xml:space="preserve"> et al.</w:t>
      </w:r>
      <w:r w:rsidRPr="009B36E9">
        <w:rPr>
          <w:noProof/>
        </w:rPr>
        <w:t xml:space="preserve"> A Comodulation Analysis of Atmospheric Energy Injection Into the Ground Motion at InSight, Mars. </w:t>
      </w:r>
      <w:r w:rsidRPr="009B36E9">
        <w:rPr>
          <w:i/>
          <w:noProof/>
        </w:rPr>
        <w:t>Journal of Geophysical Research: Planets</w:t>
      </w:r>
      <w:r w:rsidRPr="009B36E9">
        <w:rPr>
          <w:noProof/>
        </w:rPr>
        <w:t xml:space="preserve"> </w:t>
      </w:r>
      <w:r w:rsidRPr="009B36E9">
        <w:rPr>
          <w:b/>
          <w:noProof/>
        </w:rPr>
        <w:t>126</w:t>
      </w:r>
      <w:r w:rsidRPr="009B36E9">
        <w:rPr>
          <w:noProof/>
        </w:rPr>
        <w:t xml:space="preserve">, e2020JE006538 (2021). </w:t>
      </w:r>
      <w:r w:rsidRPr="007F6E00">
        <w:rPr>
          <w:noProof/>
        </w:rPr>
        <w:t>https://doi.org/10.1029/2020JE006538</w:t>
      </w:r>
    </w:p>
    <w:p w14:paraId="21B6BC98" w14:textId="77777777" w:rsidR="007F6E00" w:rsidRPr="009B36E9" w:rsidRDefault="007F6E00" w:rsidP="009B36E9">
      <w:pPr>
        <w:pStyle w:val="EndNoteBibliography"/>
        <w:ind w:left="720" w:hanging="720"/>
        <w:rPr>
          <w:noProof/>
        </w:rPr>
      </w:pPr>
      <w:r w:rsidRPr="009B36E9">
        <w:rPr>
          <w:noProof/>
        </w:rPr>
        <w:t>37</w:t>
      </w:r>
      <w:r w:rsidRPr="009B36E9">
        <w:rPr>
          <w:noProof/>
        </w:rPr>
        <w:tab/>
        <w:t>Ceylan, S.</w:t>
      </w:r>
      <w:r w:rsidRPr="009B36E9">
        <w:rPr>
          <w:i/>
          <w:noProof/>
        </w:rPr>
        <w:t xml:space="preserve"> et al.</w:t>
      </w:r>
      <w:r w:rsidRPr="009B36E9">
        <w:rPr>
          <w:noProof/>
        </w:rPr>
        <w:t xml:space="preserve"> The marsquake catalogue from InSight, sols 0–1011. </w:t>
      </w:r>
      <w:r w:rsidRPr="009B36E9">
        <w:rPr>
          <w:i/>
          <w:noProof/>
        </w:rPr>
        <w:t>Physics of the Earth and Planetary Interiors</w:t>
      </w:r>
      <w:r w:rsidRPr="009B36E9">
        <w:rPr>
          <w:noProof/>
        </w:rPr>
        <w:t xml:space="preserve"> </w:t>
      </w:r>
      <w:r w:rsidRPr="009B36E9">
        <w:rPr>
          <w:b/>
          <w:noProof/>
        </w:rPr>
        <w:t>333</w:t>
      </w:r>
      <w:r w:rsidRPr="009B36E9">
        <w:rPr>
          <w:noProof/>
        </w:rPr>
        <w:t xml:space="preserve">, 106943 (2022). </w:t>
      </w:r>
      <w:r w:rsidRPr="007F6E00">
        <w:rPr>
          <w:noProof/>
        </w:rPr>
        <w:t>https://doi.org/10.1016/j.pepi.2022.106943</w:t>
      </w:r>
    </w:p>
    <w:p w14:paraId="7A6DE629" w14:textId="77777777" w:rsidR="007F6E00" w:rsidRPr="009B36E9" w:rsidRDefault="007F6E00" w:rsidP="009B36E9">
      <w:pPr>
        <w:pStyle w:val="EndNoteBibliography"/>
        <w:ind w:left="720" w:hanging="720"/>
        <w:rPr>
          <w:noProof/>
        </w:rPr>
      </w:pPr>
      <w:r w:rsidRPr="007F6E00">
        <w:rPr>
          <w:noProof/>
          <w:lang w:val="fr-FR"/>
        </w:rPr>
        <w:t>38</w:t>
      </w:r>
      <w:r w:rsidRPr="007F6E00">
        <w:rPr>
          <w:noProof/>
          <w:lang w:val="fr-FR"/>
        </w:rPr>
        <w:tab/>
        <w:t>Durán, C.</w:t>
      </w:r>
      <w:r w:rsidRPr="007F6E00">
        <w:rPr>
          <w:i/>
          <w:noProof/>
          <w:lang w:val="fr-FR"/>
        </w:rPr>
        <w:t xml:space="preserve"> et al.</w:t>
      </w:r>
      <w:r w:rsidRPr="007F6E00">
        <w:rPr>
          <w:noProof/>
          <w:lang w:val="fr-FR"/>
        </w:rPr>
        <w:t xml:space="preserve"> </w:t>
      </w:r>
      <w:r w:rsidRPr="009B36E9">
        <w:rPr>
          <w:noProof/>
        </w:rPr>
        <w:t xml:space="preserve">Observation of a Core-Diffracted P-Wave From a Farside Impact With Implications for the Lower-Mantle Structure of Mars. </w:t>
      </w:r>
      <w:r w:rsidRPr="009B36E9">
        <w:rPr>
          <w:i/>
          <w:noProof/>
        </w:rPr>
        <w:t>Geophysical Research Letters</w:t>
      </w:r>
      <w:r w:rsidRPr="009B36E9">
        <w:rPr>
          <w:noProof/>
        </w:rPr>
        <w:t xml:space="preserve"> </w:t>
      </w:r>
      <w:r w:rsidRPr="009B36E9">
        <w:rPr>
          <w:b/>
          <w:noProof/>
        </w:rPr>
        <w:t>49</w:t>
      </w:r>
      <w:r w:rsidRPr="009B36E9">
        <w:rPr>
          <w:noProof/>
        </w:rPr>
        <w:t xml:space="preserve">, e2022GL100887 (2022). </w:t>
      </w:r>
      <w:r w:rsidRPr="007F6E00">
        <w:rPr>
          <w:noProof/>
        </w:rPr>
        <w:t>https://doi.org/10.1029/2022GL100887</w:t>
      </w:r>
    </w:p>
    <w:p w14:paraId="6523B604" w14:textId="77777777" w:rsidR="007F6E00" w:rsidRPr="009B36E9" w:rsidRDefault="007F6E00" w:rsidP="009B36E9">
      <w:pPr>
        <w:pStyle w:val="EndNoteBibliography"/>
        <w:ind w:left="720" w:hanging="720"/>
        <w:rPr>
          <w:noProof/>
        </w:rPr>
      </w:pPr>
      <w:r w:rsidRPr="009B36E9">
        <w:rPr>
          <w:noProof/>
        </w:rPr>
        <w:t>39</w:t>
      </w:r>
      <w:r w:rsidRPr="009B36E9">
        <w:rPr>
          <w:noProof/>
        </w:rPr>
        <w:tab/>
        <w:t>Huang, Q.</w:t>
      </w:r>
      <w:r w:rsidRPr="009B36E9">
        <w:rPr>
          <w:i/>
          <w:noProof/>
        </w:rPr>
        <w:t xml:space="preserve"> et al.</w:t>
      </w:r>
      <w:r w:rsidRPr="009B36E9">
        <w:rPr>
          <w:noProof/>
        </w:rPr>
        <w:t xml:space="preserve"> Seismic detection of a deep mantle discontinuity within Mars by InSight. </w:t>
      </w:r>
      <w:r w:rsidRPr="009B36E9">
        <w:rPr>
          <w:i/>
          <w:noProof/>
        </w:rPr>
        <w:t>Proceedings of the National Academy of Sciences</w:t>
      </w:r>
      <w:r w:rsidRPr="009B36E9">
        <w:rPr>
          <w:noProof/>
        </w:rPr>
        <w:t xml:space="preserve"> </w:t>
      </w:r>
      <w:r w:rsidRPr="009B36E9">
        <w:rPr>
          <w:b/>
          <w:noProof/>
        </w:rPr>
        <w:t>119</w:t>
      </w:r>
      <w:r w:rsidRPr="009B36E9">
        <w:rPr>
          <w:noProof/>
        </w:rPr>
        <w:t xml:space="preserve">, e2204474119 (2022). </w:t>
      </w:r>
      <w:r w:rsidRPr="007F6E00">
        <w:rPr>
          <w:noProof/>
        </w:rPr>
        <w:t>https://doi.org/10.1073/pnas.2204474119</w:t>
      </w:r>
    </w:p>
    <w:p w14:paraId="260AB2DD" w14:textId="77777777" w:rsidR="007F6E00" w:rsidRPr="009B36E9" w:rsidRDefault="007F6E00" w:rsidP="009B36E9">
      <w:pPr>
        <w:pStyle w:val="EndNoteBibliography"/>
        <w:ind w:left="720" w:hanging="720"/>
        <w:rPr>
          <w:noProof/>
        </w:rPr>
      </w:pPr>
      <w:r w:rsidRPr="009B36E9">
        <w:rPr>
          <w:noProof/>
        </w:rPr>
        <w:t>40</w:t>
      </w:r>
      <w:r w:rsidRPr="009B36E9">
        <w:rPr>
          <w:noProof/>
        </w:rPr>
        <w:tab/>
        <w:t xml:space="preserve">Wang, X., Chen, L. &amp; Wang, X. Uncovering Shallow Crustal Structures of Mars Beneath the InSight Landing Site Using P-Wave Particle Motions. </w:t>
      </w:r>
      <w:r w:rsidRPr="009B36E9">
        <w:rPr>
          <w:i/>
          <w:noProof/>
        </w:rPr>
        <w:t>Journal of Geophysical Research: Planets</w:t>
      </w:r>
      <w:r w:rsidRPr="009B36E9">
        <w:rPr>
          <w:noProof/>
        </w:rPr>
        <w:t xml:space="preserve"> </w:t>
      </w:r>
      <w:r w:rsidRPr="009B36E9">
        <w:rPr>
          <w:b/>
          <w:noProof/>
        </w:rPr>
        <w:t>130</w:t>
      </w:r>
      <w:r w:rsidRPr="009B36E9">
        <w:rPr>
          <w:noProof/>
        </w:rPr>
        <w:t xml:space="preserve">, e2024JE008927 (2025). </w:t>
      </w:r>
      <w:r w:rsidRPr="007F6E00">
        <w:rPr>
          <w:noProof/>
        </w:rPr>
        <w:t>https://doi.org/10.1029/2024JE008927</w:t>
      </w:r>
    </w:p>
    <w:p w14:paraId="037C81FC" w14:textId="77777777" w:rsidR="007F6E00" w:rsidRPr="009B36E9" w:rsidRDefault="007F6E00" w:rsidP="009B36E9">
      <w:pPr>
        <w:pStyle w:val="EndNoteBibliography"/>
        <w:ind w:left="720" w:hanging="720"/>
        <w:rPr>
          <w:noProof/>
        </w:rPr>
      </w:pPr>
      <w:r w:rsidRPr="009B36E9">
        <w:rPr>
          <w:noProof/>
        </w:rPr>
        <w:t>41</w:t>
      </w:r>
      <w:r w:rsidRPr="009B36E9">
        <w:rPr>
          <w:noProof/>
        </w:rPr>
        <w:tab/>
        <w:t xml:space="preserve">Ammon, C. J., Randall, G. E. &amp; Zandt, G. On the nonuniqueness of receiver function inversions. </w:t>
      </w:r>
      <w:r w:rsidRPr="009B36E9">
        <w:rPr>
          <w:i/>
          <w:noProof/>
        </w:rPr>
        <w:t>Journal of Geophysical Research: Solid Earth</w:t>
      </w:r>
      <w:r w:rsidRPr="009B36E9">
        <w:rPr>
          <w:noProof/>
        </w:rPr>
        <w:t xml:space="preserve"> </w:t>
      </w:r>
      <w:r w:rsidRPr="009B36E9">
        <w:rPr>
          <w:b/>
          <w:noProof/>
        </w:rPr>
        <w:t>95</w:t>
      </w:r>
      <w:r w:rsidRPr="009B36E9">
        <w:rPr>
          <w:noProof/>
        </w:rPr>
        <w:t xml:space="preserve">, 15303-15318 (1990). </w:t>
      </w:r>
      <w:r w:rsidRPr="007F6E00">
        <w:rPr>
          <w:noProof/>
        </w:rPr>
        <w:t>https://doi.org/10.1029/JB095iB10p15303</w:t>
      </w:r>
    </w:p>
    <w:p w14:paraId="5A934EC7" w14:textId="77777777" w:rsidR="007F6E00" w:rsidRPr="009B36E9" w:rsidRDefault="007F6E00" w:rsidP="009B36E9">
      <w:pPr>
        <w:pStyle w:val="EndNoteBibliography"/>
        <w:ind w:left="720" w:hanging="720"/>
        <w:rPr>
          <w:noProof/>
        </w:rPr>
      </w:pPr>
      <w:r w:rsidRPr="009B36E9">
        <w:rPr>
          <w:noProof/>
        </w:rPr>
        <w:t>42</w:t>
      </w:r>
      <w:r w:rsidRPr="009B36E9">
        <w:rPr>
          <w:noProof/>
        </w:rPr>
        <w:tab/>
        <w:t xml:space="preserve">Akaike, H. A new look at the statistical model identification. </w:t>
      </w:r>
      <w:r w:rsidRPr="009B36E9">
        <w:rPr>
          <w:i/>
          <w:noProof/>
        </w:rPr>
        <w:t xml:space="preserve">IEEE Transactions </w:t>
      </w:r>
      <w:r w:rsidRPr="009B36E9">
        <w:rPr>
          <w:i/>
          <w:noProof/>
        </w:rPr>
        <w:lastRenderedPageBreak/>
        <w:t>on Automatic Control</w:t>
      </w:r>
      <w:r w:rsidRPr="009B36E9">
        <w:rPr>
          <w:noProof/>
        </w:rPr>
        <w:t xml:space="preserve"> </w:t>
      </w:r>
      <w:r w:rsidRPr="009B36E9">
        <w:rPr>
          <w:b/>
          <w:noProof/>
        </w:rPr>
        <w:t>19</w:t>
      </w:r>
      <w:r w:rsidRPr="009B36E9">
        <w:rPr>
          <w:noProof/>
        </w:rPr>
        <w:t xml:space="preserve">, 716-723 (1974). </w:t>
      </w:r>
      <w:r w:rsidRPr="007F6E00">
        <w:rPr>
          <w:noProof/>
        </w:rPr>
        <w:t>https://doi.org/10.1109/TAC.1974.1100705</w:t>
      </w:r>
    </w:p>
    <w:p w14:paraId="604204E7" w14:textId="77777777" w:rsidR="007F6E00" w:rsidRPr="009B36E9" w:rsidRDefault="007F6E00" w:rsidP="009B36E9">
      <w:pPr>
        <w:pStyle w:val="EndNoteBibliography"/>
        <w:ind w:left="720" w:hanging="720"/>
        <w:rPr>
          <w:noProof/>
        </w:rPr>
      </w:pPr>
      <w:r w:rsidRPr="009B36E9">
        <w:rPr>
          <w:noProof/>
        </w:rPr>
        <w:t>43</w:t>
      </w:r>
      <w:r w:rsidRPr="009B36E9">
        <w:rPr>
          <w:noProof/>
        </w:rPr>
        <w:tab/>
        <w:t xml:space="preserve">Schwarz, G. Estimating the Dimension of a Model. </w:t>
      </w:r>
      <w:r w:rsidRPr="009B36E9">
        <w:rPr>
          <w:i/>
          <w:noProof/>
        </w:rPr>
        <w:t>The Annals of Statistics</w:t>
      </w:r>
      <w:r w:rsidRPr="009B36E9">
        <w:rPr>
          <w:noProof/>
        </w:rPr>
        <w:t xml:space="preserve"> </w:t>
      </w:r>
      <w:r w:rsidRPr="009B36E9">
        <w:rPr>
          <w:b/>
          <w:noProof/>
        </w:rPr>
        <w:t>6</w:t>
      </w:r>
      <w:r w:rsidRPr="009B36E9">
        <w:rPr>
          <w:noProof/>
        </w:rPr>
        <w:t xml:space="preserve">, 461-464 (1978). </w:t>
      </w:r>
      <w:r w:rsidRPr="007F6E00">
        <w:rPr>
          <w:noProof/>
        </w:rPr>
        <w:t>https://doi.org/10.1214/aos/1176344136</w:t>
      </w:r>
    </w:p>
    <w:p w14:paraId="5FC2FF3D" w14:textId="77777777" w:rsidR="007F6E00" w:rsidRPr="009B36E9" w:rsidRDefault="007F6E00" w:rsidP="009B36E9">
      <w:pPr>
        <w:pStyle w:val="EndNoteBibliography"/>
        <w:ind w:left="720" w:hanging="720"/>
        <w:rPr>
          <w:noProof/>
        </w:rPr>
      </w:pPr>
      <w:r w:rsidRPr="009B36E9">
        <w:rPr>
          <w:noProof/>
        </w:rPr>
        <w:t>44</w:t>
      </w:r>
      <w:r w:rsidRPr="009B36E9">
        <w:rPr>
          <w:noProof/>
        </w:rPr>
        <w:tab/>
        <w:t>Li, J.</w:t>
      </w:r>
      <w:r w:rsidRPr="009B36E9">
        <w:rPr>
          <w:i/>
          <w:noProof/>
        </w:rPr>
        <w:t xml:space="preserve"> et al.</w:t>
      </w:r>
      <w:r w:rsidRPr="009B36E9">
        <w:rPr>
          <w:noProof/>
        </w:rPr>
        <w:t xml:space="preserve"> Different Martian Crustal Seismic Velocities Across the Dichotomy Boundary From Multi-Orbiting Surface Waves. </w:t>
      </w:r>
      <w:r w:rsidRPr="009B36E9">
        <w:rPr>
          <w:i/>
          <w:noProof/>
        </w:rPr>
        <w:t>Geophysical Research Letters</w:t>
      </w:r>
      <w:r w:rsidRPr="009B36E9">
        <w:rPr>
          <w:noProof/>
        </w:rPr>
        <w:t xml:space="preserve"> </w:t>
      </w:r>
      <w:r w:rsidRPr="009B36E9">
        <w:rPr>
          <w:b/>
          <w:noProof/>
        </w:rPr>
        <w:t>50</w:t>
      </w:r>
      <w:r w:rsidRPr="009B36E9">
        <w:rPr>
          <w:noProof/>
        </w:rPr>
        <w:t xml:space="preserve">, e2022GL101243 (2023). </w:t>
      </w:r>
      <w:r w:rsidRPr="007F6E00">
        <w:rPr>
          <w:noProof/>
        </w:rPr>
        <w:t>https://doi.org/10.1029/2022GL101243</w:t>
      </w:r>
    </w:p>
    <w:p w14:paraId="56C6A186" w14:textId="77777777" w:rsidR="007F6E00" w:rsidRPr="00D642CF" w:rsidRDefault="007F6E00" w:rsidP="009B36E9">
      <w:pPr>
        <w:pStyle w:val="EndNoteBibliography"/>
        <w:ind w:left="720" w:hanging="720"/>
        <w:rPr>
          <w:noProof/>
          <w:lang w:val="fr-FR"/>
        </w:rPr>
      </w:pPr>
      <w:r w:rsidRPr="009B36E9">
        <w:rPr>
          <w:noProof/>
        </w:rPr>
        <w:t>45</w:t>
      </w:r>
      <w:r w:rsidRPr="009B36E9">
        <w:rPr>
          <w:noProof/>
        </w:rPr>
        <w:tab/>
        <w:t xml:space="preserve">Aki, K. &amp; Richards, P. G. </w:t>
      </w:r>
      <w:r w:rsidRPr="009B36E9">
        <w:rPr>
          <w:i/>
          <w:noProof/>
        </w:rPr>
        <w:t>Quantitative seismology</w:t>
      </w:r>
      <w:r w:rsidRPr="009B36E9">
        <w:rPr>
          <w:noProof/>
        </w:rPr>
        <w:t xml:space="preserve">.  </w:t>
      </w:r>
      <w:r w:rsidRPr="00D642CF">
        <w:rPr>
          <w:noProof/>
          <w:lang w:val="fr-FR"/>
        </w:rPr>
        <w:t>(2002).</w:t>
      </w:r>
    </w:p>
    <w:p w14:paraId="1D2F6DC5" w14:textId="77777777" w:rsidR="007F6E00" w:rsidRPr="009B36E9" w:rsidRDefault="007F6E00" w:rsidP="009B36E9">
      <w:pPr>
        <w:pStyle w:val="EndNoteBibliography"/>
        <w:ind w:left="720" w:hanging="720"/>
        <w:rPr>
          <w:noProof/>
        </w:rPr>
      </w:pPr>
      <w:r w:rsidRPr="00D642CF">
        <w:rPr>
          <w:noProof/>
          <w:lang w:val="fr-FR"/>
        </w:rPr>
        <w:t>46</w:t>
      </w:r>
      <w:r w:rsidRPr="00D642CF">
        <w:rPr>
          <w:noProof/>
          <w:lang w:val="fr-FR"/>
        </w:rPr>
        <w:tab/>
        <w:t>Wieczorek, M. A.</w:t>
      </w:r>
      <w:r w:rsidRPr="00D642CF">
        <w:rPr>
          <w:i/>
          <w:noProof/>
          <w:lang w:val="fr-FR"/>
        </w:rPr>
        <w:t xml:space="preserve"> et al.</w:t>
      </w:r>
      <w:r w:rsidRPr="00D642CF">
        <w:rPr>
          <w:noProof/>
          <w:lang w:val="fr-FR"/>
        </w:rPr>
        <w:t xml:space="preserve"> </w:t>
      </w:r>
      <w:r w:rsidRPr="009B36E9">
        <w:rPr>
          <w:noProof/>
        </w:rPr>
        <w:t xml:space="preserve">InSight Constraints on the Global Character of the Martian Crust. </w:t>
      </w:r>
      <w:r w:rsidRPr="009B36E9">
        <w:rPr>
          <w:i/>
          <w:noProof/>
        </w:rPr>
        <w:t>Journal of Geophysical Research: Planets</w:t>
      </w:r>
      <w:r w:rsidRPr="009B36E9">
        <w:rPr>
          <w:noProof/>
        </w:rPr>
        <w:t xml:space="preserve"> </w:t>
      </w:r>
      <w:r w:rsidRPr="009B36E9">
        <w:rPr>
          <w:b/>
          <w:noProof/>
        </w:rPr>
        <w:t>127</w:t>
      </w:r>
      <w:r w:rsidRPr="009B36E9">
        <w:rPr>
          <w:noProof/>
        </w:rPr>
        <w:t xml:space="preserve">, e2022JE007298 (2022). </w:t>
      </w:r>
      <w:r w:rsidRPr="007F6E00">
        <w:rPr>
          <w:noProof/>
        </w:rPr>
        <w:t>https://doi.org/10.1029/2022JE007298</w:t>
      </w:r>
    </w:p>
    <w:p w14:paraId="3F92DB1C" w14:textId="77777777" w:rsidR="007F6E00" w:rsidRPr="009B36E9" w:rsidRDefault="007F6E00" w:rsidP="009B36E9">
      <w:pPr>
        <w:pStyle w:val="EndNoteBibliography"/>
        <w:ind w:left="720" w:hanging="720"/>
        <w:rPr>
          <w:noProof/>
        </w:rPr>
      </w:pPr>
      <w:r w:rsidRPr="009B36E9">
        <w:rPr>
          <w:noProof/>
        </w:rPr>
        <w:t>47</w:t>
      </w:r>
      <w:r w:rsidRPr="009B36E9">
        <w:rPr>
          <w:noProof/>
        </w:rPr>
        <w:tab/>
        <w:t xml:space="preserve">Park, J. J., Levin, V. L. &amp; Rye, D. M. in </w:t>
      </w:r>
      <w:r w:rsidRPr="009B36E9">
        <w:rPr>
          <w:i/>
          <w:noProof/>
        </w:rPr>
        <w:t>AGU Fall Meeting Abstracts</w:t>
      </w:r>
      <w:r w:rsidRPr="009B36E9">
        <w:rPr>
          <w:noProof/>
        </w:rPr>
        <w:t xml:space="preserve"> Vol. 2023   P41J-3301 (San Francisco, CA, 2023).</w:t>
      </w:r>
    </w:p>
    <w:p w14:paraId="7FEC9204" w14:textId="77777777" w:rsidR="007F6E00" w:rsidRPr="009B36E9" w:rsidRDefault="007F6E00" w:rsidP="009B36E9">
      <w:pPr>
        <w:pStyle w:val="EndNoteBibliography"/>
        <w:ind w:left="720" w:hanging="720"/>
        <w:rPr>
          <w:noProof/>
        </w:rPr>
      </w:pPr>
      <w:r w:rsidRPr="009B36E9">
        <w:rPr>
          <w:noProof/>
        </w:rPr>
        <w:t>48</w:t>
      </w:r>
      <w:r w:rsidRPr="009B36E9">
        <w:rPr>
          <w:noProof/>
        </w:rPr>
        <w:tab/>
        <w:t xml:space="preserve">Caress, D. W., McNutt, M. K., Detrick, R. S. &amp; Mutter, J. C. Seismic imaging of hotspot-related crustal underplating beneath the Marquesas Islands. </w:t>
      </w:r>
      <w:r w:rsidRPr="009B36E9">
        <w:rPr>
          <w:i/>
          <w:noProof/>
        </w:rPr>
        <w:t>Nature</w:t>
      </w:r>
      <w:r w:rsidRPr="009B36E9">
        <w:rPr>
          <w:noProof/>
        </w:rPr>
        <w:t xml:space="preserve"> </w:t>
      </w:r>
      <w:r w:rsidRPr="009B36E9">
        <w:rPr>
          <w:b/>
          <w:noProof/>
        </w:rPr>
        <w:t>373</w:t>
      </w:r>
      <w:r w:rsidRPr="009B36E9">
        <w:rPr>
          <w:noProof/>
        </w:rPr>
        <w:t xml:space="preserve">, 600-603 (1995). </w:t>
      </w:r>
      <w:r w:rsidRPr="007F6E00">
        <w:rPr>
          <w:noProof/>
        </w:rPr>
        <w:t>https://doi.org/10.1038/373600a0</w:t>
      </w:r>
    </w:p>
    <w:p w14:paraId="31AAA348" w14:textId="77777777" w:rsidR="007F6E00" w:rsidRPr="009B36E9" w:rsidRDefault="007F6E00" w:rsidP="009B36E9">
      <w:pPr>
        <w:pStyle w:val="EndNoteBibliography"/>
        <w:ind w:left="720" w:hanging="720"/>
        <w:rPr>
          <w:noProof/>
        </w:rPr>
      </w:pPr>
      <w:r w:rsidRPr="009B36E9">
        <w:rPr>
          <w:noProof/>
        </w:rPr>
        <w:t>49</w:t>
      </w:r>
      <w:r w:rsidRPr="009B36E9">
        <w:rPr>
          <w:noProof/>
        </w:rPr>
        <w:tab/>
        <w:t xml:space="preserve">Park, J. &amp; Rye, D. M. Broader Impacts of the Metasomatic Underplating Hypothesis. </w:t>
      </w:r>
      <w:r w:rsidRPr="009B36E9">
        <w:rPr>
          <w:i/>
          <w:noProof/>
        </w:rPr>
        <w:t>Geochemistry, Geophysics, Geosystems</w:t>
      </w:r>
      <w:r w:rsidRPr="009B36E9">
        <w:rPr>
          <w:noProof/>
        </w:rPr>
        <w:t xml:space="preserve"> </w:t>
      </w:r>
      <w:r w:rsidRPr="009B36E9">
        <w:rPr>
          <w:b/>
          <w:noProof/>
        </w:rPr>
        <w:t>20</w:t>
      </w:r>
      <w:r w:rsidRPr="009B36E9">
        <w:rPr>
          <w:noProof/>
        </w:rPr>
        <w:t xml:space="preserve">, 4810-4829 (2019). </w:t>
      </w:r>
      <w:r w:rsidRPr="007F6E00">
        <w:rPr>
          <w:noProof/>
        </w:rPr>
        <w:t>https://doi.org/10.1029/2019GC008493</w:t>
      </w:r>
    </w:p>
    <w:p w14:paraId="7A46D67F" w14:textId="77777777" w:rsidR="007F6E00" w:rsidRPr="009B36E9" w:rsidRDefault="007F6E00" w:rsidP="009B36E9">
      <w:pPr>
        <w:pStyle w:val="EndNoteBibliography"/>
        <w:ind w:left="720" w:hanging="720"/>
        <w:rPr>
          <w:noProof/>
        </w:rPr>
      </w:pPr>
      <w:r w:rsidRPr="009B36E9">
        <w:rPr>
          <w:noProof/>
        </w:rPr>
        <w:t>50</w:t>
      </w:r>
      <w:r w:rsidRPr="009B36E9">
        <w:rPr>
          <w:noProof/>
        </w:rPr>
        <w:tab/>
        <w:t>Ortega-Ramos, V.</w:t>
      </w:r>
      <w:r w:rsidRPr="009B36E9">
        <w:rPr>
          <w:i/>
          <w:noProof/>
        </w:rPr>
        <w:t xml:space="preserve"> et al.</w:t>
      </w:r>
      <w:r w:rsidRPr="009B36E9">
        <w:rPr>
          <w:noProof/>
        </w:rPr>
        <w:t xml:space="preserve"> Evidence of a Low-Velocity Zone in the Upper Mantle Beneath Cumbre Vieja Volcano (Canary Islands) Through Receiver Functions Analysis. </w:t>
      </w:r>
      <w:r w:rsidRPr="009B36E9">
        <w:rPr>
          <w:i/>
          <w:noProof/>
        </w:rPr>
        <w:t>Geophysical Research Letters</w:t>
      </w:r>
      <w:r w:rsidRPr="009B36E9">
        <w:rPr>
          <w:noProof/>
        </w:rPr>
        <w:t xml:space="preserve"> </w:t>
      </w:r>
      <w:r w:rsidRPr="009B36E9">
        <w:rPr>
          <w:b/>
          <w:noProof/>
        </w:rPr>
        <w:t>51</w:t>
      </w:r>
      <w:r w:rsidRPr="009B36E9">
        <w:rPr>
          <w:noProof/>
        </w:rPr>
        <w:t xml:space="preserve">, e2023GL105487 (2024). </w:t>
      </w:r>
      <w:r w:rsidRPr="007F6E00">
        <w:rPr>
          <w:noProof/>
        </w:rPr>
        <w:t>https://doi.org/10.1029/2023GL105487</w:t>
      </w:r>
    </w:p>
    <w:p w14:paraId="0A9FC212" w14:textId="77777777" w:rsidR="007F6E00" w:rsidRPr="009B36E9" w:rsidRDefault="007F6E00" w:rsidP="009B36E9">
      <w:pPr>
        <w:pStyle w:val="EndNoteBibliography"/>
        <w:ind w:left="720" w:hanging="720"/>
        <w:rPr>
          <w:noProof/>
        </w:rPr>
      </w:pPr>
      <w:r w:rsidRPr="009B36E9">
        <w:rPr>
          <w:noProof/>
        </w:rPr>
        <w:t>51</w:t>
      </w:r>
      <w:r w:rsidRPr="009B36E9">
        <w:rPr>
          <w:noProof/>
        </w:rPr>
        <w:tab/>
        <w:t>Grott, M.</w:t>
      </w:r>
      <w:r w:rsidRPr="009B36E9">
        <w:rPr>
          <w:i/>
          <w:noProof/>
        </w:rPr>
        <w:t xml:space="preserve"> et al.</w:t>
      </w:r>
      <w:r w:rsidRPr="009B36E9">
        <w:rPr>
          <w:noProof/>
        </w:rPr>
        <w:t xml:space="preserve"> Long-Term Evolution of the Martian Crust-Mantle System. </w:t>
      </w:r>
      <w:r w:rsidRPr="009B36E9">
        <w:rPr>
          <w:i/>
          <w:noProof/>
        </w:rPr>
        <w:t>Space Science Reviews</w:t>
      </w:r>
      <w:r w:rsidRPr="009B36E9">
        <w:rPr>
          <w:noProof/>
        </w:rPr>
        <w:t xml:space="preserve"> </w:t>
      </w:r>
      <w:r w:rsidRPr="009B36E9">
        <w:rPr>
          <w:b/>
          <w:noProof/>
        </w:rPr>
        <w:t>174</w:t>
      </w:r>
      <w:r w:rsidRPr="009B36E9">
        <w:rPr>
          <w:noProof/>
        </w:rPr>
        <w:t xml:space="preserve">, 49-111 (2013). </w:t>
      </w:r>
      <w:r w:rsidRPr="007F6E00">
        <w:rPr>
          <w:noProof/>
        </w:rPr>
        <w:t>https://doi.org/10.1007/s11214-012-9948-3</w:t>
      </w:r>
    </w:p>
    <w:p w14:paraId="2DE4F0CD" w14:textId="77777777" w:rsidR="007F6E00" w:rsidRPr="009B36E9" w:rsidRDefault="007F6E00" w:rsidP="009B36E9">
      <w:pPr>
        <w:pStyle w:val="EndNoteBibliography"/>
        <w:ind w:left="720" w:hanging="720"/>
        <w:rPr>
          <w:noProof/>
        </w:rPr>
      </w:pPr>
      <w:r w:rsidRPr="009B36E9">
        <w:rPr>
          <w:noProof/>
        </w:rPr>
        <w:t>52</w:t>
      </w:r>
      <w:r w:rsidRPr="009B36E9">
        <w:rPr>
          <w:noProof/>
        </w:rPr>
        <w:tab/>
        <w:t xml:space="preserve">Hauber, E., Brož, P., Jagert, F., Jodłowski, P. &amp; Platz, T. Very recent and wide-spread basaltic volcanism on Mars. </w:t>
      </w:r>
      <w:r w:rsidRPr="009B36E9">
        <w:rPr>
          <w:i/>
          <w:noProof/>
        </w:rPr>
        <w:t>Geophysical Research Letters</w:t>
      </w:r>
      <w:r w:rsidRPr="009B36E9">
        <w:rPr>
          <w:noProof/>
        </w:rPr>
        <w:t xml:space="preserve"> </w:t>
      </w:r>
      <w:r w:rsidRPr="009B36E9">
        <w:rPr>
          <w:b/>
          <w:noProof/>
        </w:rPr>
        <w:t>38</w:t>
      </w:r>
      <w:r w:rsidRPr="009B36E9">
        <w:rPr>
          <w:noProof/>
        </w:rPr>
        <w:t xml:space="preserve"> (2011). </w:t>
      </w:r>
      <w:r w:rsidRPr="007F6E00">
        <w:rPr>
          <w:noProof/>
        </w:rPr>
        <w:t>https://doi.org/10.1029/2011GL047310</w:t>
      </w:r>
    </w:p>
    <w:p w14:paraId="42F6AE28" w14:textId="77777777" w:rsidR="007F6E00" w:rsidRPr="009B36E9" w:rsidRDefault="007F6E00" w:rsidP="009B36E9">
      <w:pPr>
        <w:pStyle w:val="EndNoteBibliography"/>
        <w:ind w:left="720" w:hanging="720"/>
        <w:rPr>
          <w:noProof/>
        </w:rPr>
      </w:pPr>
      <w:r w:rsidRPr="009B36E9">
        <w:rPr>
          <w:noProof/>
        </w:rPr>
        <w:t>53</w:t>
      </w:r>
      <w:r w:rsidRPr="009B36E9">
        <w:rPr>
          <w:noProof/>
        </w:rPr>
        <w:tab/>
        <w:t xml:space="preserve">Andrews-Hanna, J. C., Zuber, M. T. &amp; Banerdt, W. B. The Borealis basin and the origin of the martian crustal dichotomy. </w:t>
      </w:r>
      <w:r w:rsidRPr="009B36E9">
        <w:rPr>
          <w:i/>
          <w:noProof/>
        </w:rPr>
        <w:t>Nature</w:t>
      </w:r>
      <w:r w:rsidRPr="009B36E9">
        <w:rPr>
          <w:noProof/>
        </w:rPr>
        <w:t xml:space="preserve"> </w:t>
      </w:r>
      <w:r w:rsidRPr="009B36E9">
        <w:rPr>
          <w:b/>
          <w:noProof/>
        </w:rPr>
        <w:t>453</w:t>
      </w:r>
      <w:r w:rsidRPr="009B36E9">
        <w:rPr>
          <w:noProof/>
        </w:rPr>
        <w:t xml:space="preserve">, 1212-1215 (2008). </w:t>
      </w:r>
      <w:r w:rsidRPr="007F6E00">
        <w:rPr>
          <w:noProof/>
        </w:rPr>
        <w:t>https://doi.org/10.1038/nature07011</w:t>
      </w:r>
    </w:p>
    <w:p w14:paraId="0C840B87" w14:textId="77777777" w:rsidR="007F6E00" w:rsidRPr="009B36E9" w:rsidRDefault="007F6E00" w:rsidP="009B36E9">
      <w:pPr>
        <w:pStyle w:val="EndNoteBibliography"/>
        <w:ind w:left="720" w:hanging="720"/>
        <w:rPr>
          <w:noProof/>
        </w:rPr>
      </w:pPr>
      <w:r w:rsidRPr="009B36E9">
        <w:rPr>
          <w:noProof/>
        </w:rPr>
        <w:t>54</w:t>
      </w:r>
      <w:r w:rsidRPr="009B36E9">
        <w:rPr>
          <w:noProof/>
        </w:rPr>
        <w:tab/>
        <w:t>Kawamura, T.</w:t>
      </w:r>
      <w:r w:rsidRPr="009B36E9">
        <w:rPr>
          <w:i/>
          <w:noProof/>
        </w:rPr>
        <w:t xml:space="preserve"> et al.</w:t>
      </w:r>
      <w:r w:rsidRPr="009B36E9">
        <w:rPr>
          <w:noProof/>
        </w:rPr>
        <w:t xml:space="preserve"> S1222a - the largest Marsquake detected by InSight. </w:t>
      </w:r>
      <w:r w:rsidRPr="009B36E9">
        <w:rPr>
          <w:i/>
          <w:noProof/>
        </w:rPr>
        <w:t>Geophysical Research Letters</w:t>
      </w:r>
      <w:r w:rsidRPr="009B36E9">
        <w:rPr>
          <w:noProof/>
        </w:rPr>
        <w:t xml:space="preserve"> </w:t>
      </w:r>
      <w:r w:rsidRPr="009B36E9">
        <w:rPr>
          <w:b/>
          <w:noProof/>
        </w:rPr>
        <w:t>49</w:t>
      </w:r>
      <w:r w:rsidRPr="009B36E9">
        <w:rPr>
          <w:noProof/>
        </w:rPr>
        <w:t xml:space="preserve">, e2022GL101543 (2022). </w:t>
      </w:r>
      <w:r w:rsidRPr="007F6E00">
        <w:rPr>
          <w:noProof/>
        </w:rPr>
        <w:t>https://doi.org/10.1029/2022GL101543</w:t>
      </w:r>
    </w:p>
    <w:p w14:paraId="40BAE919" w14:textId="77777777" w:rsidR="007F6E00" w:rsidRPr="009B36E9" w:rsidRDefault="007F6E00" w:rsidP="009B36E9">
      <w:pPr>
        <w:pStyle w:val="EndNoteBibliography"/>
        <w:ind w:left="720" w:hanging="720"/>
        <w:rPr>
          <w:noProof/>
        </w:rPr>
      </w:pPr>
      <w:r w:rsidRPr="009B36E9">
        <w:rPr>
          <w:noProof/>
        </w:rPr>
        <w:t>55</w:t>
      </w:r>
      <w:r w:rsidRPr="009B36E9">
        <w:rPr>
          <w:noProof/>
        </w:rPr>
        <w:tab/>
        <w:t>Golombek, M. P.</w:t>
      </w:r>
      <w:r w:rsidRPr="009B36E9">
        <w:rPr>
          <w:i/>
          <w:noProof/>
        </w:rPr>
        <w:t xml:space="preserve"> et al.</w:t>
      </w:r>
      <w:r w:rsidRPr="009B36E9">
        <w:rPr>
          <w:noProof/>
        </w:rPr>
        <w:t xml:space="preserve"> Geology of the InSight landing site on Mars. </w:t>
      </w:r>
      <w:r w:rsidRPr="009B36E9">
        <w:rPr>
          <w:i/>
          <w:noProof/>
        </w:rPr>
        <w:t>Nat Commun</w:t>
      </w:r>
      <w:r w:rsidRPr="009B36E9">
        <w:rPr>
          <w:noProof/>
        </w:rPr>
        <w:t xml:space="preserve"> </w:t>
      </w:r>
      <w:r w:rsidRPr="009B36E9">
        <w:rPr>
          <w:b/>
          <w:noProof/>
        </w:rPr>
        <w:t>11</w:t>
      </w:r>
      <w:r w:rsidRPr="009B36E9">
        <w:rPr>
          <w:noProof/>
        </w:rPr>
        <w:t xml:space="preserve">, 1014 (2020). </w:t>
      </w:r>
      <w:r w:rsidRPr="007F6E00">
        <w:rPr>
          <w:noProof/>
        </w:rPr>
        <w:t>https://doi.org/10.1038/s41467-020-14679-1</w:t>
      </w:r>
    </w:p>
    <w:p w14:paraId="5D8D409E" w14:textId="77777777" w:rsidR="007F6E00" w:rsidRPr="009B36E9" w:rsidRDefault="007F6E00" w:rsidP="009B36E9">
      <w:pPr>
        <w:pStyle w:val="EndNoteBibliography"/>
        <w:ind w:left="720" w:hanging="720"/>
        <w:rPr>
          <w:noProof/>
        </w:rPr>
      </w:pPr>
      <w:r w:rsidRPr="009B36E9">
        <w:rPr>
          <w:noProof/>
        </w:rPr>
        <w:t>56</w:t>
      </w:r>
      <w:r w:rsidRPr="009B36E9">
        <w:rPr>
          <w:noProof/>
        </w:rPr>
        <w:tab/>
        <w:t xml:space="preserve">Chen, K.-X., Forsyth, D. W. &amp; Fischer, K. M. A Mid-Lithospheric Discontinuity Detected Beneath 155 Ma Western Pacific Seafloor Using Sp Receiver Functions. </w:t>
      </w:r>
      <w:r w:rsidRPr="009B36E9">
        <w:rPr>
          <w:i/>
          <w:noProof/>
        </w:rPr>
        <w:t>Geophysical Research Letters</w:t>
      </w:r>
      <w:r w:rsidRPr="009B36E9">
        <w:rPr>
          <w:noProof/>
        </w:rPr>
        <w:t xml:space="preserve"> </w:t>
      </w:r>
      <w:r w:rsidRPr="009B36E9">
        <w:rPr>
          <w:b/>
          <w:noProof/>
        </w:rPr>
        <w:t>51</w:t>
      </w:r>
      <w:r w:rsidRPr="009B36E9">
        <w:rPr>
          <w:noProof/>
        </w:rPr>
        <w:t xml:space="preserve">, e2024GL108347 (2024). </w:t>
      </w:r>
      <w:r w:rsidRPr="007F6E00">
        <w:rPr>
          <w:noProof/>
        </w:rPr>
        <w:t>https://doi.org/10.1029/2024GL108347</w:t>
      </w:r>
    </w:p>
    <w:p w14:paraId="0EF4D3C1" w14:textId="77777777" w:rsidR="007F6E00" w:rsidRPr="009B36E9" w:rsidRDefault="007F6E00" w:rsidP="009B36E9">
      <w:pPr>
        <w:pStyle w:val="EndNoteBibliography"/>
        <w:ind w:left="720" w:hanging="720"/>
        <w:rPr>
          <w:noProof/>
        </w:rPr>
      </w:pPr>
      <w:r w:rsidRPr="009B36E9">
        <w:rPr>
          <w:noProof/>
        </w:rPr>
        <w:t>57</w:t>
      </w:r>
      <w:r w:rsidRPr="009B36E9">
        <w:rPr>
          <w:noProof/>
        </w:rPr>
        <w:tab/>
        <w:t xml:space="preserve">Farra, V. &amp; Vinnik, L. Upper mantle stratification by P and S receiver functions. </w:t>
      </w:r>
      <w:r w:rsidRPr="009B36E9">
        <w:rPr>
          <w:i/>
          <w:noProof/>
        </w:rPr>
        <w:lastRenderedPageBreak/>
        <w:t>Geophysical Journal International</w:t>
      </w:r>
      <w:r w:rsidRPr="009B36E9">
        <w:rPr>
          <w:noProof/>
        </w:rPr>
        <w:t xml:space="preserve"> </w:t>
      </w:r>
      <w:r w:rsidRPr="009B36E9">
        <w:rPr>
          <w:b/>
          <w:noProof/>
        </w:rPr>
        <w:t>141</w:t>
      </w:r>
      <w:r w:rsidRPr="009B36E9">
        <w:rPr>
          <w:noProof/>
        </w:rPr>
        <w:t xml:space="preserve">, 699-712 (2000). </w:t>
      </w:r>
      <w:r w:rsidRPr="007F6E00">
        <w:rPr>
          <w:noProof/>
        </w:rPr>
        <w:t>https://doi.org/10.1046/j.1365-246x.2000.00118.x</w:t>
      </w:r>
    </w:p>
    <w:p w14:paraId="616C4B3C" w14:textId="77777777" w:rsidR="007F6E00" w:rsidRPr="009B36E9" w:rsidRDefault="007F6E00" w:rsidP="009B36E9">
      <w:pPr>
        <w:pStyle w:val="EndNoteBibliography"/>
        <w:ind w:left="720" w:hanging="720"/>
        <w:rPr>
          <w:noProof/>
        </w:rPr>
      </w:pPr>
      <w:r w:rsidRPr="009B36E9">
        <w:rPr>
          <w:noProof/>
        </w:rPr>
        <w:t>58</w:t>
      </w:r>
      <w:r w:rsidRPr="009B36E9">
        <w:rPr>
          <w:noProof/>
        </w:rPr>
        <w:tab/>
        <w:t xml:space="preserve">Zhou, L., Chen, W.-P. &amp; Özalaybey, S. Seismic Properties of the Central Indian Shield. </w:t>
      </w:r>
      <w:r w:rsidRPr="009B36E9">
        <w:rPr>
          <w:i/>
          <w:noProof/>
        </w:rPr>
        <w:t>Bulletin of the Seismological Society of America</w:t>
      </w:r>
      <w:r w:rsidRPr="009B36E9">
        <w:rPr>
          <w:noProof/>
        </w:rPr>
        <w:t xml:space="preserve"> </w:t>
      </w:r>
      <w:r w:rsidRPr="009B36E9">
        <w:rPr>
          <w:b/>
          <w:noProof/>
        </w:rPr>
        <w:t>90</w:t>
      </w:r>
      <w:r w:rsidRPr="009B36E9">
        <w:rPr>
          <w:noProof/>
        </w:rPr>
        <w:t xml:space="preserve">, 1295-1304 (2000). </w:t>
      </w:r>
      <w:r w:rsidRPr="007F6E00">
        <w:rPr>
          <w:noProof/>
        </w:rPr>
        <w:t>https://doi.org/10.1785/0119990039</w:t>
      </w:r>
    </w:p>
    <w:p w14:paraId="128F1883" w14:textId="77777777" w:rsidR="007F6E00" w:rsidRPr="007F6E00" w:rsidRDefault="007F6E00" w:rsidP="009B36E9">
      <w:pPr>
        <w:pStyle w:val="EndNoteBibliography"/>
        <w:ind w:left="720" w:hanging="720"/>
        <w:rPr>
          <w:noProof/>
          <w:lang w:val="fr-FR"/>
        </w:rPr>
      </w:pPr>
      <w:r w:rsidRPr="009B36E9">
        <w:rPr>
          <w:noProof/>
        </w:rPr>
        <w:t>59</w:t>
      </w:r>
      <w:r w:rsidRPr="009B36E9">
        <w:rPr>
          <w:noProof/>
        </w:rPr>
        <w:tab/>
        <w:t xml:space="preserve">Kind, R., Yuan, X. &amp; Kumar, P. Seismic receiver functions and the lithosphere–asthenosphere boundary. </w:t>
      </w:r>
      <w:r w:rsidRPr="007F6E00">
        <w:rPr>
          <w:i/>
          <w:noProof/>
          <w:lang w:val="fr-FR"/>
        </w:rPr>
        <w:t>Tectonophysics</w:t>
      </w:r>
      <w:r w:rsidRPr="007F6E00">
        <w:rPr>
          <w:noProof/>
          <w:lang w:val="fr-FR"/>
        </w:rPr>
        <w:t xml:space="preserve"> </w:t>
      </w:r>
      <w:r w:rsidRPr="007F6E00">
        <w:rPr>
          <w:b/>
          <w:noProof/>
          <w:lang w:val="fr-FR"/>
        </w:rPr>
        <w:t>536-537</w:t>
      </w:r>
      <w:r w:rsidRPr="007F6E00">
        <w:rPr>
          <w:noProof/>
          <w:lang w:val="fr-FR"/>
        </w:rPr>
        <w:t>, 25-43 (2012). https://doi.org/10.1016/j.tecto.2012.03.005</w:t>
      </w:r>
    </w:p>
    <w:p w14:paraId="16AC19A8" w14:textId="77777777" w:rsidR="007F6E00" w:rsidRPr="009B36E9" w:rsidRDefault="007F6E00" w:rsidP="009B36E9">
      <w:pPr>
        <w:pStyle w:val="EndNoteBibliography"/>
        <w:ind w:left="720" w:hanging="720"/>
        <w:rPr>
          <w:noProof/>
        </w:rPr>
      </w:pPr>
      <w:r w:rsidRPr="007F6E00">
        <w:rPr>
          <w:noProof/>
          <w:lang w:val="fr-FR"/>
        </w:rPr>
        <w:t>60</w:t>
      </w:r>
      <w:r w:rsidRPr="007F6E00">
        <w:rPr>
          <w:noProof/>
          <w:lang w:val="fr-FR"/>
        </w:rPr>
        <w:tab/>
        <w:t>Bissig, F.</w:t>
      </w:r>
      <w:r w:rsidRPr="007F6E00">
        <w:rPr>
          <w:i/>
          <w:noProof/>
          <w:lang w:val="fr-FR"/>
        </w:rPr>
        <w:t xml:space="preserve"> et al.</w:t>
      </w:r>
      <w:r w:rsidRPr="007F6E00">
        <w:rPr>
          <w:noProof/>
          <w:lang w:val="fr-FR"/>
        </w:rPr>
        <w:t xml:space="preserve"> </w:t>
      </w:r>
      <w:r w:rsidRPr="009B36E9">
        <w:rPr>
          <w:noProof/>
        </w:rPr>
        <w:t xml:space="preserve">Multifrequency Inversion of Ps and Sp Receiver Functions: Methodology and Application to USArray Data. </w:t>
      </w:r>
      <w:r w:rsidRPr="009B36E9">
        <w:rPr>
          <w:i/>
          <w:noProof/>
        </w:rPr>
        <w:t>Journal of Geophysical Research: Solid Earth</w:t>
      </w:r>
      <w:r w:rsidRPr="009B36E9">
        <w:rPr>
          <w:noProof/>
        </w:rPr>
        <w:t xml:space="preserve"> </w:t>
      </w:r>
      <w:r w:rsidRPr="009B36E9">
        <w:rPr>
          <w:b/>
          <w:noProof/>
        </w:rPr>
        <w:t>126</w:t>
      </w:r>
      <w:r w:rsidRPr="009B36E9">
        <w:rPr>
          <w:noProof/>
        </w:rPr>
        <w:t xml:space="preserve">, e2020JB020350 (2021). </w:t>
      </w:r>
      <w:r w:rsidRPr="007F6E00">
        <w:rPr>
          <w:noProof/>
        </w:rPr>
        <w:t>https://doi.org/10.1029/2020JB020350</w:t>
      </w:r>
    </w:p>
    <w:p w14:paraId="6361011E" w14:textId="77777777" w:rsidR="007F6E00" w:rsidRPr="009B36E9" w:rsidRDefault="007F6E00" w:rsidP="009B36E9">
      <w:pPr>
        <w:pStyle w:val="EndNoteBibliography"/>
        <w:ind w:left="720" w:hanging="720"/>
        <w:rPr>
          <w:noProof/>
        </w:rPr>
      </w:pPr>
      <w:r w:rsidRPr="009B36E9">
        <w:rPr>
          <w:noProof/>
        </w:rPr>
        <w:t>61</w:t>
      </w:r>
      <w:r w:rsidRPr="009B36E9">
        <w:rPr>
          <w:noProof/>
        </w:rPr>
        <w:tab/>
        <w:t>Drilleau, M.</w:t>
      </w:r>
      <w:r w:rsidRPr="009B36E9">
        <w:rPr>
          <w:i/>
          <w:noProof/>
        </w:rPr>
        <w:t xml:space="preserve"> et al.</w:t>
      </w:r>
      <w:r w:rsidRPr="009B36E9">
        <w:rPr>
          <w:noProof/>
        </w:rPr>
        <w:t xml:space="preserve"> Constraints on Lateral Variations of Martian Crustal Thickness From Seismological and Gravity Field Measurements. </w:t>
      </w:r>
      <w:r w:rsidRPr="009B36E9">
        <w:rPr>
          <w:i/>
          <w:noProof/>
        </w:rPr>
        <w:t>Geophysical Research Letters</w:t>
      </w:r>
      <w:r w:rsidRPr="009B36E9">
        <w:rPr>
          <w:noProof/>
        </w:rPr>
        <w:t xml:space="preserve"> </w:t>
      </w:r>
      <w:r w:rsidRPr="009B36E9">
        <w:rPr>
          <w:b/>
          <w:noProof/>
        </w:rPr>
        <w:t>51</w:t>
      </w:r>
      <w:r w:rsidRPr="009B36E9">
        <w:rPr>
          <w:noProof/>
        </w:rPr>
        <w:t xml:space="preserve">, e2023GL105701 (2024). </w:t>
      </w:r>
      <w:r w:rsidRPr="007F6E00">
        <w:rPr>
          <w:noProof/>
        </w:rPr>
        <w:t>https://doi.org/10.1029/2023GL105701</w:t>
      </w:r>
    </w:p>
    <w:p w14:paraId="1B74D9DB" w14:textId="77777777" w:rsidR="007F6E00" w:rsidRPr="009B36E9" w:rsidRDefault="007F6E00" w:rsidP="009B36E9">
      <w:pPr>
        <w:pStyle w:val="EndNoteBibliography"/>
        <w:ind w:left="720" w:hanging="720"/>
        <w:rPr>
          <w:noProof/>
        </w:rPr>
      </w:pPr>
      <w:r w:rsidRPr="009B36E9">
        <w:rPr>
          <w:noProof/>
        </w:rPr>
        <w:t>62</w:t>
      </w:r>
      <w:r w:rsidRPr="009B36E9">
        <w:rPr>
          <w:noProof/>
        </w:rPr>
        <w:tab/>
        <w:t>Compaire, N.</w:t>
      </w:r>
      <w:r w:rsidRPr="009B36E9">
        <w:rPr>
          <w:i/>
          <w:noProof/>
        </w:rPr>
        <w:t xml:space="preserve"> et al.</w:t>
      </w:r>
      <w:r w:rsidRPr="009B36E9">
        <w:rPr>
          <w:noProof/>
        </w:rPr>
        <w:t xml:space="preserve"> Autocorrelation of the Ground Vibrations Recorded by the SEIS-InSight Seismometer on Mars. </w:t>
      </w:r>
      <w:r w:rsidRPr="009B36E9">
        <w:rPr>
          <w:i/>
          <w:noProof/>
        </w:rPr>
        <w:t>Journal of Geophysical Research: Planets</w:t>
      </w:r>
      <w:r w:rsidRPr="009B36E9">
        <w:rPr>
          <w:noProof/>
        </w:rPr>
        <w:t xml:space="preserve"> </w:t>
      </w:r>
      <w:r w:rsidRPr="009B36E9">
        <w:rPr>
          <w:b/>
          <w:noProof/>
        </w:rPr>
        <w:t>126</w:t>
      </w:r>
      <w:r w:rsidRPr="009B36E9">
        <w:rPr>
          <w:noProof/>
        </w:rPr>
        <w:t xml:space="preserve">, e2020JE006498 (2021). </w:t>
      </w:r>
      <w:r w:rsidRPr="007F6E00">
        <w:rPr>
          <w:noProof/>
        </w:rPr>
        <w:t>https://doi.org/10.1029/2020JE006498</w:t>
      </w:r>
    </w:p>
    <w:p w14:paraId="6CD666FF" w14:textId="77777777" w:rsidR="007F6E00" w:rsidRPr="009B36E9" w:rsidRDefault="007F6E00" w:rsidP="009B36E9">
      <w:pPr>
        <w:pStyle w:val="EndNoteBibliography"/>
        <w:ind w:left="720" w:hanging="720"/>
        <w:rPr>
          <w:noProof/>
        </w:rPr>
      </w:pPr>
      <w:r w:rsidRPr="009B36E9">
        <w:rPr>
          <w:noProof/>
        </w:rPr>
        <w:t>63</w:t>
      </w:r>
      <w:r w:rsidRPr="009B36E9">
        <w:rPr>
          <w:noProof/>
        </w:rPr>
        <w:tab/>
        <w:t xml:space="preserve">Deng, S. &amp; Levander, A. Autocorrelation Reflectivity of Mars. </w:t>
      </w:r>
      <w:r w:rsidRPr="009B36E9">
        <w:rPr>
          <w:i/>
          <w:noProof/>
        </w:rPr>
        <w:t>Geophysical Research Letters</w:t>
      </w:r>
      <w:r w:rsidRPr="009B36E9">
        <w:rPr>
          <w:noProof/>
        </w:rPr>
        <w:t xml:space="preserve"> </w:t>
      </w:r>
      <w:r w:rsidRPr="009B36E9">
        <w:rPr>
          <w:b/>
          <w:noProof/>
        </w:rPr>
        <w:t>47</w:t>
      </w:r>
      <w:r w:rsidRPr="009B36E9">
        <w:rPr>
          <w:noProof/>
        </w:rPr>
        <w:t xml:space="preserve"> (2020). </w:t>
      </w:r>
      <w:r w:rsidRPr="007F6E00">
        <w:rPr>
          <w:noProof/>
        </w:rPr>
        <w:t>https://doi.org/10.1029/2020gl089630</w:t>
      </w:r>
    </w:p>
    <w:p w14:paraId="783A2691" w14:textId="77777777" w:rsidR="007F6E00" w:rsidRPr="009B36E9" w:rsidRDefault="007F6E00" w:rsidP="009B36E9">
      <w:pPr>
        <w:pStyle w:val="EndNoteBibliography"/>
        <w:ind w:left="720" w:hanging="720"/>
        <w:rPr>
          <w:noProof/>
        </w:rPr>
      </w:pPr>
      <w:r w:rsidRPr="009B36E9">
        <w:rPr>
          <w:noProof/>
        </w:rPr>
        <w:t>64</w:t>
      </w:r>
      <w:r w:rsidRPr="009B36E9">
        <w:rPr>
          <w:noProof/>
        </w:rPr>
        <w:tab/>
        <w:t>Schimmel, M.</w:t>
      </w:r>
      <w:r w:rsidRPr="009B36E9">
        <w:rPr>
          <w:i/>
          <w:noProof/>
        </w:rPr>
        <w:t xml:space="preserve"> et al.</w:t>
      </w:r>
      <w:r w:rsidRPr="009B36E9">
        <w:rPr>
          <w:noProof/>
        </w:rPr>
        <w:t xml:space="preserve"> </w:t>
      </w:r>
      <w:r w:rsidRPr="007F6E00">
        <w:rPr>
          <w:noProof/>
          <w:lang w:val="fr-FR"/>
        </w:rPr>
        <w:t xml:space="preserve">Seismic Noise Autocorrelations on Mars. </w:t>
      </w:r>
      <w:r w:rsidRPr="009B36E9">
        <w:rPr>
          <w:i/>
          <w:noProof/>
        </w:rPr>
        <w:t>Earth and Space Science</w:t>
      </w:r>
      <w:r w:rsidRPr="009B36E9">
        <w:rPr>
          <w:noProof/>
        </w:rPr>
        <w:t xml:space="preserve"> </w:t>
      </w:r>
      <w:r w:rsidRPr="009B36E9">
        <w:rPr>
          <w:b/>
          <w:noProof/>
        </w:rPr>
        <w:t>8</w:t>
      </w:r>
      <w:r w:rsidRPr="009B36E9">
        <w:rPr>
          <w:noProof/>
        </w:rPr>
        <w:t xml:space="preserve">, e2021EA001755 (2021). </w:t>
      </w:r>
      <w:r w:rsidRPr="007F6E00">
        <w:rPr>
          <w:noProof/>
        </w:rPr>
        <w:t>https://doi.org/10.1029/2021EA001755</w:t>
      </w:r>
    </w:p>
    <w:p w14:paraId="69E67219" w14:textId="77777777" w:rsidR="007F6E00" w:rsidRPr="009B36E9" w:rsidRDefault="007F6E00" w:rsidP="009B36E9">
      <w:pPr>
        <w:pStyle w:val="EndNoteBibliography"/>
        <w:ind w:left="720" w:hanging="720"/>
        <w:rPr>
          <w:noProof/>
        </w:rPr>
      </w:pPr>
      <w:r w:rsidRPr="009B36E9">
        <w:rPr>
          <w:noProof/>
        </w:rPr>
        <w:t>65</w:t>
      </w:r>
      <w:r w:rsidRPr="009B36E9">
        <w:rPr>
          <w:noProof/>
        </w:rPr>
        <w:tab/>
        <w:t xml:space="preserve">Muller, G. The reflectivity method: a tutorial. </w:t>
      </w:r>
      <w:r w:rsidRPr="009B36E9">
        <w:rPr>
          <w:i/>
          <w:noProof/>
        </w:rPr>
        <w:t>Journal of Geophysics</w:t>
      </w:r>
      <w:r w:rsidRPr="009B36E9">
        <w:rPr>
          <w:noProof/>
        </w:rPr>
        <w:t xml:space="preserve"> </w:t>
      </w:r>
      <w:r w:rsidRPr="009B36E9">
        <w:rPr>
          <w:b/>
          <w:noProof/>
        </w:rPr>
        <w:t>58</w:t>
      </w:r>
      <w:r w:rsidRPr="009B36E9">
        <w:rPr>
          <w:noProof/>
        </w:rPr>
        <w:t xml:space="preserve">, 153-174 (1985). </w:t>
      </w:r>
    </w:p>
    <w:p w14:paraId="48B418CD" w14:textId="77777777" w:rsidR="007F6E00" w:rsidRPr="009B36E9" w:rsidRDefault="007F6E00" w:rsidP="009B36E9">
      <w:pPr>
        <w:pStyle w:val="EndNoteBibliography"/>
        <w:ind w:left="720" w:hanging="720"/>
        <w:rPr>
          <w:noProof/>
        </w:rPr>
      </w:pPr>
      <w:r w:rsidRPr="009B36E9">
        <w:rPr>
          <w:noProof/>
        </w:rPr>
        <w:t>66</w:t>
      </w:r>
      <w:r w:rsidRPr="009B36E9">
        <w:rPr>
          <w:noProof/>
        </w:rPr>
        <w:tab/>
        <w:t>Dahmen, N.</w:t>
      </w:r>
      <w:r w:rsidRPr="009B36E9">
        <w:rPr>
          <w:i/>
          <w:noProof/>
        </w:rPr>
        <w:t xml:space="preserve"> et al.</w:t>
      </w:r>
      <w:r w:rsidRPr="009B36E9">
        <w:rPr>
          <w:noProof/>
        </w:rPr>
        <w:t xml:space="preserve"> Revisiting Martian seismicity with deep learning-based denoising. </w:t>
      </w:r>
      <w:r w:rsidRPr="009B36E9">
        <w:rPr>
          <w:i/>
          <w:noProof/>
        </w:rPr>
        <w:t>Geophysical Journal International</w:t>
      </w:r>
      <w:r w:rsidRPr="009B36E9">
        <w:rPr>
          <w:noProof/>
        </w:rPr>
        <w:t xml:space="preserve"> </w:t>
      </w:r>
      <w:r w:rsidRPr="009B36E9">
        <w:rPr>
          <w:b/>
          <w:noProof/>
        </w:rPr>
        <w:t>239</w:t>
      </w:r>
      <w:r w:rsidRPr="009B36E9">
        <w:rPr>
          <w:noProof/>
        </w:rPr>
        <w:t xml:space="preserve">, 434-454 (2024). </w:t>
      </w:r>
      <w:r w:rsidRPr="007F6E00">
        <w:rPr>
          <w:noProof/>
        </w:rPr>
        <w:t>https://doi.org/10.1093/gji/ggae279</w:t>
      </w:r>
    </w:p>
    <w:p w14:paraId="402843A5" w14:textId="77777777" w:rsidR="007F6E00" w:rsidRPr="007F6E00" w:rsidRDefault="007F6E00" w:rsidP="009B36E9">
      <w:pPr>
        <w:pStyle w:val="EndNoteBibliography"/>
        <w:ind w:left="720" w:hanging="720"/>
        <w:rPr>
          <w:noProof/>
          <w:lang w:val="fr-FR"/>
        </w:rPr>
      </w:pPr>
      <w:r w:rsidRPr="009B36E9">
        <w:rPr>
          <w:noProof/>
        </w:rPr>
        <w:t>67</w:t>
      </w:r>
      <w:r w:rsidRPr="009B36E9">
        <w:rPr>
          <w:noProof/>
        </w:rPr>
        <w:tab/>
        <w:t xml:space="preserve">Zhu, L. &amp; Rivera, L. A. A note on the dynamic and static displacements from a point source in multilayered media. </w:t>
      </w:r>
      <w:r w:rsidRPr="007F6E00">
        <w:rPr>
          <w:i/>
          <w:noProof/>
          <w:lang w:val="fr-FR"/>
        </w:rPr>
        <w:t>Geophysical Journal International</w:t>
      </w:r>
      <w:r w:rsidRPr="007F6E00">
        <w:rPr>
          <w:noProof/>
          <w:lang w:val="fr-FR"/>
        </w:rPr>
        <w:t xml:space="preserve"> </w:t>
      </w:r>
      <w:r w:rsidRPr="007F6E00">
        <w:rPr>
          <w:b/>
          <w:noProof/>
          <w:lang w:val="fr-FR"/>
        </w:rPr>
        <w:t>148</w:t>
      </w:r>
      <w:r w:rsidRPr="007F6E00">
        <w:rPr>
          <w:noProof/>
          <w:lang w:val="fr-FR"/>
        </w:rPr>
        <w:t>, 619-627 (2002). https://doi.org/10.1046/j.1365-246X.2002.01610.x</w:t>
      </w:r>
    </w:p>
    <w:p w14:paraId="63B7DC3E" w14:textId="77777777" w:rsidR="007F6E00" w:rsidRPr="009B36E9" w:rsidRDefault="007F6E00" w:rsidP="009B36E9">
      <w:pPr>
        <w:pStyle w:val="EndNoteBibliography"/>
        <w:ind w:left="720" w:hanging="720"/>
        <w:rPr>
          <w:noProof/>
        </w:rPr>
      </w:pPr>
      <w:r w:rsidRPr="007F6E00">
        <w:rPr>
          <w:noProof/>
          <w:lang w:val="fr-FR"/>
        </w:rPr>
        <w:t>68</w:t>
      </w:r>
      <w:r w:rsidRPr="007F6E00">
        <w:rPr>
          <w:noProof/>
          <w:lang w:val="fr-FR"/>
        </w:rPr>
        <w:tab/>
        <w:t>Shi, J.</w:t>
      </w:r>
      <w:r w:rsidRPr="007F6E00">
        <w:rPr>
          <w:i/>
          <w:noProof/>
          <w:lang w:val="fr-FR"/>
        </w:rPr>
        <w:t xml:space="preserve"> et al.</w:t>
      </w:r>
      <w:r w:rsidRPr="007F6E00">
        <w:rPr>
          <w:noProof/>
          <w:lang w:val="fr-FR"/>
        </w:rPr>
        <w:t xml:space="preserve"> </w:t>
      </w:r>
      <w:r w:rsidRPr="009B36E9">
        <w:rPr>
          <w:noProof/>
        </w:rPr>
        <w:t xml:space="preserve">Martian seismic anisotropy underneath Elysium Planitia revealed by direct S wave splitting. </w:t>
      </w:r>
      <w:r w:rsidRPr="009B36E9">
        <w:rPr>
          <w:i/>
          <w:noProof/>
        </w:rPr>
        <w:t>Earth and Planetary Science Letters</w:t>
      </w:r>
      <w:r w:rsidRPr="009B36E9">
        <w:rPr>
          <w:noProof/>
        </w:rPr>
        <w:t xml:space="preserve"> </w:t>
      </w:r>
      <w:r w:rsidRPr="009B36E9">
        <w:rPr>
          <w:b/>
          <w:noProof/>
        </w:rPr>
        <w:t>647</w:t>
      </w:r>
      <w:r w:rsidRPr="009B36E9">
        <w:rPr>
          <w:noProof/>
        </w:rPr>
        <w:t xml:space="preserve">, 119047 (2024). </w:t>
      </w:r>
      <w:r w:rsidRPr="007F6E00">
        <w:rPr>
          <w:noProof/>
        </w:rPr>
        <w:t>https://doi.org/10.1016/j.epsl.2024.119047</w:t>
      </w:r>
    </w:p>
    <w:p w14:paraId="1F89256B" w14:textId="77777777" w:rsidR="007F6E00" w:rsidRPr="009B36E9" w:rsidRDefault="007F6E00" w:rsidP="009B36E9">
      <w:pPr>
        <w:pStyle w:val="EndNoteBibliography"/>
        <w:ind w:left="720" w:hanging="720"/>
        <w:rPr>
          <w:noProof/>
        </w:rPr>
      </w:pPr>
      <w:r w:rsidRPr="009B36E9">
        <w:rPr>
          <w:noProof/>
        </w:rPr>
        <w:t>69</w:t>
      </w:r>
      <w:r w:rsidRPr="009B36E9">
        <w:rPr>
          <w:noProof/>
        </w:rPr>
        <w:tab/>
        <w:t xml:space="preserve">Crotwell, H. P., Owens, T. J. &amp; Ritsema, J. The TauP Toolkit: Flexible Seismic Travel-time and Ray-path Utilities. </w:t>
      </w:r>
      <w:r w:rsidRPr="009B36E9">
        <w:rPr>
          <w:i/>
          <w:noProof/>
        </w:rPr>
        <w:t>Seismological Research Letters</w:t>
      </w:r>
      <w:r w:rsidRPr="009B36E9">
        <w:rPr>
          <w:noProof/>
        </w:rPr>
        <w:t xml:space="preserve"> </w:t>
      </w:r>
      <w:r w:rsidRPr="009B36E9">
        <w:rPr>
          <w:b/>
          <w:noProof/>
        </w:rPr>
        <w:t>70</w:t>
      </w:r>
      <w:r w:rsidRPr="009B36E9">
        <w:rPr>
          <w:noProof/>
        </w:rPr>
        <w:t xml:space="preserve">, 154-160 (1999). </w:t>
      </w:r>
      <w:r w:rsidRPr="007F6E00">
        <w:rPr>
          <w:noProof/>
        </w:rPr>
        <w:t>https://doi.org/10.1785/gssrl.70.2.154</w:t>
      </w:r>
    </w:p>
    <w:p w14:paraId="6B6D4D1D" w14:textId="77777777" w:rsidR="007F6E00" w:rsidRPr="009B36E9" w:rsidRDefault="007F6E00" w:rsidP="009B36E9">
      <w:pPr>
        <w:pStyle w:val="EndNoteBibliography"/>
        <w:ind w:left="720" w:hanging="720"/>
        <w:rPr>
          <w:noProof/>
        </w:rPr>
      </w:pPr>
      <w:r w:rsidRPr="009B36E9">
        <w:rPr>
          <w:noProof/>
        </w:rPr>
        <w:t>70</w:t>
      </w:r>
      <w:r w:rsidRPr="009B36E9">
        <w:rPr>
          <w:noProof/>
        </w:rPr>
        <w:tab/>
        <w:t>Panning, M. P.</w:t>
      </w:r>
      <w:r w:rsidRPr="009B36E9">
        <w:rPr>
          <w:i/>
          <w:noProof/>
        </w:rPr>
        <w:t xml:space="preserve"> et al.</w:t>
      </w:r>
      <w:r w:rsidRPr="009B36E9">
        <w:rPr>
          <w:noProof/>
        </w:rPr>
        <w:t xml:space="preserve"> Locating the Largest Event Observed on Mars With Multi-Orbit Surface Waves. </w:t>
      </w:r>
      <w:r w:rsidRPr="009B36E9">
        <w:rPr>
          <w:i/>
          <w:noProof/>
        </w:rPr>
        <w:t>Geophysical Research Letters</w:t>
      </w:r>
      <w:r w:rsidRPr="009B36E9">
        <w:rPr>
          <w:noProof/>
        </w:rPr>
        <w:t xml:space="preserve"> </w:t>
      </w:r>
      <w:r w:rsidRPr="009B36E9">
        <w:rPr>
          <w:b/>
          <w:noProof/>
        </w:rPr>
        <w:t>50</w:t>
      </w:r>
      <w:r w:rsidRPr="009B36E9">
        <w:rPr>
          <w:noProof/>
        </w:rPr>
        <w:t xml:space="preserve">, e2022GL101270 (2023). </w:t>
      </w:r>
      <w:r w:rsidRPr="007F6E00">
        <w:rPr>
          <w:noProof/>
        </w:rPr>
        <w:t>https://doi.org/10.1029/2022GL101270</w:t>
      </w:r>
    </w:p>
    <w:p w14:paraId="5B344A2B" w14:textId="77777777" w:rsidR="007F6E00" w:rsidRPr="007F6E00" w:rsidRDefault="007F6E00" w:rsidP="009B36E9">
      <w:pPr>
        <w:pStyle w:val="EndNoteBibliography"/>
        <w:ind w:left="720" w:hanging="720"/>
        <w:rPr>
          <w:noProof/>
        </w:rPr>
      </w:pPr>
      <w:r w:rsidRPr="009B36E9">
        <w:rPr>
          <w:noProof/>
        </w:rPr>
        <w:t>71</w:t>
      </w:r>
      <w:r w:rsidRPr="009B36E9">
        <w:rPr>
          <w:noProof/>
        </w:rPr>
        <w:tab/>
        <w:t>Kim, D.</w:t>
      </w:r>
      <w:r w:rsidRPr="009B36E9">
        <w:rPr>
          <w:i/>
          <w:noProof/>
        </w:rPr>
        <w:t xml:space="preserve"> et al.</w:t>
      </w:r>
      <w:r w:rsidRPr="009B36E9">
        <w:rPr>
          <w:noProof/>
        </w:rPr>
        <w:t xml:space="preserve"> Surface waves and crustal structure on Mars. </w:t>
      </w:r>
      <w:r w:rsidRPr="007F6E00">
        <w:rPr>
          <w:i/>
          <w:noProof/>
        </w:rPr>
        <w:t>Science</w:t>
      </w:r>
      <w:r w:rsidRPr="007F6E00">
        <w:rPr>
          <w:noProof/>
        </w:rPr>
        <w:t xml:space="preserve"> </w:t>
      </w:r>
      <w:r w:rsidRPr="007F6E00">
        <w:rPr>
          <w:b/>
          <w:noProof/>
        </w:rPr>
        <w:t>378</w:t>
      </w:r>
      <w:r w:rsidRPr="007F6E00">
        <w:rPr>
          <w:noProof/>
        </w:rPr>
        <w:t>, 417-421 (2022). https://doi.org/10.1126/science.abq7157</w:t>
      </w:r>
    </w:p>
    <w:p w14:paraId="000E3E8C" w14:textId="77777777" w:rsidR="007F6E00" w:rsidRPr="009B36E9" w:rsidRDefault="007F6E00" w:rsidP="009B36E9">
      <w:pPr>
        <w:pStyle w:val="EndNoteBibliography"/>
        <w:ind w:left="720" w:hanging="720"/>
        <w:rPr>
          <w:noProof/>
        </w:rPr>
      </w:pPr>
      <w:r w:rsidRPr="007F6E00">
        <w:rPr>
          <w:noProof/>
        </w:rPr>
        <w:lastRenderedPageBreak/>
        <w:t>72</w:t>
      </w:r>
      <w:r w:rsidRPr="007F6E00">
        <w:rPr>
          <w:noProof/>
        </w:rPr>
        <w:tab/>
        <w:t>Xu, Z.</w:t>
      </w:r>
      <w:r w:rsidRPr="007F6E00">
        <w:rPr>
          <w:i/>
          <w:noProof/>
        </w:rPr>
        <w:t xml:space="preserve"> et al.</w:t>
      </w:r>
      <w:r w:rsidRPr="007F6E00">
        <w:rPr>
          <w:noProof/>
        </w:rPr>
        <w:t xml:space="preserve"> </w:t>
      </w:r>
      <w:r w:rsidRPr="009B36E9">
        <w:rPr>
          <w:noProof/>
        </w:rPr>
        <w:t xml:space="preserve">Investigation of Martian Regional Crustal Structure Near the Dichotomy Using S1222a Surface-Wave Group Velocities. </w:t>
      </w:r>
      <w:r w:rsidRPr="009B36E9">
        <w:rPr>
          <w:i/>
          <w:noProof/>
        </w:rPr>
        <w:t>Geophysical Research Letters</w:t>
      </w:r>
      <w:r w:rsidRPr="009B36E9">
        <w:rPr>
          <w:noProof/>
        </w:rPr>
        <w:t xml:space="preserve"> </w:t>
      </w:r>
      <w:r w:rsidRPr="009B36E9">
        <w:rPr>
          <w:b/>
          <w:noProof/>
        </w:rPr>
        <w:t>50</w:t>
      </w:r>
      <w:r w:rsidRPr="009B36E9">
        <w:rPr>
          <w:noProof/>
        </w:rPr>
        <w:t xml:space="preserve">, e2023GL103136 (2023). </w:t>
      </w:r>
      <w:r w:rsidRPr="007F6E00">
        <w:rPr>
          <w:noProof/>
        </w:rPr>
        <w:t>https://doi.org/10.1029/2023GL103136</w:t>
      </w:r>
    </w:p>
    <w:p w14:paraId="3D823C0E" w14:textId="77777777" w:rsidR="007F6E00" w:rsidRPr="009B36E9" w:rsidRDefault="007F6E00" w:rsidP="009B36E9">
      <w:pPr>
        <w:pStyle w:val="EndNoteBibliography"/>
        <w:ind w:left="720" w:hanging="720"/>
        <w:rPr>
          <w:noProof/>
        </w:rPr>
      </w:pPr>
      <w:r w:rsidRPr="009B36E9">
        <w:rPr>
          <w:noProof/>
        </w:rPr>
        <w:t>73</w:t>
      </w:r>
      <w:r w:rsidRPr="009B36E9">
        <w:rPr>
          <w:noProof/>
        </w:rPr>
        <w:tab/>
        <w:t>Kim, D.</w:t>
      </w:r>
      <w:r w:rsidRPr="009B36E9">
        <w:rPr>
          <w:i/>
          <w:noProof/>
        </w:rPr>
        <w:t xml:space="preserve"> et al.</w:t>
      </w:r>
      <w:r w:rsidRPr="009B36E9">
        <w:rPr>
          <w:noProof/>
        </w:rPr>
        <w:t xml:space="preserve"> Structure Along the Martian Dichotomy Constrained by Rayleigh and Love Waves and their Overtones. </w:t>
      </w:r>
      <w:r w:rsidRPr="009B36E9">
        <w:rPr>
          <w:i/>
          <w:noProof/>
        </w:rPr>
        <w:t>Geophysical Research Letters</w:t>
      </w:r>
      <w:r w:rsidRPr="009B36E9">
        <w:rPr>
          <w:noProof/>
        </w:rPr>
        <w:t xml:space="preserve"> </w:t>
      </w:r>
      <w:r w:rsidRPr="009B36E9">
        <w:rPr>
          <w:b/>
          <w:noProof/>
        </w:rPr>
        <w:t>49</w:t>
      </w:r>
      <w:r w:rsidRPr="009B36E9">
        <w:rPr>
          <w:noProof/>
        </w:rPr>
        <w:t xml:space="preserve">, e2022GL101666 (2022). </w:t>
      </w:r>
      <w:r w:rsidRPr="007F6E00">
        <w:rPr>
          <w:noProof/>
        </w:rPr>
        <w:t>https://doi.org/10.1029/2022GL101666</w:t>
      </w:r>
    </w:p>
    <w:p w14:paraId="4846AB98" w14:textId="77777777" w:rsidR="007F6E00" w:rsidRPr="009B36E9" w:rsidRDefault="007F6E00" w:rsidP="009B36E9">
      <w:pPr>
        <w:pStyle w:val="EndNoteBibliography"/>
        <w:ind w:left="720" w:hanging="720"/>
        <w:rPr>
          <w:noProof/>
        </w:rPr>
      </w:pPr>
      <w:r w:rsidRPr="009B36E9">
        <w:rPr>
          <w:noProof/>
        </w:rPr>
        <w:t>74</w:t>
      </w:r>
      <w:r w:rsidRPr="009B36E9">
        <w:rPr>
          <w:noProof/>
        </w:rPr>
        <w:tab/>
        <w:t>Kim, D.</w:t>
      </w:r>
      <w:r w:rsidRPr="009B36E9">
        <w:rPr>
          <w:i/>
          <w:noProof/>
        </w:rPr>
        <w:t xml:space="preserve"> et al.</w:t>
      </w:r>
      <w:r w:rsidRPr="009B36E9">
        <w:rPr>
          <w:noProof/>
        </w:rPr>
        <w:t xml:space="preserve"> Global Crustal Thickness Revealed by Surface Waves Orbiting Mars. </w:t>
      </w:r>
      <w:r w:rsidRPr="009B36E9">
        <w:rPr>
          <w:i/>
          <w:noProof/>
        </w:rPr>
        <w:t>Geophysical Research Letters</w:t>
      </w:r>
      <w:r w:rsidRPr="009B36E9">
        <w:rPr>
          <w:noProof/>
        </w:rPr>
        <w:t xml:space="preserve"> </w:t>
      </w:r>
      <w:r w:rsidRPr="009B36E9">
        <w:rPr>
          <w:b/>
          <w:noProof/>
        </w:rPr>
        <w:t>50</w:t>
      </w:r>
      <w:r w:rsidRPr="009B36E9">
        <w:rPr>
          <w:noProof/>
        </w:rPr>
        <w:t xml:space="preserve">, e2023GL103482 (2023). </w:t>
      </w:r>
      <w:r w:rsidRPr="007F6E00">
        <w:rPr>
          <w:noProof/>
        </w:rPr>
        <w:t>https://doi.org/10.1029/2023GL103482</w:t>
      </w:r>
    </w:p>
    <w:p w14:paraId="5A31CAC5" w14:textId="77777777" w:rsidR="007F6E00" w:rsidRPr="009B36E9" w:rsidRDefault="007F6E00" w:rsidP="009B36E9">
      <w:pPr>
        <w:pStyle w:val="EndNoteBibliography"/>
        <w:ind w:left="720" w:hanging="720"/>
        <w:rPr>
          <w:noProof/>
        </w:rPr>
      </w:pPr>
      <w:r w:rsidRPr="009B36E9">
        <w:rPr>
          <w:noProof/>
        </w:rPr>
        <w:t>75</w:t>
      </w:r>
      <w:r w:rsidRPr="009B36E9">
        <w:rPr>
          <w:noProof/>
        </w:rPr>
        <w:tab/>
        <w:t xml:space="preserve">Deng, S. &amp; Levander, A. Autocorrelation R2 on Mars. </w:t>
      </w:r>
      <w:r w:rsidRPr="009B36E9">
        <w:rPr>
          <w:i/>
          <w:noProof/>
        </w:rPr>
        <w:t>Geophysical Research Letters</w:t>
      </w:r>
      <w:r w:rsidRPr="009B36E9">
        <w:rPr>
          <w:noProof/>
        </w:rPr>
        <w:t xml:space="preserve"> </w:t>
      </w:r>
      <w:r w:rsidRPr="009B36E9">
        <w:rPr>
          <w:b/>
          <w:noProof/>
        </w:rPr>
        <w:t>49</w:t>
      </w:r>
      <w:r w:rsidRPr="009B36E9">
        <w:rPr>
          <w:noProof/>
        </w:rPr>
        <w:t xml:space="preserve">, e2022GL099580 (2022). </w:t>
      </w:r>
      <w:r w:rsidRPr="007F6E00">
        <w:rPr>
          <w:noProof/>
        </w:rPr>
        <w:t>https://doi.org/10.1029/2022GL099580</w:t>
      </w:r>
    </w:p>
    <w:p w14:paraId="433CDEA1" w14:textId="77777777" w:rsidR="007F6E00" w:rsidRPr="009B36E9" w:rsidRDefault="007F6E00" w:rsidP="009B36E9">
      <w:pPr>
        <w:pStyle w:val="EndNoteBibliography"/>
        <w:ind w:left="720" w:hanging="720"/>
        <w:rPr>
          <w:noProof/>
        </w:rPr>
      </w:pPr>
      <w:r w:rsidRPr="009B36E9">
        <w:rPr>
          <w:noProof/>
        </w:rPr>
        <w:t>76</w:t>
      </w:r>
      <w:r w:rsidRPr="009B36E9">
        <w:rPr>
          <w:noProof/>
        </w:rPr>
        <w:tab/>
        <w:t xml:space="preserve">Masters, G., Woodhouse, J. H. &amp; Freeman, G. Mineos v1.0.2 [software]. </w:t>
      </w:r>
      <w:r w:rsidRPr="009B36E9">
        <w:rPr>
          <w:i/>
          <w:noProof/>
        </w:rPr>
        <w:t>Computational Infrastructure for Geodynamics</w:t>
      </w:r>
      <w:r w:rsidRPr="009B36E9">
        <w:rPr>
          <w:noProof/>
        </w:rPr>
        <w:t xml:space="preserve"> (2011). </w:t>
      </w:r>
    </w:p>
    <w:p w14:paraId="11359205" w14:textId="77777777" w:rsidR="007F6E00" w:rsidRPr="009B36E9" w:rsidRDefault="007F6E00" w:rsidP="009B36E9">
      <w:pPr>
        <w:pStyle w:val="EndNoteBibliography"/>
        <w:ind w:left="720" w:hanging="720"/>
        <w:rPr>
          <w:noProof/>
        </w:rPr>
      </w:pPr>
      <w:r w:rsidRPr="009B36E9">
        <w:rPr>
          <w:noProof/>
        </w:rPr>
        <w:t>77</w:t>
      </w:r>
      <w:r w:rsidRPr="009B36E9">
        <w:rPr>
          <w:noProof/>
        </w:rPr>
        <w:tab/>
        <w:t xml:space="preserve">Connolly, J. A. D. Computation of phase equilibria by linear programming: A tool for geodynamic modeling and its application to subduction zone decarbonation. </w:t>
      </w:r>
      <w:r w:rsidRPr="009B36E9">
        <w:rPr>
          <w:i/>
          <w:noProof/>
        </w:rPr>
        <w:t>Earth and Planetary Science Letters</w:t>
      </w:r>
      <w:r w:rsidRPr="009B36E9">
        <w:rPr>
          <w:noProof/>
        </w:rPr>
        <w:t xml:space="preserve"> </w:t>
      </w:r>
      <w:r w:rsidRPr="009B36E9">
        <w:rPr>
          <w:b/>
          <w:noProof/>
        </w:rPr>
        <w:t>236</w:t>
      </w:r>
      <w:r w:rsidRPr="009B36E9">
        <w:rPr>
          <w:noProof/>
        </w:rPr>
        <w:t xml:space="preserve">, 524-541 (2005). </w:t>
      </w:r>
      <w:r w:rsidRPr="007F6E00">
        <w:rPr>
          <w:noProof/>
        </w:rPr>
        <w:t>https://doi.org/10.1016/j.epsl.2005.04.033</w:t>
      </w:r>
    </w:p>
    <w:p w14:paraId="4F2F80E3" w14:textId="77777777" w:rsidR="007F6E00" w:rsidRPr="009B36E9" w:rsidRDefault="007F6E00" w:rsidP="009B36E9">
      <w:pPr>
        <w:pStyle w:val="EndNoteBibliography"/>
        <w:ind w:left="720" w:hanging="720"/>
        <w:rPr>
          <w:noProof/>
        </w:rPr>
      </w:pPr>
      <w:r w:rsidRPr="009B36E9">
        <w:rPr>
          <w:noProof/>
        </w:rPr>
        <w:t>78</w:t>
      </w:r>
      <w:r w:rsidRPr="009B36E9">
        <w:rPr>
          <w:noProof/>
        </w:rPr>
        <w:tab/>
        <w:t xml:space="preserve">Stixrude, L. &amp; Lithgow-Bertelloni, C. Thermodynamics of mantle minerals – II. Phase equilibria. </w:t>
      </w:r>
      <w:r w:rsidRPr="009B36E9">
        <w:rPr>
          <w:i/>
          <w:noProof/>
        </w:rPr>
        <w:t>Geophysical Journal International</w:t>
      </w:r>
      <w:r w:rsidRPr="009B36E9">
        <w:rPr>
          <w:noProof/>
        </w:rPr>
        <w:t xml:space="preserve"> </w:t>
      </w:r>
      <w:r w:rsidRPr="009B36E9">
        <w:rPr>
          <w:b/>
          <w:noProof/>
        </w:rPr>
        <w:t>184</w:t>
      </w:r>
      <w:r w:rsidRPr="009B36E9">
        <w:rPr>
          <w:noProof/>
        </w:rPr>
        <w:t xml:space="preserve">, 1180-1213 (2011). </w:t>
      </w:r>
      <w:r w:rsidRPr="007F6E00">
        <w:rPr>
          <w:noProof/>
        </w:rPr>
        <w:t>https://doi.org/10.1111/j.1365-246X.2010.04890.x</w:t>
      </w:r>
    </w:p>
    <w:p w14:paraId="6C7071B5" w14:textId="77777777" w:rsidR="007F6E00" w:rsidRPr="009B36E9" w:rsidRDefault="007F6E00" w:rsidP="009B36E9">
      <w:pPr>
        <w:pStyle w:val="EndNoteBibliography"/>
        <w:ind w:left="720" w:hanging="720"/>
        <w:rPr>
          <w:noProof/>
        </w:rPr>
      </w:pPr>
      <w:r w:rsidRPr="009B36E9">
        <w:rPr>
          <w:noProof/>
        </w:rPr>
        <w:t>79</w:t>
      </w:r>
      <w:r w:rsidRPr="009B36E9">
        <w:rPr>
          <w:noProof/>
        </w:rPr>
        <w:tab/>
        <w:t xml:space="preserve">Wasson, J. T., Kallemeyn, G. W., Runcorn, S. K., Turner, G. &amp; Woolfson, M. M. Compositions of chondrites. </w:t>
      </w:r>
      <w:r w:rsidRPr="009B36E9">
        <w:rPr>
          <w:i/>
          <w:noProof/>
        </w:rPr>
        <w:t>Philosophical Transactions of the Royal Society of London. Series A, Mathematical and Physical Sciences</w:t>
      </w:r>
      <w:r w:rsidRPr="009B36E9">
        <w:rPr>
          <w:noProof/>
        </w:rPr>
        <w:t xml:space="preserve"> </w:t>
      </w:r>
      <w:r w:rsidRPr="009B36E9">
        <w:rPr>
          <w:b/>
          <w:noProof/>
        </w:rPr>
        <w:t>325</w:t>
      </w:r>
      <w:r w:rsidRPr="009B36E9">
        <w:rPr>
          <w:noProof/>
        </w:rPr>
        <w:t xml:space="preserve">, 535-544 (1988). </w:t>
      </w:r>
      <w:r w:rsidRPr="007F6E00">
        <w:rPr>
          <w:noProof/>
        </w:rPr>
        <w:t>https://doi.org/10.1098/rsta.1988.0066</w:t>
      </w:r>
    </w:p>
    <w:p w14:paraId="30C72683" w14:textId="77777777" w:rsidR="007F6E00" w:rsidRPr="009B36E9" w:rsidRDefault="007F6E00" w:rsidP="009B36E9">
      <w:pPr>
        <w:pStyle w:val="EndNoteBibliography"/>
        <w:ind w:left="720" w:hanging="720"/>
        <w:rPr>
          <w:noProof/>
        </w:rPr>
      </w:pPr>
      <w:r w:rsidRPr="009B36E9">
        <w:rPr>
          <w:noProof/>
        </w:rPr>
        <w:t>80</w:t>
      </w:r>
      <w:r w:rsidRPr="009B36E9">
        <w:rPr>
          <w:noProof/>
        </w:rPr>
        <w:tab/>
        <w:t xml:space="preserve">Dreibus, G. &amp; Wanke, H. Mars, a Volatile-Rich Planet. </w:t>
      </w:r>
      <w:r w:rsidRPr="009B36E9">
        <w:rPr>
          <w:i/>
          <w:noProof/>
        </w:rPr>
        <w:t>Meteoritics</w:t>
      </w:r>
      <w:r w:rsidRPr="009B36E9">
        <w:rPr>
          <w:noProof/>
        </w:rPr>
        <w:t xml:space="preserve"> </w:t>
      </w:r>
      <w:r w:rsidRPr="009B36E9">
        <w:rPr>
          <w:b/>
          <w:noProof/>
        </w:rPr>
        <w:t>20</w:t>
      </w:r>
      <w:r w:rsidRPr="009B36E9">
        <w:rPr>
          <w:noProof/>
        </w:rPr>
        <w:t xml:space="preserve">, 367 (1985). </w:t>
      </w:r>
    </w:p>
    <w:p w14:paraId="631D4FDF" w14:textId="77777777" w:rsidR="007F6E00" w:rsidRPr="009B36E9" w:rsidRDefault="007F6E00" w:rsidP="009B36E9">
      <w:pPr>
        <w:pStyle w:val="EndNoteBibliography"/>
        <w:ind w:left="720" w:hanging="720"/>
        <w:rPr>
          <w:noProof/>
        </w:rPr>
      </w:pPr>
      <w:r w:rsidRPr="009B36E9">
        <w:rPr>
          <w:noProof/>
        </w:rPr>
        <w:t>81</w:t>
      </w:r>
      <w:r w:rsidRPr="009B36E9">
        <w:rPr>
          <w:noProof/>
        </w:rPr>
        <w:tab/>
        <w:t xml:space="preserve">Sanloup, C., Jambon, A. &amp; Gillet, P. A simple chondritic model of Mars. </w:t>
      </w:r>
      <w:r w:rsidRPr="009B36E9">
        <w:rPr>
          <w:i/>
          <w:noProof/>
        </w:rPr>
        <w:t>Physics of the Earth and Planetary Interiors</w:t>
      </w:r>
      <w:r w:rsidRPr="009B36E9">
        <w:rPr>
          <w:noProof/>
        </w:rPr>
        <w:t xml:space="preserve"> </w:t>
      </w:r>
      <w:r w:rsidRPr="009B36E9">
        <w:rPr>
          <w:b/>
          <w:noProof/>
        </w:rPr>
        <w:t>112</w:t>
      </w:r>
      <w:r w:rsidRPr="009B36E9">
        <w:rPr>
          <w:noProof/>
        </w:rPr>
        <w:t xml:space="preserve">, 43-54 (1999). </w:t>
      </w:r>
      <w:r w:rsidRPr="007F6E00">
        <w:rPr>
          <w:noProof/>
        </w:rPr>
        <w:t>https://doi.org/10.1016/S0031-9201(98)00175-7</w:t>
      </w:r>
    </w:p>
    <w:p w14:paraId="768E0782" w14:textId="77777777" w:rsidR="007F6E00" w:rsidRPr="009B36E9" w:rsidRDefault="007F6E00" w:rsidP="009B36E9">
      <w:pPr>
        <w:pStyle w:val="EndNoteBibliography"/>
        <w:ind w:left="720" w:hanging="720"/>
        <w:rPr>
          <w:noProof/>
        </w:rPr>
      </w:pPr>
      <w:r w:rsidRPr="007F6E00">
        <w:rPr>
          <w:noProof/>
          <w:lang w:val="fr-FR"/>
        </w:rPr>
        <w:t>82</w:t>
      </w:r>
      <w:r w:rsidRPr="007F6E00">
        <w:rPr>
          <w:noProof/>
          <w:lang w:val="fr-FR"/>
        </w:rPr>
        <w:tab/>
        <w:t>Irving, J. C. E.</w:t>
      </w:r>
      <w:r w:rsidRPr="007F6E00">
        <w:rPr>
          <w:i/>
          <w:noProof/>
          <w:lang w:val="fr-FR"/>
        </w:rPr>
        <w:t xml:space="preserve"> et al.</w:t>
      </w:r>
      <w:r w:rsidRPr="007F6E00">
        <w:rPr>
          <w:noProof/>
          <w:lang w:val="fr-FR"/>
        </w:rPr>
        <w:t xml:space="preserve"> </w:t>
      </w:r>
      <w:r w:rsidRPr="009B36E9">
        <w:rPr>
          <w:noProof/>
        </w:rPr>
        <w:t xml:space="preserve">First observations of core-transiting seismic phases on Mars. </w:t>
      </w:r>
      <w:r w:rsidRPr="009B36E9">
        <w:rPr>
          <w:i/>
          <w:noProof/>
        </w:rPr>
        <w:t>Proceedings of the National Academy of Sciences</w:t>
      </w:r>
      <w:r w:rsidRPr="009B36E9">
        <w:rPr>
          <w:noProof/>
        </w:rPr>
        <w:t xml:space="preserve"> </w:t>
      </w:r>
      <w:r w:rsidRPr="009B36E9">
        <w:rPr>
          <w:b/>
          <w:noProof/>
        </w:rPr>
        <w:t>120</w:t>
      </w:r>
      <w:r w:rsidRPr="009B36E9">
        <w:rPr>
          <w:noProof/>
        </w:rPr>
        <w:t xml:space="preserve">, e2217090120 (2023). </w:t>
      </w:r>
      <w:r w:rsidRPr="007F6E00">
        <w:rPr>
          <w:noProof/>
        </w:rPr>
        <w:t>https://doi.org/10.1073/pnas.2217090120</w:t>
      </w:r>
    </w:p>
    <w:p w14:paraId="41C2FCD7" w14:textId="77777777" w:rsidR="007F6E00" w:rsidRPr="007F6E00" w:rsidRDefault="007F6E00" w:rsidP="009B36E9">
      <w:pPr>
        <w:pStyle w:val="EndNoteBibliography"/>
        <w:ind w:left="720" w:hanging="720"/>
        <w:rPr>
          <w:noProof/>
          <w:lang w:val="fr-FR"/>
        </w:rPr>
      </w:pPr>
      <w:r w:rsidRPr="009B36E9">
        <w:rPr>
          <w:noProof/>
        </w:rPr>
        <w:t>83</w:t>
      </w:r>
      <w:r w:rsidRPr="009B36E9">
        <w:rPr>
          <w:noProof/>
        </w:rPr>
        <w:tab/>
        <w:t xml:space="preserve">Baratoux, D., Toplis, M. J., Monnereau, M. &amp; Gasnault, O. Thermal history of Mars inferred from orbital geochemistry of volcanic provinces. </w:t>
      </w:r>
      <w:r w:rsidRPr="007F6E00">
        <w:rPr>
          <w:i/>
          <w:noProof/>
          <w:lang w:val="fr-FR"/>
        </w:rPr>
        <w:t>Nature</w:t>
      </w:r>
      <w:r w:rsidRPr="007F6E00">
        <w:rPr>
          <w:noProof/>
          <w:lang w:val="fr-FR"/>
        </w:rPr>
        <w:t xml:space="preserve"> </w:t>
      </w:r>
      <w:r w:rsidRPr="007F6E00">
        <w:rPr>
          <w:b/>
          <w:noProof/>
          <w:lang w:val="fr-FR"/>
        </w:rPr>
        <w:t>472</w:t>
      </w:r>
      <w:r w:rsidRPr="007F6E00">
        <w:rPr>
          <w:noProof/>
          <w:lang w:val="fr-FR"/>
        </w:rPr>
        <w:t>, 338-341 (2011). https://doi.org/10.1038/nature09903</w:t>
      </w:r>
    </w:p>
    <w:p w14:paraId="706A8C42" w14:textId="77777777" w:rsidR="007F6E00" w:rsidRPr="009B36E9" w:rsidRDefault="007F6E00" w:rsidP="009B36E9">
      <w:pPr>
        <w:pStyle w:val="EndNoteBibliography"/>
        <w:ind w:left="720" w:hanging="720"/>
        <w:rPr>
          <w:noProof/>
        </w:rPr>
      </w:pPr>
      <w:r w:rsidRPr="007F6E00">
        <w:rPr>
          <w:noProof/>
          <w:lang w:val="fr-FR"/>
        </w:rPr>
        <w:t>84</w:t>
      </w:r>
      <w:r w:rsidRPr="007F6E00">
        <w:rPr>
          <w:noProof/>
          <w:lang w:val="fr-FR"/>
        </w:rPr>
        <w:tab/>
        <w:t>Plesa, A.-C.</w:t>
      </w:r>
      <w:r w:rsidRPr="007F6E00">
        <w:rPr>
          <w:i/>
          <w:noProof/>
          <w:lang w:val="fr-FR"/>
        </w:rPr>
        <w:t xml:space="preserve"> et al.</w:t>
      </w:r>
      <w:r w:rsidRPr="007F6E00">
        <w:rPr>
          <w:noProof/>
          <w:lang w:val="fr-FR"/>
        </w:rPr>
        <w:t xml:space="preserve"> </w:t>
      </w:r>
      <w:r w:rsidRPr="009B36E9">
        <w:rPr>
          <w:noProof/>
        </w:rPr>
        <w:t xml:space="preserve">Seismic Velocity Variations in a 3D Martian Mantle: Implications for the InSight Measurements. </w:t>
      </w:r>
      <w:r w:rsidRPr="009B36E9">
        <w:rPr>
          <w:i/>
          <w:noProof/>
        </w:rPr>
        <w:t>Journal of Geophysical Research: Planets</w:t>
      </w:r>
      <w:r w:rsidRPr="009B36E9">
        <w:rPr>
          <w:noProof/>
        </w:rPr>
        <w:t xml:space="preserve"> </w:t>
      </w:r>
      <w:r w:rsidRPr="009B36E9">
        <w:rPr>
          <w:b/>
          <w:noProof/>
        </w:rPr>
        <w:t>126</w:t>
      </w:r>
      <w:r w:rsidRPr="009B36E9">
        <w:rPr>
          <w:noProof/>
        </w:rPr>
        <w:t xml:space="preserve">, e2020JE006755 (2021). </w:t>
      </w:r>
      <w:r w:rsidRPr="007F6E00">
        <w:rPr>
          <w:noProof/>
        </w:rPr>
        <w:t>https://doi.org/10.1029/2020JE006755</w:t>
      </w:r>
    </w:p>
    <w:p w14:paraId="4293BD1B" w14:textId="77777777" w:rsidR="007F6E00" w:rsidRPr="009B36E9" w:rsidRDefault="007F6E00" w:rsidP="009B36E9">
      <w:pPr>
        <w:pStyle w:val="EndNoteBibliography"/>
        <w:ind w:left="720" w:hanging="720"/>
        <w:rPr>
          <w:noProof/>
        </w:rPr>
      </w:pPr>
      <w:r w:rsidRPr="009B36E9">
        <w:rPr>
          <w:noProof/>
        </w:rPr>
        <w:t>85</w:t>
      </w:r>
      <w:r w:rsidRPr="009B36E9">
        <w:rPr>
          <w:noProof/>
        </w:rPr>
        <w:tab/>
        <w:t xml:space="preserve">Collinet, M., Médard, E., Charlier, B., Vander Auwera, J. &amp; Grove, T. L. Melting of the primitive martian mantle at 0.5–2.2 GPa and the origin of basalts and alkaline rocks on Mars. </w:t>
      </w:r>
      <w:r w:rsidRPr="009B36E9">
        <w:rPr>
          <w:i/>
          <w:noProof/>
        </w:rPr>
        <w:t>Earth and Planetary Science Letters</w:t>
      </w:r>
      <w:r w:rsidRPr="009B36E9">
        <w:rPr>
          <w:noProof/>
        </w:rPr>
        <w:t xml:space="preserve"> </w:t>
      </w:r>
      <w:r w:rsidRPr="009B36E9">
        <w:rPr>
          <w:b/>
          <w:noProof/>
        </w:rPr>
        <w:t>427</w:t>
      </w:r>
      <w:r w:rsidRPr="009B36E9">
        <w:rPr>
          <w:noProof/>
        </w:rPr>
        <w:t xml:space="preserve">, 83-94 (2015). </w:t>
      </w:r>
      <w:r w:rsidRPr="007F6E00">
        <w:rPr>
          <w:noProof/>
        </w:rPr>
        <w:lastRenderedPageBreak/>
        <w:t>https://doi.org/10.1016/j.epsl.2015.06.056</w:t>
      </w:r>
    </w:p>
    <w:p w14:paraId="38CA9BD6" w14:textId="77777777" w:rsidR="007F6E00" w:rsidRPr="009B36E9" w:rsidRDefault="007F6E00" w:rsidP="009B36E9">
      <w:pPr>
        <w:pStyle w:val="EndNoteBibliography"/>
        <w:ind w:left="720" w:hanging="720"/>
        <w:rPr>
          <w:noProof/>
        </w:rPr>
      </w:pPr>
      <w:r w:rsidRPr="009B36E9">
        <w:rPr>
          <w:noProof/>
        </w:rPr>
        <w:t>86</w:t>
      </w:r>
      <w:r w:rsidRPr="009B36E9">
        <w:rPr>
          <w:noProof/>
        </w:rPr>
        <w:tab/>
        <w:t xml:space="preserve">Ding, S., Dasgupta, R. &amp; Tsuno, K. The Solidus and Melt Productivity of Nominally Anhydrous Martian Mantle Constrained by New High Pressure-Temperature Experiments—Implications for Crustal Production and Mantle Source Evolution. </w:t>
      </w:r>
      <w:r w:rsidRPr="009B36E9">
        <w:rPr>
          <w:i/>
          <w:noProof/>
        </w:rPr>
        <w:t>Journal of Geophysical Research: Planets</w:t>
      </w:r>
      <w:r w:rsidRPr="009B36E9">
        <w:rPr>
          <w:noProof/>
        </w:rPr>
        <w:t xml:space="preserve"> </w:t>
      </w:r>
      <w:r w:rsidRPr="009B36E9">
        <w:rPr>
          <w:b/>
          <w:noProof/>
        </w:rPr>
        <w:t>125</w:t>
      </w:r>
      <w:r w:rsidRPr="009B36E9">
        <w:rPr>
          <w:noProof/>
        </w:rPr>
        <w:t xml:space="preserve">, e2019JE006078 (2020). </w:t>
      </w:r>
      <w:r w:rsidRPr="007F6E00">
        <w:rPr>
          <w:noProof/>
        </w:rPr>
        <w:t>https://doi.org/10.1029/2019JE006078</w:t>
      </w:r>
    </w:p>
    <w:p w14:paraId="4FC93137" w14:textId="77777777" w:rsidR="007F6E00" w:rsidRPr="009B36E9" w:rsidRDefault="007F6E00" w:rsidP="009B36E9">
      <w:pPr>
        <w:pStyle w:val="EndNoteBibliography"/>
        <w:ind w:left="720" w:hanging="720"/>
        <w:rPr>
          <w:noProof/>
        </w:rPr>
      </w:pPr>
      <w:r w:rsidRPr="009B36E9">
        <w:rPr>
          <w:noProof/>
        </w:rPr>
        <w:t>87</w:t>
      </w:r>
      <w:r w:rsidRPr="009B36E9">
        <w:rPr>
          <w:noProof/>
        </w:rPr>
        <w:tab/>
        <w:t xml:space="preserve">Duncan, M. S., Schmerr, N. C., Bertka, C. M. &amp; Fei, Y. Extending the Solidus for a Model Iron-Rich Martian Mantle Composition to 25 GPa. </w:t>
      </w:r>
      <w:r w:rsidRPr="009B36E9">
        <w:rPr>
          <w:i/>
          <w:noProof/>
        </w:rPr>
        <w:t>Geophysical Research Letters</w:t>
      </w:r>
      <w:r w:rsidRPr="009B36E9">
        <w:rPr>
          <w:noProof/>
        </w:rPr>
        <w:t xml:space="preserve"> </w:t>
      </w:r>
      <w:r w:rsidRPr="009B36E9">
        <w:rPr>
          <w:b/>
          <w:noProof/>
        </w:rPr>
        <w:t>45</w:t>
      </w:r>
      <w:r w:rsidRPr="009B36E9">
        <w:rPr>
          <w:noProof/>
        </w:rPr>
        <w:t xml:space="preserve">, 10,211-210,220 (2018). </w:t>
      </w:r>
      <w:r w:rsidRPr="007F6E00">
        <w:rPr>
          <w:noProof/>
        </w:rPr>
        <w:t>https://doi.org/10.1029/2018GL078182</w:t>
      </w:r>
    </w:p>
    <w:p w14:paraId="7471E7F7" w14:textId="77777777" w:rsidR="007F6E00" w:rsidRPr="009B36E9" w:rsidRDefault="007F6E00" w:rsidP="009B36E9">
      <w:pPr>
        <w:pStyle w:val="EndNoteBibliography"/>
        <w:ind w:left="720" w:hanging="720"/>
        <w:rPr>
          <w:noProof/>
        </w:rPr>
      </w:pPr>
      <w:r w:rsidRPr="009B36E9">
        <w:rPr>
          <w:noProof/>
        </w:rPr>
        <w:t>88</w:t>
      </w:r>
      <w:r w:rsidRPr="009B36E9">
        <w:rPr>
          <w:noProof/>
        </w:rPr>
        <w:tab/>
        <w:t xml:space="preserve">Kiefer, W. S., Filiberto, J., Sandu, C. &amp; Li, Q. The effects of mantle composition on the peridotite solidus: Implications for the magmatic history of Mars. </w:t>
      </w:r>
      <w:r w:rsidRPr="009B36E9">
        <w:rPr>
          <w:i/>
          <w:noProof/>
        </w:rPr>
        <w:t>Geochimica et Cosmochimica Acta</w:t>
      </w:r>
      <w:r w:rsidRPr="009B36E9">
        <w:rPr>
          <w:noProof/>
        </w:rPr>
        <w:t xml:space="preserve"> </w:t>
      </w:r>
      <w:r w:rsidRPr="009B36E9">
        <w:rPr>
          <w:b/>
          <w:noProof/>
        </w:rPr>
        <w:t>162</w:t>
      </w:r>
      <w:r w:rsidRPr="009B36E9">
        <w:rPr>
          <w:noProof/>
        </w:rPr>
        <w:t xml:space="preserve">, 247-258 (2015). </w:t>
      </w:r>
      <w:r w:rsidRPr="007F6E00">
        <w:rPr>
          <w:noProof/>
        </w:rPr>
        <w:t>https://doi.org/10.1016/j.gca.2015.02.010</w:t>
      </w:r>
    </w:p>
    <w:p w14:paraId="50DCD887" w14:textId="77777777" w:rsidR="007F6E00" w:rsidRPr="009B36E9" w:rsidRDefault="007F6E00" w:rsidP="009B36E9">
      <w:pPr>
        <w:pStyle w:val="EndNoteBibliography"/>
        <w:ind w:left="720" w:hanging="720"/>
        <w:rPr>
          <w:noProof/>
        </w:rPr>
      </w:pPr>
      <w:r w:rsidRPr="009B36E9">
        <w:rPr>
          <w:noProof/>
        </w:rPr>
        <w:t>89</w:t>
      </w:r>
      <w:r w:rsidRPr="009B36E9">
        <w:rPr>
          <w:noProof/>
        </w:rPr>
        <w:tab/>
        <w:t xml:space="preserve">Ruedas, T. &amp; Breuer, D. On the relative importance of thermal and chemical buoyancy in regular and impact-induced melting in a Mars-like planet. </w:t>
      </w:r>
      <w:r w:rsidRPr="009B36E9">
        <w:rPr>
          <w:i/>
          <w:noProof/>
        </w:rPr>
        <w:t>Journal of Geophysical Research: Planets</w:t>
      </w:r>
      <w:r w:rsidRPr="009B36E9">
        <w:rPr>
          <w:noProof/>
        </w:rPr>
        <w:t xml:space="preserve"> </w:t>
      </w:r>
      <w:r w:rsidRPr="009B36E9">
        <w:rPr>
          <w:b/>
          <w:noProof/>
        </w:rPr>
        <w:t>122</w:t>
      </w:r>
      <w:r w:rsidRPr="009B36E9">
        <w:rPr>
          <w:noProof/>
        </w:rPr>
        <w:t xml:space="preserve">, 1554-1579 (2017). </w:t>
      </w:r>
      <w:r w:rsidRPr="007F6E00">
        <w:rPr>
          <w:noProof/>
        </w:rPr>
        <w:t>https://doi.org/10.1002/2016JE005221</w:t>
      </w:r>
    </w:p>
    <w:p w14:paraId="436B9F2A" w14:textId="77777777" w:rsidR="007F6E00" w:rsidRPr="009B36E9" w:rsidRDefault="007F6E00" w:rsidP="009B36E9">
      <w:pPr>
        <w:pStyle w:val="EndNoteBibliography"/>
        <w:ind w:left="720" w:hanging="720"/>
        <w:rPr>
          <w:noProof/>
        </w:rPr>
      </w:pPr>
      <w:r w:rsidRPr="009B36E9">
        <w:rPr>
          <w:noProof/>
        </w:rPr>
        <w:t>90</w:t>
      </w:r>
      <w:r w:rsidRPr="009B36E9">
        <w:rPr>
          <w:noProof/>
        </w:rPr>
        <w:tab/>
        <w:t xml:space="preserve">Yoshizaki, T. &amp; McDonough, W. F. The composition of Mars. </w:t>
      </w:r>
      <w:r w:rsidRPr="009B36E9">
        <w:rPr>
          <w:i/>
          <w:noProof/>
        </w:rPr>
        <w:t>Geochimica et Cosmochimica Acta</w:t>
      </w:r>
      <w:r w:rsidRPr="009B36E9">
        <w:rPr>
          <w:noProof/>
        </w:rPr>
        <w:t xml:space="preserve"> </w:t>
      </w:r>
      <w:r w:rsidRPr="009B36E9">
        <w:rPr>
          <w:b/>
          <w:noProof/>
        </w:rPr>
        <w:t>273</w:t>
      </w:r>
      <w:r w:rsidRPr="009B36E9">
        <w:rPr>
          <w:noProof/>
        </w:rPr>
        <w:t xml:space="preserve">, 137-162 (2020). </w:t>
      </w:r>
      <w:r w:rsidRPr="007F6E00">
        <w:rPr>
          <w:noProof/>
        </w:rPr>
        <w:t>https://doi.org/10.1016/j.gca.2020.01.011</w:t>
      </w:r>
    </w:p>
    <w:p w14:paraId="12C5EC39" w14:textId="77777777" w:rsidR="007F6E00" w:rsidRPr="009B36E9" w:rsidRDefault="007F6E00" w:rsidP="009B36E9">
      <w:pPr>
        <w:pStyle w:val="EndNoteBibliography"/>
        <w:ind w:left="720" w:hanging="720"/>
        <w:rPr>
          <w:noProof/>
        </w:rPr>
      </w:pPr>
      <w:r w:rsidRPr="009B36E9">
        <w:rPr>
          <w:noProof/>
        </w:rPr>
        <w:t>91</w:t>
      </w:r>
      <w:r w:rsidRPr="009B36E9">
        <w:rPr>
          <w:noProof/>
        </w:rPr>
        <w:tab/>
        <w:t xml:space="preserve">Cottaar, S., Heister, T., Rose, I. &amp; Unterborn, C. BurnMan: A lower mantle mineral physics toolkit. </w:t>
      </w:r>
      <w:r w:rsidRPr="009B36E9">
        <w:rPr>
          <w:i/>
          <w:noProof/>
        </w:rPr>
        <w:t>Geochemistry, Geophysics, Geosystems</w:t>
      </w:r>
      <w:r w:rsidRPr="009B36E9">
        <w:rPr>
          <w:noProof/>
        </w:rPr>
        <w:t xml:space="preserve"> </w:t>
      </w:r>
      <w:r w:rsidRPr="009B36E9">
        <w:rPr>
          <w:b/>
          <w:noProof/>
        </w:rPr>
        <w:t>15</w:t>
      </w:r>
      <w:r w:rsidRPr="009B36E9">
        <w:rPr>
          <w:noProof/>
        </w:rPr>
        <w:t xml:space="preserve">, 1164-1179 (2014). </w:t>
      </w:r>
      <w:r w:rsidRPr="007F6E00">
        <w:rPr>
          <w:noProof/>
        </w:rPr>
        <w:t>https://doi.org/10.1002/2013GC005122</w:t>
      </w:r>
    </w:p>
    <w:p w14:paraId="4E03F1A4" w14:textId="77777777" w:rsidR="007F6E00" w:rsidRPr="009B36E9" w:rsidRDefault="007F6E00" w:rsidP="009B36E9">
      <w:pPr>
        <w:pStyle w:val="EndNoteBibliography"/>
        <w:ind w:left="720" w:hanging="720"/>
        <w:rPr>
          <w:noProof/>
        </w:rPr>
      </w:pPr>
      <w:r w:rsidRPr="009B36E9">
        <w:rPr>
          <w:noProof/>
        </w:rPr>
        <w:t>92</w:t>
      </w:r>
      <w:r w:rsidRPr="009B36E9">
        <w:rPr>
          <w:noProof/>
        </w:rPr>
        <w:tab/>
        <w:t xml:space="preserve">Birch, F. Elasticity and constitution of the Earth's interior. </w:t>
      </w:r>
      <w:r w:rsidRPr="009B36E9">
        <w:rPr>
          <w:i/>
          <w:noProof/>
        </w:rPr>
        <w:t>Journal of Geophysical Research (1896-1977)</w:t>
      </w:r>
      <w:r w:rsidRPr="009B36E9">
        <w:rPr>
          <w:noProof/>
        </w:rPr>
        <w:t xml:space="preserve"> </w:t>
      </w:r>
      <w:r w:rsidRPr="009B36E9">
        <w:rPr>
          <w:b/>
          <w:noProof/>
        </w:rPr>
        <w:t>57</w:t>
      </w:r>
      <w:r w:rsidRPr="009B36E9">
        <w:rPr>
          <w:noProof/>
        </w:rPr>
        <w:t xml:space="preserve">, 227-286 (1952). </w:t>
      </w:r>
      <w:r w:rsidRPr="007F6E00">
        <w:rPr>
          <w:noProof/>
        </w:rPr>
        <w:t>https://doi.org/10.1029/JZ057i002p00227</w:t>
      </w:r>
    </w:p>
    <w:p w14:paraId="0859FD7E" w14:textId="77777777" w:rsidR="007F6E00" w:rsidRPr="007F6E00" w:rsidRDefault="007F6E00" w:rsidP="009B36E9">
      <w:pPr>
        <w:pStyle w:val="EndNoteBibliography"/>
        <w:ind w:left="720" w:hanging="720"/>
        <w:rPr>
          <w:noProof/>
          <w:lang w:val="fr-FR"/>
        </w:rPr>
      </w:pPr>
      <w:r w:rsidRPr="009B36E9">
        <w:rPr>
          <w:noProof/>
        </w:rPr>
        <w:t>93</w:t>
      </w:r>
      <w:r w:rsidRPr="009B36E9">
        <w:rPr>
          <w:noProof/>
        </w:rPr>
        <w:tab/>
        <w:t xml:space="preserve">Stixrude, L. &amp; Lithgow-Bertelloni, C. Thermodynamics of mantle minerals — I. Physical properties. </w:t>
      </w:r>
      <w:r w:rsidRPr="007F6E00">
        <w:rPr>
          <w:i/>
          <w:noProof/>
          <w:lang w:val="fr-FR"/>
        </w:rPr>
        <w:t>Geophysical Journal International</w:t>
      </w:r>
      <w:r w:rsidRPr="007F6E00">
        <w:rPr>
          <w:noProof/>
          <w:lang w:val="fr-FR"/>
        </w:rPr>
        <w:t xml:space="preserve"> </w:t>
      </w:r>
      <w:r w:rsidRPr="007F6E00">
        <w:rPr>
          <w:b/>
          <w:noProof/>
          <w:lang w:val="fr-FR"/>
        </w:rPr>
        <w:t>162</w:t>
      </w:r>
      <w:r w:rsidRPr="007F6E00">
        <w:rPr>
          <w:noProof/>
          <w:lang w:val="fr-FR"/>
        </w:rPr>
        <w:t>, 610-632 (2005). https://doi.org/10.1111/j.1365-246X.2005.02642.x</w:t>
      </w:r>
    </w:p>
    <w:p w14:paraId="7F5E873D" w14:textId="77777777" w:rsidR="007F6E00" w:rsidRPr="009B36E9" w:rsidRDefault="007F6E00" w:rsidP="009B36E9">
      <w:pPr>
        <w:pStyle w:val="EndNoteBibliography"/>
        <w:ind w:left="720" w:hanging="720"/>
        <w:rPr>
          <w:noProof/>
        </w:rPr>
      </w:pPr>
      <w:r w:rsidRPr="007F6E00">
        <w:rPr>
          <w:noProof/>
          <w:lang w:val="fr-FR"/>
        </w:rPr>
        <w:t>94</w:t>
      </w:r>
      <w:r w:rsidRPr="007F6E00">
        <w:rPr>
          <w:noProof/>
          <w:lang w:val="fr-FR"/>
        </w:rPr>
        <w:tab/>
        <w:t>Mao, Z.</w:t>
      </w:r>
      <w:r w:rsidRPr="007F6E00">
        <w:rPr>
          <w:i/>
          <w:noProof/>
          <w:lang w:val="fr-FR"/>
        </w:rPr>
        <w:t xml:space="preserve"> et al.</w:t>
      </w:r>
      <w:r w:rsidRPr="007F6E00">
        <w:rPr>
          <w:noProof/>
          <w:lang w:val="fr-FR"/>
        </w:rPr>
        <w:t xml:space="preserve"> </w:t>
      </w:r>
      <w:r w:rsidRPr="009B36E9">
        <w:rPr>
          <w:noProof/>
        </w:rPr>
        <w:t xml:space="preserve">Elasticity of single-crystal olivine at high pressures and temperatures. </w:t>
      </w:r>
      <w:r w:rsidRPr="009B36E9">
        <w:rPr>
          <w:i/>
          <w:noProof/>
        </w:rPr>
        <w:t>Earth and Planetary Science Letters</w:t>
      </w:r>
      <w:r w:rsidRPr="009B36E9">
        <w:rPr>
          <w:noProof/>
        </w:rPr>
        <w:t xml:space="preserve"> </w:t>
      </w:r>
      <w:r w:rsidRPr="009B36E9">
        <w:rPr>
          <w:b/>
          <w:noProof/>
        </w:rPr>
        <w:t>426</w:t>
      </w:r>
      <w:r w:rsidRPr="009B36E9">
        <w:rPr>
          <w:noProof/>
        </w:rPr>
        <w:t xml:space="preserve">, 204-215 (2015). </w:t>
      </w:r>
      <w:r w:rsidRPr="007F6E00">
        <w:rPr>
          <w:noProof/>
        </w:rPr>
        <w:t>https://doi.org/10.1016/j.epsl.2015.06.045</w:t>
      </w:r>
    </w:p>
    <w:p w14:paraId="68771F67" w14:textId="77777777" w:rsidR="007F6E00" w:rsidRPr="009B36E9" w:rsidRDefault="007F6E00" w:rsidP="009B36E9">
      <w:pPr>
        <w:pStyle w:val="EndNoteBibliography"/>
        <w:ind w:left="720" w:hanging="720"/>
        <w:rPr>
          <w:noProof/>
        </w:rPr>
      </w:pPr>
      <w:r w:rsidRPr="009B36E9">
        <w:rPr>
          <w:noProof/>
        </w:rPr>
        <w:t>95</w:t>
      </w:r>
      <w:r w:rsidRPr="009B36E9">
        <w:rPr>
          <w:noProof/>
        </w:rPr>
        <w:tab/>
        <w:t xml:space="preserve">Liu, W. &amp; Li, B. Thermal equation of state of (Mg0.9Fe0.1)2SiO4 olivine. </w:t>
      </w:r>
      <w:r w:rsidRPr="009B36E9">
        <w:rPr>
          <w:i/>
          <w:noProof/>
        </w:rPr>
        <w:t>Physics of the Earth and Planetary Interiors</w:t>
      </w:r>
      <w:r w:rsidRPr="009B36E9">
        <w:rPr>
          <w:noProof/>
        </w:rPr>
        <w:t xml:space="preserve"> </w:t>
      </w:r>
      <w:r w:rsidRPr="009B36E9">
        <w:rPr>
          <w:b/>
          <w:noProof/>
        </w:rPr>
        <w:t>157</w:t>
      </w:r>
      <w:r w:rsidRPr="009B36E9">
        <w:rPr>
          <w:noProof/>
        </w:rPr>
        <w:t xml:space="preserve">, 188-195 (2006). </w:t>
      </w:r>
      <w:r w:rsidRPr="007F6E00">
        <w:rPr>
          <w:noProof/>
        </w:rPr>
        <w:t>https://doi.org/10.1016/j.pepi.2006.04.003</w:t>
      </w:r>
    </w:p>
    <w:p w14:paraId="3CFC9027" w14:textId="77777777" w:rsidR="007F6E00" w:rsidRPr="009B36E9" w:rsidRDefault="007F6E00" w:rsidP="009B36E9">
      <w:pPr>
        <w:pStyle w:val="EndNoteBibliography"/>
        <w:ind w:left="720" w:hanging="720"/>
        <w:rPr>
          <w:noProof/>
        </w:rPr>
      </w:pPr>
      <w:r w:rsidRPr="009B36E9">
        <w:rPr>
          <w:noProof/>
        </w:rPr>
        <w:t>96</w:t>
      </w:r>
      <w:r w:rsidRPr="009B36E9">
        <w:rPr>
          <w:noProof/>
        </w:rPr>
        <w:tab/>
        <w:t xml:space="preserve">Li, B. &amp; Neuville, D. R. Elasticity of diopside to 8GPa and 1073K and implications for the upper mantle. </w:t>
      </w:r>
      <w:r w:rsidRPr="009B36E9">
        <w:rPr>
          <w:i/>
          <w:noProof/>
        </w:rPr>
        <w:t>Physics of the Earth and Planetary Interiors</w:t>
      </w:r>
      <w:r w:rsidRPr="009B36E9">
        <w:rPr>
          <w:noProof/>
        </w:rPr>
        <w:t xml:space="preserve"> </w:t>
      </w:r>
      <w:r w:rsidRPr="009B36E9">
        <w:rPr>
          <w:b/>
          <w:noProof/>
        </w:rPr>
        <w:t>183</w:t>
      </w:r>
      <w:r w:rsidRPr="009B36E9">
        <w:rPr>
          <w:noProof/>
        </w:rPr>
        <w:t xml:space="preserve">, 398-403 (2010). </w:t>
      </w:r>
      <w:r w:rsidRPr="007F6E00">
        <w:rPr>
          <w:noProof/>
        </w:rPr>
        <w:t>https://doi.org/10.1016/j.pepi.2010.08.009</w:t>
      </w:r>
    </w:p>
    <w:p w14:paraId="40330AEC" w14:textId="77777777" w:rsidR="007F6E00" w:rsidRPr="009B36E9" w:rsidRDefault="007F6E00" w:rsidP="009B36E9">
      <w:pPr>
        <w:pStyle w:val="EndNoteBibliography"/>
        <w:ind w:left="720" w:hanging="720"/>
        <w:rPr>
          <w:noProof/>
        </w:rPr>
      </w:pPr>
      <w:r w:rsidRPr="009B36E9">
        <w:rPr>
          <w:noProof/>
        </w:rPr>
        <w:t>97</w:t>
      </w:r>
      <w:r w:rsidRPr="009B36E9">
        <w:rPr>
          <w:noProof/>
        </w:rPr>
        <w:tab/>
        <w:t xml:space="preserve">Sang, L. &amp; Bass, J. D. Single-crystal elasticity of diopside to 14GPa by Brillouin scattering. </w:t>
      </w:r>
      <w:r w:rsidRPr="009B36E9">
        <w:rPr>
          <w:i/>
          <w:noProof/>
        </w:rPr>
        <w:t>Physics of the Earth and Planetary Interiors</w:t>
      </w:r>
      <w:r w:rsidRPr="009B36E9">
        <w:rPr>
          <w:noProof/>
        </w:rPr>
        <w:t xml:space="preserve"> </w:t>
      </w:r>
      <w:r w:rsidRPr="009B36E9">
        <w:rPr>
          <w:b/>
          <w:noProof/>
        </w:rPr>
        <w:t>228</w:t>
      </w:r>
      <w:r w:rsidRPr="009B36E9">
        <w:rPr>
          <w:noProof/>
        </w:rPr>
        <w:t xml:space="preserve">, 75-79 (2014). </w:t>
      </w:r>
      <w:r w:rsidRPr="007F6E00">
        <w:rPr>
          <w:noProof/>
        </w:rPr>
        <w:t>https://doi.org/10.1016/j.pepi.2013.12.011</w:t>
      </w:r>
    </w:p>
    <w:p w14:paraId="0136E903" w14:textId="77777777" w:rsidR="007F6E00" w:rsidRPr="009B36E9" w:rsidRDefault="007F6E00" w:rsidP="009B36E9">
      <w:pPr>
        <w:pStyle w:val="EndNoteBibliography"/>
        <w:ind w:left="720" w:hanging="720"/>
        <w:rPr>
          <w:noProof/>
        </w:rPr>
      </w:pPr>
      <w:r w:rsidRPr="009B36E9">
        <w:rPr>
          <w:noProof/>
        </w:rPr>
        <w:lastRenderedPageBreak/>
        <w:t>98</w:t>
      </w:r>
      <w:r w:rsidRPr="009B36E9">
        <w:rPr>
          <w:noProof/>
        </w:rPr>
        <w:tab/>
        <w:t xml:space="preserve">Jackson, J. M., Sinogeikin, S. V. &amp; Bass, J. D. Sound velocities and single-crystal elasticity of orthoenstatite to 1073K at ambient pressure. </w:t>
      </w:r>
      <w:r w:rsidRPr="009B36E9">
        <w:rPr>
          <w:i/>
          <w:noProof/>
        </w:rPr>
        <w:t>Physics of the Earth and Planetary Interiors</w:t>
      </w:r>
      <w:r w:rsidRPr="009B36E9">
        <w:rPr>
          <w:noProof/>
        </w:rPr>
        <w:t xml:space="preserve"> </w:t>
      </w:r>
      <w:r w:rsidRPr="009B36E9">
        <w:rPr>
          <w:b/>
          <w:noProof/>
        </w:rPr>
        <w:t>161</w:t>
      </w:r>
      <w:r w:rsidRPr="009B36E9">
        <w:rPr>
          <w:noProof/>
        </w:rPr>
        <w:t xml:space="preserve">, 1-12 (2007). </w:t>
      </w:r>
      <w:r w:rsidRPr="007F6E00">
        <w:rPr>
          <w:noProof/>
        </w:rPr>
        <w:t>https://doi.org/10.1016/j.pepi.2006.11.002</w:t>
      </w:r>
    </w:p>
    <w:p w14:paraId="3295D36F" w14:textId="77777777" w:rsidR="007F6E00" w:rsidRPr="009B36E9" w:rsidRDefault="007F6E00" w:rsidP="009B36E9">
      <w:pPr>
        <w:pStyle w:val="EndNoteBibliography"/>
        <w:ind w:left="720" w:hanging="720"/>
        <w:rPr>
          <w:noProof/>
        </w:rPr>
      </w:pPr>
      <w:r w:rsidRPr="009B36E9">
        <w:rPr>
          <w:noProof/>
        </w:rPr>
        <w:t>99</w:t>
      </w:r>
      <w:r w:rsidRPr="009B36E9">
        <w:rPr>
          <w:noProof/>
        </w:rPr>
        <w:tab/>
        <w:t xml:space="preserve">Cline Ii, C. J., Faul, U. H., David, E. C., Berry, A. J. &amp; Jackson, I. Redox-influenced seismic properties of upper-mantle olivine. </w:t>
      </w:r>
      <w:r w:rsidRPr="009B36E9">
        <w:rPr>
          <w:i/>
          <w:noProof/>
        </w:rPr>
        <w:t>Nature</w:t>
      </w:r>
      <w:r w:rsidRPr="009B36E9">
        <w:rPr>
          <w:noProof/>
        </w:rPr>
        <w:t xml:space="preserve"> </w:t>
      </w:r>
      <w:r w:rsidRPr="009B36E9">
        <w:rPr>
          <w:b/>
          <w:noProof/>
        </w:rPr>
        <w:t>555</w:t>
      </w:r>
      <w:r w:rsidRPr="009B36E9">
        <w:rPr>
          <w:noProof/>
        </w:rPr>
        <w:t xml:space="preserve">, 355-358 (2018). </w:t>
      </w:r>
      <w:r w:rsidRPr="007F6E00">
        <w:rPr>
          <w:noProof/>
        </w:rPr>
        <w:t>https://doi.org/10.1038/nature25764</w:t>
      </w:r>
    </w:p>
    <w:p w14:paraId="38DD1DC5" w14:textId="77777777" w:rsidR="007F6E00" w:rsidRPr="009B36E9" w:rsidRDefault="007F6E00" w:rsidP="009B36E9">
      <w:pPr>
        <w:pStyle w:val="EndNoteBibliography"/>
        <w:ind w:left="720" w:hanging="720"/>
        <w:rPr>
          <w:noProof/>
        </w:rPr>
      </w:pPr>
      <w:r w:rsidRPr="009B36E9">
        <w:rPr>
          <w:noProof/>
        </w:rPr>
        <w:t>100</w:t>
      </w:r>
      <w:r w:rsidRPr="009B36E9">
        <w:rPr>
          <w:noProof/>
        </w:rPr>
        <w:tab/>
        <w:t xml:space="preserve">Hirschmann, M. M. Mantle solidus: Experimental constraints and the effects of peridotite composition. </w:t>
      </w:r>
      <w:r w:rsidRPr="009B36E9">
        <w:rPr>
          <w:i/>
          <w:noProof/>
        </w:rPr>
        <w:t>Geochemistry, Geophysics, Geosystems</w:t>
      </w:r>
      <w:r w:rsidRPr="009B36E9">
        <w:rPr>
          <w:noProof/>
        </w:rPr>
        <w:t xml:space="preserve"> </w:t>
      </w:r>
      <w:r w:rsidRPr="009B36E9">
        <w:rPr>
          <w:b/>
          <w:noProof/>
        </w:rPr>
        <w:t>1</w:t>
      </w:r>
      <w:r w:rsidRPr="009B36E9">
        <w:rPr>
          <w:noProof/>
        </w:rPr>
        <w:t xml:space="preserve"> (2000). </w:t>
      </w:r>
      <w:r w:rsidRPr="007F6E00">
        <w:rPr>
          <w:noProof/>
        </w:rPr>
        <w:t>https://doi.org/10.1029/2000GC000070</w:t>
      </w:r>
    </w:p>
    <w:p w14:paraId="15CBE8BF" w14:textId="77777777" w:rsidR="007F6E00" w:rsidRPr="009B36E9" w:rsidRDefault="007F6E00" w:rsidP="009B36E9">
      <w:pPr>
        <w:pStyle w:val="EndNoteBibliography"/>
        <w:ind w:left="720" w:hanging="720"/>
        <w:rPr>
          <w:noProof/>
        </w:rPr>
      </w:pPr>
      <w:r w:rsidRPr="009B36E9">
        <w:rPr>
          <w:noProof/>
        </w:rPr>
        <w:t>101</w:t>
      </w:r>
      <w:r w:rsidRPr="009B36E9">
        <w:rPr>
          <w:noProof/>
        </w:rPr>
        <w:tab/>
        <w:t xml:space="preserve">Katz, R. F., Spiegelman, M. &amp; Langmuir, C. H. A new parameterization of hydrous mantle melting. </w:t>
      </w:r>
      <w:r w:rsidRPr="009B36E9">
        <w:rPr>
          <w:i/>
          <w:noProof/>
        </w:rPr>
        <w:t>Geochemistry, Geophysics, Geosystems</w:t>
      </w:r>
      <w:r w:rsidRPr="009B36E9">
        <w:rPr>
          <w:noProof/>
        </w:rPr>
        <w:t xml:space="preserve"> </w:t>
      </w:r>
      <w:r w:rsidRPr="009B36E9">
        <w:rPr>
          <w:b/>
          <w:noProof/>
        </w:rPr>
        <w:t>4</w:t>
      </w:r>
      <w:r w:rsidRPr="009B36E9">
        <w:rPr>
          <w:noProof/>
        </w:rPr>
        <w:t xml:space="preserve"> (2003). </w:t>
      </w:r>
      <w:r w:rsidRPr="007F6E00">
        <w:rPr>
          <w:noProof/>
        </w:rPr>
        <w:t>https://doi.org/10.1029/2002GC000433</w:t>
      </w:r>
    </w:p>
    <w:p w14:paraId="4AAC9ED5" w14:textId="77777777" w:rsidR="007F6E00" w:rsidRPr="009B36E9" w:rsidRDefault="007F6E00" w:rsidP="009B36E9">
      <w:pPr>
        <w:pStyle w:val="EndNoteBibliography"/>
        <w:ind w:left="720" w:hanging="720"/>
        <w:rPr>
          <w:noProof/>
        </w:rPr>
      </w:pPr>
      <w:r w:rsidRPr="009B36E9">
        <w:rPr>
          <w:noProof/>
        </w:rPr>
        <w:t>102</w:t>
      </w:r>
      <w:r w:rsidRPr="009B36E9">
        <w:rPr>
          <w:noProof/>
        </w:rPr>
        <w:tab/>
        <w:t xml:space="preserve">Aubaud, C., Hauri, E. H. &amp; Hirschmann, M. M. Hydrogen partition coefficients between nominally anhydrous minerals and basaltic melts. </w:t>
      </w:r>
      <w:r w:rsidRPr="009B36E9">
        <w:rPr>
          <w:i/>
          <w:noProof/>
        </w:rPr>
        <w:t>Geophysical Research Letters</w:t>
      </w:r>
      <w:r w:rsidRPr="009B36E9">
        <w:rPr>
          <w:noProof/>
        </w:rPr>
        <w:t xml:space="preserve"> </w:t>
      </w:r>
      <w:r w:rsidRPr="009B36E9">
        <w:rPr>
          <w:b/>
          <w:noProof/>
        </w:rPr>
        <w:t>31</w:t>
      </w:r>
      <w:r w:rsidRPr="009B36E9">
        <w:rPr>
          <w:noProof/>
        </w:rPr>
        <w:t xml:space="preserve"> (2004). </w:t>
      </w:r>
      <w:r w:rsidRPr="007F6E00">
        <w:rPr>
          <w:noProof/>
        </w:rPr>
        <w:t>https://doi.org/10.1029/2004GL021341</w:t>
      </w:r>
    </w:p>
    <w:p w14:paraId="5B563B1A" w14:textId="77777777" w:rsidR="007F6E00" w:rsidRPr="009B36E9" w:rsidRDefault="007F6E00" w:rsidP="009B36E9">
      <w:pPr>
        <w:pStyle w:val="EndNoteBibliography"/>
        <w:ind w:left="720" w:hanging="720"/>
        <w:rPr>
          <w:noProof/>
        </w:rPr>
      </w:pPr>
      <w:r w:rsidRPr="009B36E9">
        <w:rPr>
          <w:noProof/>
        </w:rPr>
        <w:t>103</w:t>
      </w:r>
      <w:r w:rsidRPr="009B36E9">
        <w:rPr>
          <w:noProof/>
        </w:rPr>
        <w:tab/>
        <w:t xml:space="preserve">Hirschmann, M. M., Asimow, P. D., Ghiorso, M. S. &amp; Stolper, E. M. Calculation of Peridotite Partial Melting from Thermodynamic Models of Minerals and Melts. III. Controls on Isobaric Melt Production and the Effect of Water on Melt Production. </w:t>
      </w:r>
      <w:r w:rsidRPr="009B36E9">
        <w:rPr>
          <w:i/>
          <w:noProof/>
        </w:rPr>
        <w:t>Journal of Petrology</w:t>
      </w:r>
      <w:r w:rsidRPr="009B36E9">
        <w:rPr>
          <w:noProof/>
        </w:rPr>
        <w:t xml:space="preserve"> </w:t>
      </w:r>
      <w:r w:rsidRPr="009B36E9">
        <w:rPr>
          <w:b/>
          <w:noProof/>
        </w:rPr>
        <w:t>40</w:t>
      </w:r>
      <w:r w:rsidRPr="009B36E9">
        <w:rPr>
          <w:noProof/>
        </w:rPr>
        <w:t xml:space="preserve">, 831-851 (1999). </w:t>
      </w:r>
      <w:r w:rsidRPr="007F6E00">
        <w:rPr>
          <w:noProof/>
        </w:rPr>
        <w:t>https://doi.org/10.1093/petroj/40.5.831</w:t>
      </w:r>
    </w:p>
    <w:p w14:paraId="1626399A" w14:textId="77777777" w:rsidR="007F6E00" w:rsidRPr="009B36E9" w:rsidRDefault="007F6E00" w:rsidP="009B36E9">
      <w:pPr>
        <w:pStyle w:val="EndNoteBibliography"/>
        <w:ind w:left="720" w:hanging="720"/>
        <w:rPr>
          <w:noProof/>
        </w:rPr>
      </w:pPr>
      <w:r w:rsidRPr="009B36E9">
        <w:rPr>
          <w:noProof/>
        </w:rPr>
        <w:t>104</w:t>
      </w:r>
      <w:r w:rsidRPr="009B36E9">
        <w:rPr>
          <w:noProof/>
        </w:rPr>
        <w:tab/>
        <w:t xml:space="preserve">Kojitani, H. &amp; Akaogi, M. Melting enthalpies of mantle peridotite: calorimetric determinations in the system CaO-MgO-Al2O3-SiO2 and application to magma generation. </w:t>
      </w:r>
      <w:r w:rsidRPr="009B36E9">
        <w:rPr>
          <w:i/>
          <w:noProof/>
        </w:rPr>
        <w:t>Earth and Planetary Science Letters</w:t>
      </w:r>
      <w:r w:rsidRPr="009B36E9">
        <w:rPr>
          <w:noProof/>
        </w:rPr>
        <w:t xml:space="preserve"> </w:t>
      </w:r>
      <w:r w:rsidRPr="009B36E9">
        <w:rPr>
          <w:b/>
          <w:noProof/>
        </w:rPr>
        <w:t>153</w:t>
      </w:r>
      <w:r w:rsidRPr="009B36E9">
        <w:rPr>
          <w:noProof/>
        </w:rPr>
        <w:t xml:space="preserve">, 209-222 (1997). </w:t>
      </w:r>
      <w:r w:rsidRPr="007F6E00">
        <w:rPr>
          <w:noProof/>
        </w:rPr>
        <w:t>https://doi.org/10.1016/S0012-821X(97)00186-6</w:t>
      </w:r>
    </w:p>
    <w:p w14:paraId="537C84AA" w14:textId="77777777" w:rsidR="007F6E00" w:rsidRPr="007F6E00" w:rsidRDefault="007F6E00" w:rsidP="009B36E9">
      <w:pPr>
        <w:pStyle w:val="EndNoteBibliography"/>
        <w:ind w:left="720" w:hanging="720"/>
        <w:rPr>
          <w:noProof/>
          <w:lang w:val="fr-FR"/>
        </w:rPr>
      </w:pPr>
      <w:r w:rsidRPr="007F6E00">
        <w:rPr>
          <w:noProof/>
          <w:lang w:val="fr-FR"/>
        </w:rPr>
        <w:t>105</w:t>
      </w:r>
      <w:r w:rsidRPr="007F6E00">
        <w:rPr>
          <w:noProof/>
          <w:lang w:val="fr-FR"/>
        </w:rPr>
        <w:tab/>
        <w:t>Lognonné, P.</w:t>
      </w:r>
      <w:r w:rsidRPr="007F6E00">
        <w:rPr>
          <w:i/>
          <w:noProof/>
          <w:lang w:val="fr-FR"/>
        </w:rPr>
        <w:t xml:space="preserve"> et al.</w:t>
      </w:r>
      <w:r w:rsidRPr="007F6E00">
        <w:rPr>
          <w:noProof/>
          <w:lang w:val="fr-FR"/>
        </w:rPr>
        <w:t xml:space="preserve"> </w:t>
      </w:r>
      <w:r w:rsidRPr="009B36E9">
        <w:rPr>
          <w:noProof/>
        </w:rPr>
        <w:t xml:space="preserve">Constraints on the shallow elastic and anelastic structure of Mars from InSight seismic data. </w:t>
      </w:r>
      <w:r w:rsidRPr="007F6E00">
        <w:rPr>
          <w:i/>
          <w:noProof/>
          <w:lang w:val="fr-FR"/>
        </w:rPr>
        <w:t>Nature Geoscience</w:t>
      </w:r>
      <w:r w:rsidRPr="007F6E00">
        <w:rPr>
          <w:noProof/>
          <w:lang w:val="fr-FR"/>
        </w:rPr>
        <w:t xml:space="preserve"> </w:t>
      </w:r>
      <w:r w:rsidRPr="007F6E00">
        <w:rPr>
          <w:b/>
          <w:noProof/>
          <w:lang w:val="fr-FR"/>
        </w:rPr>
        <w:t>13</w:t>
      </w:r>
      <w:r w:rsidRPr="007F6E00">
        <w:rPr>
          <w:noProof/>
          <w:lang w:val="fr-FR"/>
        </w:rPr>
        <w:t>, 213-220 (2020). https://doi.org/10.1038/s41561-020-0536-y</w:t>
      </w:r>
    </w:p>
    <w:p w14:paraId="6AFA3EAE" w14:textId="77777777" w:rsidR="007F6E00" w:rsidRPr="009B36E9" w:rsidRDefault="007F6E00" w:rsidP="009B36E9">
      <w:pPr>
        <w:pStyle w:val="EndNoteBibliography"/>
        <w:ind w:left="720" w:hanging="720"/>
        <w:rPr>
          <w:noProof/>
        </w:rPr>
      </w:pPr>
      <w:r w:rsidRPr="007F6E00">
        <w:rPr>
          <w:noProof/>
          <w:lang w:val="fr-FR"/>
        </w:rPr>
        <w:t>106</w:t>
      </w:r>
      <w:r w:rsidRPr="007F6E00">
        <w:rPr>
          <w:noProof/>
          <w:lang w:val="fr-FR"/>
        </w:rPr>
        <w:tab/>
        <w:t>Menina, S.</w:t>
      </w:r>
      <w:r w:rsidRPr="007F6E00">
        <w:rPr>
          <w:i/>
          <w:noProof/>
          <w:lang w:val="fr-FR"/>
        </w:rPr>
        <w:t xml:space="preserve"> et al.</w:t>
      </w:r>
      <w:r w:rsidRPr="007F6E00">
        <w:rPr>
          <w:noProof/>
          <w:lang w:val="fr-FR"/>
        </w:rPr>
        <w:t xml:space="preserve"> </w:t>
      </w:r>
      <w:r w:rsidRPr="009B36E9">
        <w:rPr>
          <w:noProof/>
        </w:rPr>
        <w:t xml:space="preserve">Stratification of Heterogeneity in the Lithosphere of Mars From Envelope Modeling of Event S1222a and Near Impacts: Interpretation and Implications for Very-High-Frequency Events. </w:t>
      </w:r>
      <w:r w:rsidRPr="009B36E9">
        <w:rPr>
          <w:i/>
          <w:noProof/>
        </w:rPr>
        <w:t>Geophysical Research Letters</w:t>
      </w:r>
      <w:r w:rsidRPr="009B36E9">
        <w:rPr>
          <w:noProof/>
        </w:rPr>
        <w:t xml:space="preserve"> </w:t>
      </w:r>
      <w:r w:rsidRPr="009B36E9">
        <w:rPr>
          <w:b/>
          <w:noProof/>
        </w:rPr>
        <w:t>50</w:t>
      </w:r>
      <w:r w:rsidRPr="009B36E9">
        <w:rPr>
          <w:noProof/>
        </w:rPr>
        <w:t xml:space="preserve">, e2023GL103202 (2023). </w:t>
      </w:r>
      <w:r w:rsidRPr="007F6E00">
        <w:rPr>
          <w:noProof/>
        </w:rPr>
        <w:t>https://doi.org/10.1029/2023GL103202</w:t>
      </w:r>
    </w:p>
    <w:p w14:paraId="1D4379A5" w14:textId="77777777" w:rsidR="007F6E00" w:rsidRPr="009B36E9" w:rsidRDefault="007F6E00" w:rsidP="009B36E9">
      <w:pPr>
        <w:pStyle w:val="EndNoteBibliography"/>
        <w:ind w:left="720" w:hanging="720"/>
        <w:rPr>
          <w:noProof/>
        </w:rPr>
      </w:pPr>
      <w:r w:rsidRPr="009B36E9">
        <w:rPr>
          <w:noProof/>
        </w:rPr>
        <w:t>107</w:t>
      </w:r>
      <w:r w:rsidRPr="009B36E9">
        <w:rPr>
          <w:noProof/>
        </w:rPr>
        <w:tab/>
        <w:t>Onodera, K.</w:t>
      </w:r>
      <w:r w:rsidRPr="009B36E9">
        <w:rPr>
          <w:i/>
          <w:noProof/>
        </w:rPr>
        <w:t xml:space="preserve"> et al.</w:t>
      </w:r>
      <w:r w:rsidRPr="009B36E9">
        <w:rPr>
          <w:noProof/>
        </w:rPr>
        <w:t xml:space="preserve"> Seismic Scattering and Absorption Properties of Mars Estimated Through Coda Analysis on a Long-Period Surface Wave of S1222a Marsquake. </w:t>
      </w:r>
      <w:r w:rsidRPr="009B36E9">
        <w:rPr>
          <w:i/>
          <w:noProof/>
        </w:rPr>
        <w:t>Geophysical Research Letters</w:t>
      </w:r>
      <w:r w:rsidRPr="009B36E9">
        <w:rPr>
          <w:noProof/>
        </w:rPr>
        <w:t xml:space="preserve"> </w:t>
      </w:r>
      <w:r w:rsidRPr="009B36E9">
        <w:rPr>
          <w:b/>
          <w:noProof/>
        </w:rPr>
        <w:t>50</w:t>
      </w:r>
      <w:r w:rsidRPr="009B36E9">
        <w:rPr>
          <w:noProof/>
        </w:rPr>
        <w:t xml:space="preserve">, e2022GL102716 (2023). </w:t>
      </w:r>
      <w:r w:rsidRPr="007F6E00">
        <w:rPr>
          <w:noProof/>
        </w:rPr>
        <w:t>https://doi.org/10.1029/2022GL102716</w:t>
      </w:r>
    </w:p>
    <w:p w14:paraId="409E8017" w14:textId="77777777" w:rsidR="007F6E00" w:rsidRDefault="007F6E00" w:rsidP="00954CBB">
      <w:pPr>
        <w:ind w:firstLineChars="200" w:firstLine="480"/>
      </w:pPr>
    </w:p>
    <w:p w14:paraId="1BA4C155" w14:textId="77777777" w:rsidR="00383063" w:rsidRDefault="00383063"/>
    <w:sectPr w:rsidR="00383063" w:rsidSect="005C7BF4">
      <w:pgSz w:w="11906" w:h="16838"/>
      <w:pgMar w:top="1440" w:right="1800" w:bottom="1440" w:left="1800" w:header="851" w:footer="992" w:gutter="0"/>
      <w:lnNumType w:countBy="1" w:restart="continuous"/>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3EB754" w14:textId="77777777" w:rsidR="002243C8" w:rsidRDefault="002243C8">
      <w:pPr>
        <w:spacing w:line="240" w:lineRule="auto"/>
      </w:pPr>
      <w:r>
        <w:separator/>
      </w:r>
    </w:p>
  </w:endnote>
  <w:endnote w:type="continuationSeparator" w:id="0">
    <w:p w14:paraId="73881F4F" w14:textId="77777777" w:rsidR="002243C8" w:rsidRDefault="002243C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4"/>
      </w:rPr>
      <w:id w:val="787466322"/>
      <w:docPartObj>
        <w:docPartGallery w:val="Page Numbers (Bottom of Page)"/>
        <w:docPartUnique/>
      </w:docPartObj>
    </w:sdtPr>
    <w:sdtEndPr>
      <w:rPr>
        <w:rStyle w:val="af4"/>
      </w:rPr>
    </w:sdtEndPr>
    <w:sdtContent>
      <w:p w14:paraId="596E9BFA" w14:textId="77777777" w:rsidR="000F69FD" w:rsidRDefault="007F6E00" w:rsidP="00B34748">
        <w:pPr>
          <w:pStyle w:val="a9"/>
          <w:framePr w:wrap="none" w:vAnchor="text" w:hAnchor="margin" w:xAlign="right" w:y="1"/>
          <w:rPr>
            <w:rStyle w:val="af4"/>
          </w:rPr>
        </w:pPr>
        <w:r>
          <w:rPr>
            <w:rStyle w:val="af4"/>
          </w:rPr>
          <w:fldChar w:fldCharType="begin"/>
        </w:r>
        <w:r>
          <w:rPr>
            <w:rStyle w:val="af4"/>
          </w:rPr>
          <w:instrText xml:space="preserve"> PAGE </w:instrText>
        </w:r>
        <w:r>
          <w:rPr>
            <w:rStyle w:val="af4"/>
          </w:rPr>
          <w:fldChar w:fldCharType="end"/>
        </w:r>
      </w:p>
    </w:sdtContent>
  </w:sdt>
  <w:p w14:paraId="0362A894" w14:textId="77777777" w:rsidR="000F69FD" w:rsidRDefault="002243C8" w:rsidP="000F69FD">
    <w:pPr>
      <w:pStyle w:val="a9"/>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4"/>
      </w:rPr>
      <w:id w:val="-1871603018"/>
      <w:docPartObj>
        <w:docPartGallery w:val="Page Numbers (Bottom of Page)"/>
        <w:docPartUnique/>
      </w:docPartObj>
    </w:sdtPr>
    <w:sdtEndPr>
      <w:rPr>
        <w:rStyle w:val="af4"/>
      </w:rPr>
    </w:sdtEndPr>
    <w:sdtContent>
      <w:p w14:paraId="7CF5E68D" w14:textId="77777777" w:rsidR="000F69FD" w:rsidRDefault="007F6E00" w:rsidP="00B34748">
        <w:pPr>
          <w:pStyle w:val="a9"/>
          <w:framePr w:wrap="none" w:vAnchor="text" w:hAnchor="margin" w:xAlign="right" w:y="1"/>
          <w:rPr>
            <w:rStyle w:val="af4"/>
          </w:rPr>
        </w:pPr>
        <w:r>
          <w:rPr>
            <w:rStyle w:val="af4"/>
          </w:rPr>
          <w:fldChar w:fldCharType="begin"/>
        </w:r>
        <w:r>
          <w:rPr>
            <w:rStyle w:val="af4"/>
          </w:rPr>
          <w:instrText xml:space="preserve"> PAGE </w:instrText>
        </w:r>
        <w:r>
          <w:rPr>
            <w:rStyle w:val="af4"/>
          </w:rPr>
          <w:fldChar w:fldCharType="separate"/>
        </w:r>
        <w:r>
          <w:rPr>
            <w:rStyle w:val="af4"/>
            <w:noProof/>
          </w:rPr>
          <w:t>1</w:t>
        </w:r>
        <w:r>
          <w:rPr>
            <w:rStyle w:val="af4"/>
          </w:rPr>
          <w:fldChar w:fldCharType="end"/>
        </w:r>
      </w:p>
    </w:sdtContent>
  </w:sdt>
  <w:p w14:paraId="009AAA09" w14:textId="77777777" w:rsidR="000F69FD" w:rsidRDefault="002243C8" w:rsidP="000F69FD">
    <w:pPr>
      <w:pStyle w:val="a9"/>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8EFBB7" w14:textId="77777777" w:rsidR="002243C8" w:rsidRDefault="002243C8">
      <w:pPr>
        <w:spacing w:line="240" w:lineRule="auto"/>
      </w:pPr>
      <w:r>
        <w:separator/>
      </w:r>
    </w:p>
  </w:footnote>
  <w:footnote w:type="continuationSeparator" w:id="0">
    <w:p w14:paraId="66526EC4" w14:textId="77777777" w:rsidR="002243C8" w:rsidRDefault="002243C8">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CE4533"/>
    <w:multiLevelType w:val="multilevel"/>
    <w:tmpl w:val="FBC0AEB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59ED2125"/>
    <w:multiLevelType w:val="multilevel"/>
    <w:tmpl w:val="76DC65D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9"/>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7F6E00"/>
    <w:rsid w:val="00065FDD"/>
    <w:rsid w:val="00105AC8"/>
    <w:rsid w:val="002243C8"/>
    <w:rsid w:val="00231B63"/>
    <w:rsid w:val="002614B1"/>
    <w:rsid w:val="002E1FFF"/>
    <w:rsid w:val="00332885"/>
    <w:rsid w:val="00383063"/>
    <w:rsid w:val="0048467F"/>
    <w:rsid w:val="005166CC"/>
    <w:rsid w:val="00516A97"/>
    <w:rsid w:val="005330A5"/>
    <w:rsid w:val="00534C69"/>
    <w:rsid w:val="005416BA"/>
    <w:rsid w:val="005539B5"/>
    <w:rsid w:val="005637D6"/>
    <w:rsid w:val="005C7BF4"/>
    <w:rsid w:val="006300F2"/>
    <w:rsid w:val="006719DA"/>
    <w:rsid w:val="00697182"/>
    <w:rsid w:val="00726973"/>
    <w:rsid w:val="00776E37"/>
    <w:rsid w:val="00782710"/>
    <w:rsid w:val="007F6E00"/>
    <w:rsid w:val="00855506"/>
    <w:rsid w:val="00944088"/>
    <w:rsid w:val="00971A34"/>
    <w:rsid w:val="00A35633"/>
    <w:rsid w:val="00AD26C5"/>
    <w:rsid w:val="00BB05CD"/>
    <w:rsid w:val="00BB4FCF"/>
    <w:rsid w:val="00BB739F"/>
    <w:rsid w:val="00D850F7"/>
    <w:rsid w:val="00DD5A06"/>
    <w:rsid w:val="00E647D6"/>
    <w:rsid w:val="00E90DFE"/>
    <w:rsid w:val="00E96123"/>
    <w:rsid w:val="00E9784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1797F0"/>
  <w15:chartTrackingRefBased/>
  <w15:docId w15:val="{5B816A96-F3A1-AC4E-8C30-6AED223F65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F6E00"/>
    <w:pPr>
      <w:widowControl w:val="0"/>
      <w:spacing w:line="480" w:lineRule="auto"/>
      <w:jc w:val="both"/>
    </w:pPr>
    <w:rPr>
      <w:rFonts w:ascii="Times New Roman" w:hAnsi="Times New Roman"/>
      <w:sz w:val="24"/>
    </w:rPr>
  </w:style>
  <w:style w:type="paragraph" w:styleId="1">
    <w:name w:val="heading 1"/>
    <w:basedOn w:val="a"/>
    <w:next w:val="a"/>
    <w:link w:val="10"/>
    <w:uiPriority w:val="9"/>
    <w:qFormat/>
    <w:rsid w:val="007F6E00"/>
    <w:pPr>
      <w:keepNext/>
      <w:keepLines/>
      <w:outlineLvl w:val="0"/>
    </w:pPr>
    <w:rPr>
      <w:b/>
      <w:bCs/>
      <w:kern w:val="44"/>
      <w:szCs w:val="44"/>
    </w:rPr>
  </w:style>
  <w:style w:type="paragraph" w:styleId="2">
    <w:name w:val="heading 2"/>
    <w:basedOn w:val="a"/>
    <w:next w:val="a"/>
    <w:link w:val="20"/>
    <w:uiPriority w:val="9"/>
    <w:unhideWhenUsed/>
    <w:qFormat/>
    <w:rsid w:val="007F6E00"/>
    <w:pPr>
      <w:keepNext/>
      <w:keepLines/>
      <w:outlineLvl w:val="1"/>
    </w:pPr>
    <w:rPr>
      <w:rFonts w:eastAsiaTheme="majorEastAsia" w:cstheme="majorBidi"/>
      <w:b/>
      <w:bCs/>
      <w:szCs w:val="32"/>
    </w:rPr>
  </w:style>
  <w:style w:type="paragraph" w:styleId="3">
    <w:name w:val="heading 3"/>
    <w:basedOn w:val="a"/>
    <w:next w:val="a"/>
    <w:link w:val="30"/>
    <w:uiPriority w:val="9"/>
    <w:unhideWhenUsed/>
    <w:qFormat/>
    <w:rsid w:val="007F6E00"/>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7F6E00"/>
    <w:rPr>
      <w:rFonts w:ascii="Times New Roman" w:hAnsi="Times New Roman"/>
      <w:b/>
      <w:bCs/>
      <w:kern w:val="44"/>
      <w:sz w:val="24"/>
      <w:szCs w:val="44"/>
    </w:rPr>
  </w:style>
  <w:style w:type="character" w:customStyle="1" w:styleId="20">
    <w:name w:val="标题 2 字符"/>
    <w:basedOn w:val="a0"/>
    <w:link w:val="2"/>
    <w:uiPriority w:val="9"/>
    <w:rsid w:val="007F6E00"/>
    <w:rPr>
      <w:rFonts w:ascii="Times New Roman" w:eastAsiaTheme="majorEastAsia" w:hAnsi="Times New Roman" w:cstheme="majorBidi"/>
      <w:b/>
      <w:bCs/>
      <w:sz w:val="24"/>
      <w:szCs w:val="32"/>
    </w:rPr>
  </w:style>
  <w:style w:type="character" w:customStyle="1" w:styleId="30">
    <w:name w:val="标题 3 字符"/>
    <w:basedOn w:val="a0"/>
    <w:link w:val="3"/>
    <w:uiPriority w:val="9"/>
    <w:rsid w:val="007F6E00"/>
    <w:rPr>
      <w:rFonts w:ascii="Times New Roman" w:hAnsi="Times New Roman"/>
      <w:b/>
      <w:bCs/>
      <w:sz w:val="32"/>
      <w:szCs w:val="32"/>
    </w:rPr>
  </w:style>
  <w:style w:type="paragraph" w:styleId="a3">
    <w:name w:val="List Paragraph"/>
    <w:basedOn w:val="a"/>
    <w:uiPriority w:val="34"/>
    <w:qFormat/>
    <w:rsid w:val="007F6E00"/>
    <w:pPr>
      <w:ind w:firstLineChars="200" w:firstLine="420"/>
    </w:pPr>
  </w:style>
  <w:style w:type="paragraph" w:customStyle="1" w:styleId="EndNoteBibliographyTitle">
    <w:name w:val="EndNote Bibliography Title"/>
    <w:basedOn w:val="a"/>
    <w:link w:val="EndNoteBibliographyTitle0"/>
    <w:rsid w:val="007F6E00"/>
    <w:pPr>
      <w:jc w:val="center"/>
    </w:pPr>
    <w:rPr>
      <w:rFonts w:cs="Times New Roman"/>
    </w:rPr>
  </w:style>
  <w:style w:type="character" w:customStyle="1" w:styleId="EndNoteBibliographyTitle0">
    <w:name w:val="EndNote Bibliography Title 字符"/>
    <w:basedOn w:val="a0"/>
    <w:link w:val="EndNoteBibliographyTitle"/>
    <w:rsid w:val="007F6E00"/>
    <w:rPr>
      <w:rFonts w:ascii="Times New Roman" w:hAnsi="Times New Roman" w:cs="Times New Roman"/>
      <w:sz w:val="24"/>
    </w:rPr>
  </w:style>
  <w:style w:type="paragraph" w:customStyle="1" w:styleId="EndNoteBibliography">
    <w:name w:val="EndNote Bibliography"/>
    <w:basedOn w:val="a"/>
    <w:link w:val="EndNoteBibliography0"/>
    <w:rsid w:val="007F6E00"/>
    <w:pPr>
      <w:spacing w:line="240" w:lineRule="auto"/>
    </w:pPr>
    <w:rPr>
      <w:rFonts w:cs="Times New Roman"/>
    </w:rPr>
  </w:style>
  <w:style w:type="character" w:customStyle="1" w:styleId="EndNoteBibliography0">
    <w:name w:val="EndNote Bibliography 字符"/>
    <w:basedOn w:val="a0"/>
    <w:link w:val="EndNoteBibliography"/>
    <w:rsid w:val="007F6E00"/>
    <w:rPr>
      <w:rFonts w:ascii="Times New Roman" w:hAnsi="Times New Roman" w:cs="Times New Roman"/>
      <w:sz w:val="24"/>
    </w:rPr>
  </w:style>
  <w:style w:type="character" w:styleId="a4">
    <w:name w:val="Hyperlink"/>
    <w:basedOn w:val="a0"/>
    <w:uiPriority w:val="99"/>
    <w:unhideWhenUsed/>
    <w:rsid w:val="007F6E00"/>
    <w:rPr>
      <w:color w:val="0563C1" w:themeColor="hyperlink"/>
      <w:u w:val="single"/>
    </w:rPr>
  </w:style>
  <w:style w:type="character" w:styleId="a5">
    <w:name w:val="Unresolved Mention"/>
    <w:basedOn w:val="a0"/>
    <w:uiPriority w:val="99"/>
    <w:semiHidden/>
    <w:unhideWhenUsed/>
    <w:rsid w:val="007F6E00"/>
    <w:rPr>
      <w:color w:val="605E5C"/>
      <w:shd w:val="clear" w:color="auto" w:fill="E1DFDD"/>
    </w:rPr>
  </w:style>
  <w:style w:type="paragraph" w:styleId="TOC">
    <w:name w:val="TOC Heading"/>
    <w:basedOn w:val="1"/>
    <w:next w:val="a"/>
    <w:uiPriority w:val="39"/>
    <w:unhideWhenUsed/>
    <w:qFormat/>
    <w:rsid w:val="007F6E00"/>
    <w:pPr>
      <w:widowControl/>
      <w:spacing w:before="480" w:line="276" w:lineRule="auto"/>
      <w:jc w:val="left"/>
      <w:outlineLvl w:val="9"/>
    </w:pPr>
    <w:rPr>
      <w:rFonts w:asciiTheme="majorHAnsi" w:eastAsiaTheme="majorEastAsia" w:hAnsiTheme="majorHAnsi" w:cstheme="majorBidi"/>
      <w:color w:val="2F5496" w:themeColor="accent1" w:themeShade="BF"/>
      <w:kern w:val="0"/>
      <w:sz w:val="28"/>
      <w:szCs w:val="28"/>
    </w:rPr>
  </w:style>
  <w:style w:type="paragraph" w:styleId="TOC1">
    <w:name w:val="toc 1"/>
    <w:basedOn w:val="a"/>
    <w:next w:val="a"/>
    <w:autoRedefine/>
    <w:uiPriority w:val="39"/>
    <w:unhideWhenUsed/>
    <w:rsid w:val="007F6E00"/>
    <w:pPr>
      <w:tabs>
        <w:tab w:val="right" w:leader="dot" w:pos="8296"/>
      </w:tabs>
      <w:spacing w:before="120" w:after="120" w:line="240" w:lineRule="auto"/>
      <w:jc w:val="left"/>
    </w:pPr>
    <w:rPr>
      <w:rFonts w:cs="Times New Roman"/>
      <w:b/>
      <w:bCs/>
    </w:rPr>
  </w:style>
  <w:style w:type="paragraph" w:styleId="TOC2">
    <w:name w:val="toc 2"/>
    <w:basedOn w:val="a"/>
    <w:next w:val="a"/>
    <w:autoRedefine/>
    <w:uiPriority w:val="39"/>
    <w:unhideWhenUsed/>
    <w:rsid w:val="007F6E00"/>
    <w:pPr>
      <w:ind w:left="240"/>
      <w:jc w:val="left"/>
    </w:pPr>
    <w:rPr>
      <w:rFonts w:asciiTheme="minorHAnsi" w:eastAsiaTheme="minorHAnsi"/>
      <w:smallCaps/>
      <w:sz w:val="20"/>
      <w:szCs w:val="20"/>
    </w:rPr>
  </w:style>
  <w:style w:type="paragraph" w:styleId="TOC3">
    <w:name w:val="toc 3"/>
    <w:basedOn w:val="a"/>
    <w:next w:val="a"/>
    <w:autoRedefine/>
    <w:uiPriority w:val="39"/>
    <w:unhideWhenUsed/>
    <w:rsid w:val="007F6E00"/>
    <w:pPr>
      <w:ind w:left="480"/>
      <w:jc w:val="left"/>
    </w:pPr>
    <w:rPr>
      <w:rFonts w:asciiTheme="minorHAnsi" w:eastAsiaTheme="minorHAnsi"/>
      <w:i/>
      <w:iCs/>
      <w:sz w:val="20"/>
      <w:szCs w:val="20"/>
    </w:rPr>
  </w:style>
  <w:style w:type="paragraph" w:styleId="TOC4">
    <w:name w:val="toc 4"/>
    <w:basedOn w:val="a"/>
    <w:next w:val="a"/>
    <w:autoRedefine/>
    <w:uiPriority w:val="39"/>
    <w:unhideWhenUsed/>
    <w:rsid w:val="007F6E00"/>
    <w:pPr>
      <w:ind w:left="720"/>
      <w:jc w:val="left"/>
    </w:pPr>
    <w:rPr>
      <w:rFonts w:asciiTheme="minorHAnsi" w:eastAsiaTheme="minorHAnsi"/>
      <w:sz w:val="18"/>
      <w:szCs w:val="18"/>
    </w:rPr>
  </w:style>
  <w:style w:type="paragraph" w:styleId="TOC5">
    <w:name w:val="toc 5"/>
    <w:basedOn w:val="a"/>
    <w:next w:val="a"/>
    <w:autoRedefine/>
    <w:uiPriority w:val="39"/>
    <w:unhideWhenUsed/>
    <w:rsid w:val="007F6E00"/>
    <w:pPr>
      <w:ind w:left="960"/>
      <w:jc w:val="left"/>
    </w:pPr>
    <w:rPr>
      <w:rFonts w:asciiTheme="minorHAnsi" w:eastAsiaTheme="minorHAnsi"/>
      <w:sz w:val="18"/>
      <w:szCs w:val="18"/>
    </w:rPr>
  </w:style>
  <w:style w:type="paragraph" w:styleId="TOC6">
    <w:name w:val="toc 6"/>
    <w:basedOn w:val="a"/>
    <w:next w:val="a"/>
    <w:autoRedefine/>
    <w:uiPriority w:val="39"/>
    <w:unhideWhenUsed/>
    <w:rsid w:val="007F6E00"/>
    <w:pPr>
      <w:ind w:left="1200"/>
      <w:jc w:val="left"/>
    </w:pPr>
    <w:rPr>
      <w:rFonts w:asciiTheme="minorHAnsi" w:eastAsiaTheme="minorHAnsi"/>
      <w:sz w:val="18"/>
      <w:szCs w:val="18"/>
    </w:rPr>
  </w:style>
  <w:style w:type="paragraph" w:styleId="TOC7">
    <w:name w:val="toc 7"/>
    <w:basedOn w:val="a"/>
    <w:next w:val="a"/>
    <w:autoRedefine/>
    <w:uiPriority w:val="39"/>
    <w:unhideWhenUsed/>
    <w:rsid w:val="007F6E00"/>
    <w:pPr>
      <w:ind w:left="1440"/>
      <w:jc w:val="left"/>
    </w:pPr>
    <w:rPr>
      <w:rFonts w:asciiTheme="minorHAnsi" w:eastAsiaTheme="minorHAnsi"/>
      <w:sz w:val="18"/>
      <w:szCs w:val="18"/>
    </w:rPr>
  </w:style>
  <w:style w:type="paragraph" w:styleId="TOC8">
    <w:name w:val="toc 8"/>
    <w:basedOn w:val="a"/>
    <w:next w:val="a"/>
    <w:autoRedefine/>
    <w:uiPriority w:val="39"/>
    <w:unhideWhenUsed/>
    <w:rsid w:val="007F6E00"/>
    <w:pPr>
      <w:ind w:left="1680"/>
      <w:jc w:val="left"/>
    </w:pPr>
    <w:rPr>
      <w:rFonts w:asciiTheme="minorHAnsi" w:eastAsiaTheme="minorHAnsi"/>
      <w:sz w:val="18"/>
      <w:szCs w:val="18"/>
    </w:rPr>
  </w:style>
  <w:style w:type="paragraph" w:styleId="TOC9">
    <w:name w:val="toc 9"/>
    <w:basedOn w:val="a"/>
    <w:next w:val="a"/>
    <w:autoRedefine/>
    <w:uiPriority w:val="39"/>
    <w:unhideWhenUsed/>
    <w:rsid w:val="007F6E00"/>
    <w:pPr>
      <w:ind w:left="1920"/>
      <w:jc w:val="left"/>
    </w:pPr>
    <w:rPr>
      <w:rFonts w:asciiTheme="minorHAnsi" w:eastAsiaTheme="minorHAnsi"/>
      <w:sz w:val="18"/>
      <w:szCs w:val="18"/>
    </w:rPr>
  </w:style>
  <w:style w:type="character" w:styleId="a6">
    <w:name w:val="FollowedHyperlink"/>
    <w:basedOn w:val="a0"/>
    <w:uiPriority w:val="99"/>
    <w:semiHidden/>
    <w:unhideWhenUsed/>
    <w:rsid w:val="007F6E00"/>
    <w:rPr>
      <w:color w:val="954F72" w:themeColor="followedHyperlink"/>
      <w:u w:val="single"/>
    </w:rPr>
  </w:style>
  <w:style w:type="paragraph" w:styleId="a7">
    <w:name w:val="header"/>
    <w:basedOn w:val="a"/>
    <w:link w:val="a8"/>
    <w:uiPriority w:val="99"/>
    <w:unhideWhenUsed/>
    <w:rsid w:val="007F6E00"/>
    <w:pPr>
      <w:pBdr>
        <w:bottom w:val="single" w:sz="6" w:space="1" w:color="auto"/>
      </w:pBdr>
      <w:tabs>
        <w:tab w:val="center" w:pos="4153"/>
        <w:tab w:val="right" w:pos="8306"/>
      </w:tabs>
      <w:snapToGrid w:val="0"/>
      <w:spacing w:line="240" w:lineRule="auto"/>
      <w:jc w:val="center"/>
    </w:pPr>
    <w:rPr>
      <w:sz w:val="18"/>
      <w:szCs w:val="18"/>
    </w:rPr>
  </w:style>
  <w:style w:type="character" w:customStyle="1" w:styleId="a8">
    <w:name w:val="页眉 字符"/>
    <w:basedOn w:val="a0"/>
    <w:link w:val="a7"/>
    <w:uiPriority w:val="99"/>
    <w:rsid w:val="007F6E00"/>
    <w:rPr>
      <w:rFonts w:ascii="Times New Roman" w:hAnsi="Times New Roman"/>
      <w:sz w:val="18"/>
      <w:szCs w:val="18"/>
    </w:rPr>
  </w:style>
  <w:style w:type="paragraph" w:styleId="a9">
    <w:name w:val="footer"/>
    <w:basedOn w:val="a"/>
    <w:link w:val="aa"/>
    <w:uiPriority w:val="99"/>
    <w:unhideWhenUsed/>
    <w:rsid w:val="007F6E00"/>
    <w:pPr>
      <w:tabs>
        <w:tab w:val="center" w:pos="4153"/>
        <w:tab w:val="right" w:pos="8306"/>
      </w:tabs>
      <w:snapToGrid w:val="0"/>
      <w:spacing w:line="240" w:lineRule="auto"/>
      <w:jc w:val="left"/>
    </w:pPr>
    <w:rPr>
      <w:sz w:val="18"/>
      <w:szCs w:val="18"/>
    </w:rPr>
  </w:style>
  <w:style w:type="character" w:customStyle="1" w:styleId="aa">
    <w:name w:val="页脚 字符"/>
    <w:basedOn w:val="a0"/>
    <w:link w:val="a9"/>
    <w:uiPriority w:val="99"/>
    <w:rsid w:val="007F6E00"/>
    <w:rPr>
      <w:rFonts w:ascii="Times New Roman" w:hAnsi="Times New Roman"/>
      <w:sz w:val="18"/>
      <w:szCs w:val="18"/>
    </w:rPr>
  </w:style>
  <w:style w:type="character" w:styleId="ab">
    <w:name w:val="Placeholder Text"/>
    <w:basedOn w:val="a0"/>
    <w:uiPriority w:val="99"/>
    <w:semiHidden/>
    <w:rsid w:val="007F6E00"/>
    <w:rPr>
      <w:color w:val="808080"/>
    </w:rPr>
  </w:style>
  <w:style w:type="table" w:styleId="ac">
    <w:name w:val="Table Grid"/>
    <w:basedOn w:val="a1"/>
    <w:uiPriority w:val="39"/>
    <w:rsid w:val="007F6E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Revision"/>
    <w:hidden/>
    <w:uiPriority w:val="99"/>
    <w:semiHidden/>
    <w:rsid w:val="007F6E00"/>
    <w:rPr>
      <w:rFonts w:ascii="Times New Roman" w:hAnsi="Times New Roman"/>
      <w:sz w:val="24"/>
    </w:rPr>
  </w:style>
  <w:style w:type="character" w:styleId="ae">
    <w:name w:val="annotation reference"/>
    <w:basedOn w:val="a0"/>
    <w:uiPriority w:val="99"/>
    <w:semiHidden/>
    <w:unhideWhenUsed/>
    <w:rsid w:val="007F6E00"/>
    <w:rPr>
      <w:sz w:val="16"/>
      <w:szCs w:val="16"/>
    </w:rPr>
  </w:style>
  <w:style w:type="paragraph" w:styleId="af">
    <w:name w:val="annotation text"/>
    <w:basedOn w:val="a"/>
    <w:link w:val="af0"/>
    <w:uiPriority w:val="99"/>
    <w:semiHidden/>
    <w:unhideWhenUsed/>
    <w:rsid w:val="007F6E00"/>
    <w:pPr>
      <w:spacing w:line="240" w:lineRule="auto"/>
    </w:pPr>
    <w:rPr>
      <w:sz w:val="20"/>
      <w:szCs w:val="20"/>
    </w:rPr>
  </w:style>
  <w:style w:type="character" w:customStyle="1" w:styleId="af0">
    <w:name w:val="批注文字 字符"/>
    <w:basedOn w:val="a0"/>
    <w:link w:val="af"/>
    <w:uiPriority w:val="99"/>
    <w:semiHidden/>
    <w:rsid w:val="007F6E00"/>
    <w:rPr>
      <w:rFonts w:ascii="Times New Roman" w:hAnsi="Times New Roman"/>
      <w:sz w:val="20"/>
      <w:szCs w:val="20"/>
    </w:rPr>
  </w:style>
  <w:style w:type="paragraph" w:styleId="af1">
    <w:name w:val="annotation subject"/>
    <w:basedOn w:val="af"/>
    <w:next w:val="af"/>
    <w:link w:val="af2"/>
    <w:uiPriority w:val="99"/>
    <w:semiHidden/>
    <w:unhideWhenUsed/>
    <w:rsid w:val="007F6E00"/>
    <w:rPr>
      <w:b/>
      <w:bCs/>
    </w:rPr>
  </w:style>
  <w:style w:type="character" w:customStyle="1" w:styleId="af2">
    <w:name w:val="批注主题 字符"/>
    <w:basedOn w:val="af0"/>
    <w:link w:val="af1"/>
    <w:uiPriority w:val="99"/>
    <w:semiHidden/>
    <w:rsid w:val="007F6E00"/>
    <w:rPr>
      <w:rFonts w:ascii="Times New Roman" w:hAnsi="Times New Roman"/>
      <w:b/>
      <w:bCs/>
      <w:sz w:val="20"/>
      <w:szCs w:val="20"/>
    </w:rPr>
  </w:style>
  <w:style w:type="character" w:styleId="af3">
    <w:name w:val="line number"/>
    <w:basedOn w:val="a0"/>
    <w:uiPriority w:val="99"/>
    <w:semiHidden/>
    <w:unhideWhenUsed/>
    <w:rsid w:val="007F6E00"/>
  </w:style>
  <w:style w:type="character" w:styleId="af4">
    <w:name w:val="page number"/>
    <w:basedOn w:val="a0"/>
    <w:uiPriority w:val="99"/>
    <w:semiHidden/>
    <w:unhideWhenUsed/>
    <w:rsid w:val="007F6E0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png"/><Relationship Id="rId7" Type="http://schemas.openxmlformats.org/officeDocument/2006/relationships/endnotes" Target="endnotes.xml"/><Relationship Id="rId71"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97CA90-E0DB-1746-86E8-DF68C8520B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126</Pages>
  <Words>19875</Words>
  <Characters>113290</Characters>
  <Application>Microsoft Office Word</Application>
  <DocSecurity>0</DocSecurity>
  <Lines>944</Lines>
  <Paragraphs>265</Paragraphs>
  <ScaleCrop>false</ScaleCrop>
  <Company/>
  <LinksUpToDate>false</LinksUpToDate>
  <CharactersWithSpaces>132900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源 Dy</dc:creator>
  <cp:keywords/>
  <dc:description/>
  <cp:lastModifiedBy>源 Dy</cp:lastModifiedBy>
  <cp:revision>5</cp:revision>
  <dcterms:created xsi:type="dcterms:W3CDTF">2025-07-02T14:52:00Z</dcterms:created>
  <dcterms:modified xsi:type="dcterms:W3CDTF">2025-07-02T17:49:00Z</dcterms:modified>
</cp:coreProperties>
</file>