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eastAsia="宋体"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b/>
          <w:kern w:val="2"/>
          <w:sz w:val="24"/>
          <w:szCs w:val="24"/>
          <w:lang w:val="en-US" w:eastAsia="zh-CN" w:bidi="ar"/>
        </w:rPr>
        <w:t>Additional file 7: Table. S3</w:t>
      </w: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Correlation between the expression level of four hub mRNAs with that of immune checkpoints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cs="Calibri"/>
          <w:sz w:val="24"/>
          <w:szCs w:val="24"/>
          <w:lang w:val="en-US"/>
        </w:rPr>
      </w:pPr>
      <w:r>
        <w:rPr>
          <w:rFonts w:hint="default" w:ascii="Calibri" w:hAnsi="Calibri" w:eastAsia="宋体" w:cs="Calibri"/>
          <w:kern w:val="2"/>
          <w:sz w:val="24"/>
          <w:szCs w:val="24"/>
          <w:lang w:val="en-US" w:eastAsia="zh-CN" w:bidi="ar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Hub mRNA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Immune checkpoints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Correlation coefficient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i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p</w:t>
            </w:r>
            <w:r>
              <w:rPr>
                <w:rFonts w:hint="default" w:ascii="Calibri" w:hAnsi="Calibri" w:eastAsia="宋体" w:cs="Calibri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0.347</w:t>
            </w:r>
          </w:p>
        </w:tc>
        <w:tc>
          <w:tcPr>
            <w:tcW w:w="21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4.17E-13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0.344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7.54E-13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0.361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4.05E-14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0.354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1.44E-13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DPYSL2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1.41E-28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-0.349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3.32E-13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-0.283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5.03E-09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-0.288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2.65E-09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-0.355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1.23E-13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FASN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-0.391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1.98E-16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-0.334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3.47E-12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-0.345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5.79E-13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-0.324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1.68E-11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-0.385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5.58E-16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PCGF3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-0.488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5.78E-26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CTLA4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0.449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9.78E-22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PDCD1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0.328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8.51E-12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TIGIT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0.347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4.60E-13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LAG3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0.436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1.69E-20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TGFBI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HAVCR2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0.591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cs="Calibri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4.30E-40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cs="Calibri"/>
          <w:sz w:val="24"/>
          <w:szCs w:val="24"/>
          <w:lang w:val="en-US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BC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2020-08-31T10:15:05Z</dcterms:created>
  <dc:creator>stevenzhou</dc:creator>
  <cp:lastModifiedBy>Bander骑士™</cp:lastModifiedBy>
  <dcterms:modified xsi:type="dcterms:W3CDTF">2020-08-31T10:15:21Z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