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852" w:rsidRDefault="00413852" w:rsidP="00413852">
      <w:pPr>
        <w:widowControl/>
        <w:spacing w:line="400" w:lineRule="exact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Highlights</w:t>
      </w:r>
    </w:p>
    <w:p w:rsidR="00413852" w:rsidRDefault="00413852" w:rsidP="00413852">
      <w:pPr>
        <w:spacing w:line="480" w:lineRule="auto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 xml:space="preserve">• </w:t>
      </w:r>
      <w:r>
        <w:rPr>
          <w:rFonts w:ascii="Times New Roman" w:hAnsi="Times New Roman" w:hint="eastAsia"/>
          <w:kern w:val="0"/>
          <w:sz w:val="28"/>
          <w:szCs w:val="28"/>
        </w:rPr>
        <w:t>A m</w:t>
      </w:r>
      <w:r>
        <w:rPr>
          <w:rFonts w:ascii="Times New Roman" w:hAnsi="Times New Roman"/>
          <w:kern w:val="0"/>
          <w:sz w:val="28"/>
          <w:szCs w:val="28"/>
        </w:rPr>
        <w:t xml:space="preserve">eta-analysis was conducted </w:t>
      </w:r>
      <w:r>
        <w:rPr>
          <w:rFonts w:ascii="Times New Roman" w:hAnsi="Times New Roman" w:hint="eastAsia"/>
          <w:kern w:val="0"/>
          <w:sz w:val="28"/>
          <w:szCs w:val="28"/>
        </w:rPr>
        <w:t>to evaluate</w:t>
      </w:r>
      <w:r>
        <w:rPr>
          <w:rFonts w:ascii="Times New Roman" w:hAnsi="Times New Roman"/>
          <w:kern w:val="0"/>
          <w:sz w:val="28"/>
          <w:szCs w:val="28"/>
        </w:rPr>
        <w:t xml:space="preserve"> the application effects of </w:t>
      </w:r>
      <w:r>
        <w:rPr>
          <w:rFonts w:ascii="Times New Roman" w:hAnsi="Times New Roman" w:hint="eastAsia"/>
          <w:kern w:val="0"/>
          <w:sz w:val="28"/>
          <w:szCs w:val="28"/>
        </w:rPr>
        <w:t>p</w:t>
      </w:r>
      <w:r>
        <w:rPr>
          <w:rFonts w:ascii="Times New Roman" w:hAnsi="Times New Roman"/>
          <w:kern w:val="0"/>
          <w:sz w:val="28"/>
          <w:szCs w:val="28"/>
        </w:rPr>
        <w:t xml:space="preserve">hosphorus solubilizing </w:t>
      </w:r>
      <w:r>
        <w:rPr>
          <w:rFonts w:ascii="Times New Roman" w:hAnsi="Times New Roman" w:hint="eastAsia"/>
          <w:kern w:val="0"/>
          <w:sz w:val="28"/>
          <w:szCs w:val="28"/>
        </w:rPr>
        <w:t>b</w:t>
      </w:r>
      <w:r>
        <w:rPr>
          <w:rFonts w:ascii="Times New Roman" w:hAnsi="Times New Roman"/>
          <w:kern w:val="0"/>
          <w:sz w:val="28"/>
          <w:szCs w:val="28"/>
        </w:rPr>
        <w:t xml:space="preserve">acteria (PSB) </w:t>
      </w:r>
      <w:r>
        <w:rPr>
          <w:rFonts w:ascii="Times New Roman" w:hAnsi="Times New Roman" w:hint="eastAsia"/>
          <w:kern w:val="0"/>
          <w:sz w:val="28"/>
          <w:szCs w:val="28"/>
        </w:rPr>
        <w:t>using</w:t>
      </w:r>
      <w:r>
        <w:rPr>
          <w:rFonts w:ascii="Times New Roman" w:hAnsi="Times New Roman"/>
          <w:kern w:val="0"/>
          <w:sz w:val="28"/>
          <w:szCs w:val="28"/>
        </w:rPr>
        <w:t xml:space="preserve"> global and </w:t>
      </w:r>
      <w:r>
        <w:rPr>
          <w:rFonts w:ascii="Times New Roman" w:hAnsi="Times New Roman" w:hint="eastAsia"/>
          <w:kern w:val="0"/>
          <w:sz w:val="28"/>
          <w:szCs w:val="28"/>
        </w:rPr>
        <w:t>C</w:t>
      </w:r>
      <w:r>
        <w:rPr>
          <w:rFonts w:ascii="Times New Roman" w:hAnsi="Times New Roman"/>
          <w:kern w:val="0"/>
          <w:sz w:val="28"/>
          <w:szCs w:val="28"/>
        </w:rPr>
        <w:t>hinese databases.</w:t>
      </w:r>
    </w:p>
    <w:p w:rsidR="00413852" w:rsidRDefault="00413852" w:rsidP="00413852">
      <w:pPr>
        <w:spacing w:line="480" w:lineRule="auto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 xml:space="preserve">• Compared with </w:t>
      </w:r>
      <w:r>
        <w:rPr>
          <w:rFonts w:ascii="Times New Roman" w:eastAsia="华文楷体" w:hAnsi="Times New Roman"/>
          <w:kern w:val="0"/>
          <w:sz w:val="28"/>
          <w:szCs w:val="28"/>
        </w:rPr>
        <w:t>non-inoculated</w:t>
      </w:r>
      <w:r>
        <w:rPr>
          <w:rFonts w:ascii="Times New Roman" w:hAnsi="Times New Roman"/>
          <w:kern w:val="0"/>
          <w:sz w:val="28"/>
          <w:szCs w:val="28"/>
        </w:rPr>
        <w:t xml:space="preserve"> PSB, PSB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 </w:t>
      </w:r>
      <w:r>
        <w:rPr>
          <w:rFonts w:ascii="Times New Roman" w:eastAsia="华文楷体" w:hAnsi="Times New Roman"/>
          <w:kern w:val="0"/>
          <w:sz w:val="28"/>
          <w:szCs w:val="28"/>
        </w:rPr>
        <w:t>inoculation</w:t>
      </w:r>
      <w:r>
        <w:rPr>
          <w:rFonts w:ascii="Times New Roman" w:hAnsi="Times New Roman"/>
          <w:kern w:val="0"/>
          <w:sz w:val="28"/>
          <w:szCs w:val="28"/>
        </w:rPr>
        <w:t xml:space="preserve"> increased </w:t>
      </w:r>
      <w:r>
        <w:rPr>
          <w:rFonts w:ascii="Times New Roman" w:hAnsi="Times New Roman" w:hint="eastAsia"/>
          <w:kern w:val="0"/>
          <w:sz w:val="28"/>
          <w:szCs w:val="28"/>
        </w:rPr>
        <w:t>soil</w:t>
      </w:r>
      <w:r>
        <w:rPr>
          <w:rFonts w:ascii="Times New Roman" w:hAnsi="Times New Roman"/>
          <w:kern w:val="0"/>
          <w:sz w:val="28"/>
          <w:szCs w:val="28"/>
        </w:rPr>
        <w:t xml:space="preserve"> available phosphorus, nitrogen, and potassium </w:t>
      </w:r>
      <w:r>
        <w:rPr>
          <w:rFonts w:ascii="Times New Roman" w:hAnsi="Times New Roman" w:hint="eastAsia"/>
          <w:kern w:val="0"/>
          <w:sz w:val="28"/>
          <w:szCs w:val="28"/>
        </w:rPr>
        <w:t>contents</w:t>
      </w:r>
      <w:r>
        <w:rPr>
          <w:rFonts w:ascii="Times New Roman" w:hAnsi="Times New Roman"/>
          <w:kern w:val="0"/>
          <w:sz w:val="28"/>
          <w:szCs w:val="28"/>
        </w:rPr>
        <w:t xml:space="preserve"> by 86.8%, 64.9%, and 41.9%, respectively.</w:t>
      </w:r>
    </w:p>
    <w:p w:rsidR="00413852" w:rsidRDefault="00413852" w:rsidP="00413852">
      <w:pPr>
        <w:widowControl/>
        <w:spacing w:line="480" w:lineRule="auto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>• Under PSB in</w:t>
      </w:r>
      <w:bookmarkStart w:id="0" w:name="_GoBack"/>
      <w:bookmarkEnd w:id="0"/>
      <w:r>
        <w:rPr>
          <w:rFonts w:ascii="Times New Roman" w:hAnsi="Times New Roman"/>
          <w:kern w:val="0"/>
          <w:sz w:val="28"/>
          <w:szCs w:val="28"/>
        </w:rPr>
        <w:t xml:space="preserve">oculation, the increase in soil available phosphorus and nitrogen </w:t>
      </w:r>
      <w:r>
        <w:rPr>
          <w:rFonts w:ascii="Times New Roman" w:hAnsi="Times New Roman" w:hint="eastAsia"/>
          <w:kern w:val="0"/>
          <w:sz w:val="28"/>
          <w:szCs w:val="28"/>
        </w:rPr>
        <w:t>showed</w:t>
      </w:r>
      <w:r>
        <w:rPr>
          <w:rFonts w:ascii="Times New Roman" w:hAnsi="Times New Roman"/>
          <w:kern w:val="0"/>
          <w:sz w:val="28"/>
          <w:szCs w:val="28"/>
        </w:rPr>
        <w:t xml:space="preserve"> positive correlat</w:t>
      </w:r>
      <w:r>
        <w:rPr>
          <w:rFonts w:ascii="Times New Roman" w:hAnsi="Times New Roman" w:hint="eastAsia"/>
          <w:kern w:val="0"/>
          <w:sz w:val="28"/>
          <w:szCs w:val="28"/>
        </w:rPr>
        <w:t>ions</w:t>
      </w:r>
      <w:r>
        <w:rPr>
          <w:rFonts w:ascii="Times New Roman" w:hAnsi="Times New Roman"/>
          <w:kern w:val="0"/>
          <w:sz w:val="28"/>
          <w:szCs w:val="28"/>
        </w:rPr>
        <w:t xml:space="preserve"> with soil organic matter content</w:t>
      </w:r>
      <w:r>
        <w:rPr>
          <w:rFonts w:ascii="Times New Roman" w:hAnsi="Times New Roman" w:hint="eastAsia"/>
          <w:kern w:val="0"/>
          <w:sz w:val="28"/>
          <w:szCs w:val="28"/>
        </w:rPr>
        <w:t>,</w:t>
      </w:r>
      <w:r>
        <w:rPr>
          <w:rFonts w:ascii="Times New Roman" w:hAnsi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hint="eastAsia"/>
          <w:kern w:val="0"/>
          <w:sz w:val="28"/>
          <w:szCs w:val="28"/>
        </w:rPr>
        <w:t>whereas the increment in</w:t>
      </w:r>
      <w:r>
        <w:rPr>
          <w:rFonts w:ascii="Times New Roman" w:hAnsi="Times New Roman"/>
          <w:kern w:val="0"/>
          <w:sz w:val="28"/>
          <w:szCs w:val="28"/>
        </w:rPr>
        <w:t xml:space="preserve"> soil available phosphorus </w:t>
      </w:r>
      <w:r>
        <w:rPr>
          <w:rFonts w:ascii="Times New Roman" w:hAnsi="Times New Roman" w:hint="eastAsia"/>
          <w:kern w:val="0"/>
          <w:sz w:val="28"/>
          <w:szCs w:val="28"/>
        </w:rPr>
        <w:t>exhibited a</w:t>
      </w:r>
      <w:r>
        <w:rPr>
          <w:rFonts w:ascii="Times New Roman" w:hAnsi="Times New Roman"/>
          <w:kern w:val="0"/>
          <w:sz w:val="28"/>
          <w:szCs w:val="28"/>
        </w:rPr>
        <w:t xml:space="preserve"> negative correlat</w:t>
      </w:r>
      <w:r>
        <w:rPr>
          <w:rFonts w:ascii="Times New Roman" w:hAnsi="Times New Roman" w:hint="eastAsia"/>
          <w:kern w:val="0"/>
          <w:sz w:val="28"/>
          <w:szCs w:val="28"/>
        </w:rPr>
        <w:t>ion</w:t>
      </w:r>
      <w:r>
        <w:rPr>
          <w:rFonts w:ascii="Times New Roman" w:hAnsi="Times New Roman"/>
          <w:kern w:val="0"/>
          <w:sz w:val="28"/>
          <w:szCs w:val="28"/>
        </w:rPr>
        <w:t xml:space="preserve"> with soil pH.</w:t>
      </w:r>
    </w:p>
    <w:p w:rsidR="00413852" w:rsidRDefault="00413852" w:rsidP="00413852">
      <w:pPr>
        <w:widowControl/>
        <w:spacing w:line="480" w:lineRule="auto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 xml:space="preserve">• 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The </w:t>
      </w:r>
      <w:r>
        <w:rPr>
          <w:rFonts w:ascii="Times New Roman" w:hAnsi="Times New Roman"/>
          <w:kern w:val="0"/>
          <w:sz w:val="28"/>
          <w:szCs w:val="28"/>
        </w:rPr>
        <w:t>type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s of </w:t>
      </w:r>
      <w:r>
        <w:rPr>
          <w:rFonts w:ascii="Times New Roman" w:hAnsi="Times New Roman"/>
          <w:kern w:val="0"/>
          <w:sz w:val="28"/>
          <w:szCs w:val="28"/>
        </w:rPr>
        <w:t>PSB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 were identified as</w:t>
      </w:r>
      <w:r>
        <w:rPr>
          <w:rFonts w:ascii="Times New Roman" w:hAnsi="Times New Roman"/>
          <w:kern w:val="0"/>
          <w:sz w:val="28"/>
          <w:szCs w:val="28"/>
        </w:rPr>
        <w:t xml:space="preserve"> the main factor affecting the </w:t>
      </w:r>
      <w:r>
        <w:rPr>
          <w:rFonts w:ascii="Times New Roman" w:hAnsi="Times New Roman" w:hint="eastAsia"/>
          <w:kern w:val="0"/>
          <w:sz w:val="28"/>
          <w:szCs w:val="28"/>
        </w:rPr>
        <w:t>enhancement of</w:t>
      </w:r>
      <w:r>
        <w:rPr>
          <w:rFonts w:ascii="Times New Roman" w:hAnsi="Times New Roman"/>
          <w:kern w:val="0"/>
          <w:sz w:val="28"/>
          <w:szCs w:val="28"/>
        </w:rPr>
        <w:t xml:space="preserve"> soil available phosphorus, nitrogen, and potassium content</w:t>
      </w:r>
      <w:r>
        <w:rPr>
          <w:rFonts w:ascii="Times New Roman" w:hAnsi="Times New Roman" w:hint="eastAsia"/>
          <w:kern w:val="0"/>
          <w:sz w:val="28"/>
          <w:szCs w:val="28"/>
        </w:rPr>
        <w:t>s</w:t>
      </w:r>
      <w:r>
        <w:rPr>
          <w:rFonts w:ascii="Times New Roman" w:hAnsi="Times New Roman"/>
          <w:kern w:val="0"/>
          <w:sz w:val="28"/>
          <w:szCs w:val="28"/>
        </w:rPr>
        <w:t xml:space="preserve"> by PSB.</w:t>
      </w:r>
    </w:p>
    <w:p w:rsidR="00413852" w:rsidRDefault="00413852" w:rsidP="00413852"/>
    <w:p w:rsidR="0097518C" w:rsidRDefault="00413852"/>
    <w:sectPr w:rsidR="00975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852"/>
    <w:rsid w:val="00413852"/>
    <w:rsid w:val="0074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85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85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>QBPC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2025-06-29T12:56:00Z</dcterms:created>
  <dcterms:modified xsi:type="dcterms:W3CDTF">2025-06-29T12:56:00Z</dcterms:modified>
</cp:coreProperties>
</file>