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FD13849" w14:textId="2AC592FB" w:rsidR="008B782E" w:rsidRDefault="0086382B" w:rsidP="00396312">
      <w:pPr>
        <w:pStyle w:val="ListParagraph"/>
        <w:spacing w:after="0" w:line="480" w:lineRule="auto"/>
        <w:ind w:left="0"/>
        <w:rPr>
          <w:rFonts w:ascii="Arial" w:hAnsi="Arial" w:cs="Arial"/>
          <w:b/>
          <w:bCs/>
        </w:rPr>
      </w:pPr>
      <w:r>
        <w:rPr>
          <w:rFonts w:ascii="Arial" w:hAnsi="Arial" w:cs="Arial"/>
          <w:b/>
          <w:bCs/>
        </w:rPr>
        <w:t>Additional file 1</w:t>
      </w:r>
      <w:r w:rsidR="008B782E" w:rsidRPr="00305A1B">
        <w:rPr>
          <w:rFonts w:ascii="Arial" w:hAnsi="Arial" w:cs="Arial"/>
          <w:b/>
          <w:bCs/>
        </w:rPr>
        <w:t>:</w:t>
      </w:r>
    </w:p>
    <w:p w14:paraId="78A47C4D" w14:textId="59417CFF" w:rsidR="00FE59D9" w:rsidRDefault="00FE59D9" w:rsidP="00396312">
      <w:pPr>
        <w:pStyle w:val="ListParagraph"/>
        <w:spacing w:after="0" w:line="480" w:lineRule="auto"/>
        <w:ind w:left="0"/>
        <w:rPr>
          <w:rFonts w:ascii="Arial" w:hAnsi="Arial" w:cs="Arial"/>
          <w:b/>
          <w:bCs/>
        </w:rPr>
      </w:pPr>
    </w:p>
    <w:p w14:paraId="4065398C" w14:textId="3561ABAD" w:rsidR="00FE59D9" w:rsidRDefault="00FE59D9" w:rsidP="00396312">
      <w:pPr>
        <w:pStyle w:val="ListParagraph"/>
        <w:spacing w:after="0" w:line="480" w:lineRule="auto"/>
        <w:ind w:left="0"/>
        <w:rPr>
          <w:rFonts w:ascii="Arial" w:hAnsi="Arial" w:cs="Arial"/>
          <w:b/>
          <w:bCs/>
        </w:rPr>
      </w:pPr>
      <w:r>
        <w:rPr>
          <w:rFonts w:ascii="Arial" w:hAnsi="Arial" w:cs="Arial"/>
          <w:b/>
          <w:bCs/>
        </w:rPr>
        <w:t>Methods:</w:t>
      </w:r>
    </w:p>
    <w:p w14:paraId="7CBDC7B1" w14:textId="77777777" w:rsidR="00FE59D9" w:rsidRDefault="00FE59D9" w:rsidP="00396312">
      <w:pPr>
        <w:spacing w:after="0" w:line="480" w:lineRule="auto"/>
        <w:rPr>
          <w:rFonts w:ascii="Arial" w:hAnsi="Arial" w:cs="Arial"/>
          <w:bCs/>
          <w:i/>
          <w:iCs/>
        </w:rPr>
      </w:pPr>
    </w:p>
    <w:p w14:paraId="295C0F79" w14:textId="6A712225" w:rsidR="00FE59D9" w:rsidRDefault="00FE59D9" w:rsidP="00396312">
      <w:pPr>
        <w:spacing w:after="0" w:line="480" w:lineRule="auto"/>
        <w:rPr>
          <w:rFonts w:ascii="Arial" w:hAnsi="Arial" w:cs="Arial"/>
          <w:b/>
          <w:bCs/>
        </w:rPr>
      </w:pPr>
      <w:r w:rsidRPr="005D4678">
        <w:rPr>
          <w:rFonts w:ascii="Arial" w:hAnsi="Arial" w:cs="Arial"/>
          <w:bCs/>
          <w:i/>
          <w:iCs/>
        </w:rPr>
        <w:t xml:space="preserve">MHC sequencing </w:t>
      </w:r>
    </w:p>
    <w:p w14:paraId="2BAB2C17" w14:textId="60C73F93" w:rsidR="00FE59D9" w:rsidRDefault="00FE59D9" w:rsidP="00396312">
      <w:pPr>
        <w:pStyle w:val="ListParagraph"/>
        <w:spacing w:after="0" w:line="480" w:lineRule="auto"/>
        <w:ind w:left="0"/>
        <w:rPr>
          <w:rFonts w:ascii="Arial" w:hAnsi="Arial" w:cs="Arial"/>
          <w:b/>
          <w:bCs/>
        </w:rPr>
      </w:pPr>
    </w:p>
    <w:p w14:paraId="404594B5" w14:textId="77777777" w:rsidR="00FE59D9" w:rsidRPr="005D4678" w:rsidRDefault="00FE59D9" w:rsidP="00396312">
      <w:pPr>
        <w:pStyle w:val="ListParagraph"/>
        <w:spacing w:after="0" w:line="480" w:lineRule="auto"/>
        <w:ind w:left="0"/>
        <w:rPr>
          <w:rFonts w:ascii="Arial" w:hAnsi="Arial" w:cs="Arial"/>
        </w:rPr>
      </w:pPr>
      <w:r w:rsidRPr="005D4678">
        <w:rPr>
          <w:rFonts w:ascii="Arial" w:hAnsi="Arial" w:cs="Arial"/>
        </w:rPr>
        <w:t xml:space="preserve">All gDNA was normalised to 10 ng/ul. PCR1 amplification occurred in a total volume of 20 µl and used 2 µl gDNA (20 ng), 2 µl of forward and reverse MHC specific primers (5 µM, </w:t>
      </w:r>
      <w:r w:rsidRPr="005D4678">
        <w:rPr>
          <w:rFonts w:ascii="Arial" w:eastAsia="Times New Roman" w:hAnsi="Arial" w:cs="Arial"/>
          <w:lang w:eastAsia="en-GB"/>
        </w:rPr>
        <w:t xml:space="preserve">Additional file 1: </w:t>
      </w:r>
      <w:r w:rsidRPr="005D4678">
        <w:rPr>
          <w:rFonts w:ascii="Arial" w:hAnsi="Arial" w:cs="Arial"/>
        </w:rPr>
        <w:t xml:space="preserve">Table S1), 10 µl of 2x Qiagen Multiplex PCR Master Mix </w:t>
      </w:r>
      <w:r w:rsidRPr="005D4678">
        <w:rPr>
          <w:rFonts w:ascii="Arial" w:hAnsi="Arial" w:cs="Arial"/>
          <w:shd w:val="clear" w:color="auto" w:fill="FFFFFF"/>
        </w:rPr>
        <w:t xml:space="preserve">(Qiagen) </w:t>
      </w:r>
      <w:r w:rsidRPr="005D4678">
        <w:rPr>
          <w:rFonts w:ascii="Arial" w:hAnsi="Arial" w:cs="Arial"/>
        </w:rPr>
        <w:t xml:space="preserve">and 4 </w:t>
      </w:r>
      <w:proofErr w:type="spellStart"/>
      <w:r w:rsidRPr="005D4678">
        <w:rPr>
          <w:rFonts w:ascii="Arial" w:hAnsi="Arial" w:cs="Arial"/>
        </w:rPr>
        <w:t>μl</w:t>
      </w:r>
      <w:proofErr w:type="spellEnd"/>
      <w:r w:rsidRPr="005D4678">
        <w:rPr>
          <w:rFonts w:ascii="Arial" w:hAnsi="Arial" w:cs="Arial"/>
        </w:rPr>
        <w:t xml:space="preserve"> of sterile double-distilled water. PCR1 conditions were as follows: 95°C for 15 minutes followed by cycling (35x) conditions of 94°C for 30 seconds, 61°C for 90 seconds and 72°C for 60 seconds, and a final elongation step at 72°C for 10 minutes. Products were verified on a 1% agarose gel and cleaned using </w:t>
      </w:r>
      <w:proofErr w:type="spellStart"/>
      <w:r w:rsidRPr="005D4678">
        <w:rPr>
          <w:rFonts w:ascii="Arial" w:hAnsi="Arial" w:cs="Arial"/>
        </w:rPr>
        <w:t>AmPure</w:t>
      </w:r>
      <w:proofErr w:type="spellEnd"/>
      <w:r w:rsidRPr="005D4678">
        <w:rPr>
          <w:rFonts w:ascii="Arial" w:hAnsi="Arial" w:cs="Arial"/>
        </w:rPr>
        <w:t xml:space="preserve"> XP beads at a 1:1 ratio following</w:t>
      </w:r>
      <w:r w:rsidRPr="005D4678">
        <w:rPr>
          <w:rFonts w:ascii="Arial" w:hAnsi="Arial" w:cs="Arial"/>
          <w:shd w:val="clear" w:color="auto" w:fill="FFFFFF"/>
        </w:rPr>
        <w:t xml:space="preserve"> the </w:t>
      </w:r>
      <w:proofErr w:type="spellStart"/>
      <w:r w:rsidRPr="005D4678">
        <w:rPr>
          <w:rFonts w:ascii="Arial" w:hAnsi="Arial" w:cs="Arial"/>
          <w:shd w:val="clear" w:color="auto" w:fill="FFFFFF"/>
        </w:rPr>
        <w:t>Agencourt</w:t>
      </w:r>
      <w:proofErr w:type="spellEnd"/>
      <w:r w:rsidRPr="005D4678">
        <w:rPr>
          <w:rFonts w:ascii="Arial" w:hAnsi="Arial" w:cs="Arial"/>
          <w:shd w:val="clear" w:color="auto" w:fill="FFFFFF"/>
        </w:rPr>
        <w:t xml:space="preserve"> </w:t>
      </w:r>
      <w:proofErr w:type="spellStart"/>
      <w:r w:rsidRPr="005D4678">
        <w:rPr>
          <w:rFonts w:ascii="Arial" w:hAnsi="Arial" w:cs="Arial"/>
          <w:shd w:val="clear" w:color="auto" w:fill="FFFFFF"/>
        </w:rPr>
        <w:t>AMPure</w:t>
      </w:r>
      <w:proofErr w:type="spellEnd"/>
      <w:r w:rsidRPr="005D4678">
        <w:rPr>
          <w:rFonts w:ascii="Arial" w:hAnsi="Arial" w:cs="Arial"/>
          <w:shd w:val="clear" w:color="auto" w:fill="FFFFFF"/>
        </w:rPr>
        <w:t xml:space="preserve"> XP PCR Purification Kit protocol (Beckman Coulter Genomics, Indianapolis) to remove primer dimers and nontarget DNA fragments. </w:t>
      </w:r>
      <w:r w:rsidRPr="005D4678">
        <w:rPr>
          <w:rFonts w:ascii="Arial" w:hAnsi="Arial" w:cs="Arial"/>
        </w:rPr>
        <w:t xml:space="preserve">Purified products were resuspended in 15 </w:t>
      </w:r>
      <w:proofErr w:type="spellStart"/>
      <w:r w:rsidRPr="005D4678">
        <w:rPr>
          <w:rFonts w:ascii="Arial" w:hAnsi="Arial" w:cs="Arial"/>
        </w:rPr>
        <w:t>μl</w:t>
      </w:r>
      <w:proofErr w:type="spellEnd"/>
      <w:r w:rsidRPr="005D4678">
        <w:rPr>
          <w:rFonts w:ascii="Arial" w:hAnsi="Arial" w:cs="Arial"/>
        </w:rPr>
        <w:t xml:space="preserve"> of low TE. Following this, cleaned PCR1 products from the two MHC-I primer combinations (forward primers: HN36 and HN38, </w:t>
      </w:r>
      <w:r w:rsidRPr="005D4678">
        <w:rPr>
          <w:rFonts w:ascii="Arial" w:eastAsia="Times New Roman" w:hAnsi="Arial" w:cs="Arial"/>
          <w:lang w:eastAsia="en-GB"/>
        </w:rPr>
        <w:t xml:space="preserve">Additional file 1: </w:t>
      </w:r>
      <w:r w:rsidRPr="005D4678">
        <w:rPr>
          <w:rFonts w:ascii="Arial" w:hAnsi="Arial" w:cs="Arial"/>
        </w:rPr>
        <w:t>Table S1) were combined. Second</w:t>
      </w:r>
      <w:r>
        <w:rPr>
          <w:rFonts w:ascii="Arial" w:hAnsi="Arial" w:cs="Arial"/>
        </w:rPr>
        <w:t>-</w:t>
      </w:r>
      <w:r w:rsidRPr="005D4678">
        <w:rPr>
          <w:rFonts w:ascii="Arial" w:hAnsi="Arial" w:cs="Arial"/>
        </w:rPr>
        <w:t xml:space="preserve">round PCR (PCR2) amplification to add Illumina indexes </w:t>
      </w:r>
      <w:r>
        <w:rPr>
          <w:rFonts w:ascii="Arial" w:hAnsi="Arial" w:cs="Arial"/>
        </w:rPr>
        <w:t>was undertaken</w:t>
      </w:r>
      <w:r w:rsidRPr="005D4678">
        <w:rPr>
          <w:rFonts w:ascii="Arial" w:hAnsi="Arial" w:cs="Arial"/>
        </w:rPr>
        <w:t xml:space="preserve"> in a total volume of 20 µl and used 8 </w:t>
      </w:r>
      <w:proofErr w:type="spellStart"/>
      <w:r w:rsidRPr="005D4678">
        <w:rPr>
          <w:rFonts w:ascii="Arial" w:hAnsi="Arial" w:cs="Arial"/>
        </w:rPr>
        <w:t>μl</w:t>
      </w:r>
      <w:proofErr w:type="spellEnd"/>
      <w:r w:rsidRPr="005D4678">
        <w:rPr>
          <w:rFonts w:ascii="Arial" w:hAnsi="Arial" w:cs="Arial"/>
        </w:rPr>
        <w:t xml:space="preserve"> of template (separately for pooled products from PCR1 for MHC-I, and PCR1 products for MHC-II), 1 µl of Fi5 and Ri7 illumina indexes (2 µM), and 10 µl of 2x Qiagen Multiplex PCR Master Mix </w:t>
      </w:r>
      <w:r w:rsidRPr="005D4678">
        <w:rPr>
          <w:rFonts w:ascii="Arial" w:hAnsi="Arial" w:cs="Arial"/>
          <w:shd w:val="clear" w:color="auto" w:fill="FFFFFF"/>
        </w:rPr>
        <w:t>(Qiagen)</w:t>
      </w:r>
      <w:r w:rsidRPr="005D4678">
        <w:rPr>
          <w:rFonts w:ascii="Arial" w:hAnsi="Arial" w:cs="Arial"/>
        </w:rPr>
        <w:t>. PCR2 conditions were as follows: 95°C for 15 minutes followed by cycling (12x) conditions of 98°C for 10 seconds, 65°C for 30 seconds and 72°C for 30 seconds, and a final elongation step at 72°C for 10 minutes.</w:t>
      </w:r>
    </w:p>
    <w:p w14:paraId="4866AD42" w14:textId="77777777" w:rsidR="00FE59D9" w:rsidRPr="005D4678" w:rsidRDefault="00FE59D9" w:rsidP="00396312">
      <w:pPr>
        <w:pStyle w:val="ListParagraph"/>
        <w:spacing w:after="0" w:line="480" w:lineRule="auto"/>
        <w:rPr>
          <w:rFonts w:ascii="Arial" w:hAnsi="Arial" w:cs="Arial"/>
        </w:rPr>
      </w:pPr>
    </w:p>
    <w:p w14:paraId="26119E16" w14:textId="1137C2CE" w:rsidR="00FE59D9" w:rsidRDefault="00FE59D9" w:rsidP="00396312">
      <w:pPr>
        <w:pStyle w:val="ListParagraph"/>
        <w:spacing w:after="0" w:line="480" w:lineRule="auto"/>
        <w:ind w:left="0"/>
        <w:rPr>
          <w:rFonts w:ascii="Arial" w:hAnsi="Arial" w:cs="Arial"/>
        </w:rPr>
      </w:pPr>
      <w:r w:rsidRPr="005D4678">
        <w:rPr>
          <w:rFonts w:ascii="Arial" w:hAnsi="Arial" w:cs="Arial"/>
        </w:rPr>
        <w:t>Peak distribution</w:t>
      </w:r>
      <w:r>
        <w:rPr>
          <w:rFonts w:ascii="Arial" w:hAnsi="Arial" w:cs="Arial"/>
        </w:rPr>
        <w:t>s</w:t>
      </w:r>
      <w:r w:rsidRPr="005D4678">
        <w:rPr>
          <w:rFonts w:ascii="Arial" w:hAnsi="Arial" w:cs="Arial"/>
        </w:rPr>
        <w:t xml:space="preserve"> from products before and after PCR2 were checked using an Agilent </w:t>
      </w:r>
      <w:proofErr w:type="spellStart"/>
      <w:r w:rsidRPr="005D4678">
        <w:rPr>
          <w:rFonts w:ascii="Arial" w:hAnsi="Arial" w:cs="Arial"/>
        </w:rPr>
        <w:t>Tapestation</w:t>
      </w:r>
      <w:proofErr w:type="spellEnd"/>
      <w:r w:rsidRPr="005D4678">
        <w:rPr>
          <w:rFonts w:ascii="Arial" w:hAnsi="Arial" w:cs="Arial"/>
        </w:rPr>
        <w:t xml:space="preserve"> 4200 </w:t>
      </w:r>
      <w:r w:rsidRPr="005D4678">
        <w:rPr>
          <w:rFonts w:ascii="Arial" w:hAnsi="Arial" w:cs="Arial"/>
          <w:shd w:val="clear" w:color="auto" w:fill="FFFFFF"/>
        </w:rPr>
        <w:t xml:space="preserve">(Agilent Technologies) </w:t>
      </w:r>
      <w:r>
        <w:rPr>
          <w:rFonts w:ascii="Arial" w:hAnsi="Arial" w:cs="Arial"/>
        </w:rPr>
        <w:t>for</w:t>
      </w:r>
      <w:r w:rsidRPr="005D4678">
        <w:rPr>
          <w:rFonts w:ascii="Arial" w:hAnsi="Arial" w:cs="Arial"/>
        </w:rPr>
        <w:t xml:space="preserve"> a subset of 8 samples to confirm barcodes had been attached. Concentrations of all PCR2 products were then quantified using </w:t>
      </w:r>
      <w:r>
        <w:rPr>
          <w:rFonts w:ascii="Arial" w:hAnsi="Arial" w:cs="Arial"/>
        </w:rPr>
        <w:t xml:space="preserve">a </w:t>
      </w:r>
      <w:proofErr w:type="spellStart"/>
      <w:r w:rsidRPr="005D4678">
        <w:rPr>
          <w:rFonts w:ascii="Arial" w:hAnsi="Arial" w:cs="Arial"/>
        </w:rPr>
        <w:t>QuantiFluor</w:t>
      </w:r>
      <w:proofErr w:type="spellEnd"/>
      <w:r w:rsidRPr="005D4678">
        <w:rPr>
          <w:rFonts w:ascii="Arial" w:hAnsi="Arial" w:cs="Arial"/>
        </w:rPr>
        <w:t xml:space="preserve"> dsDNA </w:t>
      </w:r>
      <w:r w:rsidRPr="005D4678">
        <w:rPr>
          <w:rFonts w:ascii="Arial" w:hAnsi="Arial" w:cs="Arial"/>
        </w:rPr>
        <w:lastRenderedPageBreak/>
        <w:t xml:space="preserve">kit (Promega) assay. Subsequently, MHC-I and MHC-II PCR2 products were separately pooled on an equimolar basis into groups of 24, resulting in a total of 26 pools, each pool equalised to 80 ng in 20 µl. Pooled amplicons were cleaned first with a 0.5 amplicon :1 ratio, and then again with a 1:1 ratio, of </w:t>
      </w:r>
      <w:proofErr w:type="spellStart"/>
      <w:r w:rsidRPr="005D4678">
        <w:rPr>
          <w:rFonts w:ascii="Arial" w:hAnsi="Arial" w:cs="Arial"/>
        </w:rPr>
        <w:t>AmPure</w:t>
      </w:r>
      <w:proofErr w:type="spellEnd"/>
      <w:r w:rsidRPr="005D4678">
        <w:rPr>
          <w:rFonts w:ascii="Arial" w:hAnsi="Arial" w:cs="Arial"/>
        </w:rPr>
        <w:t xml:space="preserve"> XP beads</w:t>
      </w:r>
      <w:r>
        <w:rPr>
          <w:rFonts w:ascii="Arial" w:hAnsi="Arial" w:cs="Arial"/>
        </w:rPr>
        <w:t>,</w:t>
      </w:r>
      <w:r w:rsidRPr="005D4678">
        <w:rPr>
          <w:rFonts w:ascii="Arial" w:hAnsi="Arial" w:cs="Arial"/>
        </w:rPr>
        <w:t xml:space="preserve"> and eluted with 20 </w:t>
      </w:r>
      <w:proofErr w:type="spellStart"/>
      <w:r w:rsidRPr="005D4678">
        <w:rPr>
          <w:rFonts w:ascii="Arial" w:hAnsi="Arial" w:cs="Arial"/>
        </w:rPr>
        <w:t>μl</w:t>
      </w:r>
      <w:proofErr w:type="spellEnd"/>
      <w:r w:rsidRPr="005D4678">
        <w:rPr>
          <w:rFonts w:ascii="Arial" w:hAnsi="Arial" w:cs="Arial"/>
        </w:rPr>
        <w:t xml:space="preserve"> of low TE. Each pool was quantified via qPCR</w:t>
      </w:r>
      <w:r w:rsidRPr="005D4678">
        <w:rPr>
          <w:rFonts w:ascii="Arial" w:hAnsi="Arial" w:cs="Arial"/>
          <w:shd w:val="clear" w:color="auto" w:fill="FFFFFF"/>
        </w:rPr>
        <w:t xml:space="preserve"> (Applied Biosystems, California)</w:t>
      </w:r>
      <w:r w:rsidRPr="005D4678">
        <w:rPr>
          <w:rFonts w:ascii="Arial" w:hAnsi="Arial" w:cs="Arial"/>
        </w:rPr>
        <w:t xml:space="preserve"> using the</w:t>
      </w:r>
      <w:r w:rsidRPr="005D4678">
        <w:rPr>
          <w:rFonts w:ascii="Arial" w:hAnsi="Arial" w:cs="Arial"/>
          <w:shd w:val="clear" w:color="auto" w:fill="FFFFFF"/>
        </w:rPr>
        <w:t xml:space="preserve"> KAPPA library quantification kit (Kappa Biosystem)</w:t>
      </w:r>
      <w:r w:rsidRPr="005D4678">
        <w:rPr>
          <w:rFonts w:ascii="Arial" w:hAnsi="Arial" w:cs="Arial"/>
        </w:rPr>
        <w:t xml:space="preserve"> and checked using a Qubit</w:t>
      </w:r>
      <w:r w:rsidRPr="005D4678">
        <w:rPr>
          <w:rFonts w:ascii="Arial" w:hAnsi="Arial" w:cs="Arial"/>
          <w:vertAlign w:val="superscript"/>
        </w:rPr>
        <w:t xml:space="preserve"> </w:t>
      </w:r>
      <w:r w:rsidRPr="005D4678">
        <w:rPr>
          <w:rFonts w:ascii="Arial" w:hAnsi="Arial" w:cs="Arial"/>
        </w:rPr>
        <w:t>4.0 Fluorometer (Invitrogen, Carlsbad) with a Qubit dsDNA BR assay kit (Invitrogen, Carlsbad) before being pooled to create two pools (MHC-I and MHC-II)</w:t>
      </w:r>
      <w:r>
        <w:rPr>
          <w:rFonts w:ascii="Arial" w:hAnsi="Arial" w:cs="Arial"/>
        </w:rPr>
        <w:t>,</w:t>
      </w:r>
      <w:r w:rsidRPr="005D4678">
        <w:rPr>
          <w:rFonts w:ascii="Arial" w:hAnsi="Arial" w:cs="Arial"/>
        </w:rPr>
        <w:t xml:space="preserve"> </w:t>
      </w:r>
      <w:r>
        <w:rPr>
          <w:rFonts w:ascii="Arial" w:hAnsi="Arial" w:cs="Arial"/>
        </w:rPr>
        <w:t>each</w:t>
      </w:r>
      <w:r w:rsidRPr="005D4678">
        <w:rPr>
          <w:rFonts w:ascii="Arial" w:hAnsi="Arial" w:cs="Arial"/>
        </w:rPr>
        <w:t xml:space="preserve"> at 4 </w:t>
      </w:r>
      <w:proofErr w:type="spellStart"/>
      <w:r w:rsidRPr="005D4678">
        <w:rPr>
          <w:rFonts w:ascii="Arial" w:hAnsi="Arial" w:cs="Arial"/>
        </w:rPr>
        <w:t>nM.</w:t>
      </w:r>
      <w:proofErr w:type="spellEnd"/>
      <w:r w:rsidRPr="005D4678">
        <w:rPr>
          <w:rFonts w:ascii="Arial" w:hAnsi="Arial" w:cs="Arial"/>
        </w:rPr>
        <w:t xml:space="preserve"> Each final amplicon pool was purified, and size selected </w:t>
      </w:r>
      <w:r>
        <w:rPr>
          <w:rFonts w:ascii="Arial" w:hAnsi="Arial" w:cs="Arial"/>
        </w:rPr>
        <w:t>using</w:t>
      </w:r>
      <w:r w:rsidRPr="005D4678">
        <w:rPr>
          <w:rFonts w:ascii="Arial" w:hAnsi="Arial" w:cs="Arial"/>
        </w:rPr>
        <w:t xml:space="preserve"> Pippin prep. Final concentrations were quantified with qPCR, and correct peak distribution checked with the Agilent </w:t>
      </w:r>
      <w:proofErr w:type="spellStart"/>
      <w:r w:rsidRPr="005D4678">
        <w:rPr>
          <w:rFonts w:ascii="Arial" w:hAnsi="Arial" w:cs="Arial"/>
        </w:rPr>
        <w:t>Tapestation</w:t>
      </w:r>
      <w:proofErr w:type="spellEnd"/>
      <w:r w:rsidRPr="005D4678">
        <w:rPr>
          <w:rFonts w:ascii="Arial" w:hAnsi="Arial" w:cs="Arial"/>
        </w:rPr>
        <w:t xml:space="preserve"> 4200 </w:t>
      </w:r>
      <w:r w:rsidRPr="005D4678">
        <w:rPr>
          <w:rFonts w:ascii="Arial" w:hAnsi="Arial" w:cs="Arial"/>
          <w:shd w:val="clear" w:color="auto" w:fill="FFFFFF"/>
        </w:rPr>
        <w:t>(Agilent Technologies)</w:t>
      </w:r>
      <w:r w:rsidRPr="005D4678">
        <w:rPr>
          <w:rFonts w:ascii="Arial" w:hAnsi="Arial" w:cs="Arial"/>
        </w:rPr>
        <w:t xml:space="preserve"> before the MHC class I and II pools were combined at a 4 </w:t>
      </w:r>
      <w:proofErr w:type="spellStart"/>
      <w:r w:rsidRPr="005D4678">
        <w:rPr>
          <w:rFonts w:ascii="Arial" w:hAnsi="Arial" w:cs="Arial"/>
        </w:rPr>
        <w:t>nM</w:t>
      </w:r>
      <w:proofErr w:type="spellEnd"/>
      <w:r w:rsidRPr="005D4678">
        <w:rPr>
          <w:rFonts w:ascii="Arial" w:hAnsi="Arial" w:cs="Arial"/>
        </w:rPr>
        <w:t xml:space="preserve"> concentration for subsequent sequencing using 2x</w:t>
      </w:r>
      <w:r>
        <w:rPr>
          <w:rFonts w:ascii="Arial" w:hAnsi="Arial" w:cs="Arial"/>
        </w:rPr>
        <w:t xml:space="preserve"> </w:t>
      </w:r>
      <w:r w:rsidRPr="005D4678">
        <w:rPr>
          <w:rFonts w:ascii="Arial" w:hAnsi="Arial" w:cs="Arial"/>
        </w:rPr>
        <w:t>250</w:t>
      </w:r>
      <w:r>
        <w:rPr>
          <w:rFonts w:ascii="Arial" w:hAnsi="Arial" w:cs="Arial"/>
        </w:rPr>
        <w:t>-</w:t>
      </w:r>
      <w:r w:rsidRPr="005D4678">
        <w:rPr>
          <w:rFonts w:ascii="Arial" w:hAnsi="Arial" w:cs="Arial"/>
        </w:rPr>
        <w:t xml:space="preserve">bp paired-end </w:t>
      </w:r>
      <w:r>
        <w:rPr>
          <w:rFonts w:ascii="Arial" w:hAnsi="Arial" w:cs="Arial"/>
        </w:rPr>
        <w:t xml:space="preserve">sequencing on an </w:t>
      </w:r>
      <w:r w:rsidRPr="005D4678">
        <w:rPr>
          <w:rFonts w:ascii="Arial" w:hAnsi="Arial" w:cs="Arial"/>
        </w:rPr>
        <w:t xml:space="preserve">Illumina </w:t>
      </w:r>
      <w:proofErr w:type="spellStart"/>
      <w:r w:rsidRPr="005D4678">
        <w:rPr>
          <w:rFonts w:ascii="Arial" w:hAnsi="Arial" w:cs="Arial"/>
        </w:rPr>
        <w:t>MiSeq</w:t>
      </w:r>
      <w:proofErr w:type="spellEnd"/>
      <w:r w:rsidRPr="005D4678">
        <w:rPr>
          <w:rFonts w:ascii="Arial" w:hAnsi="Arial" w:cs="Arial"/>
        </w:rPr>
        <w:t xml:space="preserve"> (Illumina, San Diego). </w:t>
      </w:r>
    </w:p>
    <w:p w14:paraId="233918C0" w14:textId="60775544" w:rsidR="00FE59D9" w:rsidRDefault="00FE59D9" w:rsidP="00396312">
      <w:pPr>
        <w:pStyle w:val="ListParagraph"/>
        <w:spacing w:after="0" w:line="480" w:lineRule="auto"/>
        <w:ind w:left="0"/>
        <w:rPr>
          <w:rFonts w:ascii="Arial" w:hAnsi="Arial" w:cs="Arial"/>
        </w:rPr>
      </w:pPr>
    </w:p>
    <w:p w14:paraId="2154FAD3" w14:textId="1BB8E192" w:rsidR="00FE59D9" w:rsidRDefault="00FE59D9" w:rsidP="00396312">
      <w:pPr>
        <w:spacing w:after="0" w:line="480" w:lineRule="auto"/>
        <w:rPr>
          <w:rFonts w:ascii="Arial" w:hAnsi="Arial" w:cs="Arial"/>
          <w:bCs/>
          <w:i/>
          <w:iCs/>
        </w:rPr>
      </w:pPr>
      <w:r w:rsidRPr="005D4678">
        <w:rPr>
          <w:rFonts w:ascii="Arial" w:hAnsi="Arial" w:cs="Arial"/>
          <w:bCs/>
          <w:i/>
          <w:iCs/>
        </w:rPr>
        <w:t>M</w:t>
      </w:r>
      <w:r>
        <w:rPr>
          <w:rFonts w:ascii="Arial" w:hAnsi="Arial" w:cs="Arial"/>
          <w:bCs/>
          <w:i/>
          <w:iCs/>
        </w:rPr>
        <w:t>icrobial</w:t>
      </w:r>
      <w:r w:rsidRPr="005D4678">
        <w:rPr>
          <w:rFonts w:ascii="Arial" w:hAnsi="Arial" w:cs="Arial"/>
          <w:bCs/>
          <w:i/>
          <w:iCs/>
        </w:rPr>
        <w:t xml:space="preserve"> sequencing</w:t>
      </w:r>
    </w:p>
    <w:p w14:paraId="1EB259E9" w14:textId="3B2FF824" w:rsidR="00FE59D9" w:rsidRDefault="00FE59D9" w:rsidP="00396312">
      <w:pPr>
        <w:spacing w:after="0" w:line="480" w:lineRule="auto"/>
        <w:rPr>
          <w:rFonts w:ascii="Arial" w:hAnsi="Arial" w:cs="Arial"/>
          <w:bCs/>
          <w:i/>
          <w:iCs/>
        </w:rPr>
      </w:pPr>
    </w:p>
    <w:p w14:paraId="4818E815" w14:textId="751C1AB0" w:rsidR="00FE59D9" w:rsidRPr="005D4678" w:rsidRDefault="00FE59D9" w:rsidP="00EB5F3C">
      <w:pPr>
        <w:spacing w:after="0" w:line="480" w:lineRule="auto"/>
        <w:rPr>
          <w:rFonts w:ascii="Arial" w:hAnsi="Arial" w:cs="Arial"/>
        </w:rPr>
      </w:pPr>
      <w:r w:rsidRPr="005D4678">
        <w:rPr>
          <w:rFonts w:ascii="Arial" w:hAnsi="Arial" w:cs="Arial"/>
        </w:rPr>
        <w:t xml:space="preserve">Aliquots of gDNA were shipped on dry ice to the Centre for Genomic Research, University of Liverpool for library preparation, pooling and sequencing. Bacterial barcoding was performed with a 2-step amplification process using the primers </w:t>
      </w:r>
      <w:bookmarkStart w:id="0" w:name="_Hlk10122307"/>
      <w:r w:rsidRPr="005D4678">
        <w:rPr>
          <w:rFonts w:ascii="Arial" w:hAnsi="Arial" w:cs="Arial"/>
        </w:rPr>
        <w:t>515F</w:t>
      </w:r>
      <w:bookmarkEnd w:id="0"/>
      <w:r w:rsidRPr="005D4678">
        <w:rPr>
          <w:rFonts w:ascii="Arial" w:hAnsi="Arial" w:cs="Arial"/>
        </w:rPr>
        <w:t xml:space="preserve"> (5'TGCCAGCMGCCGCGGTAA3’) and 806R (5’GGACTACHVGGGTWTCTAAT3’) </w:t>
      </w:r>
      <w:r w:rsidRPr="005D4678">
        <w:rPr>
          <w:rFonts w:ascii="Arial" w:hAnsi="Arial" w:cs="Arial"/>
        </w:rPr>
        <w:fldChar w:fldCharType="begin"/>
      </w:r>
      <w:r>
        <w:rPr>
          <w:rFonts w:ascii="Arial" w:hAnsi="Arial" w:cs="Arial"/>
        </w:rPr>
        <w:instrText xml:space="preserve"> ADDIN EN.CITE &lt;EndNote&gt;&lt;Cite&gt;&lt;Author&gt;Caporaso&lt;/Author&gt;&lt;Year&gt;2011&lt;/Year&gt;&lt;RecNum&gt;534&lt;/RecNum&gt;&lt;DisplayText&gt;[70]&lt;/DisplayText&gt;&lt;record&gt;&lt;rec-number&gt;534&lt;/rec-number&gt;&lt;foreign-keys&gt;&lt;key app="EN" db-id="rwzf9ef9pwszsbe2xpqx055xpxeat9tp5z5x" timestamp="1528197065"&gt;534&lt;/key&gt;&lt;/foreign-keys&gt;&lt;ref-type name="Journal Article"&gt;17&lt;/ref-type&gt;&lt;contributors&gt;&lt;authors&gt;&lt;author&gt;Caporaso, J Gregory&lt;/author&gt;&lt;author&gt;Lauber, Christian L&lt;/author&gt;&lt;author&gt;Walters, William A&lt;/author&gt;&lt;author&gt;Berg-Lyons, Donna&lt;/author&gt;&lt;author&gt;Lozupone, Catherine A&lt;/author&gt;&lt;author&gt;Turnbaugh, Peter J&lt;/author&gt;&lt;author&gt;Fierer, Noah&lt;/author&gt;&lt;author&gt;Knight, Rob&lt;/author&gt;&lt;/authors&gt;&lt;/contributors&gt;&lt;titles&gt;&lt;title&gt;Global patterns of 16S rRNA diversity at a depth of millions of sequences per sample&lt;/title&gt;&lt;secondary-title&gt;Proceedings of the National Academy of Sciences&lt;/secondary-title&gt;&lt;/titles&gt;&lt;periodical&gt;&lt;full-title&gt;Proceedings of the National Academy of Sciences&lt;/full-title&gt;&lt;/periodical&gt;&lt;pages&gt;4516-4522&lt;/pages&gt;&lt;volume&gt;108&lt;/volume&gt;&lt;number&gt;Supplement 1&lt;/number&gt;&lt;dates&gt;&lt;year&gt;2011&lt;/year&gt;&lt;/dates&gt;&lt;isbn&gt;0027-8424&lt;/isbn&gt;&lt;urls&gt;&lt;/urls&gt;&lt;/record&gt;&lt;/Cite&gt;&lt;/EndNote&gt;</w:instrText>
      </w:r>
      <w:r w:rsidRPr="005D4678">
        <w:rPr>
          <w:rFonts w:ascii="Arial" w:hAnsi="Arial" w:cs="Arial"/>
        </w:rPr>
        <w:fldChar w:fldCharType="separate"/>
      </w:r>
      <w:r>
        <w:rPr>
          <w:rFonts w:ascii="Arial" w:hAnsi="Arial" w:cs="Arial"/>
          <w:noProof/>
        </w:rPr>
        <w:t>[70]</w:t>
      </w:r>
      <w:r w:rsidRPr="005D4678">
        <w:rPr>
          <w:rFonts w:ascii="Arial" w:hAnsi="Arial" w:cs="Arial"/>
        </w:rPr>
        <w:fldChar w:fldCharType="end"/>
      </w:r>
      <w:r>
        <w:rPr>
          <w:rFonts w:ascii="Arial" w:hAnsi="Arial" w:cs="Arial"/>
        </w:rPr>
        <w:t>,</w:t>
      </w:r>
      <w:r w:rsidRPr="005D4678">
        <w:rPr>
          <w:rFonts w:ascii="Arial" w:hAnsi="Arial" w:cs="Arial"/>
        </w:rPr>
        <w:t xml:space="preserve"> which amplify the V4 region of the 16S rRNA gene</w:t>
      </w:r>
      <w:r>
        <w:rPr>
          <w:rFonts w:ascii="Arial" w:hAnsi="Arial" w:cs="Arial"/>
        </w:rPr>
        <w:t xml:space="preserve">. </w:t>
      </w:r>
      <w:r w:rsidRPr="005D4678">
        <w:rPr>
          <w:rFonts w:ascii="Arial" w:hAnsi="Arial" w:cs="Arial"/>
        </w:rPr>
        <w:t xml:space="preserve">In brief, PCR1 amplification occurred in a total volume of 20 µl and used 5 ng gDNA, 0.5 µl of forward and reverse 16S V4 specific primers (10 µM), and 10 µl of 2x Kapa HiFi amplification mix. PCR1 conditions were as follows: 95°C for 2 minutes (hot </w:t>
      </w:r>
      <w:r w:rsidRPr="008B7050">
        <w:rPr>
          <w:rFonts w:ascii="Arial" w:hAnsi="Arial" w:cs="Arial"/>
        </w:rPr>
        <w:t>start) followed by cycling (</w:t>
      </w:r>
      <w:r w:rsidR="008B7050" w:rsidRPr="008B7050">
        <w:rPr>
          <w:rFonts w:ascii="Arial" w:hAnsi="Arial" w:cs="Arial"/>
        </w:rPr>
        <w:t>1</w:t>
      </w:r>
      <w:r w:rsidRPr="008B7050">
        <w:rPr>
          <w:rFonts w:ascii="Arial" w:hAnsi="Arial" w:cs="Arial"/>
        </w:rPr>
        <w:t>5x) conditions of 98°C for 20 seconds, 65°C for 15 seconds and 72°C fo</w:t>
      </w:r>
      <w:r w:rsidRPr="005D4678">
        <w:rPr>
          <w:rFonts w:ascii="Arial" w:hAnsi="Arial" w:cs="Arial"/>
        </w:rPr>
        <w:t xml:space="preserve">r 30 seconds. Reactions were finished with a 72°C incubation for 5 minutes. PCR products were cleaned using </w:t>
      </w:r>
      <w:proofErr w:type="spellStart"/>
      <w:r w:rsidRPr="005D4678">
        <w:rPr>
          <w:rFonts w:ascii="Arial" w:hAnsi="Arial" w:cs="Arial"/>
        </w:rPr>
        <w:t>ampure</w:t>
      </w:r>
      <w:proofErr w:type="spellEnd"/>
      <w:r w:rsidRPr="005D4678">
        <w:rPr>
          <w:rFonts w:ascii="Arial" w:hAnsi="Arial" w:cs="Arial"/>
        </w:rPr>
        <w:t xml:space="preserve"> beads at a 1:1 ratio and resuspended in a total volume of 9 µl. PCR2 amplification occurred using 0.5 µl of the forward i7 and reverse i5 primers (as in MHC methods) using the same conditions as PCR1, but with </w:t>
      </w:r>
      <w:r w:rsidR="008B7050">
        <w:rPr>
          <w:rFonts w:ascii="Arial" w:hAnsi="Arial" w:cs="Arial"/>
        </w:rPr>
        <w:t>20</w:t>
      </w:r>
      <w:r w:rsidRPr="005D4678">
        <w:rPr>
          <w:rFonts w:ascii="Arial" w:hAnsi="Arial" w:cs="Arial"/>
        </w:rPr>
        <w:t xml:space="preserve"> cycles. PCR2 products were again cleaned with a 1:1 ratio of </w:t>
      </w:r>
      <w:proofErr w:type="spellStart"/>
      <w:r w:rsidRPr="005D4678">
        <w:rPr>
          <w:rFonts w:ascii="Arial" w:hAnsi="Arial" w:cs="Arial"/>
        </w:rPr>
        <w:t>ampure</w:t>
      </w:r>
      <w:proofErr w:type="spellEnd"/>
      <w:r w:rsidRPr="005D4678">
        <w:rPr>
          <w:rFonts w:ascii="Arial" w:hAnsi="Arial" w:cs="Arial"/>
        </w:rPr>
        <w:t xml:space="preserve"> beads. </w:t>
      </w:r>
      <w:r w:rsidRPr="005D4678">
        <w:rPr>
          <w:rFonts w:ascii="Arial" w:hAnsi="Arial" w:cs="Arial"/>
        </w:rPr>
        <w:lastRenderedPageBreak/>
        <w:t xml:space="preserve">Concentrations of each pool were quantified using a Qubit Fluorometer and the correct peak distribution was checked with the Agilent </w:t>
      </w:r>
      <w:proofErr w:type="spellStart"/>
      <w:r w:rsidRPr="005D4678">
        <w:rPr>
          <w:rFonts w:ascii="Arial" w:hAnsi="Arial" w:cs="Arial"/>
        </w:rPr>
        <w:t>Bioanalyser</w:t>
      </w:r>
      <w:proofErr w:type="spellEnd"/>
      <w:r w:rsidRPr="005D4678">
        <w:rPr>
          <w:rFonts w:ascii="Arial" w:hAnsi="Arial" w:cs="Arial"/>
        </w:rPr>
        <w:t xml:space="preserve"> DNA HS chip. PCR2 Products were then pooled on an equimolar basis. The amplicon pool was purified, and size selected by Pippin prep, then checked via qPCR before sequencing using 2</w:t>
      </w:r>
      <w:r>
        <w:rPr>
          <w:rFonts w:ascii="Arial" w:hAnsi="Arial" w:cs="Arial"/>
        </w:rPr>
        <w:t xml:space="preserve"> </w:t>
      </w:r>
      <w:r w:rsidRPr="005D4678">
        <w:rPr>
          <w:rFonts w:ascii="Arial" w:hAnsi="Arial" w:cs="Arial"/>
        </w:rPr>
        <w:t>x</w:t>
      </w:r>
      <w:r>
        <w:rPr>
          <w:rFonts w:ascii="Arial" w:hAnsi="Arial" w:cs="Arial"/>
        </w:rPr>
        <w:t xml:space="preserve"> </w:t>
      </w:r>
      <w:r w:rsidRPr="005D4678">
        <w:rPr>
          <w:rFonts w:ascii="Arial" w:hAnsi="Arial" w:cs="Arial"/>
        </w:rPr>
        <w:t>250</w:t>
      </w:r>
      <w:r>
        <w:rPr>
          <w:rFonts w:ascii="Arial" w:hAnsi="Arial" w:cs="Arial"/>
        </w:rPr>
        <w:t>-</w:t>
      </w:r>
      <w:r w:rsidRPr="005D4678">
        <w:rPr>
          <w:rFonts w:ascii="Arial" w:hAnsi="Arial" w:cs="Arial"/>
        </w:rPr>
        <w:t xml:space="preserve">bp paired-end Illumina </w:t>
      </w:r>
      <w:proofErr w:type="spellStart"/>
      <w:r w:rsidRPr="005D4678">
        <w:rPr>
          <w:rFonts w:ascii="Arial" w:hAnsi="Arial" w:cs="Arial"/>
        </w:rPr>
        <w:t>MiSeq</w:t>
      </w:r>
      <w:proofErr w:type="spellEnd"/>
      <w:r w:rsidRPr="005D4678">
        <w:rPr>
          <w:rFonts w:ascii="Arial" w:hAnsi="Arial" w:cs="Arial"/>
        </w:rPr>
        <w:t xml:space="preserve"> </w:t>
      </w:r>
      <w:r>
        <w:rPr>
          <w:rFonts w:ascii="Arial" w:hAnsi="Arial" w:cs="Arial"/>
        </w:rPr>
        <w:t>sequencing</w:t>
      </w:r>
      <w:r w:rsidRPr="005D4678">
        <w:rPr>
          <w:rFonts w:ascii="Arial" w:hAnsi="Arial" w:cs="Arial"/>
        </w:rPr>
        <w:t xml:space="preserve"> (Illumina, San Diego).</w:t>
      </w:r>
    </w:p>
    <w:p w14:paraId="5B804F0C" w14:textId="77777777" w:rsidR="00396312" w:rsidRPr="00305A1B" w:rsidRDefault="00396312" w:rsidP="00EB5F3C">
      <w:pPr>
        <w:pStyle w:val="ListParagraph"/>
        <w:spacing w:after="0" w:line="480" w:lineRule="auto"/>
        <w:ind w:left="0"/>
        <w:rPr>
          <w:rFonts w:ascii="Arial" w:hAnsi="Arial" w:cs="Arial"/>
        </w:rPr>
      </w:pPr>
    </w:p>
    <w:p w14:paraId="4DA88649" w14:textId="175C4E0D" w:rsidR="008B782E" w:rsidRPr="008B782E" w:rsidRDefault="008B782E" w:rsidP="00EB5F3C">
      <w:pPr>
        <w:pStyle w:val="ListParagraph"/>
        <w:spacing w:after="0" w:line="480" w:lineRule="auto"/>
        <w:ind w:left="0"/>
        <w:rPr>
          <w:rFonts w:ascii="Arial" w:hAnsi="Arial" w:cs="Arial"/>
        </w:rPr>
      </w:pPr>
      <w:r w:rsidRPr="00D90BC2">
        <w:rPr>
          <w:rFonts w:ascii="Arial" w:hAnsi="Arial" w:cs="Arial"/>
          <w:b/>
          <w:bCs/>
        </w:rPr>
        <w:t>Table S1: Primer sequences used for MHC sequencing.</w:t>
      </w:r>
      <w:r w:rsidRPr="008B782E">
        <w:rPr>
          <w:rFonts w:ascii="Arial" w:hAnsi="Arial" w:cs="Arial"/>
        </w:rPr>
        <w:t xml:space="preserve"> Degenerate bases are</w:t>
      </w:r>
    </w:p>
    <w:p w14:paraId="55348672" w14:textId="77777777" w:rsidR="008B782E" w:rsidRPr="008B782E" w:rsidRDefault="008B782E" w:rsidP="00EB5F3C">
      <w:pPr>
        <w:spacing w:after="0" w:line="480" w:lineRule="auto"/>
        <w:rPr>
          <w:rFonts w:ascii="Arial" w:hAnsi="Arial" w:cs="Arial"/>
        </w:rPr>
      </w:pPr>
      <w:r w:rsidRPr="008B782E">
        <w:rPr>
          <w:rFonts w:ascii="Arial" w:hAnsi="Arial" w:cs="Arial"/>
        </w:rPr>
        <w:t>shown according to IUPAC codes: Y = C/T, N = any base.</w:t>
      </w:r>
    </w:p>
    <w:tbl>
      <w:tblPr>
        <w:tblpPr w:leftFromText="180" w:rightFromText="180" w:vertAnchor="text" w:horzAnchor="margin" w:tblpY="248"/>
        <w:tblW w:w="0" w:type="auto"/>
        <w:tblBorders>
          <w:top w:val="single" w:sz="8" w:space="0" w:color="A3A3A3"/>
          <w:left w:val="single" w:sz="8" w:space="0" w:color="A3A3A3"/>
          <w:bottom w:val="single" w:sz="8" w:space="0" w:color="A3A3A3"/>
          <w:right w:val="single" w:sz="8" w:space="0" w:color="A3A3A3"/>
        </w:tblBorders>
        <w:tblCellMar>
          <w:left w:w="0" w:type="dxa"/>
          <w:right w:w="0" w:type="dxa"/>
        </w:tblCellMar>
        <w:tblLook w:val="04A0" w:firstRow="1" w:lastRow="0" w:firstColumn="1" w:lastColumn="0" w:noHBand="0" w:noVBand="1"/>
        <w:tblCaption w:val=""/>
        <w:tblDescription w:val=""/>
      </w:tblPr>
      <w:tblGrid>
        <w:gridCol w:w="1550"/>
        <w:gridCol w:w="1701"/>
        <w:gridCol w:w="3748"/>
        <w:gridCol w:w="1158"/>
      </w:tblGrid>
      <w:tr w:rsidR="008B782E" w:rsidRPr="008B782E" w14:paraId="0AEF88C8" w14:textId="77777777" w:rsidTr="008B782E">
        <w:tc>
          <w:tcPr>
            <w:tcW w:w="1550" w:type="dxa"/>
            <w:tcBorders>
              <w:top w:val="single" w:sz="8" w:space="0" w:color="A3A3A3"/>
              <w:left w:val="single" w:sz="8" w:space="0" w:color="A3A3A3"/>
              <w:bottom w:val="single" w:sz="8" w:space="0" w:color="A3A3A3"/>
              <w:right w:val="single" w:sz="8" w:space="0" w:color="A3A3A3"/>
            </w:tcBorders>
          </w:tcPr>
          <w:p w14:paraId="5FDF1B4A" w14:textId="77777777" w:rsidR="008B782E" w:rsidRPr="008B782E" w:rsidRDefault="008B782E" w:rsidP="00EB5F3C">
            <w:pPr>
              <w:spacing w:after="0" w:line="240" w:lineRule="auto"/>
              <w:rPr>
                <w:rFonts w:ascii="Arial" w:eastAsia="Times New Roman" w:hAnsi="Arial" w:cs="Arial"/>
                <w:b/>
                <w:bCs/>
                <w:lang w:eastAsia="en-GB"/>
              </w:rPr>
            </w:pPr>
            <w:r w:rsidRPr="008B782E">
              <w:rPr>
                <w:rFonts w:ascii="Arial" w:eastAsia="Times New Roman" w:hAnsi="Arial" w:cs="Arial"/>
                <w:b/>
                <w:bCs/>
                <w:lang w:eastAsia="en-GB"/>
              </w:rPr>
              <w:t>MHC class</w:t>
            </w:r>
          </w:p>
        </w:tc>
        <w:tc>
          <w:tcPr>
            <w:tcW w:w="1701"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0D26D9CD" w14:textId="77777777" w:rsidR="008B782E" w:rsidRPr="008B782E" w:rsidRDefault="008B782E" w:rsidP="00EB5F3C">
            <w:pPr>
              <w:spacing w:after="0" w:line="240" w:lineRule="auto"/>
              <w:rPr>
                <w:rFonts w:ascii="Arial" w:eastAsia="Times New Roman" w:hAnsi="Arial" w:cs="Arial"/>
                <w:lang w:eastAsia="en-GB"/>
              </w:rPr>
            </w:pPr>
            <w:r w:rsidRPr="008B782E">
              <w:rPr>
                <w:rFonts w:ascii="Arial" w:eastAsia="Times New Roman" w:hAnsi="Arial" w:cs="Arial"/>
                <w:b/>
                <w:bCs/>
                <w:lang w:eastAsia="en-GB"/>
              </w:rPr>
              <w:t>Primer name</w:t>
            </w:r>
          </w:p>
        </w:tc>
        <w:tc>
          <w:tcPr>
            <w:tcW w:w="3748"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267E40E0" w14:textId="77777777" w:rsidR="008B782E" w:rsidRPr="008B782E" w:rsidRDefault="008B782E" w:rsidP="00EB5F3C">
            <w:pPr>
              <w:spacing w:after="0" w:line="240" w:lineRule="auto"/>
              <w:rPr>
                <w:rFonts w:ascii="Arial" w:eastAsia="Times New Roman" w:hAnsi="Arial" w:cs="Arial"/>
                <w:lang w:eastAsia="en-GB"/>
              </w:rPr>
            </w:pPr>
            <w:r w:rsidRPr="008B782E">
              <w:rPr>
                <w:rFonts w:ascii="Arial" w:eastAsia="Times New Roman" w:hAnsi="Arial" w:cs="Arial"/>
                <w:b/>
                <w:bCs/>
                <w:lang w:eastAsia="en-GB"/>
              </w:rPr>
              <w:t>5’ to 3’ sequence</w:t>
            </w:r>
          </w:p>
        </w:tc>
        <w:tc>
          <w:tcPr>
            <w:tcW w:w="1158"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548B9C14" w14:textId="77777777" w:rsidR="008B782E" w:rsidRPr="008B782E" w:rsidRDefault="008B782E" w:rsidP="00EB5F3C">
            <w:pPr>
              <w:spacing w:after="0" w:line="240" w:lineRule="auto"/>
              <w:rPr>
                <w:rFonts w:ascii="Arial" w:eastAsia="Times New Roman" w:hAnsi="Arial" w:cs="Arial"/>
                <w:lang w:eastAsia="en-GB"/>
              </w:rPr>
            </w:pPr>
            <w:r w:rsidRPr="008B782E">
              <w:rPr>
                <w:rFonts w:ascii="Arial" w:eastAsia="Times New Roman" w:hAnsi="Arial" w:cs="Arial"/>
                <w:b/>
                <w:bCs/>
                <w:lang w:eastAsia="en-GB"/>
              </w:rPr>
              <w:t>Direction</w:t>
            </w:r>
          </w:p>
        </w:tc>
      </w:tr>
      <w:tr w:rsidR="008B782E" w:rsidRPr="008B782E" w14:paraId="11C6D16B" w14:textId="77777777" w:rsidTr="008B782E">
        <w:tc>
          <w:tcPr>
            <w:tcW w:w="1550" w:type="dxa"/>
            <w:tcBorders>
              <w:top w:val="single" w:sz="8" w:space="0" w:color="A3A3A3"/>
              <w:left w:val="single" w:sz="8" w:space="0" w:color="A3A3A3"/>
              <w:bottom w:val="single" w:sz="8" w:space="0" w:color="A3A3A3"/>
              <w:right w:val="single" w:sz="8" w:space="0" w:color="A3A3A3"/>
            </w:tcBorders>
          </w:tcPr>
          <w:p w14:paraId="225F0825" w14:textId="77777777" w:rsidR="008B782E" w:rsidRPr="008B782E" w:rsidRDefault="008B782E" w:rsidP="00EB5F3C">
            <w:pPr>
              <w:spacing w:after="0" w:line="240" w:lineRule="auto"/>
              <w:rPr>
                <w:rFonts w:ascii="Arial" w:eastAsia="Times New Roman" w:hAnsi="Arial" w:cs="Arial"/>
                <w:b/>
                <w:bCs/>
                <w:lang w:eastAsia="en-GB"/>
              </w:rPr>
            </w:pPr>
            <w:r w:rsidRPr="008B782E">
              <w:rPr>
                <w:rFonts w:ascii="Arial" w:eastAsia="Times New Roman" w:hAnsi="Arial" w:cs="Arial"/>
                <w:b/>
                <w:bCs/>
                <w:lang w:eastAsia="en-GB"/>
              </w:rPr>
              <w:t>MHC-II exon 2</w:t>
            </w:r>
          </w:p>
        </w:tc>
        <w:tc>
          <w:tcPr>
            <w:tcW w:w="1701"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32C842B7" w14:textId="77777777" w:rsidR="008B782E" w:rsidRPr="008B782E" w:rsidRDefault="008B782E" w:rsidP="00EB5F3C">
            <w:pPr>
              <w:spacing w:after="0" w:line="240" w:lineRule="auto"/>
              <w:rPr>
                <w:rFonts w:ascii="Arial" w:eastAsia="Times New Roman" w:hAnsi="Arial" w:cs="Arial"/>
                <w:lang w:eastAsia="en-GB"/>
              </w:rPr>
            </w:pPr>
            <w:r w:rsidRPr="008B782E">
              <w:rPr>
                <w:rFonts w:ascii="Arial" w:eastAsia="Times New Roman" w:hAnsi="Arial" w:cs="Arial"/>
                <w:b/>
                <w:bCs/>
                <w:lang w:eastAsia="en-GB"/>
              </w:rPr>
              <w:t>cO33</w:t>
            </w:r>
          </w:p>
        </w:tc>
        <w:tc>
          <w:tcPr>
            <w:tcW w:w="3748"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47B44710" w14:textId="77777777" w:rsidR="008B782E" w:rsidRPr="008B782E" w:rsidRDefault="008B782E" w:rsidP="00EB5F3C">
            <w:pPr>
              <w:spacing w:after="0" w:line="240" w:lineRule="auto"/>
              <w:rPr>
                <w:rFonts w:ascii="Arial" w:eastAsia="Times New Roman" w:hAnsi="Arial" w:cs="Arial"/>
                <w:lang w:eastAsia="en-GB"/>
              </w:rPr>
            </w:pPr>
            <w:r w:rsidRPr="008B782E">
              <w:rPr>
                <w:rFonts w:ascii="Arial" w:eastAsia="Times New Roman" w:hAnsi="Arial" w:cs="Arial"/>
                <w:lang w:eastAsia="en-GB"/>
              </w:rPr>
              <w:t>CACCNCCTGACCTGTGTCC</w:t>
            </w:r>
          </w:p>
        </w:tc>
        <w:tc>
          <w:tcPr>
            <w:tcW w:w="1158"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6A170FD2" w14:textId="77777777" w:rsidR="008B782E" w:rsidRPr="008B782E" w:rsidRDefault="008B782E" w:rsidP="00EB5F3C">
            <w:pPr>
              <w:spacing w:after="0" w:line="240" w:lineRule="auto"/>
              <w:rPr>
                <w:rFonts w:ascii="Arial" w:eastAsia="Times New Roman" w:hAnsi="Arial" w:cs="Arial"/>
                <w:lang w:eastAsia="en-GB"/>
              </w:rPr>
            </w:pPr>
            <w:r w:rsidRPr="008B782E">
              <w:rPr>
                <w:rFonts w:ascii="Arial" w:eastAsia="Times New Roman" w:hAnsi="Arial" w:cs="Arial"/>
                <w:lang w:eastAsia="en-GB"/>
              </w:rPr>
              <w:t>F</w:t>
            </w:r>
          </w:p>
        </w:tc>
      </w:tr>
      <w:tr w:rsidR="008B782E" w:rsidRPr="008B782E" w14:paraId="0A158D37" w14:textId="77777777" w:rsidTr="008B782E">
        <w:tc>
          <w:tcPr>
            <w:tcW w:w="1550" w:type="dxa"/>
            <w:tcBorders>
              <w:top w:val="single" w:sz="8" w:space="0" w:color="A3A3A3"/>
              <w:left w:val="single" w:sz="8" w:space="0" w:color="A3A3A3"/>
              <w:bottom w:val="single" w:sz="8" w:space="0" w:color="A3A3A3"/>
              <w:right w:val="single" w:sz="8" w:space="0" w:color="A3A3A3"/>
            </w:tcBorders>
          </w:tcPr>
          <w:p w14:paraId="135CBF74" w14:textId="77777777" w:rsidR="008B782E" w:rsidRPr="008B782E" w:rsidRDefault="008B782E" w:rsidP="00EB5F3C">
            <w:pPr>
              <w:spacing w:after="0" w:line="240" w:lineRule="auto"/>
              <w:rPr>
                <w:rFonts w:ascii="Arial" w:eastAsia="Times New Roman" w:hAnsi="Arial" w:cs="Arial"/>
                <w:b/>
                <w:bCs/>
                <w:lang w:eastAsia="en-GB"/>
              </w:rPr>
            </w:pPr>
            <w:r w:rsidRPr="008B782E">
              <w:rPr>
                <w:rFonts w:ascii="Arial" w:eastAsia="Times New Roman" w:hAnsi="Arial" w:cs="Arial"/>
                <w:b/>
                <w:bCs/>
                <w:lang w:eastAsia="en-GB"/>
              </w:rPr>
              <w:t>MHC-II exon 2</w:t>
            </w:r>
          </w:p>
        </w:tc>
        <w:tc>
          <w:tcPr>
            <w:tcW w:w="1701"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682986DA" w14:textId="77777777" w:rsidR="008B782E" w:rsidRPr="008B782E" w:rsidRDefault="008B782E" w:rsidP="00EB5F3C">
            <w:pPr>
              <w:spacing w:after="0" w:line="240" w:lineRule="auto"/>
              <w:rPr>
                <w:rFonts w:ascii="Arial" w:eastAsia="Times New Roman" w:hAnsi="Arial" w:cs="Arial"/>
                <w:lang w:eastAsia="en-GB"/>
              </w:rPr>
            </w:pPr>
            <w:r w:rsidRPr="008B782E">
              <w:rPr>
                <w:rFonts w:ascii="Arial" w:eastAsia="Times New Roman" w:hAnsi="Arial" w:cs="Arial"/>
                <w:b/>
                <w:bCs/>
                <w:lang w:eastAsia="en-GB"/>
              </w:rPr>
              <w:t>cO43</w:t>
            </w:r>
          </w:p>
        </w:tc>
        <w:tc>
          <w:tcPr>
            <w:tcW w:w="3748"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1C273E80" w14:textId="77777777" w:rsidR="008B782E" w:rsidRPr="008B782E" w:rsidRDefault="008B782E" w:rsidP="00EB5F3C">
            <w:pPr>
              <w:spacing w:after="0" w:line="240" w:lineRule="auto"/>
              <w:rPr>
                <w:rFonts w:ascii="Arial" w:eastAsia="Times New Roman" w:hAnsi="Arial" w:cs="Arial"/>
                <w:lang w:eastAsia="en-GB"/>
              </w:rPr>
            </w:pPr>
            <w:r w:rsidRPr="008B782E">
              <w:rPr>
                <w:rFonts w:ascii="Arial" w:eastAsia="Times New Roman" w:hAnsi="Arial" w:cs="Arial"/>
                <w:lang w:eastAsia="en-GB"/>
              </w:rPr>
              <w:t>CGAGGGGACAYGCTCTGCC</w:t>
            </w:r>
          </w:p>
        </w:tc>
        <w:tc>
          <w:tcPr>
            <w:tcW w:w="1158"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28957E28" w14:textId="77777777" w:rsidR="008B782E" w:rsidRPr="008B782E" w:rsidRDefault="008B782E" w:rsidP="00EB5F3C">
            <w:pPr>
              <w:spacing w:after="0" w:line="240" w:lineRule="auto"/>
              <w:rPr>
                <w:rFonts w:ascii="Arial" w:eastAsia="Times New Roman" w:hAnsi="Arial" w:cs="Arial"/>
                <w:lang w:eastAsia="en-GB"/>
              </w:rPr>
            </w:pPr>
            <w:r w:rsidRPr="008B782E">
              <w:rPr>
                <w:rFonts w:ascii="Arial" w:eastAsia="Times New Roman" w:hAnsi="Arial" w:cs="Arial"/>
                <w:lang w:eastAsia="en-GB"/>
              </w:rPr>
              <w:t>R</w:t>
            </w:r>
          </w:p>
        </w:tc>
      </w:tr>
      <w:tr w:rsidR="008B782E" w:rsidRPr="008B782E" w14:paraId="13C57D88" w14:textId="77777777" w:rsidTr="008B782E">
        <w:tc>
          <w:tcPr>
            <w:tcW w:w="1550" w:type="dxa"/>
            <w:tcBorders>
              <w:top w:val="single" w:sz="8" w:space="0" w:color="A3A3A3"/>
              <w:left w:val="single" w:sz="8" w:space="0" w:color="A3A3A3"/>
              <w:bottom w:val="single" w:sz="8" w:space="0" w:color="A3A3A3"/>
              <w:right w:val="single" w:sz="8" w:space="0" w:color="A3A3A3"/>
            </w:tcBorders>
            <w:shd w:val="clear" w:color="auto" w:fill="FFFFFF"/>
          </w:tcPr>
          <w:p w14:paraId="77D731CC" w14:textId="77777777" w:rsidR="008B782E" w:rsidRPr="008B782E" w:rsidRDefault="008B782E" w:rsidP="00EB5F3C">
            <w:pPr>
              <w:spacing w:after="0" w:line="240" w:lineRule="auto"/>
              <w:rPr>
                <w:rFonts w:ascii="Arial" w:eastAsia="Times New Roman" w:hAnsi="Arial" w:cs="Arial"/>
                <w:b/>
                <w:bCs/>
                <w:lang w:eastAsia="en-GB"/>
              </w:rPr>
            </w:pPr>
            <w:r w:rsidRPr="008B782E">
              <w:rPr>
                <w:rFonts w:ascii="Arial" w:eastAsia="Times New Roman" w:hAnsi="Arial" w:cs="Arial"/>
                <w:b/>
                <w:bCs/>
                <w:lang w:eastAsia="en-GB"/>
              </w:rPr>
              <w:t>MHC-I exon 3</w:t>
            </w:r>
          </w:p>
        </w:tc>
        <w:tc>
          <w:tcPr>
            <w:tcW w:w="1701" w:type="dxa"/>
            <w:tcBorders>
              <w:top w:val="single" w:sz="8" w:space="0" w:color="A3A3A3"/>
              <w:left w:val="single" w:sz="8" w:space="0" w:color="A3A3A3"/>
              <w:bottom w:val="single" w:sz="8" w:space="0" w:color="A3A3A3"/>
              <w:right w:val="single" w:sz="8" w:space="0" w:color="A3A3A3"/>
            </w:tcBorders>
            <w:shd w:val="clear" w:color="auto" w:fill="FFFFFF"/>
            <w:tcMar>
              <w:top w:w="80" w:type="dxa"/>
              <w:left w:w="80" w:type="dxa"/>
              <w:bottom w:w="80" w:type="dxa"/>
              <w:right w:w="80" w:type="dxa"/>
            </w:tcMar>
            <w:hideMark/>
          </w:tcPr>
          <w:p w14:paraId="159E4F81" w14:textId="77777777" w:rsidR="008B782E" w:rsidRPr="008B782E" w:rsidRDefault="008B782E" w:rsidP="00EB5F3C">
            <w:pPr>
              <w:spacing w:after="0" w:line="240" w:lineRule="auto"/>
              <w:rPr>
                <w:rFonts w:ascii="Arial" w:eastAsia="Times New Roman" w:hAnsi="Arial" w:cs="Arial"/>
                <w:b/>
                <w:bCs/>
                <w:lang w:eastAsia="en-GB"/>
              </w:rPr>
            </w:pPr>
            <w:r w:rsidRPr="008B782E">
              <w:rPr>
                <w:rFonts w:ascii="Arial" w:eastAsia="Times New Roman" w:hAnsi="Arial" w:cs="Arial"/>
                <w:b/>
                <w:bCs/>
                <w:lang w:eastAsia="en-GB"/>
              </w:rPr>
              <w:t>HN36</w:t>
            </w:r>
          </w:p>
        </w:tc>
        <w:tc>
          <w:tcPr>
            <w:tcW w:w="3748" w:type="dxa"/>
            <w:tcBorders>
              <w:top w:val="single" w:sz="8" w:space="0" w:color="A3A3A3"/>
              <w:left w:val="single" w:sz="8" w:space="0" w:color="A3A3A3"/>
              <w:bottom w:val="single" w:sz="8" w:space="0" w:color="A3A3A3"/>
              <w:right w:val="single" w:sz="8" w:space="0" w:color="A3A3A3"/>
            </w:tcBorders>
            <w:shd w:val="clear" w:color="auto" w:fill="FFFFFF"/>
            <w:tcMar>
              <w:top w:w="80" w:type="dxa"/>
              <w:left w:w="80" w:type="dxa"/>
              <w:bottom w:w="80" w:type="dxa"/>
              <w:right w:w="80" w:type="dxa"/>
            </w:tcMar>
            <w:hideMark/>
          </w:tcPr>
          <w:p w14:paraId="755CCD05" w14:textId="77777777" w:rsidR="008B782E" w:rsidRPr="008B782E" w:rsidRDefault="008B782E" w:rsidP="00EB5F3C">
            <w:pPr>
              <w:spacing w:after="0" w:line="240" w:lineRule="auto"/>
              <w:rPr>
                <w:rFonts w:ascii="Arial" w:eastAsia="Times New Roman" w:hAnsi="Arial" w:cs="Arial"/>
                <w:lang w:eastAsia="en-GB"/>
              </w:rPr>
            </w:pPr>
            <w:r w:rsidRPr="008B782E">
              <w:rPr>
                <w:rFonts w:ascii="Arial" w:eastAsia="Times New Roman" w:hAnsi="Arial" w:cs="Arial"/>
                <w:lang w:eastAsia="en-GB"/>
              </w:rPr>
              <w:t>TCCCCACAGGTCTCCACACAGT</w:t>
            </w:r>
          </w:p>
        </w:tc>
        <w:tc>
          <w:tcPr>
            <w:tcW w:w="1158" w:type="dxa"/>
            <w:tcBorders>
              <w:top w:val="single" w:sz="8" w:space="0" w:color="A3A3A3"/>
              <w:left w:val="single" w:sz="8" w:space="0" w:color="A3A3A3"/>
              <w:bottom w:val="single" w:sz="8" w:space="0" w:color="A3A3A3"/>
              <w:right w:val="single" w:sz="8" w:space="0" w:color="A3A3A3"/>
            </w:tcBorders>
            <w:shd w:val="clear" w:color="auto" w:fill="FFFFFF"/>
            <w:tcMar>
              <w:top w:w="80" w:type="dxa"/>
              <w:left w:w="80" w:type="dxa"/>
              <w:bottom w:w="80" w:type="dxa"/>
              <w:right w:w="80" w:type="dxa"/>
            </w:tcMar>
            <w:hideMark/>
          </w:tcPr>
          <w:p w14:paraId="04322BC3" w14:textId="77777777" w:rsidR="008B782E" w:rsidRPr="008B782E" w:rsidRDefault="008B782E" w:rsidP="00EB5F3C">
            <w:pPr>
              <w:spacing w:after="0" w:line="240" w:lineRule="auto"/>
              <w:rPr>
                <w:rFonts w:ascii="Arial" w:eastAsia="Times New Roman" w:hAnsi="Arial" w:cs="Arial"/>
                <w:lang w:eastAsia="en-GB"/>
              </w:rPr>
            </w:pPr>
            <w:r w:rsidRPr="008B782E">
              <w:rPr>
                <w:rFonts w:ascii="Arial" w:eastAsia="Times New Roman" w:hAnsi="Arial" w:cs="Arial"/>
                <w:lang w:eastAsia="en-GB"/>
              </w:rPr>
              <w:t>F</w:t>
            </w:r>
          </w:p>
        </w:tc>
      </w:tr>
      <w:tr w:rsidR="008B782E" w:rsidRPr="008B782E" w14:paraId="761B5434" w14:textId="77777777" w:rsidTr="008B782E">
        <w:tc>
          <w:tcPr>
            <w:tcW w:w="1550" w:type="dxa"/>
            <w:tcBorders>
              <w:top w:val="single" w:sz="8" w:space="0" w:color="A3A3A3"/>
              <w:left w:val="single" w:sz="8" w:space="0" w:color="A3A3A3"/>
              <w:bottom w:val="single" w:sz="8" w:space="0" w:color="A3A3A3"/>
              <w:right w:val="single" w:sz="8" w:space="0" w:color="A3A3A3"/>
            </w:tcBorders>
            <w:shd w:val="clear" w:color="auto" w:fill="FFFFFF"/>
          </w:tcPr>
          <w:p w14:paraId="1A6D8BE5" w14:textId="77777777" w:rsidR="008B782E" w:rsidRPr="008B782E" w:rsidRDefault="008B782E" w:rsidP="00EB5F3C">
            <w:pPr>
              <w:spacing w:after="0" w:line="240" w:lineRule="auto"/>
              <w:rPr>
                <w:rFonts w:ascii="Arial" w:eastAsia="Times New Roman" w:hAnsi="Arial" w:cs="Arial"/>
                <w:b/>
                <w:bCs/>
                <w:lang w:eastAsia="en-GB"/>
              </w:rPr>
            </w:pPr>
            <w:r w:rsidRPr="008B782E">
              <w:rPr>
                <w:rFonts w:ascii="Arial" w:eastAsia="Times New Roman" w:hAnsi="Arial" w:cs="Arial"/>
                <w:b/>
                <w:bCs/>
                <w:lang w:eastAsia="en-GB"/>
              </w:rPr>
              <w:t>MHC-I exon 3</w:t>
            </w:r>
          </w:p>
        </w:tc>
        <w:tc>
          <w:tcPr>
            <w:tcW w:w="1701" w:type="dxa"/>
            <w:tcBorders>
              <w:top w:val="single" w:sz="8" w:space="0" w:color="A3A3A3"/>
              <w:left w:val="single" w:sz="8" w:space="0" w:color="A3A3A3"/>
              <w:bottom w:val="single" w:sz="8" w:space="0" w:color="A3A3A3"/>
              <w:right w:val="single" w:sz="8" w:space="0" w:color="A3A3A3"/>
            </w:tcBorders>
            <w:shd w:val="clear" w:color="auto" w:fill="FFFFFF"/>
            <w:tcMar>
              <w:top w:w="80" w:type="dxa"/>
              <w:left w:w="80" w:type="dxa"/>
              <w:bottom w:w="80" w:type="dxa"/>
              <w:right w:w="80" w:type="dxa"/>
            </w:tcMar>
            <w:hideMark/>
          </w:tcPr>
          <w:p w14:paraId="779CA096" w14:textId="77777777" w:rsidR="008B782E" w:rsidRPr="008B782E" w:rsidRDefault="008B782E" w:rsidP="00EB5F3C">
            <w:pPr>
              <w:spacing w:after="0" w:line="240" w:lineRule="auto"/>
              <w:rPr>
                <w:rFonts w:ascii="Arial" w:eastAsia="Times New Roman" w:hAnsi="Arial" w:cs="Arial"/>
                <w:b/>
                <w:bCs/>
                <w:lang w:eastAsia="en-GB"/>
              </w:rPr>
            </w:pPr>
            <w:r w:rsidRPr="008B782E">
              <w:rPr>
                <w:rFonts w:ascii="Arial" w:eastAsia="Times New Roman" w:hAnsi="Arial" w:cs="Arial"/>
                <w:b/>
                <w:bCs/>
                <w:lang w:eastAsia="en-GB"/>
              </w:rPr>
              <w:t>HN38</w:t>
            </w:r>
          </w:p>
        </w:tc>
        <w:tc>
          <w:tcPr>
            <w:tcW w:w="3748" w:type="dxa"/>
            <w:tcBorders>
              <w:top w:val="single" w:sz="8" w:space="0" w:color="A3A3A3"/>
              <w:left w:val="single" w:sz="8" w:space="0" w:color="A3A3A3"/>
              <w:bottom w:val="single" w:sz="8" w:space="0" w:color="A3A3A3"/>
              <w:right w:val="single" w:sz="8" w:space="0" w:color="A3A3A3"/>
            </w:tcBorders>
            <w:shd w:val="clear" w:color="auto" w:fill="FFFFFF"/>
            <w:tcMar>
              <w:top w:w="80" w:type="dxa"/>
              <w:left w:w="80" w:type="dxa"/>
              <w:bottom w:w="80" w:type="dxa"/>
              <w:right w:w="80" w:type="dxa"/>
            </w:tcMar>
            <w:hideMark/>
          </w:tcPr>
          <w:p w14:paraId="4EC996DF" w14:textId="77777777" w:rsidR="008B782E" w:rsidRPr="008B782E" w:rsidRDefault="008B782E" w:rsidP="00EB5F3C">
            <w:pPr>
              <w:spacing w:after="0" w:line="240" w:lineRule="auto"/>
              <w:rPr>
                <w:rFonts w:ascii="Arial" w:eastAsia="Times New Roman" w:hAnsi="Arial" w:cs="Arial"/>
                <w:lang w:eastAsia="en-GB"/>
              </w:rPr>
            </w:pPr>
            <w:r w:rsidRPr="008B782E">
              <w:rPr>
                <w:rFonts w:ascii="Arial" w:eastAsia="Times New Roman" w:hAnsi="Arial" w:cs="Arial"/>
                <w:lang w:eastAsia="en-GB"/>
              </w:rPr>
              <w:t>TCCCCACAGGTCTCCACACACG</w:t>
            </w:r>
          </w:p>
        </w:tc>
        <w:tc>
          <w:tcPr>
            <w:tcW w:w="1158" w:type="dxa"/>
            <w:tcBorders>
              <w:top w:val="single" w:sz="8" w:space="0" w:color="A3A3A3"/>
              <w:left w:val="single" w:sz="8" w:space="0" w:color="A3A3A3"/>
              <w:bottom w:val="single" w:sz="8" w:space="0" w:color="A3A3A3"/>
              <w:right w:val="single" w:sz="8" w:space="0" w:color="A3A3A3"/>
            </w:tcBorders>
            <w:shd w:val="clear" w:color="auto" w:fill="FFFFFF"/>
            <w:tcMar>
              <w:top w:w="80" w:type="dxa"/>
              <w:left w:w="80" w:type="dxa"/>
              <w:bottom w:w="80" w:type="dxa"/>
              <w:right w:w="80" w:type="dxa"/>
            </w:tcMar>
            <w:hideMark/>
          </w:tcPr>
          <w:p w14:paraId="26ADD6EF" w14:textId="77777777" w:rsidR="008B782E" w:rsidRPr="008B782E" w:rsidRDefault="008B782E" w:rsidP="00EB5F3C">
            <w:pPr>
              <w:spacing w:after="0" w:line="240" w:lineRule="auto"/>
              <w:rPr>
                <w:rFonts w:ascii="Arial" w:eastAsia="Times New Roman" w:hAnsi="Arial" w:cs="Arial"/>
                <w:lang w:eastAsia="en-GB"/>
              </w:rPr>
            </w:pPr>
            <w:r w:rsidRPr="008B782E">
              <w:rPr>
                <w:rFonts w:ascii="Arial" w:eastAsia="Times New Roman" w:hAnsi="Arial" w:cs="Arial"/>
                <w:lang w:eastAsia="en-GB"/>
              </w:rPr>
              <w:t>F</w:t>
            </w:r>
          </w:p>
        </w:tc>
      </w:tr>
      <w:tr w:rsidR="008B782E" w:rsidRPr="008B782E" w14:paraId="7163A921" w14:textId="77777777" w:rsidTr="008B782E">
        <w:tc>
          <w:tcPr>
            <w:tcW w:w="1550" w:type="dxa"/>
            <w:tcBorders>
              <w:top w:val="single" w:sz="8" w:space="0" w:color="A3A3A3"/>
              <w:left w:val="single" w:sz="8" w:space="0" w:color="A3A3A3"/>
              <w:bottom w:val="single" w:sz="8" w:space="0" w:color="A3A3A3"/>
              <w:right w:val="single" w:sz="8" w:space="0" w:color="A3A3A3"/>
            </w:tcBorders>
            <w:shd w:val="clear" w:color="auto" w:fill="FFFFFF"/>
          </w:tcPr>
          <w:p w14:paraId="117A56BD" w14:textId="77777777" w:rsidR="008B782E" w:rsidRPr="008B782E" w:rsidRDefault="008B782E" w:rsidP="00EB5F3C">
            <w:pPr>
              <w:spacing w:after="0" w:line="240" w:lineRule="auto"/>
              <w:rPr>
                <w:rFonts w:ascii="Arial" w:eastAsia="Times New Roman" w:hAnsi="Arial" w:cs="Arial"/>
                <w:b/>
                <w:bCs/>
                <w:lang w:eastAsia="en-GB"/>
              </w:rPr>
            </w:pPr>
            <w:r w:rsidRPr="008B782E">
              <w:rPr>
                <w:rFonts w:ascii="Arial" w:eastAsia="Times New Roman" w:hAnsi="Arial" w:cs="Arial"/>
                <w:b/>
                <w:bCs/>
                <w:lang w:eastAsia="en-GB"/>
              </w:rPr>
              <w:t>MHC-I exon 3</w:t>
            </w:r>
          </w:p>
        </w:tc>
        <w:tc>
          <w:tcPr>
            <w:tcW w:w="1701" w:type="dxa"/>
            <w:tcBorders>
              <w:top w:val="single" w:sz="8" w:space="0" w:color="A3A3A3"/>
              <w:left w:val="single" w:sz="8" w:space="0" w:color="A3A3A3"/>
              <w:bottom w:val="single" w:sz="8" w:space="0" w:color="A3A3A3"/>
              <w:right w:val="single" w:sz="8" w:space="0" w:color="A3A3A3"/>
            </w:tcBorders>
            <w:shd w:val="clear" w:color="auto" w:fill="FFFFFF"/>
            <w:tcMar>
              <w:top w:w="80" w:type="dxa"/>
              <w:left w:w="80" w:type="dxa"/>
              <w:bottom w:w="80" w:type="dxa"/>
              <w:right w:w="80" w:type="dxa"/>
            </w:tcMar>
            <w:hideMark/>
          </w:tcPr>
          <w:p w14:paraId="1D5E5047" w14:textId="77777777" w:rsidR="008B782E" w:rsidRPr="008B782E" w:rsidRDefault="008B782E" w:rsidP="00EB5F3C">
            <w:pPr>
              <w:spacing w:after="0" w:line="240" w:lineRule="auto"/>
              <w:rPr>
                <w:rFonts w:ascii="Arial" w:eastAsia="Times New Roman" w:hAnsi="Arial" w:cs="Arial"/>
                <w:b/>
                <w:bCs/>
                <w:lang w:eastAsia="en-GB"/>
              </w:rPr>
            </w:pPr>
            <w:r w:rsidRPr="008B782E">
              <w:rPr>
                <w:rFonts w:ascii="Arial" w:eastAsia="Times New Roman" w:hAnsi="Arial" w:cs="Arial"/>
                <w:b/>
                <w:bCs/>
                <w:lang w:eastAsia="en-GB"/>
              </w:rPr>
              <w:t>HN46</w:t>
            </w:r>
          </w:p>
        </w:tc>
        <w:tc>
          <w:tcPr>
            <w:tcW w:w="3748" w:type="dxa"/>
            <w:tcBorders>
              <w:top w:val="single" w:sz="8" w:space="0" w:color="A3A3A3"/>
              <w:left w:val="single" w:sz="8" w:space="0" w:color="A3A3A3"/>
              <w:bottom w:val="single" w:sz="8" w:space="0" w:color="A3A3A3"/>
              <w:right w:val="single" w:sz="8" w:space="0" w:color="A3A3A3"/>
            </w:tcBorders>
            <w:shd w:val="clear" w:color="auto" w:fill="FFFFFF"/>
            <w:tcMar>
              <w:top w:w="80" w:type="dxa"/>
              <w:left w:w="80" w:type="dxa"/>
              <w:bottom w:w="80" w:type="dxa"/>
              <w:right w:w="80" w:type="dxa"/>
            </w:tcMar>
            <w:hideMark/>
          </w:tcPr>
          <w:p w14:paraId="463A6F70" w14:textId="77777777" w:rsidR="008B782E" w:rsidRPr="008B782E" w:rsidRDefault="008B782E" w:rsidP="00EB5F3C">
            <w:pPr>
              <w:spacing w:after="0" w:line="240" w:lineRule="auto"/>
              <w:rPr>
                <w:rFonts w:ascii="Arial" w:eastAsia="Times New Roman" w:hAnsi="Arial" w:cs="Arial"/>
                <w:lang w:eastAsia="en-GB"/>
              </w:rPr>
            </w:pPr>
            <w:r w:rsidRPr="008B782E">
              <w:rPr>
                <w:rFonts w:ascii="Arial" w:eastAsia="Times New Roman" w:hAnsi="Arial" w:cs="Arial"/>
                <w:lang w:eastAsia="en-GB"/>
              </w:rPr>
              <w:t>ATCCCAAATTCCCACCCACCTT</w:t>
            </w:r>
          </w:p>
        </w:tc>
        <w:tc>
          <w:tcPr>
            <w:tcW w:w="1158" w:type="dxa"/>
            <w:tcBorders>
              <w:top w:val="single" w:sz="8" w:space="0" w:color="A3A3A3"/>
              <w:left w:val="single" w:sz="8" w:space="0" w:color="A3A3A3"/>
              <w:bottom w:val="single" w:sz="8" w:space="0" w:color="A3A3A3"/>
              <w:right w:val="single" w:sz="8" w:space="0" w:color="A3A3A3"/>
            </w:tcBorders>
            <w:shd w:val="clear" w:color="auto" w:fill="FFFFFF"/>
            <w:tcMar>
              <w:top w:w="80" w:type="dxa"/>
              <w:left w:w="80" w:type="dxa"/>
              <w:bottom w:w="80" w:type="dxa"/>
              <w:right w:w="80" w:type="dxa"/>
            </w:tcMar>
            <w:hideMark/>
          </w:tcPr>
          <w:p w14:paraId="4AD1E5A4" w14:textId="77777777" w:rsidR="008B782E" w:rsidRPr="008B782E" w:rsidRDefault="008B782E" w:rsidP="00EB5F3C">
            <w:pPr>
              <w:spacing w:after="0" w:line="240" w:lineRule="auto"/>
              <w:rPr>
                <w:rFonts w:ascii="Arial" w:eastAsia="Times New Roman" w:hAnsi="Arial" w:cs="Arial"/>
                <w:lang w:eastAsia="en-GB"/>
              </w:rPr>
            </w:pPr>
            <w:r w:rsidRPr="008B782E">
              <w:rPr>
                <w:rFonts w:ascii="Arial" w:eastAsia="Times New Roman" w:hAnsi="Arial" w:cs="Arial"/>
                <w:lang w:eastAsia="en-GB"/>
              </w:rPr>
              <w:t>R</w:t>
            </w:r>
          </w:p>
        </w:tc>
      </w:tr>
    </w:tbl>
    <w:p w14:paraId="374995EB" w14:textId="77777777" w:rsidR="008B782E" w:rsidRPr="00305A1B" w:rsidRDefault="008B782E" w:rsidP="00EB5F3C">
      <w:pPr>
        <w:pStyle w:val="ListParagraph"/>
        <w:spacing w:after="0" w:line="480" w:lineRule="auto"/>
        <w:ind w:left="0"/>
        <w:rPr>
          <w:rFonts w:ascii="Arial" w:hAnsi="Arial" w:cs="Arial"/>
        </w:rPr>
      </w:pPr>
    </w:p>
    <w:p w14:paraId="1D091C55" w14:textId="77777777" w:rsidR="008B782E" w:rsidRPr="00305A1B" w:rsidRDefault="008B782E" w:rsidP="00EB5F3C">
      <w:pPr>
        <w:spacing w:after="0" w:line="480" w:lineRule="auto"/>
        <w:rPr>
          <w:rFonts w:ascii="Arial" w:hAnsi="Arial" w:cs="Arial"/>
        </w:rPr>
      </w:pPr>
    </w:p>
    <w:p w14:paraId="0190B90E" w14:textId="77777777" w:rsidR="008B782E" w:rsidRPr="00305A1B" w:rsidRDefault="008B782E" w:rsidP="00EB5F3C">
      <w:pPr>
        <w:spacing w:after="0" w:line="480" w:lineRule="auto"/>
        <w:jc w:val="both"/>
        <w:rPr>
          <w:rFonts w:ascii="Arial" w:hAnsi="Arial" w:cs="Arial"/>
        </w:rPr>
      </w:pPr>
    </w:p>
    <w:p w14:paraId="28180F33" w14:textId="77777777" w:rsidR="008B782E" w:rsidRPr="00305A1B" w:rsidRDefault="008B782E" w:rsidP="00EB5F3C">
      <w:pPr>
        <w:spacing w:after="0" w:line="480" w:lineRule="auto"/>
        <w:jc w:val="both"/>
        <w:rPr>
          <w:rFonts w:ascii="Arial" w:hAnsi="Arial" w:cs="Arial"/>
        </w:rPr>
      </w:pPr>
    </w:p>
    <w:p w14:paraId="3E0BEB73" w14:textId="77777777" w:rsidR="008B782E" w:rsidRPr="00305A1B" w:rsidRDefault="008B782E" w:rsidP="00EB5F3C">
      <w:pPr>
        <w:pStyle w:val="ListParagraph"/>
        <w:spacing w:after="0" w:line="480" w:lineRule="auto"/>
        <w:ind w:left="0"/>
        <w:rPr>
          <w:rFonts w:ascii="Arial" w:hAnsi="Arial" w:cs="Arial"/>
        </w:rPr>
      </w:pPr>
    </w:p>
    <w:p w14:paraId="6A546A89" w14:textId="77777777" w:rsidR="008B782E" w:rsidRPr="00305A1B" w:rsidRDefault="008B782E" w:rsidP="00EB5F3C">
      <w:pPr>
        <w:pStyle w:val="ListParagraph"/>
        <w:spacing w:after="0" w:line="480" w:lineRule="auto"/>
        <w:ind w:left="0"/>
        <w:rPr>
          <w:rFonts w:ascii="Arial" w:hAnsi="Arial" w:cs="Arial"/>
        </w:rPr>
      </w:pPr>
    </w:p>
    <w:p w14:paraId="43880481" w14:textId="77777777" w:rsidR="008B782E" w:rsidRPr="00305A1B" w:rsidRDefault="008B782E" w:rsidP="00EB5F3C">
      <w:pPr>
        <w:pStyle w:val="ListParagraph"/>
        <w:spacing w:after="0" w:line="480" w:lineRule="auto"/>
        <w:rPr>
          <w:rFonts w:ascii="Arial" w:hAnsi="Arial" w:cs="Arial"/>
          <w:b/>
          <w:bCs/>
        </w:rPr>
      </w:pPr>
    </w:p>
    <w:p w14:paraId="634F80FD" w14:textId="5DCEC1F3" w:rsidR="008B782E" w:rsidRDefault="008B782E" w:rsidP="00EB5F3C">
      <w:pPr>
        <w:pStyle w:val="ListParagraph"/>
        <w:spacing w:after="0" w:line="480" w:lineRule="auto"/>
        <w:ind w:left="0"/>
        <w:rPr>
          <w:rFonts w:ascii="Arial" w:hAnsi="Arial" w:cs="Arial"/>
        </w:rPr>
      </w:pPr>
      <w:r w:rsidRPr="00305A1B">
        <w:rPr>
          <w:rFonts w:ascii="Arial" w:hAnsi="Arial" w:cs="Arial"/>
          <w:b/>
          <w:bCs/>
        </w:rPr>
        <w:t>Table S</w:t>
      </w:r>
      <w:r>
        <w:rPr>
          <w:rFonts w:ascii="Arial" w:hAnsi="Arial" w:cs="Arial"/>
          <w:b/>
          <w:bCs/>
        </w:rPr>
        <w:t>2</w:t>
      </w:r>
      <w:r w:rsidRPr="00305A1B">
        <w:rPr>
          <w:rFonts w:ascii="Arial" w:hAnsi="Arial" w:cs="Arial"/>
          <w:b/>
          <w:bCs/>
        </w:rPr>
        <w:t xml:space="preserve">: </w:t>
      </w:r>
      <w:r w:rsidR="00F616D7" w:rsidRPr="00F616D7">
        <w:rPr>
          <w:rFonts w:ascii="Arial" w:hAnsi="Arial" w:cs="Arial"/>
          <w:b/>
          <w:bCs/>
        </w:rPr>
        <w:t>R</w:t>
      </w:r>
      <w:r w:rsidRPr="00F616D7">
        <w:rPr>
          <w:rFonts w:ascii="Arial" w:hAnsi="Arial" w:cs="Arial"/>
          <w:b/>
          <w:bCs/>
        </w:rPr>
        <w:t>epeatability of MHC-I (n = 26) and MHC-II (n = 24) genotyping for different dominant frequency thresholds</w:t>
      </w:r>
      <w:r w:rsidR="00F616D7" w:rsidRPr="00F616D7">
        <w:rPr>
          <w:rFonts w:ascii="Arial" w:hAnsi="Arial" w:cs="Arial"/>
          <w:b/>
          <w:bCs/>
        </w:rPr>
        <w:t>.</w:t>
      </w:r>
      <w:r w:rsidR="00F616D7">
        <w:rPr>
          <w:rFonts w:ascii="Arial" w:hAnsi="Arial" w:cs="Arial"/>
        </w:rPr>
        <w:t xml:space="preserve"> M</w:t>
      </w:r>
      <w:r w:rsidRPr="00305A1B">
        <w:rPr>
          <w:rFonts w:ascii="Arial" w:hAnsi="Arial" w:cs="Arial"/>
        </w:rPr>
        <w:t xml:space="preserve">inimum amplicon frequency </w:t>
      </w:r>
      <w:r w:rsidR="00F616D7">
        <w:rPr>
          <w:rFonts w:ascii="Arial" w:hAnsi="Arial" w:cs="Arial"/>
        </w:rPr>
        <w:t xml:space="preserve">was kept constant </w:t>
      </w:r>
      <w:r w:rsidRPr="00305A1B">
        <w:rPr>
          <w:rFonts w:ascii="Arial" w:hAnsi="Arial" w:cs="Arial"/>
        </w:rPr>
        <w:t>at 0.3%.</w:t>
      </w:r>
      <w:r>
        <w:rPr>
          <w:rFonts w:ascii="Arial" w:hAnsi="Arial" w:cs="Arial"/>
        </w:rPr>
        <w:t xml:space="preserve"> Threshold with </w:t>
      </w:r>
      <w:r w:rsidR="008E3D82">
        <w:rPr>
          <w:rFonts w:ascii="Arial" w:hAnsi="Arial" w:cs="Arial"/>
        </w:rPr>
        <w:t xml:space="preserve">the </w:t>
      </w:r>
      <w:r>
        <w:rPr>
          <w:rFonts w:ascii="Arial" w:hAnsi="Arial" w:cs="Arial"/>
        </w:rPr>
        <w:t>greatest repeatability is in bold</w:t>
      </w:r>
      <w:r w:rsidR="00396312">
        <w:rPr>
          <w:rFonts w:ascii="Arial" w:hAnsi="Arial" w:cs="Arial"/>
        </w:rPr>
        <w:t>.</w:t>
      </w:r>
    </w:p>
    <w:p w14:paraId="5FF36D41" w14:textId="77777777" w:rsidR="00D10E30" w:rsidRPr="00305A1B" w:rsidRDefault="00D10E30" w:rsidP="00EB5F3C">
      <w:pPr>
        <w:pStyle w:val="ListParagraph"/>
        <w:spacing w:after="0" w:line="480" w:lineRule="auto"/>
        <w:ind w:left="0"/>
        <w:rPr>
          <w:rFonts w:ascii="Arial" w:hAnsi="Arial" w:cs="Arial"/>
        </w:rPr>
      </w:pPr>
    </w:p>
    <w:tbl>
      <w:tblPr>
        <w:tblW w:w="9629" w:type="dxa"/>
        <w:tblLook w:val="04A0" w:firstRow="1" w:lastRow="0" w:firstColumn="1" w:lastColumn="0" w:noHBand="0" w:noVBand="1"/>
      </w:tblPr>
      <w:tblGrid>
        <w:gridCol w:w="2500"/>
        <w:gridCol w:w="1743"/>
        <w:gridCol w:w="1843"/>
        <w:gridCol w:w="1762"/>
        <w:gridCol w:w="1781"/>
      </w:tblGrid>
      <w:tr w:rsidR="008B782E" w:rsidRPr="00305A1B" w14:paraId="2DB448C9" w14:textId="77777777" w:rsidTr="008E4370">
        <w:trPr>
          <w:trHeight w:val="300"/>
        </w:trPr>
        <w:tc>
          <w:tcPr>
            <w:tcW w:w="2500" w:type="dxa"/>
            <w:vMerge w:val="restart"/>
            <w:tcBorders>
              <w:top w:val="single" w:sz="8" w:space="0" w:color="auto"/>
              <w:left w:val="single" w:sz="8" w:space="0" w:color="auto"/>
              <w:bottom w:val="single" w:sz="8" w:space="0" w:color="000000"/>
              <w:right w:val="nil"/>
            </w:tcBorders>
            <w:shd w:val="clear" w:color="auto" w:fill="auto"/>
            <w:vAlign w:val="center"/>
            <w:hideMark/>
          </w:tcPr>
          <w:p w14:paraId="7C14652A"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dominant frequency threshold (%)</w:t>
            </w:r>
          </w:p>
        </w:tc>
        <w:tc>
          <w:tcPr>
            <w:tcW w:w="3586" w:type="dxa"/>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14:paraId="3579F4BE"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 xml:space="preserve">MHC-I </w:t>
            </w:r>
          </w:p>
        </w:tc>
        <w:tc>
          <w:tcPr>
            <w:tcW w:w="3543" w:type="dxa"/>
            <w:gridSpan w:val="2"/>
            <w:tcBorders>
              <w:top w:val="single" w:sz="8" w:space="0" w:color="auto"/>
              <w:left w:val="nil"/>
              <w:bottom w:val="single" w:sz="8" w:space="0" w:color="auto"/>
              <w:right w:val="single" w:sz="8" w:space="0" w:color="000000"/>
            </w:tcBorders>
            <w:shd w:val="clear" w:color="auto" w:fill="auto"/>
            <w:vAlign w:val="center"/>
            <w:hideMark/>
          </w:tcPr>
          <w:p w14:paraId="22AEF9DD"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MHC-II</w:t>
            </w:r>
          </w:p>
        </w:tc>
      </w:tr>
      <w:tr w:rsidR="008B782E" w:rsidRPr="00305A1B" w14:paraId="3E6BA576" w14:textId="77777777" w:rsidTr="008E4370">
        <w:trPr>
          <w:trHeight w:val="690"/>
        </w:trPr>
        <w:tc>
          <w:tcPr>
            <w:tcW w:w="2500" w:type="dxa"/>
            <w:vMerge/>
            <w:tcBorders>
              <w:top w:val="single" w:sz="8" w:space="0" w:color="auto"/>
              <w:left w:val="single" w:sz="8" w:space="0" w:color="auto"/>
              <w:bottom w:val="single" w:sz="8" w:space="0" w:color="000000"/>
              <w:right w:val="nil"/>
            </w:tcBorders>
            <w:vAlign w:val="center"/>
            <w:hideMark/>
          </w:tcPr>
          <w:p w14:paraId="78591504" w14:textId="77777777" w:rsidR="008B782E" w:rsidRPr="00305A1B" w:rsidRDefault="008B782E" w:rsidP="00EB5F3C">
            <w:pPr>
              <w:spacing w:after="0" w:line="240" w:lineRule="auto"/>
              <w:rPr>
                <w:rFonts w:ascii="Calibri" w:eastAsia="Times New Roman" w:hAnsi="Calibri" w:cs="Calibri"/>
                <w:lang w:eastAsia="en-GB"/>
              </w:rPr>
            </w:pPr>
          </w:p>
        </w:tc>
        <w:tc>
          <w:tcPr>
            <w:tcW w:w="1743" w:type="dxa"/>
            <w:tcBorders>
              <w:top w:val="nil"/>
              <w:left w:val="single" w:sz="8" w:space="0" w:color="auto"/>
              <w:bottom w:val="single" w:sz="8" w:space="0" w:color="auto"/>
              <w:right w:val="single" w:sz="8" w:space="0" w:color="auto"/>
            </w:tcBorders>
            <w:shd w:val="clear" w:color="auto" w:fill="auto"/>
            <w:vAlign w:val="center"/>
            <w:hideMark/>
          </w:tcPr>
          <w:p w14:paraId="0C883E08"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Repeatability (%)</w:t>
            </w:r>
          </w:p>
        </w:tc>
        <w:tc>
          <w:tcPr>
            <w:tcW w:w="1843" w:type="dxa"/>
            <w:tcBorders>
              <w:top w:val="nil"/>
              <w:left w:val="nil"/>
              <w:bottom w:val="single" w:sz="8" w:space="0" w:color="auto"/>
              <w:right w:val="single" w:sz="8" w:space="0" w:color="auto"/>
            </w:tcBorders>
            <w:shd w:val="clear" w:color="auto" w:fill="auto"/>
            <w:vAlign w:val="center"/>
            <w:hideMark/>
          </w:tcPr>
          <w:p w14:paraId="61C06AE2"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average number of alleles</w:t>
            </w:r>
          </w:p>
        </w:tc>
        <w:tc>
          <w:tcPr>
            <w:tcW w:w="1762" w:type="dxa"/>
            <w:tcBorders>
              <w:top w:val="nil"/>
              <w:left w:val="nil"/>
              <w:bottom w:val="single" w:sz="8" w:space="0" w:color="auto"/>
              <w:right w:val="single" w:sz="8" w:space="0" w:color="auto"/>
            </w:tcBorders>
            <w:shd w:val="clear" w:color="auto" w:fill="auto"/>
            <w:vAlign w:val="center"/>
            <w:hideMark/>
          </w:tcPr>
          <w:p w14:paraId="2DD13FDD"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Repeatability (%)</w:t>
            </w:r>
          </w:p>
        </w:tc>
        <w:tc>
          <w:tcPr>
            <w:tcW w:w="1781" w:type="dxa"/>
            <w:tcBorders>
              <w:top w:val="nil"/>
              <w:left w:val="nil"/>
              <w:bottom w:val="single" w:sz="8" w:space="0" w:color="auto"/>
              <w:right w:val="single" w:sz="8" w:space="0" w:color="auto"/>
            </w:tcBorders>
            <w:shd w:val="clear" w:color="auto" w:fill="auto"/>
            <w:vAlign w:val="center"/>
            <w:hideMark/>
          </w:tcPr>
          <w:p w14:paraId="4F8BBA01"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average number of alleles</w:t>
            </w:r>
          </w:p>
        </w:tc>
      </w:tr>
      <w:tr w:rsidR="008B782E" w:rsidRPr="00305A1B" w14:paraId="1FF77705" w14:textId="77777777" w:rsidTr="008E4370">
        <w:trPr>
          <w:trHeight w:val="290"/>
        </w:trPr>
        <w:tc>
          <w:tcPr>
            <w:tcW w:w="2500" w:type="dxa"/>
            <w:tcBorders>
              <w:top w:val="nil"/>
              <w:left w:val="single" w:sz="8" w:space="0" w:color="auto"/>
              <w:bottom w:val="nil"/>
              <w:right w:val="single" w:sz="8" w:space="0" w:color="auto"/>
            </w:tcBorders>
            <w:shd w:val="clear" w:color="auto" w:fill="auto"/>
            <w:vAlign w:val="center"/>
            <w:hideMark/>
          </w:tcPr>
          <w:p w14:paraId="42B76553"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5</w:t>
            </w:r>
          </w:p>
        </w:tc>
        <w:tc>
          <w:tcPr>
            <w:tcW w:w="1743" w:type="dxa"/>
            <w:tcBorders>
              <w:top w:val="nil"/>
              <w:left w:val="nil"/>
              <w:bottom w:val="nil"/>
              <w:right w:val="single" w:sz="8" w:space="0" w:color="auto"/>
            </w:tcBorders>
            <w:shd w:val="clear" w:color="auto" w:fill="auto"/>
            <w:noWrap/>
            <w:vAlign w:val="center"/>
            <w:hideMark/>
          </w:tcPr>
          <w:p w14:paraId="10B7099B"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77.83</w:t>
            </w:r>
          </w:p>
        </w:tc>
        <w:tc>
          <w:tcPr>
            <w:tcW w:w="1843" w:type="dxa"/>
            <w:tcBorders>
              <w:top w:val="nil"/>
              <w:left w:val="nil"/>
              <w:bottom w:val="nil"/>
              <w:right w:val="nil"/>
            </w:tcBorders>
            <w:shd w:val="clear" w:color="auto" w:fill="auto"/>
            <w:noWrap/>
            <w:vAlign w:val="center"/>
            <w:hideMark/>
          </w:tcPr>
          <w:p w14:paraId="58F83ABA"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10.17</w:t>
            </w:r>
          </w:p>
        </w:tc>
        <w:tc>
          <w:tcPr>
            <w:tcW w:w="1762" w:type="dxa"/>
            <w:tcBorders>
              <w:top w:val="nil"/>
              <w:left w:val="single" w:sz="8" w:space="0" w:color="auto"/>
              <w:bottom w:val="nil"/>
              <w:right w:val="single" w:sz="8" w:space="0" w:color="auto"/>
            </w:tcBorders>
            <w:shd w:val="clear" w:color="auto" w:fill="auto"/>
            <w:noWrap/>
            <w:vAlign w:val="center"/>
            <w:hideMark/>
          </w:tcPr>
          <w:p w14:paraId="45F1CCFC"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78.63</w:t>
            </w:r>
          </w:p>
        </w:tc>
        <w:tc>
          <w:tcPr>
            <w:tcW w:w="1781" w:type="dxa"/>
            <w:tcBorders>
              <w:top w:val="nil"/>
              <w:left w:val="nil"/>
              <w:bottom w:val="nil"/>
              <w:right w:val="single" w:sz="8" w:space="0" w:color="auto"/>
            </w:tcBorders>
            <w:shd w:val="clear" w:color="auto" w:fill="auto"/>
            <w:noWrap/>
            <w:vAlign w:val="center"/>
            <w:hideMark/>
          </w:tcPr>
          <w:p w14:paraId="6851AA19"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29.00</w:t>
            </w:r>
          </w:p>
        </w:tc>
      </w:tr>
      <w:tr w:rsidR="008B782E" w:rsidRPr="00305A1B" w14:paraId="5CDC2336" w14:textId="77777777" w:rsidTr="008E4370">
        <w:trPr>
          <w:trHeight w:val="290"/>
        </w:trPr>
        <w:tc>
          <w:tcPr>
            <w:tcW w:w="2500" w:type="dxa"/>
            <w:tcBorders>
              <w:top w:val="nil"/>
              <w:left w:val="single" w:sz="8" w:space="0" w:color="auto"/>
              <w:bottom w:val="nil"/>
              <w:right w:val="single" w:sz="8" w:space="0" w:color="auto"/>
            </w:tcBorders>
            <w:shd w:val="clear" w:color="auto" w:fill="auto"/>
            <w:vAlign w:val="center"/>
            <w:hideMark/>
          </w:tcPr>
          <w:p w14:paraId="739DD0E8"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10</w:t>
            </w:r>
          </w:p>
        </w:tc>
        <w:tc>
          <w:tcPr>
            <w:tcW w:w="1743" w:type="dxa"/>
            <w:tcBorders>
              <w:top w:val="nil"/>
              <w:left w:val="nil"/>
              <w:bottom w:val="nil"/>
              <w:right w:val="single" w:sz="8" w:space="0" w:color="auto"/>
            </w:tcBorders>
            <w:shd w:val="clear" w:color="auto" w:fill="auto"/>
            <w:noWrap/>
            <w:vAlign w:val="center"/>
            <w:hideMark/>
          </w:tcPr>
          <w:p w14:paraId="0864492C"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77.67</w:t>
            </w:r>
          </w:p>
        </w:tc>
        <w:tc>
          <w:tcPr>
            <w:tcW w:w="1843" w:type="dxa"/>
            <w:tcBorders>
              <w:top w:val="nil"/>
              <w:left w:val="nil"/>
              <w:bottom w:val="nil"/>
              <w:right w:val="nil"/>
            </w:tcBorders>
            <w:shd w:val="clear" w:color="auto" w:fill="auto"/>
            <w:noWrap/>
            <w:vAlign w:val="center"/>
            <w:hideMark/>
          </w:tcPr>
          <w:p w14:paraId="0A57DE40"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10.13</w:t>
            </w:r>
          </w:p>
        </w:tc>
        <w:tc>
          <w:tcPr>
            <w:tcW w:w="1762" w:type="dxa"/>
            <w:tcBorders>
              <w:top w:val="nil"/>
              <w:left w:val="single" w:sz="8" w:space="0" w:color="auto"/>
              <w:bottom w:val="nil"/>
              <w:right w:val="single" w:sz="8" w:space="0" w:color="auto"/>
            </w:tcBorders>
            <w:shd w:val="clear" w:color="auto" w:fill="auto"/>
            <w:noWrap/>
            <w:vAlign w:val="center"/>
            <w:hideMark/>
          </w:tcPr>
          <w:p w14:paraId="67F5F8BE"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84.38</w:t>
            </w:r>
          </w:p>
        </w:tc>
        <w:tc>
          <w:tcPr>
            <w:tcW w:w="1781" w:type="dxa"/>
            <w:tcBorders>
              <w:top w:val="nil"/>
              <w:left w:val="nil"/>
              <w:bottom w:val="nil"/>
              <w:right w:val="single" w:sz="8" w:space="0" w:color="auto"/>
            </w:tcBorders>
            <w:shd w:val="clear" w:color="auto" w:fill="auto"/>
            <w:noWrap/>
            <w:vAlign w:val="center"/>
            <w:hideMark/>
          </w:tcPr>
          <w:p w14:paraId="62547367"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34.42</w:t>
            </w:r>
          </w:p>
        </w:tc>
      </w:tr>
      <w:tr w:rsidR="008B782E" w:rsidRPr="00305A1B" w14:paraId="385225C5" w14:textId="77777777" w:rsidTr="008E4370">
        <w:trPr>
          <w:trHeight w:val="290"/>
        </w:trPr>
        <w:tc>
          <w:tcPr>
            <w:tcW w:w="2500" w:type="dxa"/>
            <w:tcBorders>
              <w:top w:val="nil"/>
              <w:left w:val="single" w:sz="8" w:space="0" w:color="auto"/>
              <w:bottom w:val="nil"/>
              <w:right w:val="single" w:sz="8" w:space="0" w:color="auto"/>
            </w:tcBorders>
            <w:shd w:val="clear" w:color="auto" w:fill="auto"/>
            <w:vAlign w:val="center"/>
            <w:hideMark/>
          </w:tcPr>
          <w:p w14:paraId="043FC4EF"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15</w:t>
            </w:r>
          </w:p>
        </w:tc>
        <w:tc>
          <w:tcPr>
            <w:tcW w:w="1743" w:type="dxa"/>
            <w:tcBorders>
              <w:top w:val="nil"/>
              <w:left w:val="nil"/>
              <w:bottom w:val="nil"/>
              <w:right w:val="single" w:sz="8" w:space="0" w:color="auto"/>
            </w:tcBorders>
            <w:shd w:val="clear" w:color="auto" w:fill="auto"/>
            <w:noWrap/>
            <w:vAlign w:val="center"/>
            <w:hideMark/>
          </w:tcPr>
          <w:p w14:paraId="1D72B109"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77.48</w:t>
            </w:r>
          </w:p>
        </w:tc>
        <w:tc>
          <w:tcPr>
            <w:tcW w:w="1843" w:type="dxa"/>
            <w:tcBorders>
              <w:top w:val="nil"/>
              <w:left w:val="nil"/>
              <w:bottom w:val="nil"/>
              <w:right w:val="nil"/>
            </w:tcBorders>
            <w:shd w:val="clear" w:color="auto" w:fill="auto"/>
            <w:noWrap/>
            <w:vAlign w:val="center"/>
            <w:hideMark/>
          </w:tcPr>
          <w:p w14:paraId="53FE6030"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8.79</w:t>
            </w:r>
          </w:p>
        </w:tc>
        <w:tc>
          <w:tcPr>
            <w:tcW w:w="1762" w:type="dxa"/>
            <w:tcBorders>
              <w:top w:val="nil"/>
              <w:left w:val="single" w:sz="8" w:space="0" w:color="auto"/>
              <w:bottom w:val="nil"/>
              <w:right w:val="single" w:sz="8" w:space="0" w:color="auto"/>
            </w:tcBorders>
            <w:shd w:val="clear" w:color="auto" w:fill="auto"/>
            <w:noWrap/>
            <w:vAlign w:val="center"/>
            <w:hideMark/>
          </w:tcPr>
          <w:p w14:paraId="60BCFAEF"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85.58</w:t>
            </w:r>
          </w:p>
        </w:tc>
        <w:tc>
          <w:tcPr>
            <w:tcW w:w="1781" w:type="dxa"/>
            <w:tcBorders>
              <w:top w:val="nil"/>
              <w:left w:val="nil"/>
              <w:bottom w:val="nil"/>
              <w:right w:val="single" w:sz="8" w:space="0" w:color="auto"/>
            </w:tcBorders>
            <w:shd w:val="clear" w:color="auto" w:fill="auto"/>
            <w:noWrap/>
            <w:vAlign w:val="center"/>
            <w:hideMark/>
          </w:tcPr>
          <w:p w14:paraId="4CF3996F"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36.31</w:t>
            </w:r>
          </w:p>
        </w:tc>
      </w:tr>
      <w:tr w:rsidR="008B782E" w:rsidRPr="00305A1B" w14:paraId="73E53FD2" w14:textId="77777777" w:rsidTr="008E4370">
        <w:trPr>
          <w:trHeight w:val="290"/>
        </w:trPr>
        <w:tc>
          <w:tcPr>
            <w:tcW w:w="2500" w:type="dxa"/>
            <w:tcBorders>
              <w:top w:val="nil"/>
              <w:left w:val="single" w:sz="8" w:space="0" w:color="auto"/>
              <w:bottom w:val="nil"/>
              <w:right w:val="single" w:sz="8" w:space="0" w:color="auto"/>
            </w:tcBorders>
            <w:shd w:val="clear" w:color="auto" w:fill="auto"/>
            <w:vAlign w:val="center"/>
            <w:hideMark/>
          </w:tcPr>
          <w:p w14:paraId="427FC65D"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20</w:t>
            </w:r>
          </w:p>
        </w:tc>
        <w:tc>
          <w:tcPr>
            <w:tcW w:w="1743" w:type="dxa"/>
            <w:tcBorders>
              <w:top w:val="nil"/>
              <w:left w:val="nil"/>
              <w:bottom w:val="nil"/>
              <w:right w:val="single" w:sz="8" w:space="0" w:color="auto"/>
            </w:tcBorders>
            <w:shd w:val="clear" w:color="auto" w:fill="auto"/>
            <w:noWrap/>
            <w:vAlign w:val="center"/>
            <w:hideMark/>
          </w:tcPr>
          <w:p w14:paraId="3AE9C8C9" w14:textId="77777777" w:rsidR="008B782E" w:rsidRPr="00DF253A" w:rsidRDefault="008B782E" w:rsidP="00EB5F3C">
            <w:pPr>
              <w:spacing w:after="0" w:line="240" w:lineRule="auto"/>
              <w:jc w:val="center"/>
              <w:rPr>
                <w:rFonts w:ascii="Calibri" w:eastAsia="Times New Roman" w:hAnsi="Calibri" w:cs="Calibri"/>
                <w:lang w:eastAsia="en-GB"/>
              </w:rPr>
            </w:pPr>
            <w:r w:rsidRPr="00DF253A">
              <w:rPr>
                <w:rFonts w:ascii="Calibri" w:eastAsia="Times New Roman" w:hAnsi="Calibri" w:cs="Calibri"/>
                <w:lang w:eastAsia="en-GB"/>
              </w:rPr>
              <w:t>77.89</w:t>
            </w:r>
          </w:p>
        </w:tc>
        <w:tc>
          <w:tcPr>
            <w:tcW w:w="1843" w:type="dxa"/>
            <w:tcBorders>
              <w:top w:val="nil"/>
              <w:left w:val="nil"/>
              <w:bottom w:val="nil"/>
              <w:right w:val="nil"/>
            </w:tcBorders>
            <w:shd w:val="clear" w:color="auto" w:fill="auto"/>
            <w:noWrap/>
            <w:vAlign w:val="center"/>
            <w:hideMark/>
          </w:tcPr>
          <w:p w14:paraId="35C8892F" w14:textId="77777777" w:rsidR="008B782E" w:rsidRPr="00DF253A" w:rsidRDefault="008B782E" w:rsidP="00EB5F3C">
            <w:pPr>
              <w:spacing w:after="0" w:line="240" w:lineRule="auto"/>
              <w:jc w:val="center"/>
              <w:rPr>
                <w:rFonts w:ascii="Calibri" w:eastAsia="Times New Roman" w:hAnsi="Calibri" w:cs="Calibri"/>
                <w:lang w:eastAsia="en-GB"/>
              </w:rPr>
            </w:pPr>
            <w:r w:rsidRPr="00DF253A">
              <w:rPr>
                <w:rFonts w:ascii="Calibri" w:eastAsia="Times New Roman" w:hAnsi="Calibri" w:cs="Calibri"/>
                <w:lang w:eastAsia="en-GB"/>
              </w:rPr>
              <w:t>7.85</w:t>
            </w:r>
          </w:p>
        </w:tc>
        <w:tc>
          <w:tcPr>
            <w:tcW w:w="1762" w:type="dxa"/>
            <w:tcBorders>
              <w:top w:val="nil"/>
              <w:left w:val="single" w:sz="8" w:space="0" w:color="auto"/>
              <w:bottom w:val="nil"/>
              <w:right w:val="single" w:sz="8" w:space="0" w:color="auto"/>
            </w:tcBorders>
            <w:shd w:val="clear" w:color="auto" w:fill="auto"/>
            <w:noWrap/>
            <w:vAlign w:val="center"/>
            <w:hideMark/>
          </w:tcPr>
          <w:p w14:paraId="69439275" w14:textId="77777777" w:rsidR="008B782E" w:rsidRPr="00DF253A" w:rsidRDefault="008B782E" w:rsidP="00EB5F3C">
            <w:pPr>
              <w:spacing w:after="0" w:line="240" w:lineRule="auto"/>
              <w:jc w:val="center"/>
              <w:rPr>
                <w:rFonts w:ascii="Calibri" w:eastAsia="Times New Roman" w:hAnsi="Calibri" w:cs="Calibri"/>
                <w:lang w:eastAsia="en-GB"/>
              </w:rPr>
            </w:pPr>
            <w:r w:rsidRPr="00DF253A">
              <w:rPr>
                <w:rFonts w:ascii="Calibri" w:eastAsia="Times New Roman" w:hAnsi="Calibri" w:cs="Calibri"/>
                <w:lang w:eastAsia="en-GB"/>
              </w:rPr>
              <w:t>86.09</w:t>
            </w:r>
          </w:p>
        </w:tc>
        <w:tc>
          <w:tcPr>
            <w:tcW w:w="1781" w:type="dxa"/>
            <w:tcBorders>
              <w:top w:val="nil"/>
              <w:left w:val="nil"/>
              <w:bottom w:val="nil"/>
              <w:right w:val="single" w:sz="8" w:space="0" w:color="auto"/>
            </w:tcBorders>
            <w:shd w:val="clear" w:color="auto" w:fill="auto"/>
            <w:noWrap/>
            <w:vAlign w:val="center"/>
            <w:hideMark/>
          </w:tcPr>
          <w:p w14:paraId="60569028"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36.52</w:t>
            </w:r>
          </w:p>
        </w:tc>
      </w:tr>
      <w:tr w:rsidR="008B782E" w:rsidRPr="00305A1B" w14:paraId="5E5BF13C" w14:textId="77777777" w:rsidTr="008E4370">
        <w:trPr>
          <w:trHeight w:val="300"/>
        </w:trPr>
        <w:tc>
          <w:tcPr>
            <w:tcW w:w="2500" w:type="dxa"/>
            <w:tcBorders>
              <w:top w:val="nil"/>
              <w:left w:val="single" w:sz="8" w:space="0" w:color="auto"/>
              <w:bottom w:val="single" w:sz="8" w:space="0" w:color="auto"/>
              <w:right w:val="single" w:sz="8" w:space="0" w:color="auto"/>
            </w:tcBorders>
            <w:shd w:val="clear" w:color="auto" w:fill="auto"/>
            <w:vAlign w:val="center"/>
            <w:hideMark/>
          </w:tcPr>
          <w:p w14:paraId="3CCE4DB5"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25 (default)</w:t>
            </w:r>
          </w:p>
        </w:tc>
        <w:tc>
          <w:tcPr>
            <w:tcW w:w="1743" w:type="dxa"/>
            <w:tcBorders>
              <w:top w:val="nil"/>
              <w:left w:val="nil"/>
              <w:bottom w:val="single" w:sz="8" w:space="0" w:color="auto"/>
              <w:right w:val="single" w:sz="8" w:space="0" w:color="auto"/>
            </w:tcBorders>
            <w:shd w:val="clear" w:color="auto" w:fill="auto"/>
            <w:noWrap/>
            <w:vAlign w:val="center"/>
            <w:hideMark/>
          </w:tcPr>
          <w:p w14:paraId="5187DA51" w14:textId="77777777" w:rsidR="008B782E" w:rsidRPr="001C1CA8" w:rsidRDefault="008B782E" w:rsidP="00EB5F3C">
            <w:pPr>
              <w:spacing w:after="0" w:line="240" w:lineRule="auto"/>
              <w:jc w:val="center"/>
              <w:rPr>
                <w:rFonts w:ascii="Calibri" w:eastAsia="Times New Roman" w:hAnsi="Calibri" w:cs="Calibri"/>
                <w:b/>
                <w:bCs/>
                <w:lang w:eastAsia="en-GB"/>
              </w:rPr>
            </w:pPr>
            <w:r w:rsidRPr="001C1CA8">
              <w:rPr>
                <w:rFonts w:ascii="Calibri" w:eastAsia="Times New Roman" w:hAnsi="Calibri" w:cs="Calibri"/>
                <w:b/>
                <w:bCs/>
                <w:lang w:eastAsia="en-GB"/>
              </w:rPr>
              <w:t>78.69</w:t>
            </w:r>
          </w:p>
        </w:tc>
        <w:tc>
          <w:tcPr>
            <w:tcW w:w="1843" w:type="dxa"/>
            <w:tcBorders>
              <w:top w:val="nil"/>
              <w:left w:val="nil"/>
              <w:bottom w:val="single" w:sz="8" w:space="0" w:color="auto"/>
              <w:right w:val="nil"/>
            </w:tcBorders>
            <w:shd w:val="clear" w:color="auto" w:fill="auto"/>
            <w:noWrap/>
            <w:vAlign w:val="center"/>
            <w:hideMark/>
          </w:tcPr>
          <w:p w14:paraId="63CF2CCA" w14:textId="77777777" w:rsidR="008B782E" w:rsidRPr="00DF253A" w:rsidRDefault="008B782E" w:rsidP="00EB5F3C">
            <w:pPr>
              <w:spacing w:after="0" w:line="240" w:lineRule="auto"/>
              <w:jc w:val="center"/>
              <w:rPr>
                <w:rFonts w:ascii="Calibri" w:eastAsia="Times New Roman" w:hAnsi="Calibri" w:cs="Calibri"/>
                <w:lang w:eastAsia="en-GB"/>
              </w:rPr>
            </w:pPr>
            <w:r w:rsidRPr="00DF253A">
              <w:rPr>
                <w:rFonts w:ascii="Calibri" w:eastAsia="Times New Roman" w:hAnsi="Calibri" w:cs="Calibri"/>
                <w:lang w:eastAsia="en-GB"/>
              </w:rPr>
              <w:t>7.48</w:t>
            </w:r>
          </w:p>
        </w:tc>
        <w:tc>
          <w:tcPr>
            <w:tcW w:w="1762" w:type="dxa"/>
            <w:tcBorders>
              <w:top w:val="nil"/>
              <w:left w:val="single" w:sz="8" w:space="0" w:color="auto"/>
              <w:bottom w:val="single" w:sz="8" w:space="0" w:color="auto"/>
              <w:right w:val="single" w:sz="8" w:space="0" w:color="auto"/>
            </w:tcBorders>
            <w:shd w:val="clear" w:color="auto" w:fill="auto"/>
            <w:noWrap/>
            <w:vAlign w:val="center"/>
            <w:hideMark/>
          </w:tcPr>
          <w:p w14:paraId="1DF639A5" w14:textId="77777777" w:rsidR="008B782E" w:rsidRPr="001C1CA8" w:rsidRDefault="008B782E" w:rsidP="00EB5F3C">
            <w:pPr>
              <w:spacing w:after="0" w:line="240" w:lineRule="auto"/>
              <w:jc w:val="center"/>
              <w:rPr>
                <w:rFonts w:ascii="Calibri" w:eastAsia="Times New Roman" w:hAnsi="Calibri" w:cs="Calibri"/>
                <w:b/>
                <w:bCs/>
                <w:lang w:eastAsia="en-GB"/>
              </w:rPr>
            </w:pPr>
            <w:r w:rsidRPr="001C1CA8">
              <w:rPr>
                <w:rFonts w:ascii="Calibri" w:eastAsia="Times New Roman" w:hAnsi="Calibri" w:cs="Calibri"/>
                <w:b/>
                <w:bCs/>
                <w:lang w:eastAsia="en-GB"/>
              </w:rPr>
              <w:t>86.37</w:t>
            </w:r>
          </w:p>
        </w:tc>
        <w:tc>
          <w:tcPr>
            <w:tcW w:w="1781" w:type="dxa"/>
            <w:tcBorders>
              <w:top w:val="nil"/>
              <w:left w:val="nil"/>
              <w:bottom w:val="single" w:sz="8" w:space="0" w:color="auto"/>
              <w:right w:val="single" w:sz="8" w:space="0" w:color="auto"/>
            </w:tcBorders>
            <w:shd w:val="clear" w:color="auto" w:fill="auto"/>
            <w:noWrap/>
            <w:vAlign w:val="center"/>
            <w:hideMark/>
          </w:tcPr>
          <w:p w14:paraId="0A0E36E0"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36.44</w:t>
            </w:r>
          </w:p>
        </w:tc>
      </w:tr>
    </w:tbl>
    <w:p w14:paraId="08427E0A" w14:textId="77777777" w:rsidR="008B782E" w:rsidRPr="00305A1B" w:rsidRDefault="008B782E" w:rsidP="00EB5F3C">
      <w:pPr>
        <w:pStyle w:val="ListParagraph"/>
        <w:spacing w:after="0" w:line="480" w:lineRule="auto"/>
        <w:rPr>
          <w:rFonts w:ascii="Arial" w:hAnsi="Arial" w:cs="Arial"/>
        </w:rPr>
      </w:pPr>
    </w:p>
    <w:p w14:paraId="221D20CB" w14:textId="53C33F60" w:rsidR="008B782E" w:rsidRDefault="00EB5F3C" w:rsidP="00EB5F3C">
      <w:pPr>
        <w:pStyle w:val="ListParagraph"/>
        <w:spacing w:after="0" w:line="480" w:lineRule="auto"/>
        <w:ind w:left="0"/>
        <w:rPr>
          <w:rFonts w:ascii="Arial" w:hAnsi="Arial" w:cs="Arial"/>
        </w:rPr>
      </w:pPr>
      <w:r>
        <w:rPr>
          <w:rFonts w:ascii="Arial" w:hAnsi="Arial" w:cs="Arial"/>
          <w:b/>
          <w:bCs/>
        </w:rPr>
        <w:lastRenderedPageBreak/>
        <w:t>T</w:t>
      </w:r>
      <w:r w:rsidR="008B782E" w:rsidRPr="00305A1B">
        <w:rPr>
          <w:rFonts w:ascii="Arial" w:hAnsi="Arial" w:cs="Arial"/>
          <w:b/>
          <w:bCs/>
        </w:rPr>
        <w:t>able S</w:t>
      </w:r>
      <w:r w:rsidR="008B782E">
        <w:rPr>
          <w:rFonts w:ascii="Arial" w:hAnsi="Arial" w:cs="Arial"/>
          <w:b/>
          <w:bCs/>
        </w:rPr>
        <w:t>3</w:t>
      </w:r>
      <w:r w:rsidR="008B782E" w:rsidRPr="00305A1B">
        <w:rPr>
          <w:rFonts w:ascii="Arial" w:hAnsi="Arial" w:cs="Arial"/>
          <w:b/>
          <w:bCs/>
        </w:rPr>
        <w:t xml:space="preserve">: </w:t>
      </w:r>
      <w:r w:rsidR="00F616D7" w:rsidRPr="00F616D7">
        <w:rPr>
          <w:rFonts w:ascii="Arial" w:hAnsi="Arial" w:cs="Arial"/>
          <w:b/>
          <w:bCs/>
        </w:rPr>
        <w:t>R</w:t>
      </w:r>
      <w:r w:rsidR="008B782E" w:rsidRPr="00F616D7">
        <w:rPr>
          <w:rFonts w:ascii="Arial" w:hAnsi="Arial" w:cs="Arial"/>
          <w:b/>
          <w:bCs/>
        </w:rPr>
        <w:t>epeatability of MHC-I (</w:t>
      </w:r>
      <w:r w:rsidR="008B782E" w:rsidRPr="00F616D7">
        <w:rPr>
          <w:rFonts w:ascii="Arial" w:hAnsi="Arial" w:cs="Arial"/>
          <w:b/>
          <w:bCs/>
          <w:i/>
          <w:iCs/>
        </w:rPr>
        <w:t>n</w:t>
      </w:r>
      <w:r w:rsidR="008B782E" w:rsidRPr="00F616D7">
        <w:rPr>
          <w:rFonts w:ascii="Arial" w:hAnsi="Arial" w:cs="Arial"/>
          <w:b/>
          <w:bCs/>
        </w:rPr>
        <w:t xml:space="preserve"> = 26) and MHC-II (</w:t>
      </w:r>
      <w:r w:rsidR="008B782E" w:rsidRPr="00F616D7">
        <w:rPr>
          <w:rFonts w:ascii="Arial" w:hAnsi="Arial" w:cs="Arial"/>
          <w:b/>
          <w:bCs/>
          <w:i/>
          <w:iCs/>
        </w:rPr>
        <w:t xml:space="preserve">n </w:t>
      </w:r>
      <w:r w:rsidR="008B782E" w:rsidRPr="00F616D7">
        <w:rPr>
          <w:rFonts w:ascii="Arial" w:hAnsi="Arial" w:cs="Arial"/>
          <w:b/>
          <w:bCs/>
        </w:rPr>
        <w:t>= 24) genotyping for different minimum amplicon frequencies</w:t>
      </w:r>
      <w:r w:rsidR="00F616D7" w:rsidRPr="00F616D7">
        <w:rPr>
          <w:rFonts w:ascii="Arial" w:hAnsi="Arial" w:cs="Arial"/>
          <w:b/>
          <w:bCs/>
        </w:rPr>
        <w:t>.</w:t>
      </w:r>
      <w:r w:rsidR="008B782E" w:rsidRPr="00305A1B">
        <w:rPr>
          <w:rFonts w:ascii="Arial" w:hAnsi="Arial" w:cs="Arial"/>
        </w:rPr>
        <w:t xml:space="preserve"> </w:t>
      </w:r>
      <w:r w:rsidR="00F616D7">
        <w:rPr>
          <w:rFonts w:ascii="Arial" w:hAnsi="Arial" w:cs="Arial"/>
        </w:rPr>
        <w:t>M</w:t>
      </w:r>
      <w:r w:rsidR="008B782E" w:rsidRPr="00305A1B">
        <w:rPr>
          <w:rFonts w:ascii="Arial" w:hAnsi="Arial" w:cs="Arial"/>
        </w:rPr>
        <w:t xml:space="preserve">inimum dominant frequency threshold </w:t>
      </w:r>
      <w:r w:rsidR="00F616D7">
        <w:rPr>
          <w:rFonts w:ascii="Arial" w:hAnsi="Arial" w:cs="Arial"/>
        </w:rPr>
        <w:t xml:space="preserve">was kept constant </w:t>
      </w:r>
      <w:r w:rsidR="008B782E" w:rsidRPr="00305A1B">
        <w:rPr>
          <w:rFonts w:ascii="Arial" w:hAnsi="Arial" w:cs="Arial"/>
        </w:rPr>
        <w:t>at 25%.</w:t>
      </w:r>
      <w:r w:rsidR="008B782E">
        <w:rPr>
          <w:rFonts w:ascii="Arial" w:hAnsi="Arial" w:cs="Arial"/>
        </w:rPr>
        <w:t xml:space="preserve"> Minimum amplicon frequency with the greatest repeatability for each MHC class is in bold</w:t>
      </w:r>
      <w:r w:rsidR="00396312">
        <w:rPr>
          <w:rFonts w:ascii="Arial" w:hAnsi="Arial" w:cs="Arial"/>
        </w:rPr>
        <w:t>.</w:t>
      </w:r>
    </w:p>
    <w:p w14:paraId="63D25208" w14:textId="1A5AC959" w:rsidR="00D10E30" w:rsidRDefault="00D10E30" w:rsidP="00EB5F3C">
      <w:pPr>
        <w:pStyle w:val="ListParagraph"/>
        <w:spacing w:after="0" w:line="480" w:lineRule="auto"/>
        <w:ind w:left="0"/>
        <w:rPr>
          <w:rFonts w:ascii="Arial" w:hAnsi="Arial" w:cs="Arial"/>
          <w:sz w:val="16"/>
          <w:szCs w:val="16"/>
        </w:rPr>
      </w:pPr>
    </w:p>
    <w:p w14:paraId="27EB1E9F" w14:textId="77777777" w:rsidR="00EB5F3C" w:rsidRPr="00305A1B" w:rsidRDefault="00EB5F3C" w:rsidP="00EB5F3C">
      <w:pPr>
        <w:pStyle w:val="ListParagraph"/>
        <w:spacing w:after="0" w:line="480" w:lineRule="auto"/>
        <w:ind w:left="0"/>
        <w:rPr>
          <w:rFonts w:ascii="Arial" w:hAnsi="Arial" w:cs="Arial"/>
          <w:sz w:val="16"/>
          <w:szCs w:val="16"/>
        </w:rPr>
      </w:pPr>
    </w:p>
    <w:tbl>
      <w:tblPr>
        <w:tblW w:w="9615" w:type="dxa"/>
        <w:tblLook w:val="04A0" w:firstRow="1" w:lastRow="0" w:firstColumn="1" w:lastColumn="0" w:noHBand="0" w:noVBand="1"/>
      </w:tblPr>
      <w:tblGrid>
        <w:gridCol w:w="2500"/>
        <w:gridCol w:w="1743"/>
        <w:gridCol w:w="1843"/>
        <w:gridCol w:w="1842"/>
        <w:gridCol w:w="1687"/>
      </w:tblGrid>
      <w:tr w:rsidR="008B782E" w:rsidRPr="00305A1B" w14:paraId="153CC087" w14:textId="77777777" w:rsidTr="008E4370">
        <w:trPr>
          <w:trHeight w:val="300"/>
        </w:trPr>
        <w:tc>
          <w:tcPr>
            <w:tcW w:w="250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527FBF85"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Minimum amplicon frequency (%)</w:t>
            </w:r>
          </w:p>
        </w:tc>
        <w:tc>
          <w:tcPr>
            <w:tcW w:w="3586" w:type="dxa"/>
            <w:gridSpan w:val="2"/>
            <w:tcBorders>
              <w:top w:val="single" w:sz="8" w:space="0" w:color="auto"/>
              <w:left w:val="nil"/>
              <w:bottom w:val="single" w:sz="8" w:space="0" w:color="auto"/>
              <w:right w:val="nil"/>
            </w:tcBorders>
            <w:shd w:val="clear" w:color="auto" w:fill="auto"/>
            <w:noWrap/>
            <w:vAlign w:val="center"/>
            <w:hideMark/>
          </w:tcPr>
          <w:p w14:paraId="09E33EDD"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MHC-I</w:t>
            </w:r>
          </w:p>
        </w:tc>
        <w:tc>
          <w:tcPr>
            <w:tcW w:w="3529" w:type="dxa"/>
            <w:gridSpan w:val="2"/>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6DEF6D30"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MHC-II</w:t>
            </w:r>
          </w:p>
        </w:tc>
      </w:tr>
      <w:tr w:rsidR="008B782E" w:rsidRPr="00305A1B" w14:paraId="32AABD7C" w14:textId="77777777" w:rsidTr="008E4370">
        <w:trPr>
          <w:trHeight w:val="560"/>
        </w:trPr>
        <w:tc>
          <w:tcPr>
            <w:tcW w:w="2500" w:type="dxa"/>
            <w:vMerge/>
            <w:tcBorders>
              <w:top w:val="single" w:sz="8" w:space="0" w:color="auto"/>
              <w:left w:val="single" w:sz="8" w:space="0" w:color="auto"/>
              <w:bottom w:val="single" w:sz="8" w:space="0" w:color="000000"/>
              <w:right w:val="single" w:sz="8" w:space="0" w:color="auto"/>
            </w:tcBorders>
            <w:vAlign w:val="center"/>
            <w:hideMark/>
          </w:tcPr>
          <w:p w14:paraId="56B2B8B5" w14:textId="77777777" w:rsidR="008B782E" w:rsidRPr="00305A1B" w:rsidRDefault="008B782E" w:rsidP="00EB5F3C">
            <w:pPr>
              <w:spacing w:after="0" w:line="240" w:lineRule="auto"/>
              <w:rPr>
                <w:rFonts w:ascii="Calibri" w:eastAsia="Times New Roman" w:hAnsi="Calibri" w:cs="Calibri"/>
                <w:lang w:eastAsia="en-GB"/>
              </w:rPr>
            </w:pPr>
          </w:p>
        </w:tc>
        <w:tc>
          <w:tcPr>
            <w:tcW w:w="1743" w:type="dxa"/>
            <w:tcBorders>
              <w:top w:val="nil"/>
              <w:left w:val="nil"/>
              <w:bottom w:val="single" w:sz="8" w:space="0" w:color="auto"/>
              <w:right w:val="single" w:sz="8" w:space="0" w:color="auto"/>
            </w:tcBorders>
            <w:shd w:val="clear" w:color="auto" w:fill="auto"/>
            <w:vAlign w:val="center"/>
            <w:hideMark/>
          </w:tcPr>
          <w:p w14:paraId="2164E467"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Repeatability (%)</w:t>
            </w:r>
          </w:p>
        </w:tc>
        <w:tc>
          <w:tcPr>
            <w:tcW w:w="1843" w:type="dxa"/>
            <w:tcBorders>
              <w:top w:val="nil"/>
              <w:left w:val="nil"/>
              <w:bottom w:val="single" w:sz="8" w:space="0" w:color="auto"/>
              <w:right w:val="nil"/>
            </w:tcBorders>
            <w:shd w:val="clear" w:color="auto" w:fill="auto"/>
            <w:vAlign w:val="center"/>
            <w:hideMark/>
          </w:tcPr>
          <w:p w14:paraId="369B056E"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average number of alleles</w:t>
            </w:r>
          </w:p>
        </w:tc>
        <w:tc>
          <w:tcPr>
            <w:tcW w:w="1842" w:type="dxa"/>
            <w:tcBorders>
              <w:top w:val="nil"/>
              <w:left w:val="single" w:sz="8" w:space="0" w:color="auto"/>
              <w:bottom w:val="single" w:sz="8" w:space="0" w:color="auto"/>
              <w:right w:val="single" w:sz="8" w:space="0" w:color="auto"/>
            </w:tcBorders>
            <w:shd w:val="clear" w:color="auto" w:fill="auto"/>
            <w:vAlign w:val="center"/>
            <w:hideMark/>
          </w:tcPr>
          <w:p w14:paraId="742C27C5"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Repeatability (%)</w:t>
            </w:r>
          </w:p>
        </w:tc>
        <w:tc>
          <w:tcPr>
            <w:tcW w:w="1687" w:type="dxa"/>
            <w:tcBorders>
              <w:top w:val="nil"/>
              <w:left w:val="nil"/>
              <w:bottom w:val="single" w:sz="8" w:space="0" w:color="auto"/>
              <w:right w:val="single" w:sz="8" w:space="0" w:color="auto"/>
            </w:tcBorders>
            <w:shd w:val="clear" w:color="auto" w:fill="auto"/>
            <w:vAlign w:val="center"/>
            <w:hideMark/>
          </w:tcPr>
          <w:p w14:paraId="5CFEB676"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average number of alleles</w:t>
            </w:r>
          </w:p>
        </w:tc>
      </w:tr>
      <w:tr w:rsidR="008B782E" w:rsidRPr="00305A1B" w14:paraId="46A06EBF" w14:textId="77777777" w:rsidTr="008E4370">
        <w:trPr>
          <w:trHeight w:val="290"/>
        </w:trPr>
        <w:tc>
          <w:tcPr>
            <w:tcW w:w="2500" w:type="dxa"/>
            <w:tcBorders>
              <w:top w:val="nil"/>
              <w:left w:val="single" w:sz="8" w:space="0" w:color="auto"/>
              <w:bottom w:val="nil"/>
              <w:right w:val="single" w:sz="8" w:space="0" w:color="auto"/>
            </w:tcBorders>
            <w:shd w:val="clear" w:color="auto" w:fill="auto"/>
            <w:vAlign w:val="center"/>
            <w:hideMark/>
          </w:tcPr>
          <w:p w14:paraId="5B34181C"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0</w:t>
            </w:r>
          </w:p>
        </w:tc>
        <w:tc>
          <w:tcPr>
            <w:tcW w:w="1743" w:type="dxa"/>
            <w:tcBorders>
              <w:top w:val="nil"/>
              <w:left w:val="nil"/>
              <w:bottom w:val="nil"/>
              <w:right w:val="single" w:sz="8" w:space="0" w:color="auto"/>
            </w:tcBorders>
            <w:shd w:val="clear" w:color="auto" w:fill="auto"/>
            <w:noWrap/>
            <w:vAlign w:val="center"/>
            <w:hideMark/>
          </w:tcPr>
          <w:p w14:paraId="788DD0BF"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70.79</w:t>
            </w:r>
          </w:p>
        </w:tc>
        <w:tc>
          <w:tcPr>
            <w:tcW w:w="1843" w:type="dxa"/>
            <w:tcBorders>
              <w:top w:val="nil"/>
              <w:left w:val="nil"/>
              <w:bottom w:val="nil"/>
              <w:right w:val="nil"/>
            </w:tcBorders>
            <w:shd w:val="clear" w:color="auto" w:fill="auto"/>
            <w:noWrap/>
            <w:vAlign w:val="center"/>
            <w:hideMark/>
          </w:tcPr>
          <w:p w14:paraId="738E22C6"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13.85</w:t>
            </w:r>
          </w:p>
        </w:tc>
        <w:tc>
          <w:tcPr>
            <w:tcW w:w="1842" w:type="dxa"/>
            <w:tcBorders>
              <w:top w:val="nil"/>
              <w:left w:val="single" w:sz="8" w:space="0" w:color="auto"/>
              <w:bottom w:val="nil"/>
              <w:right w:val="single" w:sz="8" w:space="0" w:color="auto"/>
            </w:tcBorders>
            <w:shd w:val="clear" w:color="auto" w:fill="auto"/>
            <w:noWrap/>
            <w:vAlign w:val="center"/>
            <w:hideMark/>
          </w:tcPr>
          <w:p w14:paraId="2ED8FBA5"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91.09</w:t>
            </w:r>
          </w:p>
        </w:tc>
        <w:tc>
          <w:tcPr>
            <w:tcW w:w="1687" w:type="dxa"/>
            <w:tcBorders>
              <w:top w:val="nil"/>
              <w:left w:val="nil"/>
              <w:bottom w:val="nil"/>
              <w:right w:val="single" w:sz="8" w:space="0" w:color="auto"/>
            </w:tcBorders>
            <w:shd w:val="clear" w:color="auto" w:fill="auto"/>
            <w:noWrap/>
            <w:vAlign w:val="center"/>
            <w:hideMark/>
          </w:tcPr>
          <w:p w14:paraId="553AAA34"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58.94</w:t>
            </w:r>
          </w:p>
        </w:tc>
      </w:tr>
      <w:tr w:rsidR="008B782E" w:rsidRPr="00305A1B" w14:paraId="39C85109" w14:textId="77777777" w:rsidTr="008E4370">
        <w:trPr>
          <w:trHeight w:val="290"/>
        </w:trPr>
        <w:tc>
          <w:tcPr>
            <w:tcW w:w="2500" w:type="dxa"/>
            <w:tcBorders>
              <w:top w:val="nil"/>
              <w:left w:val="single" w:sz="8" w:space="0" w:color="auto"/>
              <w:bottom w:val="nil"/>
              <w:right w:val="single" w:sz="8" w:space="0" w:color="auto"/>
            </w:tcBorders>
            <w:shd w:val="clear" w:color="auto" w:fill="auto"/>
            <w:vAlign w:val="center"/>
            <w:hideMark/>
          </w:tcPr>
          <w:p w14:paraId="13C577C5"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0.1</w:t>
            </w:r>
          </w:p>
        </w:tc>
        <w:tc>
          <w:tcPr>
            <w:tcW w:w="1743" w:type="dxa"/>
            <w:tcBorders>
              <w:top w:val="nil"/>
              <w:left w:val="nil"/>
              <w:bottom w:val="nil"/>
              <w:right w:val="single" w:sz="8" w:space="0" w:color="auto"/>
            </w:tcBorders>
            <w:shd w:val="clear" w:color="auto" w:fill="auto"/>
            <w:noWrap/>
            <w:vAlign w:val="center"/>
            <w:hideMark/>
          </w:tcPr>
          <w:p w14:paraId="19908700"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70.74</w:t>
            </w:r>
          </w:p>
        </w:tc>
        <w:tc>
          <w:tcPr>
            <w:tcW w:w="1843" w:type="dxa"/>
            <w:tcBorders>
              <w:top w:val="nil"/>
              <w:left w:val="nil"/>
              <w:bottom w:val="nil"/>
              <w:right w:val="nil"/>
            </w:tcBorders>
            <w:shd w:val="clear" w:color="auto" w:fill="auto"/>
            <w:noWrap/>
            <w:vAlign w:val="center"/>
            <w:hideMark/>
          </w:tcPr>
          <w:p w14:paraId="5897DAF3"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10.58</w:t>
            </w:r>
          </w:p>
        </w:tc>
        <w:tc>
          <w:tcPr>
            <w:tcW w:w="1842" w:type="dxa"/>
            <w:tcBorders>
              <w:top w:val="nil"/>
              <w:left w:val="single" w:sz="8" w:space="0" w:color="auto"/>
              <w:bottom w:val="nil"/>
              <w:right w:val="single" w:sz="8" w:space="0" w:color="auto"/>
            </w:tcBorders>
            <w:shd w:val="clear" w:color="auto" w:fill="auto"/>
            <w:noWrap/>
            <w:vAlign w:val="center"/>
            <w:hideMark/>
          </w:tcPr>
          <w:p w14:paraId="54B76ED9"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88.12</w:t>
            </w:r>
          </w:p>
        </w:tc>
        <w:tc>
          <w:tcPr>
            <w:tcW w:w="1687" w:type="dxa"/>
            <w:tcBorders>
              <w:top w:val="nil"/>
              <w:left w:val="nil"/>
              <w:bottom w:val="nil"/>
              <w:right w:val="single" w:sz="8" w:space="0" w:color="auto"/>
            </w:tcBorders>
            <w:shd w:val="clear" w:color="auto" w:fill="auto"/>
            <w:noWrap/>
            <w:vAlign w:val="center"/>
            <w:hideMark/>
          </w:tcPr>
          <w:p w14:paraId="1C245B1E"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54.19</w:t>
            </w:r>
          </w:p>
        </w:tc>
      </w:tr>
      <w:tr w:rsidR="008B782E" w:rsidRPr="00305A1B" w14:paraId="78504AE6" w14:textId="77777777" w:rsidTr="008E4370">
        <w:trPr>
          <w:trHeight w:val="290"/>
        </w:trPr>
        <w:tc>
          <w:tcPr>
            <w:tcW w:w="2500" w:type="dxa"/>
            <w:tcBorders>
              <w:top w:val="nil"/>
              <w:left w:val="single" w:sz="8" w:space="0" w:color="auto"/>
              <w:bottom w:val="nil"/>
              <w:right w:val="single" w:sz="8" w:space="0" w:color="auto"/>
            </w:tcBorders>
            <w:shd w:val="clear" w:color="auto" w:fill="auto"/>
            <w:vAlign w:val="center"/>
            <w:hideMark/>
          </w:tcPr>
          <w:p w14:paraId="54D99684"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0.2</w:t>
            </w:r>
          </w:p>
        </w:tc>
        <w:tc>
          <w:tcPr>
            <w:tcW w:w="1743" w:type="dxa"/>
            <w:tcBorders>
              <w:top w:val="nil"/>
              <w:left w:val="nil"/>
              <w:bottom w:val="nil"/>
              <w:right w:val="single" w:sz="8" w:space="0" w:color="auto"/>
            </w:tcBorders>
            <w:shd w:val="clear" w:color="auto" w:fill="auto"/>
            <w:noWrap/>
            <w:vAlign w:val="center"/>
            <w:hideMark/>
          </w:tcPr>
          <w:p w14:paraId="3A703466"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74.97</w:t>
            </w:r>
          </w:p>
        </w:tc>
        <w:tc>
          <w:tcPr>
            <w:tcW w:w="1843" w:type="dxa"/>
            <w:tcBorders>
              <w:top w:val="nil"/>
              <w:left w:val="nil"/>
              <w:bottom w:val="nil"/>
              <w:right w:val="nil"/>
            </w:tcBorders>
            <w:shd w:val="clear" w:color="auto" w:fill="auto"/>
            <w:noWrap/>
            <w:vAlign w:val="center"/>
            <w:hideMark/>
          </w:tcPr>
          <w:p w14:paraId="7D96FCDA"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8.96</w:t>
            </w:r>
          </w:p>
        </w:tc>
        <w:tc>
          <w:tcPr>
            <w:tcW w:w="1842" w:type="dxa"/>
            <w:tcBorders>
              <w:top w:val="nil"/>
              <w:left w:val="single" w:sz="8" w:space="0" w:color="auto"/>
              <w:bottom w:val="nil"/>
              <w:right w:val="single" w:sz="8" w:space="0" w:color="auto"/>
            </w:tcBorders>
            <w:shd w:val="clear" w:color="auto" w:fill="auto"/>
            <w:noWrap/>
            <w:vAlign w:val="center"/>
            <w:hideMark/>
          </w:tcPr>
          <w:p w14:paraId="246F2232"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87.99</w:t>
            </w:r>
          </w:p>
        </w:tc>
        <w:tc>
          <w:tcPr>
            <w:tcW w:w="1687" w:type="dxa"/>
            <w:tcBorders>
              <w:top w:val="nil"/>
              <w:left w:val="nil"/>
              <w:bottom w:val="nil"/>
              <w:right w:val="single" w:sz="8" w:space="0" w:color="auto"/>
            </w:tcBorders>
            <w:shd w:val="clear" w:color="auto" w:fill="auto"/>
            <w:noWrap/>
            <w:vAlign w:val="center"/>
            <w:hideMark/>
          </w:tcPr>
          <w:p w14:paraId="567F9A53"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42.81</w:t>
            </w:r>
          </w:p>
        </w:tc>
      </w:tr>
      <w:tr w:rsidR="008B782E" w:rsidRPr="00305A1B" w14:paraId="631F7A28" w14:textId="77777777" w:rsidTr="008E4370">
        <w:trPr>
          <w:trHeight w:val="290"/>
        </w:trPr>
        <w:tc>
          <w:tcPr>
            <w:tcW w:w="2500" w:type="dxa"/>
            <w:tcBorders>
              <w:top w:val="nil"/>
              <w:left w:val="single" w:sz="8" w:space="0" w:color="auto"/>
              <w:bottom w:val="nil"/>
              <w:right w:val="single" w:sz="8" w:space="0" w:color="auto"/>
            </w:tcBorders>
            <w:shd w:val="clear" w:color="auto" w:fill="auto"/>
            <w:vAlign w:val="center"/>
            <w:hideMark/>
          </w:tcPr>
          <w:p w14:paraId="3B565736"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0.3</w:t>
            </w:r>
          </w:p>
        </w:tc>
        <w:tc>
          <w:tcPr>
            <w:tcW w:w="1743" w:type="dxa"/>
            <w:tcBorders>
              <w:top w:val="nil"/>
              <w:left w:val="nil"/>
              <w:bottom w:val="nil"/>
              <w:right w:val="single" w:sz="8" w:space="0" w:color="auto"/>
            </w:tcBorders>
            <w:shd w:val="clear" w:color="auto" w:fill="auto"/>
            <w:noWrap/>
            <w:vAlign w:val="center"/>
            <w:hideMark/>
          </w:tcPr>
          <w:p w14:paraId="7A5C7D9E"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78.69</w:t>
            </w:r>
          </w:p>
        </w:tc>
        <w:tc>
          <w:tcPr>
            <w:tcW w:w="1843" w:type="dxa"/>
            <w:tcBorders>
              <w:top w:val="nil"/>
              <w:left w:val="nil"/>
              <w:bottom w:val="nil"/>
              <w:right w:val="nil"/>
            </w:tcBorders>
            <w:shd w:val="clear" w:color="auto" w:fill="auto"/>
            <w:noWrap/>
            <w:vAlign w:val="center"/>
            <w:hideMark/>
          </w:tcPr>
          <w:p w14:paraId="494C0FC8"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7.48</w:t>
            </w:r>
          </w:p>
        </w:tc>
        <w:tc>
          <w:tcPr>
            <w:tcW w:w="1842" w:type="dxa"/>
            <w:tcBorders>
              <w:top w:val="nil"/>
              <w:left w:val="single" w:sz="8" w:space="0" w:color="auto"/>
              <w:bottom w:val="nil"/>
              <w:right w:val="single" w:sz="8" w:space="0" w:color="auto"/>
            </w:tcBorders>
            <w:shd w:val="clear" w:color="auto" w:fill="auto"/>
            <w:noWrap/>
            <w:vAlign w:val="center"/>
            <w:hideMark/>
          </w:tcPr>
          <w:p w14:paraId="06064F64"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86.37</w:t>
            </w:r>
          </w:p>
        </w:tc>
        <w:tc>
          <w:tcPr>
            <w:tcW w:w="1687" w:type="dxa"/>
            <w:tcBorders>
              <w:top w:val="nil"/>
              <w:left w:val="nil"/>
              <w:bottom w:val="nil"/>
              <w:right w:val="single" w:sz="8" w:space="0" w:color="auto"/>
            </w:tcBorders>
            <w:shd w:val="clear" w:color="auto" w:fill="auto"/>
            <w:noWrap/>
            <w:vAlign w:val="center"/>
            <w:hideMark/>
          </w:tcPr>
          <w:p w14:paraId="3B2059BD"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36.44</w:t>
            </w:r>
          </w:p>
        </w:tc>
      </w:tr>
      <w:tr w:rsidR="008B782E" w:rsidRPr="00305A1B" w14:paraId="1CAD1E9C" w14:textId="77777777" w:rsidTr="008E4370">
        <w:trPr>
          <w:trHeight w:val="290"/>
        </w:trPr>
        <w:tc>
          <w:tcPr>
            <w:tcW w:w="2500" w:type="dxa"/>
            <w:tcBorders>
              <w:top w:val="nil"/>
              <w:left w:val="single" w:sz="8" w:space="0" w:color="auto"/>
              <w:bottom w:val="nil"/>
              <w:right w:val="single" w:sz="8" w:space="0" w:color="auto"/>
            </w:tcBorders>
            <w:shd w:val="clear" w:color="auto" w:fill="auto"/>
            <w:vAlign w:val="center"/>
            <w:hideMark/>
          </w:tcPr>
          <w:p w14:paraId="499E29D8"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0.4</w:t>
            </w:r>
          </w:p>
        </w:tc>
        <w:tc>
          <w:tcPr>
            <w:tcW w:w="1743" w:type="dxa"/>
            <w:tcBorders>
              <w:top w:val="nil"/>
              <w:left w:val="nil"/>
              <w:bottom w:val="nil"/>
              <w:right w:val="single" w:sz="8" w:space="0" w:color="auto"/>
            </w:tcBorders>
            <w:shd w:val="clear" w:color="auto" w:fill="auto"/>
            <w:noWrap/>
            <w:vAlign w:val="center"/>
            <w:hideMark/>
          </w:tcPr>
          <w:p w14:paraId="53B83117"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83.54</w:t>
            </w:r>
          </w:p>
        </w:tc>
        <w:tc>
          <w:tcPr>
            <w:tcW w:w="1843" w:type="dxa"/>
            <w:tcBorders>
              <w:top w:val="nil"/>
              <w:left w:val="nil"/>
              <w:bottom w:val="nil"/>
              <w:right w:val="nil"/>
            </w:tcBorders>
            <w:shd w:val="clear" w:color="auto" w:fill="auto"/>
            <w:noWrap/>
            <w:vAlign w:val="center"/>
            <w:hideMark/>
          </w:tcPr>
          <w:p w14:paraId="5C400F3A"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6.77</w:t>
            </w:r>
          </w:p>
        </w:tc>
        <w:tc>
          <w:tcPr>
            <w:tcW w:w="1842" w:type="dxa"/>
            <w:tcBorders>
              <w:top w:val="nil"/>
              <w:left w:val="single" w:sz="8" w:space="0" w:color="auto"/>
              <w:bottom w:val="nil"/>
              <w:right w:val="single" w:sz="8" w:space="0" w:color="auto"/>
            </w:tcBorders>
            <w:shd w:val="clear" w:color="auto" w:fill="auto"/>
            <w:noWrap/>
            <w:vAlign w:val="center"/>
            <w:hideMark/>
          </w:tcPr>
          <w:p w14:paraId="2095160A"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81.94</w:t>
            </w:r>
          </w:p>
        </w:tc>
        <w:tc>
          <w:tcPr>
            <w:tcW w:w="1687" w:type="dxa"/>
            <w:tcBorders>
              <w:top w:val="nil"/>
              <w:left w:val="nil"/>
              <w:bottom w:val="nil"/>
              <w:right w:val="single" w:sz="8" w:space="0" w:color="auto"/>
            </w:tcBorders>
            <w:shd w:val="clear" w:color="auto" w:fill="auto"/>
            <w:noWrap/>
            <w:vAlign w:val="center"/>
            <w:hideMark/>
          </w:tcPr>
          <w:p w14:paraId="127B3BAD"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30.52</w:t>
            </w:r>
          </w:p>
        </w:tc>
      </w:tr>
      <w:tr w:rsidR="008B782E" w:rsidRPr="00305A1B" w14:paraId="43D516DC" w14:textId="77777777" w:rsidTr="008E4370">
        <w:trPr>
          <w:trHeight w:val="290"/>
        </w:trPr>
        <w:tc>
          <w:tcPr>
            <w:tcW w:w="2500" w:type="dxa"/>
            <w:tcBorders>
              <w:top w:val="nil"/>
              <w:left w:val="single" w:sz="8" w:space="0" w:color="auto"/>
              <w:bottom w:val="nil"/>
              <w:right w:val="single" w:sz="8" w:space="0" w:color="auto"/>
            </w:tcBorders>
            <w:shd w:val="clear" w:color="auto" w:fill="auto"/>
            <w:vAlign w:val="center"/>
            <w:hideMark/>
          </w:tcPr>
          <w:p w14:paraId="387C1A71"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0.5</w:t>
            </w:r>
          </w:p>
        </w:tc>
        <w:tc>
          <w:tcPr>
            <w:tcW w:w="1743" w:type="dxa"/>
            <w:tcBorders>
              <w:top w:val="nil"/>
              <w:left w:val="nil"/>
              <w:bottom w:val="nil"/>
              <w:right w:val="single" w:sz="8" w:space="0" w:color="auto"/>
            </w:tcBorders>
            <w:shd w:val="clear" w:color="auto" w:fill="auto"/>
            <w:noWrap/>
            <w:vAlign w:val="center"/>
            <w:hideMark/>
          </w:tcPr>
          <w:p w14:paraId="0C0F3DBE"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86.45</w:t>
            </w:r>
          </w:p>
        </w:tc>
        <w:tc>
          <w:tcPr>
            <w:tcW w:w="1843" w:type="dxa"/>
            <w:tcBorders>
              <w:top w:val="nil"/>
              <w:left w:val="nil"/>
              <w:bottom w:val="nil"/>
              <w:right w:val="nil"/>
            </w:tcBorders>
            <w:shd w:val="clear" w:color="auto" w:fill="auto"/>
            <w:noWrap/>
            <w:vAlign w:val="center"/>
            <w:hideMark/>
          </w:tcPr>
          <w:p w14:paraId="3FC04996"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6.31</w:t>
            </w:r>
          </w:p>
        </w:tc>
        <w:tc>
          <w:tcPr>
            <w:tcW w:w="1842" w:type="dxa"/>
            <w:tcBorders>
              <w:top w:val="nil"/>
              <w:left w:val="single" w:sz="8" w:space="0" w:color="auto"/>
              <w:bottom w:val="nil"/>
              <w:right w:val="single" w:sz="8" w:space="0" w:color="auto"/>
            </w:tcBorders>
            <w:shd w:val="clear" w:color="auto" w:fill="auto"/>
            <w:noWrap/>
            <w:vAlign w:val="center"/>
            <w:hideMark/>
          </w:tcPr>
          <w:p w14:paraId="4ED3D5BC"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82.03</w:t>
            </w:r>
          </w:p>
        </w:tc>
        <w:tc>
          <w:tcPr>
            <w:tcW w:w="1687" w:type="dxa"/>
            <w:tcBorders>
              <w:top w:val="nil"/>
              <w:left w:val="nil"/>
              <w:bottom w:val="nil"/>
              <w:right w:val="single" w:sz="8" w:space="0" w:color="auto"/>
            </w:tcBorders>
            <w:shd w:val="clear" w:color="auto" w:fill="auto"/>
            <w:noWrap/>
            <w:vAlign w:val="center"/>
            <w:hideMark/>
          </w:tcPr>
          <w:p w14:paraId="2FBB69C2"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25.27</w:t>
            </w:r>
          </w:p>
        </w:tc>
      </w:tr>
      <w:tr w:rsidR="008B782E" w:rsidRPr="00305A1B" w14:paraId="08C81497" w14:textId="77777777" w:rsidTr="008E4370">
        <w:trPr>
          <w:trHeight w:val="290"/>
        </w:trPr>
        <w:tc>
          <w:tcPr>
            <w:tcW w:w="2500" w:type="dxa"/>
            <w:tcBorders>
              <w:top w:val="nil"/>
              <w:left w:val="single" w:sz="8" w:space="0" w:color="auto"/>
              <w:bottom w:val="nil"/>
              <w:right w:val="single" w:sz="8" w:space="0" w:color="auto"/>
            </w:tcBorders>
            <w:shd w:val="clear" w:color="auto" w:fill="auto"/>
            <w:vAlign w:val="center"/>
            <w:hideMark/>
          </w:tcPr>
          <w:p w14:paraId="60DAD887"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0.6</w:t>
            </w:r>
          </w:p>
        </w:tc>
        <w:tc>
          <w:tcPr>
            <w:tcW w:w="1743" w:type="dxa"/>
            <w:tcBorders>
              <w:top w:val="nil"/>
              <w:left w:val="nil"/>
              <w:bottom w:val="nil"/>
              <w:right w:val="single" w:sz="8" w:space="0" w:color="auto"/>
            </w:tcBorders>
            <w:shd w:val="clear" w:color="auto" w:fill="auto"/>
            <w:noWrap/>
            <w:vAlign w:val="center"/>
            <w:hideMark/>
          </w:tcPr>
          <w:p w14:paraId="46B18E61"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87.01</w:t>
            </w:r>
          </w:p>
        </w:tc>
        <w:tc>
          <w:tcPr>
            <w:tcW w:w="1843" w:type="dxa"/>
            <w:tcBorders>
              <w:top w:val="nil"/>
              <w:left w:val="nil"/>
              <w:bottom w:val="nil"/>
              <w:right w:val="nil"/>
            </w:tcBorders>
            <w:shd w:val="clear" w:color="auto" w:fill="auto"/>
            <w:noWrap/>
            <w:vAlign w:val="center"/>
            <w:hideMark/>
          </w:tcPr>
          <w:p w14:paraId="24B00930"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6.13</w:t>
            </w:r>
          </w:p>
        </w:tc>
        <w:tc>
          <w:tcPr>
            <w:tcW w:w="1842" w:type="dxa"/>
            <w:tcBorders>
              <w:top w:val="nil"/>
              <w:left w:val="single" w:sz="8" w:space="0" w:color="auto"/>
              <w:bottom w:val="nil"/>
              <w:right w:val="single" w:sz="8" w:space="0" w:color="auto"/>
            </w:tcBorders>
            <w:shd w:val="clear" w:color="auto" w:fill="auto"/>
            <w:noWrap/>
            <w:vAlign w:val="center"/>
            <w:hideMark/>
          </w:tcPr>
          <w:p w14:paraId="105D4A23"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84.00</w:t>
            </w:r>
          </w:p>
        </w:tc>
        <w:tc>
          <w:tcPr>
            <w:tcW w:w="1687" w:type="dxa"/>
            <w:tcBorders>
              <w:top w:val="nil"/>
              <w:left w:val="nil"/>
              <w:bottom w:val="nil"/>
              <w:right w:val="single" w:sz="8" w:space="0" w:color="auto"/>
            </w:tcBorders>
            <w:shd w:val="clear" w:color="auto" w:fill="auto"/>
            <w:noWrap/>
            <w:vAlign w:val="center"/>
            <w:hideMark/>
          </w:tcPr>
          <w:p w14:paraId="65F1D011"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21.31</w:t>
            </w:r>
          </w:p>
        </w:tc>
      </w:tr>
      <w:tr w:rsidR="008B782E" w:rsidRPr="00305A1B" w14:paraId="2BAFDDEF" w14:textId="77777777" w:rsidTr="008E4370">
        <w:trPr>
          <w:trHeight w:val="290"/>
        </w:trPr>
        <w:tc>
          <w:tcPr>
            <w:tcW w:w="2500" w:type="dxa"/>
            <w:tcBorders>
              <w:top w:val="nil"/>
              <w:left w:val="single" w:sz="8" w:space="0" w:color="auto"/>
              <w:bottom w:val="nil"/>
              <w:right w:val="single" w:sz="8" w:space="0" w:color="auto"/>
            </w:tcBorders>
            <w:shd w:val="clear" w:color="auto" w:fill="auto"/>
            <w:vAlign w:val="center"/>
            <w:hideMark/>
          </w:tcPr>
          <w:p w14:paraId="7ECA945B"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0.7</w:t>
            </w:r>
          </w:p>
        </w:tc>
        <w:tc>
          <w:tcPr>
            <w:tcW w:w="1743" w:type="dxa"/>
            <w:tcBorders>
              <w:top w:val="nil"/>
              <w:left w:val="nil"/>
              <w:bottom w:val="nil"/>
              <w:right w:val="single" w:sz="8" w:space="0" w:color="auto"/>
            </w:tcBorders>
            <w:shd w:val="clear" w:color="auto" w:fill="auto"/>
            <w:noWrap/>
            <w:vAlign w:val="center"/>
            <w:hideMark/>
          </w:tcPr>
          <w:p w14:paraId="3CAA6D68"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90.93</w:t>
            </w:r>
          </w:p>
        </w:tc>
        <w:tc>
          <w:tcPr>
            <w:tcW w:w="1843" w:type="dxa"/>
            <w:tcBorders>
              <w:top w:val="nil"/>
              <w:left w:val="nil"/>
              <w:bottom w:val="nil"/>
              <w:right w:val="nil"/>
            </w:tcBorders>
            <w:shd w:val="clear" w:color="auto" w:fill="auto"/>
            <w:noWrap/>
            <w:vAlign w:val="center"/>
            <w:hideMark/>
          </w:tcPr>
          <w:p w14:paraId="7133FC7B"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5.79</w:t>
            </w:r>
          </w:p>
        </w:tc>
        <w:tc>
          <w:tcPr>
            <w:tcW w:w="1842" w:type="dxa"/>
            <w:tcBorders>
              <w:top w:val="nil"/>
              <w:left w:val="single" w:sz="8" w:space="0" w:color="auto"/>
              <w:bottom w:val="nil"/>
              <w:right w:val="single" w:sz="8" w:space="0" w:color="auto"/>
            </w:tcBorders>
            <w:shd w:val="clear" w:color="auto" w:fill="auto"/>
            <w:noWrap/>
            <w:vAlign w:val="center"/>
            <w:hideMark/>
          </w:tcPr>
          <w:p w14:paraId="7269E262"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84.01</w:t>
            </w:r>
          </w:p>
        </w:tc>
        <w:tc>
          <w:tcPr>
            <w:tcW w:w="1687" w:type="dxa"/>
            <w:tcBorders>
              <w:top w:val="nil"/>
              <w:left w:val="nil"/>
              <w:bottom w:val="nil"/>
              <w:right w:val="single" w:sz="8" w:space="0" w:color="auto"/>
            </w:tcBorders>
            <w:shd w:val="clear" w:color="auto" w:fill="auto"/>
            <w:noWrap/>
            <w:vAlign w:val="center"/>
            <w:hideMark/>
          </w:tcPr>
          <w:p w14:paraId="631EB26D"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18.00</w:t>
            </w:r>
          </w:p>
        </w:tc>
      </w:tr>
      <w:tr w:rsidR="008B782E" w:rsidRPr="00305A1B" w14:paraId="60B74D99" w14:textId="77777777" w:rsidTr="008E4370">
        <w:trPr>
          <w:trHeight w:val="290"/>
        </w:trPr>
        <w:tc>
          <w:tcPr>
            <w:tcW w:w="2500" w:type="dxa"/>
            <w:tcBorders>
              <w:top w:val="nil"/>
              <w:left w:val="single" w:sz="8" w:space="0" w:color="auto"/>
              <w:bottom w:val="nil"/>
              <w:right w:val="single" w:sz="8" w:space="0" w:color="auto"/>
            </w:tcBorders>
            <w:shd w:val="clear" w:color="auto" w:fill="auto"/>
            <w:vAlign w:val="center"/>
            <w:hideMark/>
          </w:tcPr>
          <w:p w14:paraId="14E1E79A"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0.8</w:t>
            </w:r>
          </w:p>
        </w:tc>
        <w:tc>
          <w:tcPr>
            <w:tcW w:w="1743" w:type="dxa"/>
            <w:tcBorders>
              <w:top w:val="nil"/>
              <w:left w:val="nil"/>
              <w:bottom w:val="nil"/>
              <w:right w:val="single" w:sz="8" w:space="0" w:color="auto"/>
            </w:tcBorders>
            <w:shd w:val="clear" w:color="auto" w:fill="auto"/>
            <w:noWrap/>
            <w:vAlign w:val="center"/>
            <w:hideMark/>
          </w:tcPr>
          <w:p w14:paraId="397EC740"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91.58</w:t>
            </w:r>
          </w:p>
        </w:tc>
        <w:tc>
          <w:tcPr>
            <w:tcW w:w="1843" w:type="dxa"/>
            <w:tcBorders>
              <w:top w:val="nil"/>
              <w:left w:val="nil"/>
              <w:bottom w:val="nil"/>
              <w:right w:val="nil"/>
            </w:tcBorders>
            <w:shd w:val="clear" w:color="auto" w:fill="auto"/>
            <w:noWrap/>
            <w:vAlign w:val="center"/>
            <w:hideMark/>
          </w:tcPr>
          <w:p w14:paraId="4FAEC6F4"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5.71</w:t>
            </w:r>
          </w:p>
        </w:tc>
        <w:tc>
          <w:tcPr>
            <w:tcW w:w="1842" w:type="dxa"/>
            <w:tcBorders>
              <w:top w:val="nil"/>
              <w:left w:val="single" w:sz="8" w:space="0" w:color="auto"/>
              <w:bottom w:val="nil"/>
              <w:right w:val="single" w:sz="8" w:space="0" w:color="auto"/>
            </w:tcBorders>
            <w:shd w:val="clear" w:color="auto" w:fill="auto"/>
            <w:noWrap/>
            <w:vAlign w:val="center"/>
            <w:hideMark/>
          </w:tcPr>
          <w:p w14:paraId="7F135D46"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85.05</w:t>
            </w:r>
          </w:p>
        </w:tc>
        <w:tc>
          <w:tcPr>
            <w:tcW w:w="1687" w:type="dxa"/>
            <w:tcBorders>
              <w:top w:val="nil"/>
              <w:left w:val="nil"/>
              <w:bottom w:val="nil"/>
              <w:right w:val="single" w:sz="8" w:space="0" w:color="auto"/>
            </w:tcBorders>
            <w:shd w:val="clear" w:color="auto" w:fill="auto"/>
            <w:noWrap/>
            <w:vAlign w:val="center"/>
            <w:hideMark/>
          </w:tcPr>
          <w:p w14:paraId="24EE3015"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15.88</w:t>
            </w:r>
          </w:p>
        </w:tc>
      </w:tr>
      <w:tr w:rsidR="008B782E" w:rsidRPr="00305A1B" w14:paraId="66074190" w14:textId="77777777" w:rsidTr="008E4370">
        <w:trPr>
          <w:trHeight w:val="290"/>
        </w:trPr>
        <w:tc>
          <w:tcPr>
            <w:tcW w:w="2500" w:type="dxa"/>
            <w:tcBorders>
              <w:top w:val="nil"/>
              <w:left w:val="single" w:sz="8" w:space="0" w:color="auto"/>
              <w:bottom w:val="nil"/>
              <w:right w:val="single" w:sz="8" w:space="0" w:color="auto"/>
            </w:tcBorders>
            <w:shd w:val="clear" w:color="auto" w:fill="auto"/>
            <w:vAlign w:val="center"/>
            <w:hideMark/>
          </w:tcPr>
          <w:p w14:paraId="7328DAB8"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0.9</w:t>
            </w:r>
          </w:p>
        </w:tc>
        <w:tc>
          <w:tcPr>
            <w:tcW w:w="1743" w:type="dxa"/>
            <w:tcBorders>
              <w:top w:val="nil"/>
              <w:left w:val="nil"/>
              <w:bottom w:val="nil"/>
              <w:right w:val="single" w:sz="8" w:space="0" w:color="auto"/>
            </w:tcBorders>
            <w:shd w:val="clear" w:color="auto" w:fill="auto"/>
            <w:noWrap/>
            <w:vAlign w:val="center"/>
            <w:hideMark/>
          </w:tcPr>
          <w:p w14:paraId="015BB384"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91.46</w:t>
            </w:r>
          </w:p>
        </w:tc>
        <w:tc>
          <w:tcPr>
            <w:tcW w:w="1843" w:type="dxa"/>
            <w:tcBorders>
              <w:top w:val="nil"/>
              <w:left w:val="nil"/>
              <w:bottom w:val="nil"/>
              <w:right w:val="nil"/>
            </w:tcBorders>
            <w:shd w:val="clear" w:color="auto" w:fill="auto"/>
            <w:noWrap/>
            <w:vAlign w:val="center"/>
            <w:hideMark/>
          </w:tcPr>
          <w:p w14:paraId="36028D5F"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5.52</w:t>
            </w:r>
          </w:p>
        </w:tc>
        <w:tc>
          <w:tcPr>
            <w:tcW w:w="1842" w:type="dxa"/>
            <w:tcBorders>
              <w:top w:val="nil"/>
              <w:left w:val="single" w:sz="8" w:space="0" w:color="auto"/>
              <w:bottom w:val="nil"/>
              <w:right w:val="single" w:sz="8" w:space="0" w:color="auto"/>
            </w:tcBorders>
            <w:shd w:val="clear" w:color="auto" w:fill="auto"/>
            <w:noWrap/>
            <w:vAlign w:val="center"/>
            <w:hideMark/>
          </w:tcPr>
          <w:p w14:paraId="1AF634C1"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84.19</w:t>
            </w:r>
          </w:p>
        </w:tc>
        <w:tc>
          <w:tcPr>
            <w:tcW w:w="1687" w:type="dxa"/>
            <w:tcBorders>
              <w:top w:val="nil"/>
              <w:left w:val="nil"/>
              <w:bottom w:val="nil"/>
              <w:right w:val="single" w:sz="8" w:space="0" w:color="auto"/>
            </w:tcBorders>
            <w:shd w:val="clear" w:color="auto" w:fill="auto"/>
            <w:noWrap/>
            <w:vAlign w:val="center"/>
            <w:hideMark/>
          </w:tcPr>
          <w:p w14:paraId="72529ABD"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14.10</w:t>
            </w:r>
          </w:p>
        </w:tc>
      </w:tr>
      <w:tr w:rsidR="008B782E" w:rsidRPr="00305A1B" w14:paraId="0E228E04" w14:textId="77777777" w:rsidTr="008E4370">
        <w:trPr>
          <w:trHeight w:val="290"/>
        </w:trPr>
        <w:tc>
          <w:tcPr>
            <w:tcW w:w="2500" w:type="dxa"/>
            <w:tcBorders>
              <w:top w:val="nil"/>
              <w:left w:val="single" w:sz="8" w:space="0" w:color="auto"/>
              <w:bottom w:val="nil"/>
              <w:right w:val="single" w:sz="8" w:space="0" w:color="auto"/>
            </w:tcBorders>
            <w:shd w:val="clear" w:color="auto" w:fill="auto"/>
            <w:vAlign w:val="center"/>
            <w:hideMark/>
          </w:tcPr>
          <w:p w14:paraId="3F6B29B9"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1</w:t>
            </w:r>
          </w:p>
        </w:tc>
        <w:tc>
          <w:tcPr>
            <w:tcW w:w="1743" w:type="dxa"/>
            <w:tcBorders>
              <w:top w:val="nil"/>
              <w:left w:val="nil"/>
              <w:bottom w:val="nil"/>
              <w:right w:val="single" w:sz="8" w:space="0" w:color="auto"/>
            </w:tcBorders>
            <w:shd w:val="clear" w:color="auto" w:fill="auto"/>
            <w:noWrap/>
            <w:vAlign w:val="center"/>
            <w:hideMark/>
          </w:tcPr>
          <w:p w14:paraId="0D2C7414"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90.9</w:t>
            </w:r>
          </w:p>
        </w:tc>
        <w:tc>
          <w:tcPr>
            <w:tcW w:w="1843" w:type="dxa"/>
            <w:tcBorders>
              <w:top w:val="nil"/>
              <w:left w:val="nil"/>
              <w:bottom w:val="nil"/>
              <w:right w:val="nil"/>
            </w:tcBorders>
            <w:shd w:val="clear" w:color="auto" w:fill="auto"/>
            <w:noWrap/>
            <w:vAlign w:val="center"/>
            <w:hideMark/>
          </w:tcPr>
          <w:p w14:paraId="7D6DDCE2"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5.44</w:t>
            </w:r>
          </w:p>
        </w:tc>
        <w:tc>
          <w:tcPr>
            <w:tcW w:w="1842" w:type="dxa"/>
            <w:tcBorders>
              <w:top w:val="nil"/>
              <w:left w:val="single" w:sz="8" w:space="0" w:color="auto"/>
              <w:bottom w:val="nil"/>
              <w:right w:val="single" w:sz="8" w:space="0" w:color="auto"/>
            </w:tcBorders>
            <w:shd w:val="clear" w:color="auto" w:fill="auto"/>
            <w:noWrap/>
            <w:vAlign w:val="center"/>
            <w:hideMark/>
          </w:tcPr>
          <w:p w14:paraId="7ABFBE16"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83.93</w:t>
            </w:r>
          </w:p>
        </w:tc>
        <w:tc>
          <w:tcPr>
            <w:tcW w:w="1687" w:type="dxa"/>
            <w:tcBorders>
              <w:top w:val="nil"/>
              <w:left w:val="nil"/>
              <w:bottom w:val="nil"/>
              <w:right w:val="single" w:sz="8" w:space="0" w:color="auto"/>
            </w:tcBorders>
            <w:shd w:val="clear" w:color="auto" w:fill="auto"/>
            <w:noWrap/>
            <w:vAlign w:val="center"/>
            <w:hideMark/>
          </w:tcPr>
          <w:p w14:paraId="28EC5917"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12.46</w:t>
            </w:r>
          </w:p>
        </w:tc>
      </w:tr>
      <w:tr w:rsidR="008B782E" w:rsidRPr="00305A1B" w14:paraId="32673E97" w14:textId="77777777" w:rsidTr="008E4370">
        <w:trPr>
          <w:trHeight w:val="290"/>
        </w:trPr>
        <w:tc>
          <w:tcPr>
            <w:tcW w:w="2500" w:type="dxa"/>
            <w:tcBorders>
              <w:top w:val="nil"/>
              <w:left w:val="single" w:sz="8" w:space="0" w:color="auto"/>
              <w:bottom w:val="nil"/>
              <w:right w:val="single" w:sz="8" w:space="0" w:color="auto"/>
            </w:tcBorders>
            <w:shd w:val="clear" w:color="auto" w:fill="auto"/>
            <w:vAlign w:val="center"/>
            <w:hideMark/>
          </w:tcPr>
          <w:p w14:paraId="5EAEEDF1"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1.5</w:t>
            </w:r>
          </w:p>
        </w:tc>
        <w:tc>
          <w:tcPr>
            <w:tcW w:w="1743" w:type="dxa"/>
            <w:tcBorders>
              <w:top w:val="nil"/>
              <w:left w:val="nil"/>
              <w:bottom w:val="nil"/>
              <w:right w:val="single" w:sz="8" w:space="0" w:color="auto"/>
            </w:tcBorders>
            <w:shd w:val="clear" w:color="auto" w:fill="auto"/>
            <w:noWrap/>
            <w:vAlign w:val="center"/>
            <w:hideMark/>
          </w:tcPr>
          <w:p w14:paraId="77EB231E"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94.11</w:t>
            </w:r>
          </w:p>
        </w:tc>
        <w:tc>
          <w:tcPr>
            <w:tcW w:w="1843" w:type="dxa"/>
            <w:tcBorders>
              <w:top w:val="nil"/>
              <w:left w:val="nil"/>
              <w:bottom w:val="nil"/>
              <w:right w:val="nil"/>
            </w:tcBorders>
            <w:shd w:val="clear" w:color="auto" w:fill="auto"/>
            <w:noWrap/>
            <w:vAlign w:val="center"/>
            <w:hideMark/>
          </w:tcPr>
          <w:p w14:paraId="12AF3DAC"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5.06</w:t>
            </w:r>
          </w:p>
        </w:tc>
        <w:tc>
          <w:tcPr>
            <w:tcW w:w="1842" w:type="dxa"/>
            <w:tcBorders>
              <w:top w:val="nil"/>
              <w:left w:val="single" w:sz="8" w:space="0" w:color="auto"/>
              <w:bottom w:val="nil"/>
              <w:right w:val="single" w:sz="8" w:space="0" w:color="auto"/>
            </w:tcBorders>
            <w:shd w:val="clear" w:color="auto" w:fill="auto"/>
            <w:noWrap/>
            <w:vAlign w:val="center"/>
            <w:hideMark/>
          </w:tcPr>
          <w:p w14:paraId="67DDA80E" w14:textId="77777777" w:rsidR="008B782E" w:rsidRPr="00EB5F3C" w:rsidRDefault="008B782E" w:rsidP="00EB5F3C">
            <w:pPr>
              <w:spacing w:after="0" w:line="240" w:lineRule="auto"/>
              <w:jc w:val="center"/>
              <w:rPr>
                <w:rFonts w:ascii="Calibri" w:eastAsia="Times New Roman" w:hAnsi="Calibri" w:cs="Calibri"/>
                <w:lang w:eastAsia="en-GB"/>
              </w:rPr>
            </w:pPr>
            <w:r w:rsidRPr="00EB5F3C">
              <w:rPr>
                <w:rFonts w:ascii="Calibri" w:eastAsia="Times New Roman" w:hAnsi="Calibri" w:cs="Calibri"/>
                <w:lang w:eastAsia="en-GB"/>
              </w:rPr>
              <w:t>87.18</w:t>
            </w:r>
          </w:p>
        </w:tc>
        <w:tc>
          <w:tcPr>
            <w:tcW w:w="1687" w:type="dxa"/>
            <w:tcBorders>
              <w:top w:val="nil"/>
              <w:left w:val="nil"/>
              <w:bottom w:val="nil"/>
              <w:right w:val="single" w:sz="8" w:space="0" w:color="auto"/>
            </w:tcBorders>
            <w:shd w:val="clear" w:color="auto" w:fill="auto"/>
            <w:noWrap/>
            <w:vAlign w:val="center"/>
            <w:hideMark/>
          </w:tcPr>
          <w:p w14:paraId="3D85003F" w14:textId="77777777" w:rsidR="008B782E" w:rsidRPr="00EB5F3C" w:rsidRDefault="008B782E" w:rsidP="00EB5F3C">
            <w:pPr>
              <w:spacing w:after="0" w:line="240" w:lineRule="auto"/>
              <w:jc w:val="center"/>
              <w:rPr>
                <w:rFonts w:ascii="Calibri" w:eastAsia="Times New Roman" w:hAnsi="Calibri" w:cs="Calibri"/>
                <w:lang w:eastAsia="en-GB"/>
              </w:rPr>
            </w:pPr>
            <w:r w:rsidRPr="00EB5F3C">
              <w:rPr>
                <w:rFonts w:ascii="Calibri" w:eastAsia="Times New Roman" w:hAnsi="Calibri" w:cs="Calibri"/>
                <w:lang w:eastAsia="en-GB"/>
              </w:rPr>
              <w:t>7.71</w:t>
            </w:r>
          </w:p>
        </w:tc>
      </w:tr>
      <w:tr w:rsidR="008B782E" w:rsidRPr="00305A1B" w14:paraId="2C20DB64" w14:textId="77777777" w:rsidTr="008E4370">
        <w:trPr>
          <w:trHeight w:val="290"/>
        </w:trPr>
        <w:tc>
          <w:tcPr>
            <w:tcW w:w="2500" w:type="dxa"/>
            <w:tcBorders>
              <w:top w:val="nil"/>
              <w:left w:val="single" w:sz="8" w:space="0" w:color="auto"/>
              <w:bottom w:val="nil"/>
              <w:right w:val="single" w:sz="8" w:space="0" w:color="auto"/>
            </w:tcBorders>
            <w:shd w:val="clear" w:color="auto" w:fill="auto"/>
            <w:vAlign w:val="center"/>
            <w:hideMark/>
          </w:tcPr>
          <w:p w14:paraId="3DD8E832"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1.6</w:t>
            </w:r>
          </w:p>
        </w:tc>
        <w:tc>
          <w:tcPr>
            <w:tcW w:w="1743" w:type="dxa"/>
            <w:tcBorders>
              <w:top w:val="nil"/>
              <w:left w:val="nil"/>
              <w:bottom w:val="nil"/>
              <w:right w:val="single" w:sz="8" w:space="0" w:color="auto"/>
            </w:tcBorders>
            <w:shd w:val="clear" w:color="auto" w:fill="auto"/>
            <w:noWrap/>
            <w:vAlign w:val="center"/>
            <w:hideMark/>
          </w:tcPr>
          <w:p w14:paraId="455088A0" w14:textId="77777777" w:rsidR="008B782E" w:rsidRPr="00834103" w:rsidRDefault="008B782E" w:rsidP="00EB5F3C">
            <w:pPr>
              <w:spacing w:after="0" w:line="240" w:lineRule="auto"/>
              <w:jc w:val="center"/>
              <w:rPr>
                <w:rFonts w:ascii="Calibri" w:eastAsia="Times New Roman" w:hAnsi="Calibri" w:cs="Calibri"/>
                <w:b/>
                <w:bCs/>
                <w:lang w:eastAsia="en-GB"/>
              </w:rPr>
            </w:pPr>
            <w:r w:rsidRPr="00834103">
              <w:rPr>
                <w:rFonts w:ascii="Calibri" w:eastAsia="Times New Roman" w:hAnsi="Calibri" w:cs="Calibri"/>
                <w:b/>
                <w:bCs/>
                <w:lang w:eastAsia="en-GB"/>
              </w:rPr>
              <w:t>95.48</w:t>
            </w:r>
          </w:p>
        </w:tc>
        <w:tc>
          <w:tcPr>
            <w:tcW w:w="1843" w:type="dxa"/>
            <w:tcBorders>
              <w:top w:val="nil"/>
              <w:left w:val="nil"/>
              <w:bottom w:val="nil"/>
              <w:right w:val="nil"/>
            </w:tcBorders>
            <w:shd w:val="clear" w:color="auto" w:fill="auto"/>
            <w:noWrap/>
            <w:vAlign w:val="center"/>
            <w:hideMark/>
          </w:tcPr>
          <w:p w14:paraId="3D964063" w14:textId="77777777" w:rsidR="008B782E" w:rsidRPr="00834103" w:rsidRDefault="008B782E" w:rsidP="00EB5F3C">
            <w:pPr>
              <w:spacing w:after="0" w:line="240" w:lineRule="auto"/>
              <w:jc w:val="center"/>
              <w:rPr>
                <w:rFonts w:ascii="Calibri" w:eastAsia="Times New Roman" w:hAnsi="Calibri" w:cs="Calibri"/>
                <w:b/>
                <w:bCs/>
                <w:lang w:eastAsia="en-GB"/>
              </w:rPr>
            </w:pPr>
            <w:r w:rsidRPr="00834103">
              <w:rPr>
                <w:rFonts w:ascii="Calibri" w:eastAsia="Times New Roman" w:hAnsi="Calibri" w:cs="Calibri"/>
                <w:b/>
                <w:bCs/>
                <w:lang w:eastAsia="en-GB"/>
              </w:rPr>
              <w:t>4.96</w:t>
            </w:r>
          </w:p>
        </w:tc>
        <w:tc>
          <w:tcPr>
            <w:tcW w:w="1842" w:type="dxa"/>
            <w:tcBorders>
              <w:top w:val="nil"/>
              <w:left w:val="single" w:sz="8" w:space="0" w:color="auto"/>
              <w:bottom w:val="nil"/>
              <w:right w:val="single" w:sz="8" w:space="0" w:color="auto"/>
            </w:tcBorders>
            <w:shd w:val="clear" w:color="auto" w:fill="auto"/>
            <w:noWrap/>
            <w:vAlign w:val="center"/>
            <w:hideMark/>
          </w:tcPr>
          <w:p w14:paraId="4830DCC6" w14:textId="020DA2E5" w:rsidR="008B782E" w:rsidRPr="00EB5F3C" w:rsidRDefault="00EB5F3C" w:rsidP="00EB5F3C">
            <w:pPr>
              <w:spacing w:after="0" w:line="240" w:lineRule="auto"/>
              <w:jc w:val="center"/>
              <w:rPr>
                <w:rFonts w:ascii="Calibri" w:eastAsia="Times New Roman" w:hAnsi="Calibri" w:cs="Calibri"/>
                <w:lang w:eastAsia="en-GB"/>
              </w:rPr>
            </w:pPr>
            <w:r w:rsidRPr="00EB5F3C">
              <w:rPr>
                <w:rFonts w:ascii="Calibri" w:eastAsia="Times New Roman" w:hAnsi="Calibri" w:cs="Calibri"/>
                <w:lang w:eastAsia="en-GB"/>
              </w:rPr>
              <w:t>89.93</w:t>
            </w:r>
          </w:p>
        </w:tc>
        <w:tc>
          <w:tcPr>
            <w:tcW w:w="1687" w:type="dxa"/>
            <w:tcBorders>
              <w:top w:val="nil"/>
              <w:left w:val="nil"/>
              <w:bottom w:val="nil"/>
              <w:right w:val="single" w:sz="8" w:space="0" w:color="auto"/>
            </w:tcBorders>
            <w:shd w:val="clear" w:color="auto" w:fill="auto"/>
            <w:noWrap/>
            <w:vAlign w:val="center"/>
            <w:hideMark/>
          </w:tcPr>
          <w:p w14:paraId="1592645C" w14:textId="602EE915" w:rsidR="008B782E" w:rsidRPr="00EB5F3C" w:rsidRDefault="00EB5F3C" w:rsidP="00EB5F3C">
            <w:pPr>
              <w:spacing w:after="0" w:line="240" w:lineRule="auto"/>
              <w:jc w:val="center"/>
              <w:rPr>
                <w:rFonts w:ascii="Calibri" w:eastAsia="Times New Roman" w:hAnsi="Calibri" w:cs="Calibri"/>
                <w:lang w:eastAsia="en-GB"/>
              </w:rPr>
            </w:pPr>
            <w:r w:rsidRPr="00EB5F3C">
              <w:rPr>
                <w:rFonts w:ascii="Calibri" w:eastAsia="Times New Roman" w:hAnsi="Calibri" w:cs="Calibri"/>
                <w:lang w:eastAsia="en-GB"/>
              </w:rPr>
              <w:t>6.96</w:t>
            </w:r>
          </w:p>
        </w:tc>
      </w:tr>
      <w:tr w:rsidR="008B782E" w:rsidRPr="00305A1B" w14:paraId="43996455" w14:textId="77777777" w:rsidTr="008E4370">
        <w:trPr>
          <w:trHeight w:val="290"/>
        </w:trPr>
        <w:tc>
          <w:tcPr>
            <w:tcW w:w="2500" w:type="dxa"/>
            <w:tcBorders>
              <w:top w:val="nil"/>
              <w:left w:val="single" w:sz="8" w:space="0" w:color="auto"/>
              <w:bottom w:val="nil"/>
              <w:right w:val="single" w:sz="8" w:space="0" w:color="auto"/>
            </w:tcBorders>
            <w:shd w:val="clear" w:color="auto" w:fill="auto"/>
            <w:vAlign w:val="center"/>
            <w:hideMark/>
          </w:tcPr>
          <w:p w14:paraId="038D4720"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1.7</w:t>
            </w:r>
          </w:p>
        </w:tc>
        <w:tc>
          <w:tcPr>
            <w:tcW w:w="1743" w:type="dxa"/>
            <w:tcBorders>
              <w:top w:val="nil"/>
              <w:left w:val="nil"/>
              <w:bottom w:val="nil"/>
              <w:right w:val="single" w:sz="8" w:space="0" w:color="auto"/>
            </w:tcBorders>
            <w:shd w:val="clear" w:color="auto" w:fill="auto"/>
            <w:noWrap/>
            <w:vAlign w:val="center"/>
            <w:hideMark/>
          </w:tcPr>
          <w:p w14:paraId="5DEE4827" w14:textId="77777777" w:rsidR="008B782E" w:rsidRPr="00834103" w:rsidRDefault="008B782E" w:rsidP="00EB5F3C">
            <w:pPr>
              <w:spacing w:after="0" w:line="240" w:lineRule="auto"/>
              <w:jc w:val="center"/>
              <w:rPr>
                <w:rFonts w:ascii="Calibri" w:eastAsia="Times New Roman" w:hAnsi="Calibri" w:cs="Calibri"/>
                <w:lang w:eastAsia="en-GB"/>
              </w:rPr>
            </w:pPr>
            <w:r w:rsidRPr="00834103">
              <w:rPr>
                <w:rFonts w:ascii="Calibri" w:eastAsia="Times New Roman" w:hAnsi="Calibri" w:cs="Calibri"/>
                <w:lang w:eastAsia="en-GB"/>
              </w:rPr>
              <w:t>94.78</w:t>
            </w:r>
          </w:p>
        </w:tc>
        <w:tc>
          <w:tcPr>
            <w:tcW w:w="1843" w:type="dxa"/>
            <w:tcBorders>
              <w:top w:val="nil"/>
              <w:left w:val="nil"/>
              <w:bottom w:val="nil"/>
              <w:right w:val="nil"/>
            </w:tcBorders>
            <w:shd w:val="clear" w:color="auto" w:fill="auto"/>
            <w:noWrap/>
            <w:vAlign w:val="center"/>
            <w:hideMark/>
          </w:tcPr>
          <w:p w14:paraId="1952DC7B" w14:textId="77777777" w:rsidR="008B782E" w:rsidRPr="00834103" w:rsidRDefault="008B782E" w:rsidP="00EB5F3C">
            <w:pPr>
              <w:spacing w:after="0" w:line="240" w:lineRule="auto"/>
              <w:jc w:val="center"/>
              <w:rPr>
                <w:rFonts w:ascii="Calibri" w:eastAsia="Times New Roman" w:hAnsi="Calibri" w:cs="Calibri"/>
                <w:lang w:eastAsia="en-GB"/>
              </w:rPr>
            </w:pPr>
            <w:r w:rsidRPr="00834103">
              <w:rPr>
                <w:rFonts w:ascii="Calibri" w:eastAsia="Times New Roman" w:hAnsi="Calibri" w:cs="Calibri"/>
                <w:lang w:eastAsia="en-GB"/>
              </w:rPr>
              <w:t>4.92</w:t>
            </w:r>
          </w:p>
        </w:tc>
        <w:tc>
          <w:tcPr>
            <w:tcW w:w="1842" w:type="dxa"/>
            <w:tcBorders>
              <w:top w:val="nil"/>
              <w:left w:val="single" w:sz="8" w:space="0" w:color="auto"/>
              <w:bottom w:val="nil"/>
              <w:right w:val="single" w:sz="8" w:space="0" w:color="auto"/>
            </w:tcBorders>
            <w:shd w:val="clear" w:color="auto" w:fill="auto"/>
            <w:noWrap/>
            <w:vAlign w:val="center"/>
            <w:hideMark/>
          </w:tcPr>
          <w:p w14:paraId="1AE12C22" w14:textId="77777777" w:rsidR="008B782E" w:rsidRPr="00EB5F3C" w:rsidRDefault="008B782E" w:rsidP="00EB5F3C">
            <w:pPr>
              <w:spacing w:after="0" w:line="240" w:lineRule="auto"/>
              <w:jc w:val="center"/>
              <w:rPr>
                <w:rFonts w:ascii="Calibri" w:eastAsia="Times New Roman" w:hAnsi="Calibri" w:cs="Calibri"/>
                <w:lang w:eastAsia="en-GB"/>
              </w:rPr>
            </w:pPr>
            <w:r w:rsidRPr="00EB5F3C">
              <w:rPr>
                <w:rFonts w:ascii="Calibri" w:eastAsia="Times New Roman" w:hAnsi="Calibri" w:cs="Calibri"/>
                <w:lang w:eastAsia="en-GB"/>
              </w:rPr>
              <w:t>88.87</w:t>
            </w:r>
          </w:p>
        </w:tc>
        <w:tc>
          <w:tcPr>
            <w:tcW w:w="1687" w:type="dxa"/>
            <w:tcBorders>
              <w:top w:val="nil"/>
              <w:left w:val="nil"/>
              <w:bottom w:val="nil"/>
              <w:right w:val="single" w:sz="8" w:space="0" w:color="auto"/>
            </w:tcBorders>
            <w:shd w:val="clear" w:color="auto" w:fill="auto"/>
            <w:noWrap/>
            <w:vAlign w:val="center"/>
            <w:hideMark/>
          </w:tcPr>
          <w:p w14:paraId="4B66D8D6" w14:textId="77777777" w:rsidR="008B782E" w:rsidRPr="00EB5F3C" w:rsidRDefault="008B782E" w:rsidP="00EB5F3C">
            <w:pPr>
              <w:spacing w:after="0" w:line="240" w:lineRule="auto"/>
              <w:jc w:val="center"/>
              <w:rPr>
                <w:rFonts w:ascii="Calibri" w:eastAsia="Times New Roman" w:hAnsi="Calibri" w:cs="Calibri"/>
                <w:lang w:eastAsia="en-GB"/>
              </w:rPr>
            </w:pPr>
            <w:r w:rsidRPr="00EB5F3C">
              <w:rPr>
                <w:rFonts w:ascii="Calibri" w:eastAsia="Times New Roman" w:hAnsi="Calibri" w:cs="Calibri"/>
                <w:lang w:eastAsia="en-GB"/>
              </w:rPr>
              <w:t>6.73</w:t>
            </w:r>
          </w:p>
        </w:tc>
      </w:tr>
      <w:tr w:rsidR="008B782E" w:rsidRPr="00305A1B" w14:paraId="313BA39F" w14:textId="77777777" w:rsidTr="008E4370">
        <w:trPr>
          <w:trHeight w:val="290"/>
        </w:trPr>
        <w:tc>
          <w:tcPr>
            <w:tcW w:w="2500" w:type="dxa"/>
            <w:tcBorders>
              <w:top w:val="nil"/>
              <w:left w:val="single" w:sz="8" w:space="0" w:color="auto"/>
              <w:bottom w:val="nil"/>
              <w:right w:val="single" w:sz="8" w:space="0" w:color="auto"/>
            </w:tcBorders>
            <w:shd w:val="clear" w:color="auto" w:fill="auto"/>
            <w:vAlign w:val="center"/>
            <w:hideMark/>
          </w:tcPr>
          <w:p w14:paraId="6EAADB81"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1.8</w:t>
            </w:r>
          </w:p>
        </w:tc>
        <w:tc>
          <w:tcPr>
            <w:tcW w:w="1743" w:type="dxa"/>
            <w:tcBorders>
              <w:top w:val="nil"/>
              <w:left w:val="nil"/>
              <w:bottom w:val="nil"/>
              <w:right w:val="single" w:sz="8" w:space="0" w:color="auto"/>
            </w:tcBorders>
            <w:shd w:val="clear" w:color="auto" w:fill="auto"/>
            <w:noWrap/>
            <w:vAlign w:val="center"/>
            <w:hideMark/>
          </w:tcPr>
          <w:p w14:paraId="2BB3E0C5" w14:textId="77777777" w:rsidR="008B782E" w:rsidRPr="00EB5F3C" w:rsidRDefault="008B782E" w:rsidP="00EB5F3C">
            <w:pPr>
              <w:spacing w:after="0" w:line="240" w:lineRule="auto"/>
              <w:jc w:val="center"/>
              <w:rPr>
                <w:rFonts w:ascii="Calibri" w:eastAsia="Times New Roman" w:hAnsi="Calibri" w:cs="Calibri"/>
                <w:lang w:eastAsia="en-GB"/>
              </w:rPr>
            </w:pPr>
            <w:r w:rsidRPr="00EB5F3C">
              <w:rPr>
                <w:rFonts w:ascii="Calibri" w:eastAsia="Times New Roman" w:hAnsi="Calibri" w:cs="Calibri"/>
                <w:lang w:eastAsia="en-GB"/>
              </w:rPr>
              <w:t>93.03</w:t>
            </w:r>
          </w:p>
        </w:tc>
        <w:tc>
          <w:tcPr>
            <w:tcW w:w="1843" w:type="dxa"/>
            <w:tcBorders>
              <w:top w:val="nil"/>
              <w:left w:val="nil"/>
              <w:bottom w:val="nil"/>
              <w:right w:val="nil"/>
            </w:tcBorders>
            <w:shd w:val="clear" w:color="auto" w:fill="auto"/>
            <w:noWrap/>
            <w:vAlign w:val="center"/>
            <w:hideMark/>
          </w:tcPr>
          <w:p w14:paraId="2EC2B79D" w14:textId="77777777" w:rsidR="008B782E" w:rsidRPr="00EB5F3C" w:rsidRDefault="008B782E" w:rsidP="00EB5F3C">
            <w:pPr>
              <w:spacing w:after="0" w:line="240" w:lineRule="auto"/>
              <w:jc w:val="center"/>
              <w:rPr>
                <w:rFonts w:ascii="Calibri" w:eastAsia="Times New Roman" w:hAnsi="Calibri" w:cs="Calibri"/>
                <w:lang w:eastAsia="en-GB"/>
              </w:rPr>
            </w:pPr>
            <w:r w:rsidRPr="00EB5F3C">
              <w:rPr>
                <w:rFonts w:ascii="Calibri" w:eastAsia="Times New Roman" w:hAnsi="Calibri" w:cs="Calibri"/>
                <w:lang w:eastAsia="en-GB"/>
              </w:rPr>
              <w:t>4.87</w:t>
            </w:r>
          </w:p>
        </w:tc>
        <w:tc>
          <w:tcPr>
            <w:tcW w:w="1842" w:type="dxa"/>
            <w:tcBorders>
              <w:top w:val="nil"/>
              <w:left w:val="single" w:sz="8" w:space="0" w:color="auto"/>
              <w:bottom w:val="nil"/>
              <w:right w:val="single" w:sz="8" w:space="0" w:color="auto"/>
            </w:tcBorders>
            <w:shd w:val="clear" w:color="auto" w:fill="auto"/>
            <w:noWrap/>
            <w:vAlign w:val="center"/>
            <w:hideMark/>
          </w:tcPr>
          <w:p w14:paraId="7F0AD7E6" w14:textId="77777777" w:rsidR="008B782E" w:rsidRPr="00834103" w:rsidRDefault="008B782E" w:rsidP="00EB5F3C">
            <w:pPr>
              <w:spacing w:after="0" w:line="240" w:lineRule="auto"/>
              <w:jc w:val="center"/>
              <w:rPr>
                <w:rFonts w:ascii="Calibri" w:eastAsia="Times New Roman" w:hAnsi="Calibri" w:cs="Calibri"/>
                <w:b/>
                <w:bCs/>
                <w:lang w:eastAsia="en-GB"/>
              </w:rPr>
            </w:pPr>
            <w:r w:rsidRPr="00834103">
              <w:rPr>
                <w:rFonts w:ascii="Calibri" w:eastAsia="Times New Roman" w:hAnsi="Calibri" w:cs="Calibri"/>
                <w:b/>
                <w:bCs/>
                <w:lang w:eastAsia="en-GB"/>
              </w:rPr>
              <w:t>90.12</w:t>
            </w:r>
          </w:p>
        </w:tc>
        <w:tc>
          <w:tcPr>
            <w:tcW w:w="1687" w:type="dxa"/>
            <w:tcBorders>
              <w:top w:val="nil"/>
              <w:left w:val="nil"/>
              <w:bottom w:val="nil"/>
              <w:right w:val="single" w:sz="8" w:space="0" w:color="auto"/>
            </w:tcBorders>
            <w:shd w:val="clear" w:color="auto" w:fill="auto"/>
            <w:noWrap/>
            <w:vAlign w:val="center"/>
            <w:hideMark/>
          </w:tcPr>
          <w:p w14:paraId="5E0998E6" w14:textId="77777777" w:rsidR="008B782E" w:rsidRPr="00834103" w:rsidRDefault="008B782E" w:rsidP="00EB5F3C">
            <w:pPr>
              <w:spacing w:after="0" w:line="240" w:lineRule="auto"/>
              <w:jc w:val="center"/>
              <w:rPr>
                <w:rFonts w:ascii="Calibri" w:eastAsia="Times New Roman" w:hAnsi="Calibri" w:cs="Calibri"/>
                <w:b/>
                <w:bCs/>
                <w:lang w:eastAsia="en-GB"/>
              </w:rPr>
            </w:pPr>
            <w:r w:rsidRPr="00834103">
              <w:rPr>
                <w:rFonts w:ascii="Calibri" w:eastAsia="Times New Roman" w:hAnsi="Calibri" w:cs="Calibri"/>
                <w:b/>
                <w:bCs/>
                <w:lang w:eastAsia="en-GB"/>
              </w:rPr>
              <w:t>13.04</w:t>
            </w:r>
          </w:p>
        </w:tc>
      </w:tr>
      <w:tr w:rsidR="008B782E" w:rsidRPr="00305A1B" w14:paraId="7E1D392A" w14:textId="77777777" w:rsidTr="008E4370">
        <w:trPr>
          <w:trHeight w:val="290"/>
        </w:trPr>
        <w:tc>
          <w:tcPr>
            <w:tcW w:w="2500" w:type="dxa"/>
            <w:tcBorders>
              <w:top w:val="nil"/>
              <w:left w:val="single" w:sz="8" w:space="0" w:color="auto"/>
              <w:bottom w:val="nil"/>
              <w:right w:val="single" w:sz="8" w:space="0" w:color="auto"/>
            </w:tcBorders>
            <w:shd w:val="clear" w:color="auto" w:fill="auto"/>
            <w:vAlign w:val="center"/>
            <w:hideMark/>
          </w:tcPr>
          <w:p w14:paraId="5800CC19"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1.9</w:t>
            </w:r>
          </w:p>
        </w:tc>
        <w:tc>
          <w:tcPr>
            <w:tcW w:w="1743" w:type="dxa"/>
            <w:tcBorders>
              <w:top w:val="nil"/>
              <w:left w:val="nil"/>
              <w:bottom w:val="nil"/>
              <w:right w:val="single" w:sz="8" w:space="0" w:color="auto"/>
            </w:tcBorders>
            <w:shd w:val="clear" w:color="auto" w:fill="auto"/>
            <w:noWrap/>
            <w:vAlign w:val="center"/>
            <w:hideMark/>
          </w:tcPr>
          <w:p w14:paraId="31A2C3E8" w14:textId="4375218D" w:rsidR="008B782E" w:rsidRPr="00EB5F3C" w:rsidRDefault="00EB5F3C" w:rsidP="00EB5F3C">
            <w:pPr>
              <w:spacing w:after="0" w:line="240" w:lineRule="auto"/>
              <w:jc w:val="center"/>
              <w:rPr>
                <w:rFonts w:ascii="Calibri" w:eastAsia="Times New Roman" w:hAnsi="Calibri" w:cs="Calibri"/>
                <w:lang w:eastAsia="en-GB"/>
              </w:rPr>
            </w:pPr>
            <w:r w:rsidRPr="00EB5F3C">
              <w:rPr>
                <w:rFonts w:ascii="Calibri" w:eastAsia="Times New Roman" w:hAnsi="Calibri" w:cs="Calibri"/>
                <w:lang w:eastAsia="en-GB"/>
              </w:rPr>
              <w:t>92.66</w:t>
            </w:r>
          </w:p>
        </w:tc>
        <w:tc>
          <w:tcPr>
            <w:tcW w:w="1843" w:type="dxa"/>
            <w:tcBorders>
              <w:top w:val="nil"/>
              <w:left w:val="nil"/>
              <w:bottom w:val="nil"/>
              <w:right w:val="nil"/>
            </w:tcBorders>
            <w:shd w:val="clear" w:color="auto" w:fill="auto"/>
            <w:noWrap/>
            <w:vAlign w:val="center"/>
            <w:hideMark/>
          </w:tcPr>
          <w:p w14:paraId="4C42798A" w14:textId="7F94E553" w:rsidR="008B782E" w:rsidRPr="00EB5F3C" w:rsidRDefault="00EB5F3C" w:rsidP="00EB5F3C">
            <w:pPr>
              <w:spacing w:after="0" w:line="240" w:lineRule="auto"/>
              <w:jc w:val="center"/>
              <w:rPr>
                <w:rFonts w:ascii="Calibri" w:eastAsia="Times New Roman" w:hAnsi="Calibri" w:cs="Calibri"/>
                <w:lang w:eastAsia="en-GB"/>
              </w:rPr>
            </w:pPr>
            <w:r w:rsidRPr="00EB5F3C">
              <w:rPr>
                <w:rFonts w:ascii="Calibri" w:eastAsia="Times New Roman" w:hAnsi="Calibri" w:cs="Calibri"/>
                <w:lang w:eastAsia="en-GB"/>
              </w:rPr>
              <w:t>4.90</w:t>
            </w:r>
          </w:p>
        </w:tc>
        <w:tc>
          <w:tcPr>
            <w:tcW w:w="1842" w:type="dxa"/>
            <w:tcBorders>
              <w:top w:val="nil"/>
              <w:left w:val="single" w:sz="8" w:space="0" w:color="auto"/>
              <w:bottom w:val="nil"/>
              <w:right w:val="single" w:sz="8" w:space="0" w:color="auto"/>
            </w:tcBorders>
            <w:shd w:val="clear" w:color="auto" w:fill="auto"/>
            <w:noWrap/>
            <w:vAlign w:val="center"/>
            <w:hideMark/>
          </w:tcPr>
          <w:p w14:paraId="2D3D904E" w14:textId="77777777" w:rsidR="008B782E" w:rsidRPr="00834103" w:rsidRDefault="008B782E" w:rsidP="00EB5F3C">
            <w:pPr>
              <w:spacing w:after="0" w:line="240" w:lineRule="auto"/>
              <w:jc w:val="center"/>
              <w:rPr>
                <w:rFonts w:ascii="Calibri" w:eastAsia="Times New Roman" w:hAnsi="Calibri" w:cs="Calibri"/>
                <w:lang w:eastAsia="en-GB"/>
              </w:rPr>
            </w:pPr>
            <w:r w:rsidRPr="00834103">
              <w:rPr>
                <w:rFonts w:ascii="Calibri" w:eastAsia="Times New Roman" w:hAnsi="Calibri" w:cs="Calibri"/>
                <w:lang w:eastAsia="en-GB"/>
              </w:rPr>
              <w:t>89.70</w:t>
            </w:r>
          </w:p>
        </w:tc>
        <w:tc>
          <w:tcPr>
            <w:tcW w:w="1687" w:type="dxa"/>
            <w:tcBorders>
              <w:top w:val="nil"/>
              <w:left w:val="nil"/>
              <w:bottom w:val="nil"/>
              <w:right w:val="single" w:sz="8" w:space="0" w:color="auto"/>
            </w:tcBorders>
            <w:shd w:val="clear" w:color="auto" w:fill="auto"/>
            <w:noWrap/>
            <w:vAlign w:val="center"/>
            <w:hideMark/>
          </w:tcPr>
          <w:p w14:paraId="2DD5CCC4" w14:textId="77777777" w:rsidR="008B782E" w:rsidRPr="00834103" w:rsidRDefault="008B782E" w:rsidP="00EB5F3C">
            <w:pPr>
              <w:spacing w:after="0" w:line="240" w:lineRule="auto"/>
              <w:jc w:val="center"/>
              <w:rPr>
                <w:rFonts w:ascii="Calibri" w:eastAsia="Times New Roman" w:hAnsi="Calibri" w:cs="Calibri"/>
                <w:lang w:eastAsia="en-GB"/>
              </w:rPr>
            </w:pPr>
            <w:r w:rsidRPr="00834103">
              <w:rPr>
                <w:rFonts w:ascii="Calibri" w:eastAsia="Times New Roman" w:hAnsi="Calibri" w:cs="Calibri"/>
                <w:lang w:eastAsia="en-GB"/>
              </w:rPr>
              <w:t>12.79</w:t>
            </w:r>
          </w:p>
        </w:tc>
      </w:tr>
      <w:tr w:rsidR="008B782E" w:rsidRPr="00305A1B" w14:paraId="54278F61" w14:textId="77777777" w:rsidTr="008E4370">
        <w:trPr>
          <w:trHeight w:val="290"/>
        </w:trPr>
        <w:tc>
          <w:tcPr>
            <w:tcW w:w="2500" w:type="dxa"/>
            <w:tcBorders>
              <w:top w:val="nil"/>
              <w:left w:val="single" w:sz="8" w:space="0" w:color="auto"/>
              <w:bottom w:val="nil"/>
              <w:right w:val="single" w:sz="8" w:space="0" w:color="auto"/>
            </w:tcBorders>
            <w:shd w:val="clear" w:color="auto" w:fill="auto"/>
            <w:vAlign w:val="center"/>
            <w:hideMark/>
          </w:tcPr>
          <w:p w14:paraId="422708C7"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2</w:t>
            </w:r>
          </w:p>
        </w:tc>
        <w:tc>
          <w:tcPr>
            <w:tcW w:w="1743" w:type="dxa"/>
            <w:tcBorders>
              <w:top w:val="nil"/>
              <w:left w:val="nil"/>
              <w:bottom w:val="nil"/>
              <w:right w:val="single" w:sz="8" w:space="0" w:color="auto"/>
            </w:tcBorders>
            <w:shd w:val="clear" w:color="auto" w:fill="auto"/>
            <w:noWrap/>
            <w:vAlign w:val="center"/>
            <w:hideMark/>
          </w:tcPr>
          <w:p w14:paraId="6E889255" w14:textId="77777777" w:rsidR="008B782E" w:rsidRPr="00EB5F3C" w:rsidRDefault="008B782E" w:rsidP="00EB5F3C">
            <w:pPr>
              <w:spacing w:after="0" w:line="240" w:lineRule="auto"/>
              <w:jc w:val="center"/>
              <w:rPr>
                <w:rFonts w:ascii="Calibri" w:eastAsia="Times New Roman" w:hAnsi="Calibri" w:cs="Calibri"/>
                <w:lang w:eastAsia="en-GB"/>
              </w:rPr>
            </w:pPr>
            <w:r w:rsidRPr="00EB5F3C">
              <w:rPr>
                <w:rFonts w:ascii="Calibri" w:eastAsia="Times New Roman" w:hAnsi="Calibri" w:cs="Calibri"/>
                <w:lang w:eastAsia="en-GB"/>
              </w:rPr>
              <w:t>93.34</w:t>
            </w:r>
          </w:p>
        </w:tc>
        <w:tc>
          <w:tcPr>
            <w:tcW w:w="1843" w:type="dxa"/>
            <w:tcBorders>
              <w:top w:val="nil"/>
              <w:left w:val="nil"/>
              <w:bottom w:val="nil"/>
              <w:right w:val="nil"/>
            </w:tcBorders>
            <w:shd w:val="clear" w:color="auto" w:fill="auto"/>
            <w:noWrap/>
            <w:vAlign w:val="center"/>
            <w:hideMark/>
          </w:tcPr>
          <w:p w14:paraId="0862B122" w14:textId="77777777" w:rsidR="008B782E" w:rsidRPr="00EB5F3C" w:rsidRDefault="008B782E" w:rsidP="00EB5F3C">
            <w:pPr>
              <w:spacing w:after="0" w:line="240" w:lineRule="auto"/>
              <w:jc w:val="center"/>
              <w:rPr>
                <w:rFonts w:ascii="Calibri" w:eastAsia="Times New Roman" w:hAnsi="Calibri" w:cs="Calibri"/>
                <w:lang w:eastAsia="en-GB"/>
              </w:rPr>
            </w:pPr>
            <w:r w:rsidRPr="00EB5F3C">
              <w:rPr>
                <w:rFonts w:ascii="Calibri" w:eastAsia="Times New Roman" w:hAnsi="Calibri" w:cs="Calibri"/>
                <w:lang w:eastAsia="en-GB"/>
              </w:rPr>
              <w:t>4.75</w:t>
            </w:r>
          </w:p>
        </w:tc>
        <w:tc>
          <w:tcPr>
            <w:tcW w:w="1842" w:type="dxa"/>
            <w:tcBorders>
              <w:top w:val="nil"/>
              <w:left w:val="single" w:sz="8" w:space="0" w:color="auto"/>
              <w:bottom w:val="nil"/>
              <w:right w:val="single" w:sz="8" w:space="0" w:color="auto"/>
            </w:tcBorders>
            <w:shd w:val="clear" w:color="auto" w:fill="auto"/>
            <w:noWrap/>
            <w:vAlign w:val="center"/>
            <w:hideMark/>
          </w:tcPr>
          <w:p w14:paraId="4D320858" w14:textId="77777777" w:rsidR="008B782E" w:rsidRPr="00834103" w:rsidRDefault="008B782E" w:rsidP="00EB5F3C">
            <w:pPr>
              <w:spacing w:after="0" w:line="240" w:lineRule="auto"/>
              <w:jc w:val="center"/>
              <w:rPr>
                <w:rFonts w:ascii="Calibri" w:eastAsia="Times New Roman" w:hAnsi="Calibri" w:cs="Calibri"/>
                <w:lang w:eastAsia="en-GB"/>
              </w:rPr>
            </w:pPr>
            <w:r w:rsidRPr="00834103">
              <w:rPr>
                <w:rFonts w:ascii="Calibri" w:eastAsia="Times New Roman" w:hAnsi="Calibri" w:cs="Calibri"/>
                <w:lang w:eastAsia="en-GB"/>
              </w:rPr>
              <w:t>87.80</w:t>
            </w:r>
          </w:p>
        </w:tc>
        <w:tc>
          <w:tcPr>
            <w:tcW w:w="1687" w:type="dxa"/>
            <w:tcBorders>
              <w:top w:val="nil"/>
              <w:left w:val="nil"/>
              <w:bottom w:val="nil"/>
              <w:right w:val="single" w:sz="8" w:space="0" w:color="auto"/>
            </w:tcBorders>
            <w:shd w:val="clear" w:color="auto" w:fill="auto"/>
            <w:noWrap/>
            <w:vAlign w:val="center"/>
            <w:hideMark/>
          </w:tcPr>
          <w:p w14:paraId="1376EB24" w14:textId="77777777" w:rsidR="008B782E" w:rsidRPr="00834103" w:rsidRDefault="008B782E" w:rsidP="00EB5F3C">
            <w:pPr>
              <w:spacing w:after="0" w:line="240" w:lineRule="auto"/>
              <w:jc w:val="center"/>
              <w:rPr>
                <w:rFonts w:ascii="Calibri" w:eastAsia="Times New Roman" w:hAnsi="Calibri" w:cs="Calibri"/>
                <w:lang w:eastAsia="en-GB"/>
              </w:rPr>
            </w:pPr>
            <w:r w:rsidRPr="00834103">
              <w:rPr>
                <w:rFonts w:ascii="Calibri" w:eastAsia="Times New Roman" w:hAnsi="Calibri" w:cs="Calibri"/>
                <w:lang w:eastAsia="en-GB"/>
              </w:rPr>
              <w:t>6.02</w:t>
            </w:r>
          </w:p>
        </w:tc>
      </w:tr>
      <w:tr w:rsidR="008B782E" w:rsidRPr="00305A1B" w14:paraId="1F17026B" w14:textId="77777777" w:rsidTr="008E4370">
        <w:trPr>
          <w:trHeight w:val="300"/>
        </w:trPr>
        <w:tc>
          <w:tcPr>
            <w:tcW w:w="2500" w:type="dxa"/>
            <w:tcBorders>
              <w:top w:val="nil"/>
              <w:left w:val="single" w:sz="8" w:space="0" w:color="auto"/>
              <w:bottom w:val="single" w:sz="8" w:space="0" w:color="auto"/>
              <w:right w:val="single" w:sz="8" w:space="0" w:color="auto"/>
            </w:tcBorders>
            <w:shd w:val="clear" w:color="auto" w:fill="auto"/>
            <w:vAlign w:val="center"/>
            <w:hideMark/>
          </w:tcPr>
          <w:p w14:paraId="0CB46B23"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3.00 (default)</w:t>
            </w:r>
          </w:p>
        </w:tc>
        <w:tc>
          <w:tcPr>
            <w:tcW w:w="1743" w:type="dxa"/>
            <w:tcBorders>
              <w:top w:val="nil"/>
              <w:left w:val="nil"/>
              <w:bottom w:val="single" w:sz="8" w:space="0" w:color="auto"/>
              <w:right w:val="single" w:sz="8" w:space="0" w:color="auto"/>
            </w:tcBorders>
            <w:shd w:val="clear" w:color="auto" w:fill="auto"/>
            <w:noWrap/>
            <w:vAlign w:val="center"/>
            <w:hideMark/>
          </w:tcPr>
          <w:p w14:paraId="007ECA9A"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90.3</w:t>
            </w:r>
          </w:p>
        </w:tc>
        <w:tc>
          <w:tcPr>
            <w:tcW w:w="1843" w:type="dxa"/>
            <w:tcBorders>
              <w:top w:val="nil"/>
              <w:left w:val="nil"/>
              <w:bottom w:val="single" w:sz="8" w:space="0" w:color="auto"/>
              <w:right w:val="nil"/>
            </w:tcBorders>
            <w:shd w:val="clear" w:color="auto" w:fill="auto"/>
            <w:noWrap/>
            <w:vAlign w:val="center"/>
            <w:hideMark/>
          </w:tcPr>
          <w:p w14:paraId="1B2F21DB"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4.13</w:t>
            </w:r>
          </w:p>
        </w:tc>
        <w:tc>
          <w:tcPr>
            <w:tcW w:w="1842" w:type="dxa"/>
            <w:tcBorders>
              <w:top w:val="nil"/>
              <w:left w:val="single" w:sz="8" w:space="0" w:color="auto"/>
              <w:bottom w:val="single" w:sz="8" w:space="0" w:color="auto"/>
              <w:right w:val="single" w:sz="8" w:space="0" w:color="auto"/>
            </w:tcBorders>
            <w:shd w:val="clear" w:color="auto" w:fill="auto"/>
            <w:noWrap/>
            <w:vAlign w:val="center"/>
            <w:hideMark/>
          </w:tcPr>
          <w:p w14:paraId="7A3292F7"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79.89</w:t>
            </w:r>
          </w:p>
        </w:tc>
        <w:tc>
          <w:tcPr>
            <w:tcW w:w="1687" w:type="dxa"/>
            <w:tcBorders>
              <w:top w:val="nil"/>
              <w:left w:val="nil"/>
              <w:bottom w:val="single" w:sz="8" w:space="0" w:color="auto"/>
              <w:right w:val="single" w:sz="8" w:space="0" w:color="auto"/>
            </w:tcBorders>
            <w:shd w:val="clear" w:color="auto" w:fill="auto"/>
            <w:noWrap/>
            <w:vAlign w:val="center"/>
            <w:hideMark/>
          </w:tcPr>
          <w:p w14:paraId="013D1338" w14:textId="77777777" w:rsidR="008B782E" w:rsidRPr="00305A1B" w:rsidRDefault="008B782E" w:rsidP="00EB5F3C">
            <w:pPr>
              <w:spacing w:after="0" w:line="240" w:lineRule="auto"/>
              <w:jc w:val="center"/>
              <w:rPr>
                <w:rFonts w:ascii="Calibri" w:eastAsia="Times New Roman" w:hAnsi="Calibri" w:cs="Calibri"/>
                <w:lang w:eastAsia="en-GB"/>
              </w:rPr>
            </w:pPr>
            <w:r w:rsidRPr="00305A1B">
              <w:rPr>
                <w:rFonts w:ascii="Calibri" w:eastAsia="Times New Roman" w:hAnsi="Calibri" w:cs="Calibri"/>
                <w:lang w:eastAsia="en-GB"/>
              </w:rPr>
              <w:t>3.50</w:t>
            </w:r>
          </w:p>
        </w:tc>
      </w:tr>
    </w:tbl>
    <w:p w14:paraId="1EE59003" w14:textId="77777777" w:rsidR="008B782E" w:rsidRPr="00305A1B" w:rsidRDefault="008B782E" w:rsidP="00EB5F3C">
      <w:pPr>
        <w:pStyle w:val="ListParagraph"/>
        <w:spacing w:after="0" w:line="480" w:lineRule="auto"/>
        <w:rPr>
          <w:rFonts w:ascii="Arial" w:hAnsi="Arial" w:cs="Arial"/>
          <w:b/>
          <w:bCs/>
        </w:rPr>
      </w:pPr>
    </w:p>
    <w:p w14:paraId="080458EC" w14:textId="77777777" w:rsidR="00EB5F3C" w:rsidRDefault="0086382B" w:rsidP="00EB5F3C">
      <w:pPr>
        <w:spacing w:after="0" w:line="480" w:lineRule="auto"/>
        <w:ind w:right="111"/>
        <w:rPr>
          <w:rFonts w:ascii="Arial" w:eastAsia="Arial" w:hAnsi="Arial" w:cs="Arial"/>
        </w:rPr>
      </w:pPr>
      <w:r>
        <w:rPr>
          <w:rFonts w:ascii="Arial" w:hAnsi="Arial" w:cs="Arial"/>
          <w:b/>
          <w:bCs/>
        </w:rPr>
        <w:t>Table S4</w:t>
      </w:r>
      <w:r w:rsidRPr="00305A1B">
        <w:rPr>
          <w:rFonts w:ascii="Arial" w:hAnsi="Arial" w:cs="Arial"/>
          <w:b/>
          <w:bCs/>
        </w:rPr>
        <w:t xml:space="preserve">: </w:t>
      </w:r>
      <w:r w:rsidR="00F616D7" w:rsidRPr="00F616D7">
        <w:rPr>
          <w:rFonts w:ascii="Arial" w:eastAsia="Arial" w:hAnsi="Arial" w:cs="Arial"/>
          <w:b/>
          <w:bCs/>
          <w:highlight w:val="white"/>
        </w:rPr>
        <w:t>The effect of host</w:t>
      </w:r>
      <w:r w:rsidR="00F616D7">
        <w:rPr>
          <w:rFonts w:ascii="Arial" w:eastAsia="Arial" w:hAnsi="Arial" w:cs="Arial"/>
          <w:b/>
          <w:bCs/>
          <w:highlight w:val="white"/>
        </w:rPr>
        <w:t xml:space="preserve">-associated </w:t>
      </w:r>
      <w:r w:rsidR="00F616D7" w:rsidRPr="00F616D7">
        <w:rPr>
          <w:rFonts w:ascii="Arial" w:eastAsia="Arial" w:hAnsi="Arial" w:cs="Arial"/>
          <w:b/>
          <w:bCs/>
          <w:highlight w:val="white"/>
        </w:rPr>
        <w:t xml:space="preserve">variables on </w:t>
      </w:r>
      <w:r w:rsidR="00834103">
        <w:rPr>
          <w:rFonts w:ascii="Arial" w:eastAsia="Arial" w:hAnsi="Arial" w:cs="Arial"/>
          <w:b/>
          <w:bCs/>
          <w:highlight w:val="white"/>
        </w:rPr>
        <w:t>gut microbiome</w:t>
      </w:r>
      <w:r w:rsidR="00F616D7" w:rsidRPr="00F616D7">
        <w:rPr>
          <w:rFonts w:ascii="Arial" w:eastAsia="Arial" w:hAnsi="Arial" w:cs="Arial"/>
          <w:b/>
          <w:bCs/>
          <w:highlight w:val="white"/>
        </w:rPr>
        <w:t xml:space="preserve"> </w:t>
      </w:r>
      <w:r w:rsidR="00F616D7">
        <w:rPr>
          <w:rFonts w:ascii="Arial" w:eastAsia="Arial" w:hAnsi="Arial" w:cs="Arial"/>
          <w:b/>
          <w:bCs/>
          <w:highlight w:val="white"/>
        </w:rPr>
        <w:t>composition</w:t>
      </w:r>
      <w:r w:rsidR="00F616D7" w:rsidRPr="00F616D7">
        <w:rPr>
          <w:rFonts w:ascii="Arial" w:eastAsia="Arial" w:hAnsi="Arial" w:cs="Arial"/>
          <w:b/>
          <w:bCs/>
          <w:highlight w:val="white"/>
        </w:rPr>
        <w:t xml:space="preserve"> </w:t>
      </w:r>
      <w:r w:rsidR="00F616D7" w:rsidRPr="00F616D7">
        <w:rPr>
          <w:rFonts w:ascii="Arial" w:eastAsia="Arial" w:hAnsi="Arial" w:cs="Arial"/>
          <w:b/>
          <w:bCs/>
        </w:rPr>
        <w:t>in the Seychelles warbler (n = 195).</w:t>
      </w:r>
      <w:r w:rsidR="00F616D7">
        <w:rPr>
          <w:rFonts w:ascii="Arial" w:eastAsia="Arial" w:hAnsi="Arial" w:cs="Arial"/>
        </w:rPr>
        <w:t xml:space="preserve"> </w:t>
      </w:r>
      <w:r w:rsidRPr="00305A1B">
        <w:rPr>
          <w:rFonts w:ascii="Arial" w:eastAsia="Arial" w:hAnsi="Arial" w:cs="Arial"/>
        </w:rPr>
        <w:t xml:space="preserve">Unweighted and weighted UniFrac were used as beta diversity metrics in separate </w:t>
      </w:r>
      <w:r w:rsidR="00D90BC2">
        <w:rPr>
          <w:rFonts w:ascii="Arial" w:eastAsia="Arial" w:hAnsi="Arial" w:cs="Arial"/>
        </w:rPr>
        <w:t xml:space="preserve">PERMANOVA </w:t>
      </w:r>
      <w:r w:rsidRPr="00305A1B">
        <w:rPr>
          <w:rFonts w:ascii="Arial" w:eastAsia="Arial" w:hAnsi="Arial" w:cs="Arial"/>
        </w:rPr>
        <w:t xml:space="preserve">models. </w:t>
      </w:r>
      <w:r w:rsidRPr="003C1CDD">
        <w:rPr>
          <w:rFonts w:ascii="Arial" w:eastAsia="Arial" w:hAnsi="Arial" w:cs="Arial"/>
          <w:b/>
          <w:bCs/>
        </w:rPr>
        <w:t>A)</w:t>
      </w:r>
      <w:r w:rsidRPr="00305A1B">
        <w:rPr>
          <w:rFonts w:ascii="Arial" w:eastAsia="Arial" w:hAnsi="Arial" w:cs="Arial"/>
        </w:rPr>
        <w:t xml:space="preserve"> including the presence/absence of MHC alleles or,</w:t>
      </w:r>
      <w:r w:rsidRPr="003C1CDD">
        <w:rPr>
          <w:rFonts w:ascii="Arial" w:eastAsia="Arial" w:hAnsi="Arial" w:cs="Arial"/>
          <w:b/>
          <w:bCs/>
        </w:rPr>
        <w:t xml:space="preserve"> </w:t>
      </w:r>
      <w:r w:rsidRPr="00C85004">
        <w:rPr>
          <w:rFonts w:ascii="Arial" w:eastAsia="Arial" w:hAnsi="Arial" w:cs="Arial"/>
          <w:b/>
          <w:bCs/>
        </w:rPr>
        <w:t>B</w:t>
      </w:r>
      <w:r w:rsidRPr="003C1CDD">
        <w:rPr>
          <w:rFonts w:ascii="Arial" w:eastAsia="Arial" w:hAnsi="Arial" w:cs="Arial"/>
        </w:rPr>
        <w:t>)</w:t>
      </w:r>
      <w:r w:rsidRPr="00305A1B">
        <w:rPr>
          <w:rFonts w:ascii="Arial" w:eastAsia="Arial" w:hAnsi="Arial" w:cs="Arial"/>
        </w:rPr>
        <w:t xml:space="preserve"> MHC diversity. </w:t>
      </w:r>
      <w:r w:rsidRPr="00305A1B">
        <w:rPr>
          <w:rFonts w:ascii="Arial" w:eastAsia="Arial Unicode MS" w:hAnsi="Arial" w:cs="Arial"/>
          <w:highlight w:val="white"/>
        </w:rPr>
        <w:t>Significant terms are in bold</w:t>
      </w:r>
      <w:r w:rsidR="00A50BD5">
        <w:rPr>
          <w:rFonts w:ascii="Arial" w:eastAsia="Arial Unicode MS" w:hAnsi="Arial" w:cs="Arial"/>
          <w:highlight w:val="white"/>
        </w:rPr>
        <w:t xml:space="preserve"> and underlined</w:t>
      </w:r>
      <w:r w:rsidRPr="00305A1B">
        <w:rPr>
          <w:rFonts w:ascii="Arial" w:eastAsia="Arial Unicode MS" w:hAnsi="Arial" w:cs="Arial"/>
          <w:highlight w:val="white"/>
        </w:rPr>
        <w:t>.</w:t>
      </w:r>
      <w:r w:rsidRPr="00305A1B">
        <w:rPr>
          <w:rFonts w:ascii="Arial" w:eastAsia="Arial" w:hAnsi="Arial" w:cs="Arial"/>
        </w:rPr>
        <w:t xml:space="preserve"> ** </w:t>
      </w:r>
      <w:r w:rsidRPr="00305A1B">
        <w:rPr>
          <w:rFonts w:ascii="Arial" w:eastAsia="Arial" w:hAnsi="Arial" w:cs="Arial"/>
          <w:i/>
        </w:rPr>
        <w:t xml:space="preserve">P </w:t>
      </w:r>
      <w:r w:rsidRPr="00305A1B">
        <w:rPr>
          <w:rFonts w:ascii="Arial" w:eastAsia="Arial" w:hAnsi="Arial" w:cs="Arial"/>
        </w:rPr>
        <w:t>&lt; 0.01, *</w:t>
      </w:r>
      <w:r w:rsidRPr="00305A1B">
        <w:rPr>
          <w:rFonts w:ascii="Arial" w:eastAsia="Arial" w:hAnsi="Arial" w:cs="Arial"/>
          <w:i/>
        </w:rPr>
        <w:t xml:space="preserve"> P </w:t>
      </w:r>
      <w:r w:rsidRPr="00305A1B">
        <w:rPr>
          <w:rFonts w:ascii="Arial" w:eastAsia="Arial" w:hAnsi="Arial" w:cs="Arial"/>
        </w:rPr>
        <w:t>&lt; 0.05.</w:t>
      </w:r>
    </w:p>
    <w:p w14:paraId="006AAA88" w14:textId="6F681BED" w:rsidR="0086382B" w:rsidRPr="00305A1B" w:rsidRDefault="0086382B" w:rsidP="00EB5F3C">
      <w:pPr>
        <w:spacing w:after="0" w:line="480" w:lineRule="auto"/>
        <w:ind w:right="111"/>
        <w:rPr>
          <w:rFonts w:ascii="Arial" w:hAnsi="Arial" w:cs="Arial"/>
          <w:b/>
          <w:bCs/>
        </w:rPr>
      </w:pPr>
      <w:r w:rsidRPr="00C45C98">
        <w:rPr>
          <w:noProof/>
        </w:rPr>
        <w:lastRenderedPageBreak/>
        <w:drawing>
          <wp:inline distT="0" distB="0" distL="0" distR="0" wp14:anchorId="171CDB28" wp14:editId="2BB7C14F">
            <wp:extent cx="6412842" cy="4867422"/>
            <wp:effectExtent l="0" t="0" r="762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475266" cy="4914803"/>
                    </a:xfrm>
                    <a:prstGeom prst="rect">
                      <a:avLst/>
                    </a:prstGeom>
                    <a:noFill/>
                    <a:ln>
                      <a:noFill/>
                    </a:ln>
                  </pic:spPr>
                </pic:pic>
              </a:graphicData>
            </a:graphic>
          </wp:inline>
        </w:drawing>
      </w:r>
    </w:p>
    <w:p w14:paraId="67D28B9E" w14:textId="06FF76CC" w:rsidR="00EB5F3C" w:rsidRPr="00305A1B" w:rsidRDefault="00EB5F3C" w:rsidP="00EB5F3C">
      <w:pPr>
        <w:spacing w:after="0" w:line="480" w:lineRule="auto"/>
        <w:rPr>
          <w:rFonts w:ascii="Arial" w:hAnsi="Arial" w:cs="Arial"/>
          <w:b/>
          <w:bCs/>
        </w:rPr>
        <w:sectPr w:rsidR="00EB5F3C" w:rsidRPr="00305A1B" w:rsidSect="00EB5F3C">
          <w:footerReference w:type="default" r:id="rId7"/>
          <w:type w:val="continuous"/>
          <w:pgSz w:w="11906" w:h="16838"/>
          <w:pgMar w:top="1440" w:right="991" w:bottom="1440" w:left="1440" w:header="708" w:footer="708" w:gutter="0"/>
          <w:lnNumType w:countBy="1" w:restart="continuous"/>
          <w:cols w:space="708"/>
          <w:docGrid w:linePitch="360"/>
        </w:sectPr>
      </w:pPr>
    </w:p>
    <w:p w14:paraId="2FA862CB" w14:textId="77777777" w:rsidR="00CB2E17" w:rsidRDefault="00CB2E17" w:rsidP="00EB5F3C">
      <w:pPr>
        <w:spacing w:after="0" w:line="480" w:lineRule="auto"/>
        <w:rPr>
          <w:rFonts w:ascii="Arial" w:hAnsi="Arial" w:cs="Arial"/>
          <w:b/>
          <w:bCs/>
        </w:rPr>
      </w:pPr>
    </w:p>
    <w:p w14:paraId="2DB4134D" w14:textId="6EA8E4ED" w:rsidR="00CB2E17" w:rsidRDefault="00CB2E17" w:rsidP="00EB5F3C">
      <w:pPr>
        <w:spacing w:after="0" w:line="480" w:lineRule="auto"/>
        <w:rPr>
          <w:rFonts w:ascii="Arial" w:eastAsia="Arial" w:hAnsi="Arial" w:cs="Arial"/>
        </w:rPr>
      </w:pPr>
      <w:r>
        <w:rPr>
          <w:rFonts w:ascii="Arial" w:hAnsi="Arial" w:cs="Arial"/>
          <w:b/>
          <w:bCs/>
        </w:rPr>
        <w:t>Table S5</w:t>
      </w:r>
      <w:r w:rsidRPr="00305A1B">
        <w:rPr>
          <w:rFonts w:ascii="Arial" w:hAnsi="Arial" w:cs="Arial"/>
          <w:b/>
          <w:bCs/>
        </w:rPr>
        <w:t>:</w:t>
      </w:r>
      <w:r w:rsidRPr="00305A1B">
        <w:rPr>
          <w:rFonts w:ascii="Arial" w:eastAsia="Arial" w:hAnsi="Arial" w:cs="Arial"/>
        </w:rPr>
        <w:t xml:space="preserve"> </w:t>
      </w:r>
      <w:r w:rsidR="003F6F5B" w:rsidRPr="00954C29">
        <w:rPr>
          <w:rFonts w:ascii="Arial" w:eastAsia="Arial" w:hAnsi="Arial" w:cs="Arial"/>
          <w:b/>
          <w:bCs/>
        </w:rPr>
        <w:t xml:space="preserve">Core families present in </w:t>
      </w:r>
      <w:r w:rsidR="00954C29" w:rsidRPr="00954C29">
        <w:rPr>
          <w:rFonts w:ascii="Arial" w:hAnsi="Arial" w:cs="Arial"/>
          <w:b/>
          <w:bCs/>
        </w:rPr>
        <w:t xml:space="preserve">281 faecal samples, collected from 224 Seychelles warblers. </w:t>
      </w:r>
      <w:r w:rsidR="003F6F5B">
        <w:rPr>
          <w:rFonts w:ascii="Arial" w:hAnsi="Arial" w:cs="Arial"/>
        </w:rPr>
        <w:t xml:space="preserve">Core microbiome is defined as bacterial </w:t>
      </w:r>
      <w:r w:rsidR="008E3D82">
        <w:rPr>
          <w:rFonts w:ascii="Arial" w:hAnsi="Arial" w:cs="Arial"/>
        </w:rPr>
        <w:t>f</w:t>
      </w:r>
      <w:r w:rsidR="003F6F5B">
        <w:rPr>
          <w:rFonts w:ascii="Arial" w:hAnsi="Arial" w:cs="Arial"/>
        </w:rPr>
        <w:t xml:space="preserve">amilies that </w:t>
      </w:r>
      <w:r w:rsidR="003F6F5B" w:rsidRPr="00652817">
        <w:rPr>
          <w:rFonts w:ascii="Arial" w:hAnsi="Arial" w:cs="Arial"/>
        </w:rPr>
        <w:t>appeared in at least 50% of samples</w:t>
      </w:r>
      <w:r w:rsidR="003F6F5B">
        <w:rPr>
          <w:rFonts w:ascii="Arial" w:hAnsi="Arial" w:cs="Arial"/>
        </w:rPr>
        <w:t>,</w:t>
      </w:r>
      <w:r w:rsidR="003F6F5B" w:rsidRPr="00652817">
        <w:rPr>
          <w:rFonts w:ascii="Arial" w:hAnsi="Arial" w:cs="Arial"/>
        </w:rPr>
        <w:t xml:space="preserve"> with a minimum relative abundance of 0.1%</w:t>
      </w:r>
      <w:r w:rsidR="003F6F5B">
        <w:rPr>
          <w:rFonts w:ascii="Arial" w:hAnsi="Arial" w:cs="Arial"/>
        </w:rPr>
        <w:t>. Total number of reads, and % of all reads are included.</w:t>
      </w:r>
    </w:p>
    <w:p w14:paraId="74C0307F" w14:textId="3AD11F94" w:rsidR="00396312" w:rsidRDefault="00932C46" w:rsidP="00EB5F3C">
      <w:pPr>
        <w:spacing w:after="0" w:line="480" w:lineRule="auto"/>
        <w:rPr>
          <w:rFonts w:ascii="Arial" w:hAnsi="Arial" w:cs="Arial"/>
          <w:b/>
          <w:bCs/>
        </w:rPr>
      </w:pPr>
      <w:r w:rsidRPr="00932C46">
        <w:rPr>
          <w:noProof/>
        </w:rPr>
        <w:drawing>
          <wp:inline distT="0" distB="0" distL="0" distR="0" wp14:anchorId="5330850D" wp14:editId="1F56B9D7">
            <wp:extent cx="8863330" cy="4626610"/>
            <wp:effectExtent l="0" t="0" r="0" b="254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863330" cy="4626610"/>
                    </a:xfrm>
                    <a:prstGeom prst="rect">
                      <a:avLst/>
                    </a:prstGeom>
                    <a:noFill/>
                    <a:ln>
                      <a:noFill/>
                    </a:ln>
                  </pic:spPr>
                </pic:pic>
              </a:graphicData>
            </a:graphic>
          </wp:inline>
        </w:drawing>
      </w:r>
      <w:r w:rsidR="00396312">
        <w:rPr>
          <w:rFonts w:ascii="Arial" w:hAnsi="Arial" w:cs="Arial"/>
          <w:b/>
          <w:bCs/>
        </w:rPr>
        <w:br w:type="page"/>
      </w:r>
    </w:p>
    <w:p w14:paraId="13432603" w14:textId="5E6207CB" w:rsidR="008B782E" w:rsidRDefault="008B782E" w:rsidP="00EB5F3C">
      <w:pPr>
        <w:spacing w:after="0" w:line="480" w:lineRule="auto"/>
        <w:rPr>
          <w:rFonts w:ascii="Arial" w:eastAsia="Arial" w:hAnsi="Arial" w:cs="Arial"/>
        </w:rPr>
      </w:pPr>
      <w:r>
        <w:rPr>
          <w:rFonts w:ascii="Arial" w:hAnsi="Arial" w:cs="Arial"/>
          <w:b/>
          <w:bCs/>
        </w:rPr>
        <w:lastRenderedPageBreak/>
        <w:t xml:space="preserve">Table </w:t>
      </w:r>
      <w:r w:rsidR="008E3D82">
        <w:rPr>
          <w:rFonts w:ascii="Arial" w:hAnsi="Arial" w:cs="Arial"/>
          <w:b/>
          <w:bCs/>
        </w:rPr>
        <w:t>S6</w:t>
      </w:r>
      <w:r w:rsidRPr="00F616D7">
        <w:rPr>
          <w:rFonts w:ascii="Arial" w:hAnsi="Arial" w:cs="Arial"/>
          <w:b/>
          <w:bCs/>
        </w:rPr>
        <w:t>:</w:t>
      </w:r>
      <w:r w:rsidRPr="00F616D7">
        <w:rPr>
          <w:rFonts w:ascii="Arial" w:eastAsia="Arial" w:hAnsi="Arial" w:cs="Arial"/>
          <w:b/>
          <w:bCs/>
        </w:rPr>
        <w:t xml:space="preserve"> </w:t>
      </w:r>
      <w:r w:rsidRPr="00F616D7">
        <w:rPr>
          <w:rFonts w:ascii="Arial" w:eastAsia="Arial" w:hAnsi="Arial" w:cs="Arial"/>
          <w:b/>
          <w:bCs/>
          <w:highlight w:val="white"/>
        </w:rPr>
        <w:t>The effect of host</w:t>
      </w:r>
      <w:r w:rsidR="00F616D7">
        <w:rPr>
          <w:rFonts w:ascii="Arial" w:eastAsia="Arial" w:hAnsi="Arial" w:cs="Arial"/>
          <w:b/>
          <w:bCs/>
          <w:highlight w:val="white"/>
        </w:rPr>
        <w:t xml:space="preserve">-associated </w:t>
      </w:r>
      <w:r w:rsidRPr="00F616D7">
        <w:rPr>
          <w:rFonts w:ascii="Arial" w:eastAsia="Arial" w:hAnsi="Arial" w:cs="Arial"/>
          <w:b/>
          <w:bCs/>
          <w:highlight w:val="white"/>
        </w:rPr>
        <w:t>variables on</w:t>
      </w:r>
      <w:r w:rsidR="00834103">
        <w:rPr>
          <w:rFonts w:ascii="Arial" w:eastAsia="Arial" w:hAnsi="Arial" w:cs="Arial"/>
          <w:b/>
          <w:bCs/>
          <w:highlight w:val="white"/>
        </w:rPr>
        <w:t xml:space="preserve"> gut microbiome</w:t>
      </w:r>
      <w:r w:rsidRPr="00F616D7">
        <w:rPr>
          <w:rFonts w:ascii="Arial" w:eastAsia="Arial" w:hAnsi="Arial" w:cs="Arial"/>
          <w:b/>
          <w:bCs/>
          <w:highlight w:val="white"/>
        </w:rPr>
        <w:t xml:space="preserve"> diversity </w:t>
      </w:r>
      <w:r w:rsidRPr="00F616D7">
        <w:rPr>
          <w:rFonts w:ascii="Arial" w:eastAsia="Arial" w:hAnsi="Arial" w:cs="Arial"/>
          <w:b/>
          <w:bCs/>
        </w:rPr>
        <w:t>in the Seychelles warbler (n = 195)</w:t>
      </w:r>
      <w:r w:rsidR="00F616D7" w:rsidRPr="00F616D7">
        <w:rPr>
          <w:rFonts w:ascii="Arial" w:eastAsia="Arial" w:hAnsi="Arial" w:cs="Arial"/>
          <w:b/>
          <w:bCs/>
        </w:rPr>
        <w:t>.</w:t>
      </w:r>
      <w:r w:rsidR="00F616D7">
        <w:rPr>
          <w:rFonts w:ascii="Arial" w:eastAsia="Arial" w:hAnsi="Arial" w:cs="Arial"/>
        </w:rPr>
        <w:t xml:space="preserve"> GLMMs</w:t>
      </w:r>
      <w:r w:rsidRPr="00305A1B">
        <w:rPr>
          <w:rFonts w:ascii="Arial" w:eastAsia="Arial" w:hAnsi="Arial" w:cs="Arial"/>
        </w:rPr>
        <w:t xml:space="preserve"> for three metrics of alpha diversity: Shannon diversity, Chao 1(log transformed) and Faiths phylogenetic diversity (log transformed): </w:t>
      </w:r>
      <w:r w:rsidRPr="00305A1B">
        <w:rPr>
          <w:rFonts w:ascii="Arial" w:eastAsia="Arial" w:hAnsi="Arial" w:cs="Arial"/>
          <w:b/>
        </w:rPr>
        <w:t>A</w:t>
      </w:r>
      <w:r w:rsidRPr="00305A1B">
        <w:rPr>
          <w:rFonts w:ascii="Arial" w:eastAsia="Arial" w:hAnsi="Arial" w:cs="Arial"/>
        </w:rPr>
        <w:t>) including the presence/absence of MHC alleles or</w:t>
      </w:r>
      <w:r w:rsidR="008E3D82">
        <w:rPr>
          <w:rFonts w:ascii="Arial" w:eastAsia="Arial" w:hAnsi="Arial" w:cs="Arial"/>
        </w:rPr>
        <w:t>,</w:t>
      </w:r>
      <w:r w:rsidRPr="00305A1B">
        <w:rPr>
          <w:rFonts w:ascii="Arial" w:eastAsia="Arial" w:hAnsi="Arial" w:cs="Arial"/>
        </w:rPr>
        <w:t xml:space="preserve"> </w:t>
      </w:r>
      <w:r w:rsidRPr="00305A1B">
        <w:rPr>
          <w:rFonts w:ascii="Arial" w:eastAsia="Arial" w:hAnsi="Arial" w:cs="Arial"/>
          <w:b/>
        </w:rPr>
        <w:t>B</w:t>
      </w:r>
      <w:r w:rsidRPr="00305A1B">
        <w:rPr>
          <w:rFonts w:ascii="Arial" w:eastAsia="Arial" w:hAnsi="Arial" w:cs="Arial"/>
        </w:rPr>
        <w:t xml:space="preserve">) MHC diversity. </w:t>
      </w:r>
      <w:r w:rsidRPr="00305A1B">
        <w:rPr>
          <w:rFonts w:ascii="Arial" w:eastAsia="Arial" w:hAnsi="Arial" w:cs="Arial"/>
          <w:highlight w:val="white"/>
        </w:rPr>
        <w:t xml:space="preserve"> </w:t>
      </w:r>
      <w:r w:rsidRPr="00305A1B">
        <w:rPr>
          <w:rFonts w:ascii="Arial" w:eastAsia="Arial" w:hAnsi="Arial" w:cs="Arial"/>
        </w:rPr>
        <w:t>A Line</w:t>
      </w:r>
      <w:r>
        <w:rPr>
          <w:rFonts w:ascii="Arial" w:eastAsia="Arial" w:hAnsi="Arial" w:cs="Arial"/>
        </w:rPr>
        <w:t>a</w:t>
      </w:r>
      <w:r w:rsidRPr="00305A1B">
        <w:rPr>
          <w:rFonts w:ascii="Arial" w:eastAsia="Arial" w:hAnsi="Arial" w:cs="Arial"/>
        </w:rPr>
        <w:t xml:space="preserve">r model </w:t>
      </w:r>
      <w:r w:rsidRPr="00305A1B">
        <w:rPr>
          <w:rFonts w:ascii="Arial" w:eastAsia="Arial" w:hAnsi="Arial" w:cs="Arial"/>
          <w:highlight w:val="white"/>
        </w:rPr>
        <w:t xml:space="preserve">was used to generate conditional model-averaged estimates (β), their standard error (SE), z value, </w:t>
      </w:r>
      <w:r w:rsidR="00834103">
        <w:rPr>
          <w:rFonts w:ascii="Arial" w:eastAsia="Arial" w:hAnsi="Arial" w:cs="Arial"/>
          <w:i/>
        </w:rPr>
        <w:t>P</w:t>
      </w:r>
      <w:r w:rsidRPr="00305A1B">
        <w:rPr>
          <w:rFonts w:ascii="Arial" w:eastAsia="Arial" w:hAnsi="Arial" w:cs="Arial"/>
          <w:highlight w:val="white"/>
        </w:rPr>
        <w:t xml:space="preserve"> value, and relative importance (ω) are shown for all predictors featuring in the top model set (</w:t>
      </w:r>
      <w:proofErr w:type="spellStart"/>
      <w:r w:rsidRPr="00305A1B">
        <w:rPr>
          <w:rFonts w:ascii="Arial" w:eastAsia="Arial" w:hAnsi="Arial" w:cs="Arial"/>
          <w:highlight w:val="white"/>
        </w:rPr>
        <w:t>ΔAIC</w:t>
      </w:r>
      <w:r w:rsidRPr="00305A1B">
        <w:rPr>
          <w:rFonts w:ascii="Arial" w:eastAsia="Arial" w:hAnsi="Arial" w:cs="Arial"/>
          <w:vertAlign w:val="subscript"/>
        </w:rPr>
        <w:t>c</w:t>
      </w:r>
      <w:proofErr w:type="spellEnd"/>
      <w:r w:rsidRPr="00305A1B">
        <w:rPr>
          <w:rFonts w:ascii="Arial" w:eastAsia="Arial Unicode MS" w:hAnsi="Arial" w:cs="Arial"/>
          <w:highlight w:val="white"/>
        </w:rPr>
        <w:t xml:space="preserve"> ≤ 7). </w:t>
      </w:r>
      <w:r w:rsidRPr="00305A1B">
        <w:rPr>
          <w:rFonts w:ascii="Arial" w:eastAsia="Arial" w:hAnsi="Arial" w:cs="Arial"/>
        </w:rPr>
        <w:t xml:space="preserve">All continuous factors were standardised. Estimates are in reference to MHC allele = </w:t>
      </w:r>
      <w:r w:rsidR="00396312">
        <w:rPr>
          <w:rFonts w:ascii="Arial" w:eastAsia="Arial" w:hAnsi="Arial" w:cs="Arial"/>
        </w:rPr>
        <w:t>absent</w:t>
      </w:r>
      <w:r w:rsidRPr="00305A1B">
        <w:rPr>
          <w:rFonts w:ascii="Arial" w:eastAsia="Arial" w:hAnsi="Arial" w:cs="Arial"/>
        </w:rPr>
        <w:t xml:space="preserve">, </w:t>
      </w:r>
      <w:r w:rsidRPr="00305A1B">
        <w:rPr>
          <w:rFonts w:ascii="Arial" w:eastAsia="Arial" w:hAnsi="Arial" w:cs="Arial"/>
          <w:i/>
        </w:rPr>
        <w:t>TLR3</w:t>
      </w:r>
      <w:r w:rsidRPr="00305A1B">
        <w:rPr>
          <w:rFonts w:ascii="Arial" w:eastAsia="Arial" w:hAnsi="Arial" w:cs="Arial"/>
        </w:rPr>
        <w:t xml:space="preserve"> genotype = </w:t>
      </w:r>
      <w:r w:rsidRPr="00305A1B">
        <w:rPr>
          <w:rFonts w:ascii="Arial" w:eastAsia="Arial" w:hAnsi="Arial" w:cs="Arial"/>
          <w:i/>
        </w:rPr>
        <w:t>TLR3</w:t>
      </w:r>
      <w:r w:rsidRPr="00305A1B">
        <w:rPr>
          <w:rFonts w:ascii="Arial" w:eastAsia="Arial" w:hAnsi="Arial" w:cs="Arial"/>
          <w:vertAlign w:val="superscript"/>
        </w:rPr>
        <w:t>AA</w:t>
      </w:r>
      <w:r w:rsidRPr="00305A1B">
        <w:rPr>
          <w:rFonts w:ascii="Arial" w:eastAsia="Arial" w:hAnsi="Arial" w:cs="Arial"/>
        </w:rPr>
        <w:t xml:space="preserve">, sex = female, age class = fledgling, field period = Major 2017. </w:t>
      </w:r>
      <w:r w:rsidRPr="00305A1B">
        <w:rPr>
          <w:rFonts w:ascii="Arial" w:eastAsia="Arial Unicode MS" w:hAnsi="Arial" w:cs="Arial"/>
          <w:highlight w:val="white"/>
        </w:rPr>
        <w:t>Significant terms are in bold and underlined.</w:t>
      </w:r>
      <w:r w:rsidRPr="00305A1B">
        <w:rPr>
          <w:rFonts w:ascii="Arial" w:eastAsia="Arial Unicode MS" w:hAnsi="Arial" w:cs="Arial"/>
        </w:rPr>
        <w:t xml:space="preserve"> </w:t>
      </w:r>
      <w:r w:rsidRPr="00305A1B">
        <w:rPr>
          <w:rFonts w:ascii="Arial" w:eastAsia="Arial" w:hAnsi="Arial" w:cs="Arial"/>
        </w:rPr>
        <w:t xml:space="preserve">*** </w:t>
      </w:r>
      <w:r w:rsidRPr="00305A1B">
        <w:rPr>
          <w:rFonts w:ascii="Arial" w:eastAsia="Arial" w:hAnsi="Arial" w:cs="Arial"/>
          <w:i/>
        </w:rPr>
        <w:t xml:space="preserve">P </w:t>
      </w:r>
      <w:r w:rsidRPr="00305A1B">
        <w:rPr>
          <w:rFonts w:ascii="Arial" w:eastAsia="Arial" w:hAnsi="Arial" w:cs="Arial"/>
        </w:rPr>
        <w:t xml:space="preserve">&lt; 0.001, ** </w:t>
      </w:r>
      <w:r w:rsidRPr="00305A1B">
        <w:rPr>
          <w:rFonts w:ascii="Arial" w:eastAsia="Arial" w:hAnsi="Arial" w:cs="Arial"/>
          <w:i/>
        </w:rPr>
        <w:t xml:space="preserve">P </w:t>
      </w:r>
      <w:r w:rsidRPr="00305A1B">
        <w:rPr>
          <w:rFonts w:ascii="Arial" w:eastAsia="Arial" w:hAnsi="Arial" w:cs="Arial"/>
        </w:rPr>
        <w:t>&lt; 0.01, *</w:t>
      </w:r>
      <w:r w:rsidRPr="00305A1B">
        <w:rPr>
          <w:rFonts w:ascii="Arial" w:eastAsia="Arial" w:hAnsi="Arial" w:cs="Arial"/>
          <w:i/>
        </w:rPr>
        <w:t xml:space="preserve"> P </w:t>
      </w:r>
      <w:r w:rsidRPr="00305A1B">
        <w:rPr>
          <w:rFonts w:ascii="Arial" w:eastAsia="Arial" w:hAnsi="Arial" w:cs="Arial"/>
        </w:rPr>
        <w:t>&lt; 0.05.</w:t>
      </w:r>
    </w:p>
    <w:p w14:paraId="7472693E" w14:textId="77777777" w:rsidR="00396312" w:rsidRDefault="00396312" w:rsidP="00EB5F3C">
      <w:pPr>
        <w:spacing w:after="0" w:line="480" w:lineRule="auto"/>
        <w:rPr>
          <w:rFonts w:ascii="Arial" w:eastAsia="Arial" w:hAnsi="Arial" w:cs="Arial"/>
        </w:rPr>
      </w:pPr>
    </w:p>
    <w:p w14:paraId="1215ED00" w14:textId="2397CBDF" w:rsidR="008B782E" w:rsidRPr="003C1CDD" w:rsidRDefault="00396312" w:rsidP="00EB5F3C">
      <w:pPr>
        <w:tabs>
          <w:tab w:val="left" w:pos="2155"/>
        </w:tabs>
        <w:spacing w:line="480" w:lineRule="auto"/>
        <w:rPr>
          <w:rFonts w:ascii="Arial" w:hAnsi="Arial" w:cs="Arial"/>
          <w:b/>
          <w:bCs/>
          <w:sz w:val="18"/>
          <w:szCs w:val="18"/>
        </w:rPr>
        <w:sectPr w:rsidR="008B782E" w:rsidRPr="003C1CDD" w:rsidSect="00EB5F3C">
          <w:pgSz w:w="16838" w:h="11906" w:orient="landscape" w:code="9"/>
          <w:pgMar w:top="567" w:right="1440" w:bottom="425" w:left="1440" w:header="709" w:footer="709" w:gutter="0"/>
          <w:lnNumType w:countBy="1" w:restart="continuous"/>
          <w:cols w:space="708"/>
          <w:docGrid w:linePitch="360"/>
        </w:sectPr>
      </w:pPr>
      <w:r w:rsidRPr="00396312">
        <w:rPr>
          <w:noProof/>
        </w:rPr>
        <w:lastRenderedPageBreak/>
        <w:drawing>
          <wp:inline distT="0" distB="0" distL="0" distR="0" wp14:anchorId="331D0AC7" wp14:editId="6F60EB86">
            <wp:extent cx="8863330" cy="554863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863330" cy="5548630"/>
                    </a:xfrm>
                    <a:prstGeom prst="rect">
                      <a:avLst/>
                    </a:prstGeom>
                    <a:noFill/>
                    <a:ln>
                      <a:noFill/>
                    </a:ln>
                  </pic:spPr>
                </pic:pic>
              </a:graphicData>
            </a:graphic>
          </wp:inline>
        </w:drawing>
      </w:r>
    </w:p>
    <w:p w14:paraId="0FA4567B" w14:textId="77777777" w:rsidR="008B782E" w:rsidRPr="00305A1B" w:rsidRDefault="008B782E" w:rsidP="00EB5F3C">
      <w:pPr>
        <w:spacing w:after="0" w:line="480" w:lineRule="auto"/>
        <w:rPr>
          <w:rFonts w:ascii="Arial" w:hAnsi="Arial" w:cs="Arial"/>
        </w:rPr>
      </w:pPr>
    </w:p>
    <w:p w14:paraId="2E9661F6" w14:textId="77777777" w:rsidR="008B782E" w:rsidRPr="00305A1B" w:rsidRDefault="008B782E" w:rsidP="00EB5F3C">
      <w:pPr>
        <w:pStyle w:val="ListParagraph"/>
        <w:spacing w:after="0" w:line="480" w:lineRule="auto"/>
        <w:ind w:left="-567"/>
        <w:rPr>
          <w:rFonts w:ascii="Arial" w:hAnsi="Arial" w:cs="Arial"/>
        </w:rPr>
      </w:pPr>
      <w:r w:rsidRPr="00305A1B">
        <w:rPr>
          <w:noProof/>
        </w:rPr>
        <w:lastRenderedPageBreak/>
        <w:drawing>
          <wp:inline distT="0" distB="0" distL="0" distR="0" wp14:anchorId="7DAF261E" wp14:editId="43565B0A">
            <wp:extent cx="9845606" cy="4776717"/>
            <wp:effectExtent l="0" t="0" r="3810" b="508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9896050" cy="4801190"/>
                    </a:xfrm>
                    <a:prstGeom prst="rect">
                      <a:avLst/>
                    </a:prstGeom>
                  </pic:spPr>
                </pic:pic>
              </a:graphicData>
            </a:graphic>
          </wp:inline>
        </w:drawing>
      </w:r>
    </w:p>
    <w:p w14:paraId="5A38D376" w14:textId="04B00CBB" w:rsidR="008B782E" w:rsidRPr="00305A1B" w:rsidRDefault="008B782E" w:rsidP="00EB5F3C">
      <w:pPr>
        <w:spacing w:after="0" w:line="480" w:lineRule="auto"/>
        <w:rPr>
          <w:rFonts w:ascii="Arial" w:hAnsi="Arial" w:cs="Arial"/>
        </w:rPr>
      </w:pPr>
      <w:r w:rsidRPr="00305A1B">
        <w:rPr>
          <w:rFonts w:ascii="Arial" w:hAnsi="Arial" w:cs="Arial"/>
          <w:b/>
          <w:bCs/>
        </w:rPr>
        <w:lastRenderedPageBreak/>
        <w:t>Fig S</w:t>
      </w:r>
      <w:r>
        <w:rPr>
          <w:rFonts w:ascii="Arial" w:hAnsi="Arial" w:cs="Arial"/>
          <w:b/>
          <w:bCs/>
        </w:rPr>
        <w:t>1</w:t>
      </w:r>
      <w:r w:rsidRPr="00F616D7">
        <w:rPr>
          <w:rFonts w:ascii="Arial" w:hAnsi="Arial" w:cs="Arial"/>
          <w:b/>
          <w:bCs/>
        </w:rPr>
        <w:t>: Prevalence and total abundance of all ASV’s separated by phylum</w:t>
      </w:r>
      <w:r w:rsidR="00F616D7">
        <w:rPr>
          <w:rFonts w:ascii="Arial" w:hAnsi="Arial" w:cs="Arial"/>
        </w:rPr>
        <w:t>. E</w:t>
      </w:r>
      <w:r>
        <w:rPr>
          <w:rFonts w:ascii="Arial" w:hAnsi="Arial" w:cs="Arial"/>
        </w:rPr>
        <w:t>ach phylum is shown in a separate plot, and a different colour</w:t>
      </w:r>
      <w:r w:rsidRPr="00305A1B">
        <w:rPr>
          <w:rFonts w:ascii="Arial" w:hAnsi="Arial" w:cs="Arial"/>
        </w:rPr>
        <w:t xml:space="preserve">. Dashed lines represent the values used as cut-offs for filtering rare taxa before beta diversity analyses (prevalence </w:t>
      </w:r>
      <w:r w:rsidR="00101EE1">
        <w:rPr>
          <w:rFonts w:ascii="Arial" w:hAnsi="Arial" w:cs="Arial"/>
        </w:rPr>
        <w:t xml:space="preserve">threshold </w:t>
      </w:r>
      <w:r w:rsidRPr="00305A1B">
        <w:rPr>
          <w:rFonts w:ascii="Arial" w:hAnsi="Arial" w:cs="Arial"/>
        </w:rPr>
        <w:t>= 5; minimum abundance = 50).</w:t>
      </w:r>
    </w:p>
    <w:p w14:paraId="51153F71" w14:textId="77777777" w:rsidR="008B782E" w:rsidRDefault="008B782E" w:rsidP="00EB5F3C">
      <w:pPr>
        <w:spacing w:after="0" w:line="480" w:lineRule="auto"/>
        <w:ind w:left="-426"/>
        <w:rPr>
          <w:rFonts w:ascii="Arial" w:hAnsi="Arial" w:cs="Arial"/>
        </w:rPr>
        <w:sectPr w:rsidR="008B782E" w:rsidSect="00EB5F3C">
          <w:type w:val="continuous"/>
          <w:pgSz w:w="16838" w:h="11906" w:orient="landscape"/>
          <w:pgMar w:top="1440" w:right="1440" w:bottom="424" w:left="1440" w:header="708" w:footer="708" w:gutter="0"/>
          <w:lnNumType w:countBy="1" w:restart="continuous"/>
          <w:cols w:space="708"/>
          <w:docGrid w:linePitch="360"/>
        </w:sectPr>
      </w:pPr>
    </w:p>
    <w:p w14:paraId="372FA945" w14:textId="77777777" w:rsidR="008B782E" w:rsidRDefault="008B782E" w:rsidP="00EB5F3C">
      <w:pPr>
        <w:spacing w:after="0" w:line="480" w:lineRule="auto"/>
        <w:ind w:left="-426"/>
        <w:rPr>
          <w:rFonts w:ascii="Arial" w:hAnsi="Arial" w:cs="Arial"/>
          <w:b/>
          <w:bCs/>
        </w:rPr>
      </w:pPr>
    </w:p>
    <w:p w14:paraId="3A7D8007" w14:textId="77777777" w:rsidR="008B782E" w:rsidRDefault="008B782E" w:rsidP="00EB5F3C">
      <w:pPr>
        <w:spacing w:after="0" w:line="480" w:lineRule="auto"/>
        <w:rPr>
          <w:rFonts w:ascii="Arial" w:hAnsi="Arial" w:cs="Arial"/>
          <w:b/>
          <w:bCs/>
        </w:rPr>
      </w:pPr>
      <w:r>
        <w:rPr>
          <w:rFonts w:ascii="Arial" w:hAnsi="Arial" w:cs="Arial"/>
          <w:b/>
          <w:bCs/>
          <w:noProof/>
        </w:rPr>
        <w:drawing>
          <wp:inline distT="0" distB="0" distL="0" distR="0" wp14:anchorId="62EF5823" wp14:editId="131517D3">
            <wp:extent cx="6376670" cy="4494530"/>
            <wp:effectExtent l="0" t="0" r="5080" b="1270"/>
            <wp:docPr id="1" name="Picture 1" descr="A picture containing text, writing implement, stationar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writing implement, stationary&#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376670" cy="4494530"/>
                    </a:xfrm>
                    <a:prstGeom prst="rect">
                      <a:avLst/>
                    </a:prstGeom>
                  </pic:spPr>
                </pic:pic>
              </a:graphicData>
            </a:graphic>
          </wp:inline>
        </w:drawing>
      </w:r>
    </w:p>
    <w:p w14:paraId="7BA55CB7" w14:textId="2B3B905F" w:rsidR="008B782E" w:rsidRPr="00305A1B" w:rsidRDefault="008B782E" w:rsidP="00EB5F3C">
      <w:pPr>
        <w:spacing w:after="0" w:line="480" w:lineRule="auto"/>
        <w:rPr>
          <w:rFonts w:ascii="Arial" w:hAnsi="Arial" w:cs="Arial"/>
        </w:rPr>
      </w:pPr>
      <w:r w:rsidRPr="00305A1B">
        <w:rPr>
          <w:rFonts w:ascii="Arial" w:hAnsi="Arial" w:cs="Arial"/>
          <w:b/>
          <w:bCs/>
        </w:rPr>
        <w:t>Fig S</w:t>
      </w:r>
      <w:r>
        <w:rPr>
          <w:rFonts w:ascii="Arial" w:hAnsi="Arial" w:cs="Arial"/>
          <w:b/>
          <w:bCs/>
        </w:rPr>
        <w:t>2</w:t>
      </w:r>
      <w:r w:rsidRPr="00305A1B">
        <w:rPr>
          <w:rFonts w:ascii="Arial" w:hAnsi="Arial" w:cs="Arial"/>
          <w:b/>
          <w:bCs/>
        </w:rPr>
        <w:t>:</w:t>
      </w:r>
      <w:r w:rsidRPr="00305A1B">
        <w:rPr>
          <w:rFonts w:ascii="Arial" w:hAnsi="Arial" w:cs="Arial"/>
        </w:rPr>
        <w:t xml:space="preserve"> </w:t>
      </w:r>
      <w:r w:rsidR="00CE7C89" w:rsidRPr="00101EE1">
        <w:rPr>
          <w:rFonts w:ascii="Arial" w:hAnsi="Arial" w:cs="Arial"/>
          <w:b/>
          <w:bCs/>
        </w:rPr>
        <w:t xml:space="preserve">The repeatability of </w:t>
      </w:r>
      <w:r w:rsidR="00CE7C89" w:rsidRPr="00CE7C89">
        <w:rPr>
          <w:rFonts w:ascii="Arial" w:hAnsi="Arial" w:cs="Arial"/>
          <w:b/>
          <w:bCs/>
        </w:rPr>
        <w:t>s</w:t>
      </w:r>
      <w:r w:rsidRPr="00CE7C89">
        <w:rPr>
          <w:rFonts w:ascii="Arial" w:hAnsi="Arial" w:cs="Arial"/>
          <w:b/>
          <w:bCs/>
        </w:rPr>
        <w:t>equencing</w:t>
      </w:r>
      <w:r w:rsidR="00CE7C89">
        <w:rPr>
          <w:rFonts w:ascii="Arial" w:hAnsi="Arial" w:cs="Arial"/>
          <w:b/>
          <w:bCs/>
        </w:rPr>
        <w:t xml:space="preserve"> methods.</w:t>
      </w:r>
      <w:r w:rsidRPr="00F616D7">
        <w:rPr>
          <w:rFonts w:ascii="Arial" w:hAnsi="Arial" w:cs="Arial"/>
          <w:b/>
          <w:bCs/>
        </w:rPr>
        <w:t xml:space="preserve"> </w:t>
      </w:r>
      <w:r w:rsidR="00CE7C89" w:rsidRPr="00101EE1">
        <w:rPr>
          <w:rFonts w:ascii="Arial" w:hAnsi="Arial" w:cs="Arial"/>
        </w:rPr>
        <w:t>This was</w:t>
      </w:r>
      <w:r w:rsidRPr="00101EE1">
        <w:rPr>
          <w:rFonts w:ascii="Arial" w:hAnsi="Arial" w:cs="Arial"/>
        </w:rPr>
        <w:t xml:space="preserve"> tested </w:t>
      </w:r>
      <w:r w:rsidR="009E2417">
        <w:rPr>
          <w:rFonts w:ascii="Arial" w:hAnsi="Arial" w:cs="Arial"/>
        </w:rPr>
        <w:t>by sequencing</w:t>
      </w:r>
      <w:r w:rsidR="009E2417" w:rsidRPr="00101EE1">
        <w:rPr>
          <w:rFonts w:ascii="Arial" w:hAnsi="Arial" w:cs="Arial"/>
        </w:rPr>
        <w:t xml:space="preserve"> </w:t>
      </w:r>
      <w:r w:rsidRPr="00101EE1">
        <w:rPr>
          <w:rFonts w:ascii="Arial" w:hAnsi="Arial" w:cs="Arial"/>
        </w:rPr>
        <w:t xml:space="preserve">37 faecal samples taken from </w:t>
      </w:r>
      <w:r w:rsidR="009E2417">
        <w:rPr>
          <w:rFonts w:ascii="Arial" w:hAnsi="Arial" w:cs="Arial"/>
        </w:rPr>
        <w:t xml:space="preserve">individual </w:t>
      </w:r>
      <w:r w:rsidRPr="00101EE1">
        <w:rPr>
          <w:rFonts w:ascii="Arial" w:hAnsi="Arial" w:cs="Arial"/>
        </w:rPr>
        <w:t>Seychelles warblers twice</w:t>
      </w:r>
      <w:r w:rsidRPr="00CE7C89">
        <w:rPr>
          <w:rFonts w:ascii="Arial" w:hAnsi="Arial" w:cs="Arial"/>
        </w:rPr>
        <w:t>.</w:t>
      </w:r>
      <w:r w:rsidRPr="00305A1B">
        <w:rPr>
          <w:rFonts w:ascii="Arial" w:hAnsi="Arial" w:cs="Arial"/>
          <w:b/>
          <w:bCs/>
        </w:rPr>
        <w:t xml:space="preserve"> A</w:t>
      </w:r>
      <w:r w:rsidRPr="00305A1B">
        <w:rPr>
          <w:rFonts w:ascii="Arial" w:hAnsi="Arial" w:cs="Arial"/>
        </w:rPr>
        <w:t xml:space="preserve">) Relative abundance (%) of the 10 most abundant taxa at the Phylum level for the 37 duplicated samples. Each column represents one sample, black lines separate duplicated samples. All other taxa within each sample are collapsed into the low abundance category. </w:t>
      </w:r>
      <w:r w:rsidRPr="00305A1B">
        <w:rPr>
          <w:rFonts w:ascii="Arial" w:hAnsi="Arial" w:cs="Arial"/>
          <w:b/>
          <w:bCs/>
        </w:rPr>
        <w:t>B</w:t>
      </w:r>
      <w:r w:rsidRPr="00305A1B">
        <w:rPr>
          <w:rFonts w:ascii="Arial" w:hAnsi="Arial" w:cs="Arial"/>
        </w:rPr>
        <w:t xml:space="preserve">) The </w:t>
      </w:r>
      <w:r>
        <w:rPr>
          <w:rFonts w:ascii="Arial" w:hAnsi="Arial" w:cs="Arial"/>
        </w:rPr>
        <w:t xml:space="preserve">pairwise </w:t>
      </w:r>
      <w:proofErr w:type="spellStart"/>
      <w:r w:rsidR="00101EE1">
        <w:rPr>
          <w:rFonts w:ascii="Arial" w:hAnsi="Arial" w:cs="Arial"/>
        </w:rPr>
        <w:t>euclidean</w:t>
      </w:r>
      <w:proofErr w:type="spellEnd"/>
      <w:r w:rsidR="00101EE1">
        <w:rPr>
          <w:rFonts w:ascii="Arial" w:hAnsi="Arial" w:cs="Arial"/>
        </w:rPr>
        <w:t xml:space="preserve"> </w:t>
      </w:r>
      <w:r w:rsidRPr="00305A1B">
        <w:rPr>
          <w:rFonts w:ascii="Arial" w:hAnsi="Arial" w:cs="Arial"/>
        </w:rPr>
        <w:t xml:space="preserve">dissimilarity between </w:t>
      </w:r>
      <w:r>
        <w:rPr>
          <w:rFonts w:ascii="Arial" w:hAnsi="Arial" w:cs="Arial"/>
        </w:rPr>
        <w:t xml:space="preserve">different </w:t>
      </w:r>
      <w:r w:rsidRPr="00305A1B">
        <w:rPr>
          <w:rFonts w:ascii="Arial" w:hAnsi="Arial" w:cs="Arial"/>
        </w:rPr>
        <w:t>samples, versus within pairs of duplicated samples</w:t>
      </w:r>
      <w:r>
        <w:rPr>
          <w:rFonts w:ascii="Arial" w:hAnsi="Arial" w:cs="Arial"/>
        </w:rPr>
        <w:t xml:space="preserve"> (same DNA sequenced twice)</w:t>
      </w:r>
      <w:r w:rsidRPr="00305A1B">
        <w:rPr>
          <w:rFonts w:ascii="Arial" w:hAnsi="Arial" w:cs="Arial"/>
        </w:rPr>
        <w:t xml:space="preserve"> for </w:t>
      </w:r>
      <w:proofErr w:type="spellStart"/>
      <w:r w:rsidRPr="00305A1B">
        <w:rPr>
          <w:rFonts w:ascii="Arial" w:hAnsi="Arial" w:cs="Arial"/>
          <w:b/>
          <w:bCs/>
        </w:rPr>
        <w:t>i</w:t>
      </w:r>
      <w:proofErr w:type="spellEnd"/>
      <w:r w:rsidRPr="00305A1B">
        <w:rPr>
          <w:rFonts w:ascii="Arial" w:hAnsi="Arial" w:cs="Arial"/>
        </w:rPr>
        <w:t>. Shannon d</w:t>
      </w:r>
      <w:r w:rsidR="00101EE1">
        <w:rPr>
          <w:rFonts w:ascii="Arial" w:hAnsi="Arial" w:cs="Arial"/>
        </w:rPr>
        <w:t>issimilarity</w:t>
      </w:r>
      <w:r w:rsidRPr="00305A1B">
        <w:rPr>
          <w:rFonts w:ascii="Arial" w:hAnsi="Arial" w:cs="Arial"/>
        </w:rPr>
        <w:t xml:space="preserve"> </w:t>
      </w:r>
      <w:r w:rsidRPr="00305A1B">
        <w:rPr>
          <w:rFonts w:ascii="Arial" w:hAnsi="Arial" w:cs="Arial"/>
          <w:b/>
          <w:bCs/>
        </w:rPr>
        <w:t>ii</w:t>
      </w:r>
      <w:r w:rsidRPr="00305A1B">
        <w:rPr>
          <w:rFonts w:ascii="Arial" w:hAnsi="Arial" w:cs="Arial"/>
        </w:rPr>
        <w:t xml:space="preserve">. Unweighted </w:t>
      </w:r>
      <w:proofErr w:type="spellStart"/>
      <w:r w:rsidRPr="00305A1B">
        <w:rPr>
          <w:rFonts w:ascii="Arial" w:hAnsi="Arial" w:cs="Arial"/>
        </w:rPr>
        <w:t>uniFrac</w:t>
      </w:r>
      <w:proofErr w:type="spellEnd"/>
      <w:r w:rsidRPr="00305A1B">
        <w:rPr>
          <w:rFonts w:ascii="Arial" w:hAnsi="Arial" w:cs="Arial"/>
        </w:rPr>
        <w:t xml:space="preserve"> dissimilarity and </w:t>
      </w:r>
      <w:r w:rsidRPr="00305A1B">
        <w:rPr>
          <w:rFonts w:ascii="Arial" w:hAnsi="Arial" w:cs="Arial"/>
          <w:b/>
          <w:bCs/>
        </w:rPr>
        <w:t>iii</w:t>
      </w:r>
      <w:r w:rsidRPr="00305A1B">
        <w:rPr>
          <w:rFonts w:ascii="Arial" w:hAnsi="Arial" w:cs="Arial"/>
        </w:rPr>
        <w:t xml:space="preserve">. Weighted </w:t>
      </w:r>
      <w:proofErr w:type="spellStart"/>
      <w:r w:rsidRPr="00305A1B">
        <w:rPr>
          <w:rFonts w:ascii="Arial" w:hAnsi="Arial" w:cs="Arial"/>
        </w:rPr>
        <w:t>uniFrac</w:t>
      </w:r>
      <w:proofErr w:type="spellEnd"/>
      <w:r w:rsidRPr="00305A1B">
        <w:rPr>
          <w:rFonts w:ascii="Arial" w:hAnsi="Arial" w:cs="Arial"/>
        </w:rPr>
        <w:t xml:space="preserve"> dissimilarity.</w:t>
      </w:r>
      <w:r w:rsidR="00834103">
        <w:rPr>
          <w:rFonts w:ascii="Arial" w:hAnsi="Arial" w:cs="Arial"/>
        </w:rPr>
        <w:t xml:space="preserve"> </w:t>
      </w:r>
      <w:r w:rsidR="00834103" w:rsidRPr="00305A1B">
        <w:rPr>
          <w:rFonts w:ascii="Arial" w:eastAsia="Arial" w:hAnsi="Arial" w:cs="Arial"/>
        </w:rPr>
        <w:t xml:space="preserve">*** </w:t>
      </w:r>
      <w:r w:rsidR="00834103" w:rsidRPr="00305A1B">
        <w:rPr>
          <w:rFonts w:ascii="Arial" w:eastAsia="Arial" w:hAnsi="Arial" w:cs="Arial"/>
          <w:i/>
        </w:rPr>
        <w:t xml:space="preserve">P </w:t>
      </w:r>
      <w:r w:rsidR="00834103" w:rsidRPr="00305A1B">
        <w:rPr>
          <w:rFonts w:ascii="Arial" w:eastAsia="Arial" w:hAnsi="Arial" w:cs="Arial"/>
        </w:rPr>
        <w:t>&lt; 0.00</w:t>
      </w:r>
      <w:r w:rsidR="00834103">
        <w:rPr>
          <w:rFonts w:ascii="Arial" w:eastAsia="Arial" w:hAnsi="Arial" w:cs="Arial"/>
        </w:rPr>
        <w:t>1.</w:t>
      </w:r>
    </w:p>
    <w:p w14:paraId="11E2BFF6" w14:textId="77777777" w:rsidR="008B782E" w:rsidRDefault="008B782E" w:rsidP="00EB5F3C">
      <w:pPr>
        <w:spacing w:after="0" w:line="480" w:lineRule="auto"/>
        <w:rPr>
          <w:rFonts w:ascii="Arial" w:hAnsi="Arial" w:cs="Arial"/>
        </w:rPr>
      </w:pPr>
    </w:p>
    <w:p w14:paraId="42EAEE00" w14:textId="77777777" w:rsidR="008B782E" w:rsidRDefault="008B782E" w:rsidP="00EB5F3C">
      <w:pPr>
        <w:spacing w:after="0" w:line="480" w:lineRule="auto"/>
        <w:ind w:left="-426"/>
        <w:rPr>
          <w:rFonts w:ascii="Arial" w:hAnsi="Arial" w:cs="Arial"/>
        </w:rPr>
      </w:pPr>
      <w:r>
        <w:rPr>
          <w:rFonts w:ascii="Arial" w:hAnsi="Arial" w:cs="Arial"/>
          <w:noProof/>
        </w:rPr>
        <w:lastRenderedPageBreak/>
        <w:drawing>
          <wp:inline distT="0" distB="0" distL="0" distR="0" wp14:anchorId="2B3FBCB7" wp14:editId="473781C3">
            <wp:extent cx="6376670" cy="3224487"/>
            <wp:effectExtent l="0" t="0" r="5080" b="0"/>
            <wp:docPr id="13" name="Picture 13"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Diagram&#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376670" cy="3224487"/>
                    </a:xfrm>
                    <a:prstGeom prst="rect">
                      <a:avLst/>
                    </a:prstGeom>
                  </pic:spPr>
                </pic:pic>
              </a:graphicData>
            </a:graphic>
          </wp:inline>
        </w:drawing>
      </w:r>
    </w:p>
    <w:p w14:paraId="49B9413A" w14:textId="77777777" w:rsidR="008B782E" w:rsidRPr="00305A1B" w:rsidRDefault="008B782E" w:rsidP="00EB5F3C">
      <w:pPr>
        <w:spacing w:after="0" w:line="480" w:lineRule="auto"/>
        <w:ind w:left="-426"/>
        <w:rPr>
          <w:rFonts w:ascii="Arial" w:hAnsi="Arial" w:cs="Arial"/>
        </w:rPr>
      </w:pPr>
    </w:p>
    <w:p w14:paraId="630835FE" w14:textId="77777777" w:rsidR="008B782E" w:rsidRPr="00305A1B" w:rsidRDefault="008B782E" w:rsidP="00EB5F3C">
      <w:pPr>
        <w:pStyle w:val="ListParagraph"/>
        <w:spacing w:after="0" w:line="480" w:lineRule="auto"/>
        <w:ind w:left="0"/>
        <w:rPr>
          <w:rFonts w:ascii="Arial" w:hAnsi="Arial" w:cs="Arial"/>
        </w:rPr>
      </w:pPr>
      <w:r w:rsidRPr="00305A1B">
        <w:rPr>
          <w:rFonts w:ascii="Arial" w:hAnsi="Arial" w:cs="Arial"/>
          <w:b/>
          <w:bCs/>
        </w:rPr>
        <w:t>Fig S3</w:t>
      </w:r>
      <w:r w:rsidRPr="00305A1B">
        <w:rPr>
          <w:rFonts w:ascii="Arial" w:hAnsi="Arial" w:cs="Arial"/>
        </w:rPr>
        <w:t xml:space="preserve">: </w:t>
      </w:r>
      <w:r w:rsidRPr="00F616D7">
        <w:rPr>
          <w:rFonts w:ascii="Arial" w:hAnsi="Arial" w:cs="Arial"/>
          <w:b/>
          <w:bCs/>
        </w:rPr>
        <w:t>Beta diversity of Seychelles warbler gut microbiome composition in different age classes.</w:t>
      </w:r>
      <w:r w:rsidRPr="00305A1B">
        <w:rPr>
          <w:rFonts w:ascii="Arial" w:hAnsi="Arial" w:cs="Arial"/>
        </w:rPr>
        <w:t xml:space="preserve"> The principal coordinate plots are based on </w:t>
      </w:r>
      <w:r w:rsidRPr="00305A1B">
        <w:rPr>
          <w:rFonts w:ascii="Arial" w:hAnsi="Arial" w:cs="Arial"/>
          <w:b/>
          <w:bCs/>
        </w:rPr>
        <w:t>A)</w:t>
      </w:r>
      <w:r w:rsidRPr="00305A1B">
        <w:rPr>
          <w:rFonts w:ascii="Arial" w:eastAsia="Arial" w:hAnsi="Arial" w:cs="Arial"/>
        </w:rPr>
        <w:t xml:space="preserve"> unweighted UniFrac distances, and </w:t>
      </w:r>
      <w:r w:rsidRPr="00305A1B">
        <w:rPr>
          <w:rFonts w:ascii="Arial" w:hAnsi="Arial" w:cs="Arial"/>
          <w:b/>
          <w:bCs/>
        </w:rPr>
        <w:t xml:space="preserve">B) </w:t>
      </w:r>
      <w:r w:rsidRPr="00305A1B">
        <w:rPr>
          <w:rFonts w:ascii="Arial" w:eastAsia="Arial" w:hAnsi="Arial" w:cs="Arial"/>
        </w:rPr>
        <w:t>weighted UniFrac distances. Points represent a single faecal sample from a different individual (</w:t>
      </w:r>
      <w:r w:rsidRPr="00305A1B">
        <w:rPr>
          <w:rFonts w:ascii="Arial" w:eastAsia="Arial" w:hAnsi="Arial" w:cs="Arial"/>
          <w:i/>
          <w:iCs/>
        </w:rPr>
        <w:t>n</w:t>
      </w:r>
      <w:r w:rsidRPr="00305A1B">
        <w:rPr>
          <w:rFonts w:ascii="Arial" w:eastAsia="Arial" w:hAnsi="Arial" w:cs="Arial"/>
        </w:rPr>
        <w:t xml:space="preserve"> = 195). Sample sizes are specified in brackets in the legend, and colours indicate the age class which was either fledgling (yellow), old-fledgling (green), sub-adult (indigo) and adult (purple). </w:t>
      </w:r>
      <w:r w:rsidRPr="00305A1B">
        <w:rPr>
          <w:rFonts w:ascii="Arial" w:hAnsi="Arial" w:cs="Arial"/>
        </w:rPr>
        <w:t xml:space="preserve">Ellipses represent a 95% confidence interval around the cluster centroids. </w:t>
      </w:r>
    </w:p>
    <w:p w14:paraId="41C752CD" w14:textId="77777777" w:rsidR="008B782E" w:rsidRDefault="008B782E" w:rsidP="00EB5F3C">
      <w:pPr>
        <w:spacing w:line="480" w:lineRule="auto"/>
      </w:pPr>
    </w:p>
    <w:p w14:paraId="16C054AC" w14:textId="77777777" w:rsidR="008B782E" w:rsidRDefault="008B782E" w:rsidP="00EB5F3C">
      <w:pPr>
        <w:spacing w:line="480" w:lineRule="auto"/>
      </w:pPr>
    </w:p>
    <w:p w14:paraId="6B7D07EC" w14:textId="77777777" w:rsidR="008B782E" w:rsidRDefault="008B782E" w:rsidP="00EB5F3C">
      <w:pPr>
        <w:spacing w:line="480" w:lineRule="auto"/>
      </w:pPr>
    </w:p>
    <w:p w14:paraId="36A5E6D7" w14:textId="77777777" w:rsidR="008B782E" w:rsidRDefault="008B782E" w:rsidP="00EB5F3C">
      <w:pPr>
        <w:spacing w:line="480" w:lineRule="auto"/>
        <w:ind w:left="-426"/>
      </w:pPr>
      <w:r>
        <w:rPr>
          <w:noProof/>
        </w:rPr>
        <w:lastRenderedPageBreak/>
        <w:drawing>
          <wp:inline distT="0" distB="0" distL="0" distR="0" wp14:anchorId="5523EC80" wp14:editId="5E34CC81">
            <wp:extent cx="5689826" cy="7730490"/>
            <wp:effectExtent l="0" t="0" r="6350" b="381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20883" cy="7772686"/>
                    </a:xfrm>
                    <a:prstGeom prst="rect">
                      <a:avLst/>
                    </a:prstGeom>
                    <a:noFill/>
                  </pic:spPr>
                </pic:pic>
              </a:graphicData>
            </a:graphic>
          </wp:inline>
        </w:drawing>
      </w:r>
    </w:p>
    <w:p w14:paraId="1595948F" w14:textId="0E4B1571" w:rsidR="008B782E" w:rsidRPr="00C976C9" w:rsidRDefault="008B782E" w:rsidP="00EB5F3C">
      <w:pPr>
        <w:pStyle w:val="ListParagraph"/>
        <w:spacing w:after="0" w:line="480" w:lineRule="auto"/>
        <w:ind w:left="0"/>
        <w:rPr>
          <w:rFonts w:ascii="Arial" w:hAnsi="Arial" w:cs="Arial"/>
        </w:rPr>
      </w:pPr>
      <w:r w:rsidRPr="00C976C9">
        <w:rPr>
          <w:rFonts w:ascii="Arial" w:hAnsi="Arial" w:cs="Arial"/>
          <w:b/>
          <w:bCs/>
        </w:rPr>
        <w:t xml:space="preserve">Fig </w:t>
      </w:r>
      <w:r>
        <w:rPr>
          <w:rFonts w:ascii="Arial" w:hAnsi="Arial" w:cs="Arial"/>
          <w:b/>
          <w:bCs/>
        </w:rPr>
        <w:t>S4</w:t>
      </w:r>
      <w:r w:rsidRPr="00C976C9">
        <w:rPr>
          <w:rFonts w:ascii="Arial" w:hAnsi="Arial" w:cs="Arial"/>
        </w:rPr>
        <w:t>: Differentially abundant ASV’s (</w:t>
      </w:r>
      <w:proofErr w:type="spellStart"/>
      <w:r w:rsidRPr="00C976C9">
        <w:rPr>
          <w:rFonts w:ascii="Arial" w:hAnsi="Arial" w:cs="Arial"/>
          <w:i/>
          <w:iCs/>
        </w:rPr>
        <w:t>P</w:t>
      </w:r>
      <w:r w:rsidRPr="00C976C9">
        <w:rPr>
          <w:rFonts w:ascii="Arial" w:hAnsi="Arial" w:cs="Arial"/>
          <w:vertAlign w:val="subscript"/>
        </w:rPr>
        <w:t>adj</w:t>
      </w:r>
      <w:proofErr w:type="spellEnd"/>
      <w:r w:rsidRPr="00C976C9">
        <w:rPr>
          <w:rFonts w:ascii="Arial" w:hAnsi="Arial" w:cs="Arial"/>
        </w:rPr>
        <w:t xml:space="preserve"> &lt; 0.01) in the gut microbiome of Seychelles warblers </w:t>
      </w:r>
      <w:r>
        <w:rPr>
          <w:rFonts w:ascii="Arial" w:hAnsi="Arial" w:cs="Arial"/>
        </w:rPr>
        <w:t xml:space="preserve">between different age categories seasons. </w:t>
      </w:r>
      <w:r w:rsidRPr="00834F44">
        <w:rPr>
          <w:rFonts w:ascii="Arial" w:hAnsi="Arial" w:cs="Arial"/>
        </w:rPr>
        <w:t>ASVs are grouped at the level of bacterial order and</w:t>
      </w:r>
      <w:r w:rsidRPr="00C976C9">
        <w:rPr>
          <w:rFonts w:ascii="Arial" w:hAnsi="Arial" w:cs="Arial"/>
        </w:rPr>
        <w:t xml:space="preserve"> coloured according to bacterial phylum. ASVs shown with a log</w:t>
      </w:r>
      <w:r w:rsidRPr="00C976C9">
        <w:rPr>
          <w:rFonts w:ascii="Arial" w:hAnsi="Arial" w:cs="Arial"/>
          <w:vertAlign w:val="subscript"/>
        </w:rPr>
        <w:t>2</w:t>
      </w:r>
      <w:r w:rsidRPr="00C976C9">
        <w:rPr>
          <w:rFonts w:ascii="Arial" w:hAnsi="Arial" w:cs="Arial"/>
        </w:rPr>
        <w:t xml:space="preserve"> fold </w:t>
      </w:r>
      <w:r w:rsidRPr="00C976C9">
        <w:rPr>
          <w:rFonts w:ascii="Arial" w:hAnsi="Arial" w:cs="Arial"/>
        </w:rPr>
        <w:lastRenderedPageBreak/>
        <w:t xml:space="preserve">change greater than zero are significantly more abundant in </w:t>
      </w:r>
      <w:r>
        <w:rPr>
          <w:rFonts w:ascii="Arial" w:hAnsi="Arial" w:cs="Arial"/>
        </w:rPr>
        <w:t>seasons on the left</w:t>
      </w:r>
      <w:r w:rsidRPr="00C976C9">
        <w:rPr>
          <w:rFonts w:ascii="Arial" w:hAnsi="Arial" w:cs="Arial"/>
        </w:rPr>
        <w:t xml:space="preserve"> and ASVs with a log</w:t>
      </w:r>
      <w:r w:rsidRPr="00C976C9">
        <w:rPr>
          <w:rFonts w:ascii="Arial" w:hAnsi="Arial" w:cs="Arial"/>
          <w:vertAlign w:val="subscript"/>
        </w:rPr>
        <w:t>2</w:t>
      </w:r>
      <w:r w:rsidRPr="00C976C9">
        <w:rPr>
          <w:rFonts w:ascii="Arial" w:hAnsi="Arial" w:cs="Arial"/>
        </w:rPr>
        <w:t xml:space="preserve"> fold change smaller than zero are significantly more abundant in </w:t>
      </w:r>
      <w:r>
        <w:rPr>
          <w:rFonts w:ascii="Arial" w:hAnsi="Arial" w:cs="Arial"/>
        </w:rPr>
        <w:t>seasons on the right</w:t>
      </w:r>
      <w:r w:rsidRPr="00C976C9">
        <w:rPr>
          <w:rFonts w:ascii="Arial" w:hAnsi="Arial" w:cs="Arial"/>
        </w:rPr>
        <w:t xml:space="preserve">. </w:t>
      </w:r>
    </w:p>
    <w:p w14:paraId="478AF24F" w14:textId="3DB7485E" w:rsidR="00CC054A" w:rsidRDefault="008B782E">
      <w:r w:rsidRPr="00F67CAA">
        <w:rPr>
          <w:rFonts w:ascii="Arial" w:hAnsi="Arial" w:cs="Arial"/>
          <w:noProof/>
        </w:rPr>
        <w:lastRenderedPageBreak/>
        <mc:AlternateContent>
          <mc:Choice Requires="wps">
            <w:drawing>
              <wp:anchor distT="45720" distB="45720" distL="114300" distR="114300" simplePos="0" relativeHeight="251659264" behindDoc="0" locked="0" layoutInCell="1" allowOverlap="1" wp14:anchorId="2A96612F" wp14:editId="661B0643">
                <wp:simplePos x="0" y="0"/>
                <wp:positionH relativeFrom="column">
                  <wp:posOffset>-316865</wp:posOffset>
                </wp:positionH>
                <wp:positionV relativeFrom="paragraph">
                  <wp:posOffset>3784600</wp:posOffset>
                </wp:positionV>
                <wp:extent cx="8957310" cy="1404620"/>
                <wp:effectExtent l="0" t="8255" r="6985" b="6985"/>
                <wp:wrapSquare wrapText="bothSides"/>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8957310" cy="1404620"/>
                        </a:xfrm>
                        <a:prstGeom prst="rect">
                          <a:avLst/>
                        </a:prstGeom>
                        <a:solidFill>
                          <a:srgbClr val="FFFFFF"/>
                        </a:solidFill>
                        <a:ln w="9525">
                          <a:noFill/>
                          <a:miter lim="800000"/>
                          <a:headEnd/>
                          <a:tailEnd/>
                        </a:ln>
                      </wps:spPr>
                      <wps:txbx>
                        <w:txbxContent>
                          <w:p w14:paraId="709E0C9D" w14:textId="2B741A17" w:rsidR="008B782E" w:rsidRPr="00C976C9" w:rsidRDefault="008B782E" w:rsidP="008B782E">
                            <w:pPr>
                              <w:pStyle w:val="ListParagraph"/>
                              <w:spacing w:after="0" w:line="276" w:lineRule="auto"/>
                              <w:ind w:left="0"/>
                              <w:rPr>
                                <w:rFonts w:ascii="Arial" w:hAnsi="Arial" w:cs="Arial"/>
                              </w:rPr>
                            </w:pPr>
                            <w:r w:rsidRPr="00C976C9">
                              <w:rPr>
                                <w:rFonts w:ascii="Arial" w:hAnsi="Arial" w:cs="Arial"/>
                                <w:b/>
                                <w:bCs/>
                              </w:rPr>
                              <w:t xml:space="preserve">Fig </w:t>
                            </w:r>
                            <w:r>
                              <w:rPr>
                                <w:rFonts w:ascii="Arial" w:hAnsi="Arial" w:cs="Arial"/>
                                <w:b/>
                                <w:bCs/>
                              </w:rPr>
                              <w:t>S</w:t>
                            </w:r>
                            <w:r w:rsidRPr="00C976C9">
                              <w:rPr>
                                <w:rFonts w:ascii="Arial" w:hAnsi="Arial" w:cs="Arial"/>
                                <w:b/>
                                <w:bCs/>
                              </w:rPr>
                              <w:t>5</w:t>
                            </w:r>
                            <w:r w:rsidRPr="00C976C9">
                              <w:rPr>
                                <w:rFonts w:ascii="Arial" w:hAnsi="Arial" w:cs="Arial"/>
                              </w:rPr>
                              <w:t>: Differentially abundant ASV’s (</w:t>
                            </w:r>
                            <w:r w:rsidRPr="00C976C9">
                              <w:rPr>
                                <w:rFonts w:ascii="Arial" w:hAnsi="Arial" w:cs="Arial"/>
                                <w:i/>
                                <w:iCs/>
                              </w:rPr>
                              <w:t>P</w:t>
                            </w:r>
                            <w:r w:rsidRPr="00C976C9">
                              <w:rPr>
                                <w:rFonts w:ascii="Arial" w:hAnsi="Arial" w:cs="Arial"/>
                                <w:vertAlign w:val="subscript"/>
                              </w:rPr>
                              <w:t>adj</w:t>
                            </w:r>
                            <w:r w:rsidRPr="00C976C9">
                              <w:rPr>
                                <w:rFonts w:ascii="Arial" w:hAnsi="Arial" w:cs="Arial"/>
                              </w:rPr>
                              <w:t xml:space="preserve"> &lt; 0.01) in the gut microbiome of Seychelles warblers, </w:t>
                            </w:r>
                            <w:r>
                              <w:rPr>
                                <w:rFonts w:ascii="Arial" w:hAnsi="Arial" w:cs="Arial"/>
                              </w:rPr>
                              <w:t>between seasons. Comparisons are</w:t>
                            </w:r>
                            <w:r w:rsidRPr="00C976C9">
                              <w:rPr>
                                <w:rFonts w:ascii="Arial" w:hAnsi="Arial" w:cs="Arial"/>
                              </w:rPr>
                              <w:t xml:space="preserve"> </w:t>
                            </w:r>
                            <w:r w:rsidRPr="00C976C9">
                              <w:rPr>
                                <w:rFonts w:ascii="Arial" w:hAnsi="Arial" w:cs="Arial"/>
                                <w:b/>
                                <w:bCs/>
                              </w:rPr>
                              <w:t>A)</w:t>
                            </w:r>
                            <w:r w:rsidRPr="00C976C9">
                              <w:rPr>
                                <w:rFonts w:ascii="Arial" w:hAnsi="Arial" w:cs="Arial"/>
                              </w:rPr>
                              <w:t xml:space="preserve"> </w:t>
                            </w:r>
                            <w:r w:rsidRPr="00834F44">
                              <w:rPr>
                                <w:rFonts w:ascii="Arial" w:hAnsi="Arial" w:cs="Arial"/>
                              </w:rPr>
                              <w:t>Major 2017 vs Minor 2018</w:t>
                            </w:r>
                            <w:r>
                              <w:rPr>
                                <w:rFonts w:ascii="Arial" w:hAnsi="Arial" w:cs="Arial"/>
                              </w:rPr>
                              <w:t>,</w:t>
                            </w:r>
                            <w:r w:rsidRPr="00834F44">
                              <w:rPr>
                                <w:rFonts w:ascii="Arial" w:hAnsi="Arial" w:cs="Arial"/>
                              </w:rPr>
                              <w:t xml:space="preserve"> </w:t>
                            </w:r>
                            <w:r w:rsidRPr="00834F44">
                              <w:rPr>
                                <w:rFonts w:ascii="Arial" w:hAnsi="Arial" w:cs="Arial"/>
                                <w:b/>
                                <w:bCs/>
                              </w:rPr>
                              <w:t>B)</w:t>
                            </w:r>
                            <w:r w:rsidRPr="00834F44">
                              <w:rPr>
                                <w:rFonts w:ascii="Arial" w:hAnsi="Arial" w:cs="Arial"/>
                              </w:rPr>
                              <w:t xml:space="preserve"> </w:t>
                            </w:r>
                            <w:r>
                              <w:rPr>
                                <w:rFonts w:ascii="Arial" w:hAnsi="Arial" w:cs="Arial"/>
                              </w:rPr>
                              <w:t>Major 2018 vs Minor 2017</w:t>
                            </w:r>
                            <w:r>
                              <w:rPr>
                                <w:rStyle w:val="gnkrckgcgsb"/>
                                <w:rFonts w:ascii="Arial" w:hAnsi="Arial" w:cs="Arial"/>
                                <w:bdr w:val="none" w:sz="0" w:space="0" w:color="auto" w:frame="1"/>
                              </w:rPr>
                              <w:t xml:space="preserve">, </w:t>
                            </w:r>
                            <w:r w:rsidRPr="00834F44">
                              <w:rPr>
                                <w:rFonts w:ascii="Arial" w:hAnsi="Arial" w:cs="Arial"/>
                              </w:rPr>
                              <w:t xml:space="preserve">or </w:t>
                            </w:r>
                            <w:r w:rsidRPr="00834F44">
                              <w:rPr>
                                <w:rFonts w:ascii="Arial" w:hAnsi="Arial" w:cs="Arial"/>
                                <w:b/>
                                <w:bCs/>
                              </w:rPr>
                              <w:t xml:space="preserve">C) </w:t>
                            </w:r>
                            <w:r>
                              <w:rPr>
                                <w:rStyle w:val="gnkrckgcgsb"/>
                                <w:rFonts w:ascii="Arial" w:hAnsi="Arial" w:cs="Arial"/>
                                <w:bdr w:val="none" w:sz="0" w:space="0" w:color="auto" w:frame="1"/>
                              </w:rPr>
                              <w:t>Major 2017 vs Major 2018</w:t>
                            </w:r>
                            <w:r w:rsidRPr="00834F44">
                              <w:rPr>
                                <w:rFonts w:ascii="Arial" w:hAnsi="Arial" w:cs="Arial"/>
                              </w:rPr>
                              <w:t>. ASVs are grouped at the level of bacterial order and</w:t>
                            </w:r>
                            <w:r w:rsidRPr="00C976C9">
                              <w:rPr>
                                <w:rFonts w:ascii="Arial" w:hAnsi="Arial" w:cs="Arial"/>
                              </w:rPr>
                              <w:t xml:space="preserve"> coloured according to bacterial phylum. ASVs shown with a log</w:t>
                            </w:r>
                            <w:r w:rsidRPr="00C976C9">
                              <w:rPr>
                                <w:rFonts w:ascii="Arial" w:hAnsi="Arial" w:cs="Arial"/>
                                <w:vertAlign w:val="subscript"/>
                              </w:rPr>
                              <w:t>2</w:t>
                            </w:r>
                            <w:r w:rsidRPr="00C976C9">
                              <w:rPr>
                                <w:rFonts w:ascii="Arial" w:hAnsi="Arial" w:cs="Arial"/>
                              </w:rPr>
                              <w:t xml:space="preserve"> fold change greater than zero are significantly more abundant in </w:t>
                            </w:r>
                            <w:r>
                              <w:rPr>
                                <w:rFonts w:ascii="Arial" w:hAnsi="Arial" w:cs="Arial"/>
                              </w:rPr>
                              <w:t>seasons on the left</w:t>
                            </w:r>
                            <w:r w:rsidRPr="00C976C9">
                              <w:rPr>
                                <w:rFonts w:ascii="Arial" w:hAnsi="Arial" w:cs="Arial"/>
                              </w:rPr>
                              <w:t xml:space="preserve"> and ASVs with a log</w:t>
                            </w:r>
                            <w:r w:rsidRPr="00C976C9">
                              <w:rPr>
                                <w:rFonts w:ascii="Arial" w:hAnsi="Arial" w:cs="Arial"/>
                                <w:vertAlign w:val="subscript"/>
                              </w:rPr>
                              <w:t>2</w:t>
                            </w:r>
                            <w:r w:rsidRPr="00C976C9">
                              <w:rPr>
                                <w:rFonts w:ascii="Arial" w:hAnsi="Arial" w:cs="Arial"/>
                              </w:rPr>
                              <w:t xml:space="preserve"> fold change smaller than zero are significantly more abundant in </w:t>
                            </w:r>
                            <w:r>
                              <w:rPr>
                                <w:rFonts w:ascii="Arial" w:hAnsi="Arial" w:cs="Arial"/>
                              </w:rPr>
                              <w:t>seasons on the right</w:t>
                            </w:r>
                            <w:r w:rsidRPr="00C976C9">
                              <w:rPr>
                                <w:rFonts w:ascii="Arial" w:hAnsi="Arial" w:cs="Arial"/>
                              </w:rPr>
                              <w:t xml:space="preserve">. </w:t>
                            </w:r>
                          </w:p>
                          <w:p w14:paraId="7A56D419" w14:textId="77777777" w:rsidR="008B782E" w:rsidRDefault="008B782E" w:rsidP="008B782E"/>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type w14:anchorId="2A96612F" id="_x0000_t202" coordsize="21600,21600" o:spt="202" path="m,l,21600r21600,l21600,xe">
                <v:stroke joinstyle="miter"/>
                <v:path gradientshapeok="t" o:connecttype="rect"/>
              </v:shapetype>
              <v:shape id="Text Box 2" o:spid="_x0000_s1026" type="#_x0000_t202" style="position:absolute;margin-left:-24.95pt;margin-top:298pt;width:705.3pt;height:110.6pt;rotation:-90;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" stroked="f">
                <v:textbox style="mso-fit-shape-to-text:t">
                  <w:txbxContent>
                    <w:p w14:paraId="709E0C9D" w14:textId="2B741A17" w:rsidR="008B782E" w:rsidRPr="00C976C9" w:rsidRDefault="008B782E" w:rsidP="008B782E">
                      <w:pPr>
                        <w:pStyle w:val="ListParagraph"/>
                        <w:spacing w:after="0" w:line="276" w:lineRule="auto"/>
                        <w:ind w:left="0"/>
                        <w:rPr>
                          <w:rFonts w:ascii="Arial" w:hAnsi="Arial" w:cs="Arial"/>
                        </w:rPr>
                      </w:pPr>
                      <w:r w:rsidRPr="00C976C9">
                        <w:rPr>
                          <w:rFonts w:ascii="Arial" w:hAnsi="Arial" w:cs="Arial"/>
                          <w:b/>
                          <w:bCs/>
                        </w:rPr>
                        <w:t xml:space="preserve">Fig </w:t>
                      </w:r>
                      <w:r>
                        <w:rPr>
                          <w:rFonts w:ascii="Arial" w:hAnsi="Arial" w:cs="Arial"/>
                          <w:b/>
                          <w:bCs/>
                        </w:rPr>
                        <w:t>S</w:t>
                      </w:r>
                      <w:r w:rsidRPr="00C976C9">
                        <w:rPr>
                          <w:rFonts w:ascii="Arial" w:hAnsi="Arial" w:cs="Arial"/>
                          <w:b/>
                          <w:bCs/>
                        </w:rPr>
                        <w:t>5</w:t>
                      </w:r>
                      <w:r w:rsidRPr="00C976C9">
                        <w:rPr>
                          <w:rFonts w:ascii="Arial" w:hAnsi="Arial" w:cs="Arial"/>
                        </w:rPr>
                        <w:t>: Differentially abundant ASV’s (</w:t>
                      </w:r>
                      <w:r w:rsidRPr="00C976C9">
                        <w:rPr>
                          <w:rFonts w:ascii="Arial" w:hAnsi="Arial" w:cs="Arial"/>
                          <w:i/>
                          <w:iCs/>
                        </w:rPr>
                        <w:t>P</w:t>
                      </w:r>
                      <w:r w:rsidRPr="00C976C9">
                        <w:rPr>
                          <w:rFonts w:ascii="Arial" w:hAnsi="Arial" w:cs="Arial"/>
                          <w:vertAlign w:val="subscript"/>
                        </w:rPr>
                        <w:t>adj</w:t>
                      </w:r>
                      <w:r w:rsidRPr="00C976C9">
                        <w:rPr>
                          <w:rFonts w:ascii="Arial" w:hAnsi="Arial" w:cs="Arial"/>
                        </w:rPr>
                        <w:t xml:space="preserve"> &lt; 0.01) in the gut microbiome of Seychelles warblers, </w:t>
                      </w:r>
                      <w:r>
                        <w:rPr>
                          <w:rFonts w:ascii="Arial" w:hAnsi="Arial" w:cs="Arial"/>
                        </w:rPr>
                        <w:t>between seasons. Comparisons are</w:t>
                      </w:r>
                      <w:r w:rsidRPr="00C976C9">
                        <w:rPr>
                          <w:rFonts w:ascii="Arial" w:hAnsi="Arial" w:cs="Arial"/>
                        </w:rPr>
                        <w:t xml:space="preserve"> </w:t>
                      </w:r>
                      <w:r w:rsidRPr="00C976C9">
                        <w:rPr>
                          <w:rFonts w:ascii="Arial" w:hAnsi="Arial" w:cs="Arial"/>
                          <w:b/>
                          <w:bCs/>
                        </w:rPr>
                        <w:t>A)</w:t>
                      </w:r>
                      <w:r w:rsidRPr="00C976C9">
                        <w:rPr>
                          <w:rFonts w:ascii="Arial" w:hAnsi="Arial" w:cs="Arial"/>
                        </w:rPr>
                        <w:t xml:space="preserve"> </w:t>
                      </w:r>
                      <w:r w:rsidRPr="00834F44">
                        <w:rPr>
                          <w:rFonts w:ascii="Arial" w:hAnsi="Arial" w:cs="Arial"/>
                        </w:rPr>
                        <w:t>Major 2017 vs Minor 2018</w:t>
                      </w:r>
                      <w:r>
                        <w:rPr>
                          <w:rFonts w:ascii="Arial" w:hAnsi="Arial" w:cs="Arial"/>
                        </w:rPr>
                        <w:t>,</w:t>
                      </w:r>
                      <w:r w:rsidRPr="00834F44">
                        <w:rPr>
                          <w:rFonts w:ascii="Arial" w:hAnsi="Arial" w:cs="Arial"/>
                        </w:rPr>
                        <w:t xml:space="preserve"> </w:t>
                      </w:r>
                      <w:r w:rsidRPr="00834F44">
                        <w:rPr>
                          <w:rFonts w:ascii="Arial" w:hAnsi="Arial" w:cs="Arial"/>
                          <w:b/>
                          <w:bCs/>
                        </w:rPr>
                        <w:t>B)</w:t>
                      </w:r>
                      <w:r w:rsidRPr="00834F44">
                        <w:rPr>
                          <w:rFonts w:ascii="Arial" w:hAnsi="Arial" w:cs="Arial"/>
                        </w:rPr>
                        <w:t xml:space="preserve"> </w:t>
                      </w:r>
                      <w:r>
                        <w:rPr>
                          <w:rFonts w:ascii="Arial" w:hAnsi="Arial" w:cs="Arial"/>
                        </w:rPr>
                        <w:t>Major 2018 vs Minor 2017</w:t>
                      </w:r>
                      <w:r>
                        <w:rPr>
                          <w:rStyle w:val="gnkrckgcgsb"/>
                          <w:rFonts w:ascii="Arial" w:hAnsi="Arial" w:cs="Arial"/>
                          <w:bdr w:val="none" w:sz="0" w:space="0" w:color="auto" w:frame="1"/>
                        </w:rPr>
                        <w:t xml:space="preserve">, </w:t>
                      </w:r>
                      <w:r w:rsidRPr="00834F44">
                        <w:rPr>
                          <w:rFonts w:ascii="Arial" w:hAnsi="Arial" w:cs="Arial"/>
                        </w:rPr>
                        <w:t xml:space="preserve">or </w:t>
                      </w:r>
                      <w:r w:rsidRPr="00834F44">
                        <w:rPr>
                          <w:rFonts w:ascii="Arial" w:hAnsi="Arial" w:cs="Arial"/>
                          <w:b/>
                          <w:bCs/>
                        </w:rPr>
                        <w:t xml:space="preserve">C) </w:t>
                      </w:r>
                      <w:r>
                        <w:rPr>
                          <w:rStyle w:val="gnkrckgcgsb"/>
                          <w:rFonts w:ascii="Arial" w:hAnsi="Arial" w:cs="Arial"/>
                          <w:bdr w:val="none" w:sz="0" w:space="0" w:color="auto" w:frame="1"/>
                        </w:rPr>
                        <w:t>Major 2017 vs Major 2018</w:t>
                      </w:r>
                      <w:r w:rsidRPr="00834F44">
                        <w:rPr>
                          <w:rFonts w:ascii="Arial" w:hAnsi="Arial" w:cs="Arial"/>
                        </w:rPr>
                        <w:t>. ASVs are grouped at the level of bacterial order and</w:t>
                      </w:r>
                      <w:r w:rsidRPr="00C976C9">
                        <w:rPr>
                          <w:rFonts w:ascii="Arial" w:hAnsi="Arial" w:cs="Arial"/>
                        </w:rPr>
                        <w:t xml:space="preserve"> coloured according to bacterial phylum. ASVs shown with a log</w:t>
                      </w:r>
                      <w:r w:rsidRPr="00C976C9">
                        <w:rPr>
                          <w:rFonts w:ascii="Arial" w:hAnsi="Arial" w:cs="Arial"/>
                          <w:vertAlign w:val="subscript"/>
                        </w:rPr>
                        <w:t>2</w:t>
                      </w:r>
                      <w:r w:rsidRPr="00C976C9">
                        <w:rPr>
                          <w:rFonts w:ascii="Arial" w:hAnsi="Arial" w:cs="Arial"/>
                        </w:rPr>
                        <w:t xml:space="preserve"> fold change greater than zero are significantly more abundant in </w:t>
                      </w:r>
                      <w:r>
                        <w:rPr>
                          <w:rFonts w:ascii="Arial" w:hAnsi="Arial" w:cs="Arial"/>
                        </w:rPr>
                        <w:t>seasons on the left</w:t>
                      </w:r>
                      <w:r w:rsidRPr="00C976C9">
                        <w:rPr>
                          <w:rFonts w:ascii="Arial" w:hAnsi="Arial" w:cs="Arial"/>
                        </w:rPr>
                        <w:t xml:space="preserve"> and ASVs with a log</w:t>
                      </w:r>
                      <w:r w:rsidRPr="00C976C9">
                        <w:rPr>
                          <w:rFonts w:ascii="Arial" w:hAnsi="Arial" w:cs="Arial"/>
                          <w:vertAlign w:val="subscript"/>
                        </w:rPr>
                        <w:t>2</w:t>
                      </w:r>
                      <w:r w:rsidRPr="00C976C9">
                        <w:rPr>
                          <w:rFonts w:ascii="Arial" w:hAnsi="Arial" w:cs="Arial"/>
                        </w:rPr>
                        <w:t xml:space="preserve"> fold change smaller than zero are significantly more abundant in </w:t>
                      </w:r>
                      <w:r>
                        <w:rPr>
                          <w:rFonts w:ascii="Arial" w:hAnsi="Arial" w:cs="Arial"/>
                        </w:rPr>
                        <w:t>seasons on the right</w:t>
                      </w:r>
                      <w:r w:rsidRPr="00C976C9">
                        <w:rPr>
                          <w:rFonts w:ascii="Arial" w:hAnsi="Arial" w:cs="Arial"/>
                        </w:rPr>
                        <w:t xml:space="preserve">. </w:t>
                      </w:r>
                    </w:p>
                    <w:p w14:paraId="7A56D419" w14:textId="77777777" w:rsidR="008B782E" w:rsidRDefault="008B782E" w:rsidP="008B782E"/>
                  </w:txbxContent>
                </v:textbox>
                <w10:wrap type="square"/>
              </v:shape>
            </w:pict>
          </mc:Fallback>
        </mc:AlternateContent>
      </w:r>
      <w:r>
        <w:rPr>
          <w:noProof/>
        </w:rPr>
        <w:drawing>
          <wp:inline distT="0" distB="0" distL="0" distR="0" wp14:anchorId="35CC2F67" wp14:editId="75434DF1">
            <wp:extent cx="9124751" cy="3100706"/>
            <wp:effectExtent l="0" t="0" r="2540" b="254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rot="16200000">
                      <a:off x="0" y="0"/>
                      <a:ext cx="9165510" cy="3114556"/>
                    </a:xfrm>
                    <a:prstGeom prst="rect">
                      <a:avLst/>
                    </a:prstGeom>
                    <a:noFill/>
                  </pic:spPr>
                </pic:pic>
              </a:graphicData>
            </a:graphic>
          </wp:inline>
        </w:drawing>
      </w:r>
    </w:p>
    <w:sectPr w:rsidR="00CC054A" w:rsidSect="00EB5F3C">
      <w:type w:val="continuous"/>
      <w:pgSz w:w="11906" w:h="16838"/>
      <w:pgMar w:top="1440" w:right="1440" w:bottom="1276"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79F5032" w14:textId="77777777" w:rsidR="00731E38" w:rsidRDefault="00731E38" w:rsidP="00EB5F3C">
      <w:pPr>
        <w:spacing w:after="0" w:line="240" w:lineRule="auto"/>
      </w:pPr>
      <w:r>
        <w:separator/>
      </w:r>
    </w:p>
  </w:endnote>
  <w:endnote w:type="continuationSeparator" w:id="0">
    <w:p w14:paraId="7F874CF7" w14:textId="77777777" w:rsidR="00731E38" w:rsidRDefault="00731E38" w:rsidP="00EB5F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69196283"/>
      <w:docPartObj>
        <w:docPartGallery w:val="Page Numbers (Bottom of Page)"/>
        <w:docPartUnique/>
      </w:docPartObj>
    </w:sdtPr>
    <w:sdtContent>
      <w:p w14:paraId="4F2962E4" w14:textId="77777777" w:rsidR="00EB5F3C" w:rsidRDefault="00EB5F3C">
        <w:pPr>
          <w:pStyle w:val="Footer"/>
          <w:jc w:val="right"/>
        </w:pPr>
      </w:p>
      <w:p w14:paraId="49E37B97" w14:textId="76164386" w:rsidR="00EB5F3C" w:rsidRDefault="00EB5F3C">
        <w:pPr>
          <w:pStyle w:val="Footer"/>
          <w:jc w:val="right"/>
        </w:pPr>
        <w:r>
          <w:t xml:space="preserve"> | </w:t>
        </w:r>
        <w:r>
          <w:fldChar w:fldCharType="begin"/>
        </w:r>
        <w:r>
          <w:instrText xml:space="preserve"> PAGE   \* MERGEFORMAT </w:instrText>
        </w:r>
        <w:r>
          <w:fldChar w:fldCharType="separate"/>
        </w:r>
        <w:r>
          <w:rPr>
            <w:noProof/>
          </w:rPr>
          <w:t>2</w:t>
        </w:r>
        <w:r>
          <w:rPr>
            <w:noProof/>
          </w:rPr>
          <w:fldChar w:fldCharType="end"/>
        </w:r>
        <w:r>
          <w:t xml:space="preserve"> </w:t>
        </w:r>
      </w:p>
    </w:sdtContent>
  </w:sdt>
  <w:p w14:paraId="55A31EC6" w14:textId="77777777" w:rsidR="00EB5F3C" w:rsidRDefault="00EB5F3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0526C9D" w14:textId="77777777" w:rsidR="00731E38" w:rsidRDefault="00731E38" w:rsidP="00EB5F3C">
      <w:pPr>
        <w:spacing w:after="0" w:line="240" w:lineRule="auto"/>
      </w:pPr>
      <w:r>
        <w:separator/>
      </w:r>
    </w:p>
  </w:footnote>
  <w:footnote w:type="continuationSeparator" w:id="0">
    <w:p w14:paraId="069D4E2A" w14:textId="77777777" w:rsidR="00731E38" w:rsidRDefault="00731E38" w:rsidP="00EB5F3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45"/>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782E"/>
    <w:rsid w:val="00090060"/>
    <w:rsid w:val="000F6FB8"/>
    <w:rsid w:val="00101EE1"/>
    <w:rsid w:val="001C1CA8"/>
    <w:rsid w:val="001F35AF"/>
    <w:rsid w:val="001F5828"/>
    <w:rsid w:val="00396312"/>
    <w:rsid w:val="003F6F5B"/>
    <w:rsid w:val="005318E8"/>
    <w:rsid w:val="005F3CBB"/>
    <w:rsid w:val="00617119"/>
    <w:rsid w:val="00731E38"/>
    <w:rsid w:val="00834103"/>
    <w:rsid w:val="0086382B"/>
    <w:rsid w:val="008B7050"/>
    <w:rsid w:val="008B782E"/>
    <w:rsid w:val="008E3D82"/>
    <w:rsid w:val="009014F2"/>
    <w:rsid w:val="00932C46"/>
    <w:rsid w:val="00954C29"/>
    <w:rsid w:val="009E2417"/>
    <w:rsid w:val="009F6D9D"/>
    <w:rsid w:val="00A50BD5"/>
    <w:rsid w:val="00A64797"/>
    <w:rsid w:val="00A804A3"/>
    <w:rsid w:val="00B56EDD"/>
    <w:rsid w:val="00CB2E17"/>
    <w:rsid w:val="00CC054A"/>
    <w:rsid w:val="00CE7C89"/>
    <w:rsid w:val="00D10E30"/>
    <w:rsid w:val="00D41A22"/>
    <w:rsid w:val="00D90BC2"/>
    <w:rsid w:val="00DA0179"/>
    <w:rsid w:val="00DF253A"/>
    <w:rsid w:val="00E442B1"/>
    <w:rsid w:val="00EB5F3C"/>
    <w:rsid w:val="00F50DAC"/>
    <w:rsid w:val="00F60B86"/>
    <w:rsid w:val="00F616D7"/>
    <w:rsid w:val="00FE59D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1B3BE4"/>
  <w15:chartTrackingRefBased/>
  <w15:docId w15:val="{06FB364B-CDA3-450D-98DF-84593E08BD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782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8B782E"/>
    <w:rPr>
      <w:sz w:val="16"/>
      <w:szCs w:val="16"/>
    </w:rPr>
  </w:style>
  <w:style w:type="paragraph" w:styleId="CommentText">
    <w:name w:val="annotation text"/>
    <w:basedOn w:val="Normal"/>
    <w:link w:val="CommentTextChar"/>
    <w:uiPriority w:val="99"/>
    <w:unhideWhenUsed/>
    <w:rsid w:val="008B782E"/>
    <w:pPr>
      <w:spacing w:line="240" w:lineRule="auto"/>
    </w:pPr>
    <w:rPr>
      <w:sz w:val="20"/>
      <w:szCs w:val="20"/>
    </w:rPr>
  </w:style>
  <w:style w:type="character" w:customStyle="1" w:styleId="CommentTextChar">
    <w:name w:val="Comment Text Char"/>
    <w:basedOn w:val="DefaultParagraphFont"/>
    <w:link w:val="CommentText"/>
    <w:uiPriority w:val="99"/>
    <w:rsid w:val="008B782E"/>
    <w:rPr>
      <w:sz w:val="20"/>
      <w:szCs w:val="20"/>
    </w:rPr>
  </w:style>
  <w:style w:type="paragraph" w:styleId="ListParagraph">
    <w:name w:val="List Paragraph"/>
    <w:basedOn w:val="Normal"/>
    <w:link w:val="ListParagraphChar"/>
    <w:uiPriority w:val="34"/>
    <w:qFormat/>
    <w:rsid w:val="008B782E"/>
    <w:pPr>
      <w:ind w:left="720"/>
      <w:contextualSpacing/>
    </w:pPr>
  </w:style>
  <w:style w:type="character" w:customStyle="1" w:styleId="ListParagraphChar">
    <w:name w:val="List Paragraph Char"/>
    <w:basedOn w:val="DefaultParagraphFont"/>
    <w:link w:val="ListParagraph"/>
    <w:uiPriority w:val="34"/>
    <w:rsid w:val="008B782E"/>
  </w:style>
  <w:style w:type="character" w:customStyle="1" w:styleId="gnkrckgcgsb">
    <w:name w:val="gnkrckgcgsb"/>
    <w:basedOn w:val="DefaultParagraphFont"/>
    <w:rsid w:val="008B782E"/>
  </w:style>
  <w:style w:type="paragraph" w:styleId="CommentSubject">
    <w:name w:val="annotation subject"/>
    <w:basedOn w:val="CommentText"/>
    <w:next w:val="CommentText"/>
    <w:link w:val="CommentSubjectChar"/>
    <w:uiPriority w:val="99"/>
    <w:semiHidden/>
    <w:unhideWhenUsed/>
    <w:rsid w:val="00D90BC2"/>
    <w:rPr>
      <w:b/>
      <w:bCs/>
    </w:rPr>
  </w:style>
  <w:style w:type="character" w:customStyle="1" w:styleId="CommentSubjectChar">
    <w:name w:val="Comment Subject Char"/>
    <w:basedOn w:val="CommentTextChar"/>
    <w:link w:val="CommentSubject"/>
    <w:uiPriority w:val="99"/>
    <w:semiHidden/>
    <w:rsid w:val="00D90BC2"/>
    <w:rPr>
      <w:b/>
      <w:bCs/>
      <w:sz w:val="20"/>
      <w:szCs w:val="20"/>
    </w:rPr>
  </w:style>
  <w:style w:type="paragraph" w:styleId="Revision">
    <w:name w:val="Revision"/>
    <w:hidden/>
    <w:uiPriority w:val="99"/>
    <w:semiHidden/>
    <w:rsid w:val="008E3D82"/>
    <w:pPr>
      <w:spacing w:after="0" w:line="240" w:lineRule="auto"/>
    </w:pPr>
  </w:style>
  <w:style w:type="paragraph" w:styleId="BalloonText">
    <w:name w:val="Balloon Text"/>
    <w:basedOn w:val="Normal"/>
    <w:link w:val="BalloonTextChar"/>
    <w:uiPriority w:val="99"/>
    <w:semiHidden/>
    <w:unhideWhenUsed/>
    <w:rsid w:val="008E3D8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E3D82"/>
    <w:rPr>
      <w:rFonts w:ascii="Segoe UI" w:hAnsi="Segoe UI" w:cs="Segoe UI"/>
      <w:sz w:val="18"/>
      <w:szCs w:val="18"/>
    </w:rPr>
  </w:style>
  <w:style w:type="character" w:styleId="LineNumber">
    <w:name w:val="line number"/>
    <w:basedOn w:val="DefaultParagraphFont"/>
    <w:uiPriority w:val="99"/>
    <w:semiHidden/>
    <w:unhideWhenUsed/>
    <w:rsid w:val="00396312"/>
  </w:style>
  <w:style w:type="paragraph" w:styleId="Header">
    <w:name w:val="header"/>
    <w:basedOn w:val="Normal"/>
    <w:link w:val="HeaderChar"/>
    <w:uiPriority w:val="99"/>
    <w:unhideWhenUsed/>
    <w:rsid w:val="00EB5F3C"/>
    <w:pPr>
      <w:tabs>
        <w:tab w:val="center" w:pos="4513"/>
        <w:tab w:val="right" w:pos="9026"/>
      </w:tabs>
      <w:spacing w:after="0" w:line="240" w:lineRule="auto"/>
    </w:pPr>
  </w:style>
  <w:style w:type="character" w:customStyle="1" w:styleId="HeaderChar">
    <w:name w:val="Header Char"/>
    <w:basedOn w:val="DefaultParagraphFont"/>
    <w:link w:val="Header"/>
    <w:uiPriority w:val="99"/>
    <w:rsid w:val="00EB5F3C"/>
  </w:style>
  <w:style w:type="paragraph" w:styleId="Footer">
    <w:name w:val="footer"/>
    <w:basedOn w:val="Normal"/>
    <w:link w:val="FooterChar"/>
    <w:uiPriority w:val="99"/>
    <w:unhideWhenUsed/>
    <w:rsid w:val="00EB5F3C"/>
    <w:pPr>
      <w:tabs>
        <w:tab w:val="center" w:pos="4513"/>
        <w:tab w:val="right" w:pos="9026"/>
      </w:tabs>
      <w:spacing w:after="0" w:line="240" w:lineRule="auto"/>
    </w:pPr>
  </w:style>
  <w:style w:type="character" w:customStyle="1" w:styleId="FooterChar">
    <w:name w:val="Footer Char"/>
    <w:basedOn w:val="DefaultParagraphFont"/>
    <w:link w:val="Footer"/>
    <w:uiPriority w:val="99"/>
    <w:rsid w:val="00EB5F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7.png"/><Relationship Id="rId3" Type="http://schemas.openxmlformats.org/officeDocument/2006/relationships/webSettings" Target="webSettings.xml"/><Relationship Id="rId7" Type="http://schemas.openxmlformats.org/officeDocument/2006/relationships/footer" Target="footer1.xml"/><Relationship Id="rId12" Type="http://schemas.openxmlformats.org/officeDocument/2006/relationships/image" Target="media/image6.pn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image" Target="media/image5.png"/><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footnotes" Target="footnotes.xml"/><Relationship Id="rId9" Type="http://schemas.openxmlformats.org/officeDocument/2006/relationships/image" Target="media/image3.emf"/><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15</Pages>
  <Words>1614</Words>
  <Characters>9206</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Charlotte Davies (BIO - Postgraduate Researcher)</dc:creator>
  <cp:keywords/>
  <dc:description/>
  <cp:lastModifiedBy>Charlotte Davies (ENV - Staff)</cp:lastModifiedBy>
  <cp:revision>3</cp:revision>
  <dcterms:created xsi:type="dcterms:W3CDTF">2021-06-09T17:56:00Z</dcterms:created>
  <dcterms:modified xsi:type="dcterms:W3CDTF">2021-07-08T17:15:00Z</dcterms:modified>
</cp:coreProperties>
</file>