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AD6B93" w14:textId="77777777" w:rsidR="00471761" w:rsidRDefault="00000000">
      <w:pPr>
        <w:ind w:left="-720" w:right="-720"/>
        <w:rPr>
          <w:rFonts w:ascii="Arial" w:eastAsia="Arial" w:hAnsi="Arial" w:cs="Arial"/>
        </w:rPr>
      </w:pPr>
      <w:r>
        <w:rPr>
          <w:rFonts w:ascii="Arial" w:eastAsia="Arial" w:hAnsi="Arial" w:cs="Arial"/>
          <w:b/>
          <w:sz w:val="28"/>
          <w:szCs w:val="28"/>
        </w:rPr>
        <w:t>Supplemental figures</w:t>
      </w:r>
    </w:p>
    <w:sdt>
      <w:sdtPr>
        <w:id w:val="1262958967"/>
        <w:docPartObj>
          <w:docPartGallery w:val="Table of Contents"/>
          <w:docPartUnique/>
        </w:docPartObj>
      </w:sdtPr>
      <w:sdtContent>
        <w:p w14:paraId="0104DDC4" w14:textId="77777777" w:rsidR="00471761" w:rsidRDefault="00000000">
          <w:pPr>
            <w:widowControl w:val="0"/>
            <w:tabs>
              <w:tab w:val="right" w:leader="dot" w:pos="12000"/>
            </w:tabs>
            <w:spacing w:before="60" w:after="40" w:line="240" w:lineRule="auto"/>
            <w:ind w:right="-540" w:hanging="720"/>
            <w:jc w:val="both"/>
            <w:rPr>
              <w:rFonts w:ascii="Arial" w:eastAsia="Arial" w:hAnsi="Arial" w:cs="Arial"/>
              <w:color w:val="000000"/>
            </w:rPr>
          </w:pPr>
          <w:r>
            <w:fldChar w:fldCharType="begin"/>
          </w:r>
          <w:r>
            <w:instrText xml:space="preserve"> TOC \h \u \z \t "Heading 1,1,Heading 2,2,Heading 3,3,Heading 4,4,Heading 5,5,Heading 6,6,"</w:instrText>
          </w:r>
          <w:r>
            <w:fldChar w:fldCharType="separate"/>
          </w:r>
          <w:hyperlink w:anchor="_heading=">
            <w:r>
              <w:rPr>
                <w:rFonts w:ascii="Arial" w:eastAsia="Arial" w:hAnsi="Arial" w:cs="Arial"/>
                <w:color w:val="000000"/>
              </w:rPr>
              <w:t>Figure S1. PCA plot (full)</w:t>
            </w:r>
            <w:r>
              <w:rPr>
                <w:rFonts w:ascii="Arial" w:eastAsia="Arial" w:hAnsi="Arial" w:cs="Arial"/>
                <w:color w:val="000000"/>
              </w:rPr>
              <w:tab/>
              <w:t>2</w:t>
            </w:r>
          </w:hyperlink>
        </w:p>
        <w:p w14:paraId="32BC6951" w14:textId="77777777" w:rsidR="00471761" w:rsidRDefault="00000000">
          <w:pPr>
            <w:widowControl w:val="0"/>
            <w:tabs>
              <w:tab w:val="right" w:leader="dot" w:pos="12000"/>
            </w:tabs>
            <w:spacing w:before="60" w:after="40" w:line="240" w:lineRule="auto"/>
            <w:ind w:right="-540" w:hanging="720"/>
            <w:jc w:val="both"/>
            <w:rPr>
              <w:rFonts w:ascii="Arial" w:eastAsia="Arial" w:hAnsi="Arial" w:cs="Arial"/>
              <w:color w:val="000000"/>
            </w:rPr>
          </w:pPr>
          <w:hyperlink w:anchor="_heading=">
            <w:r>
              <w:rPr>
                <w:rFonts w:ascii="Arial" w:eastAsia="Arial" w:hAnsi="Arial" w:cs="Arial"/>
                <w:color w:val="000000"/>
              </w:rPr>
              <w:t>Figure S2. Eigenvalues for cas/control PCA plot</w:t>
            </w:r>
            <w:r>
              <w:rPr>
                <w:rFonts w:ascii="Arial" w:eastAsia="Arial" w:hAnsi="Arial" w:cs="Arial"/>
                <w:color w:val="000000"/>
              </w:rPr>
              <w:tab/>
              <w:t>3</w:t>
            </w:r>
          </w:hyperlink>
        </w:p>
        <w:p w14:paraId="01211C5A" w14:textId="77777777" w:rsidR="00471761" w:rsidRDefault="00000000">
          <w:pPr>
            <w:widowControl w:val="0"/>
            <w:tabs>
              <w:tab w:val="right" w:leader="dot" w:pos="12000"/>
            </w:tabs>
            <w:spacing w:before="60" w:after="40" w:line="240" w:lineRule="auto"/>
            <w:ind w:right="-540" w:hanging="720"/>
            <w:jc w:val="both"/>
            <w:rPr>
              <w:rFonts w:ascii="Arial" w:eastAsia="Arial" w:hAnsi="Arial" w:cs="Arial"/>
              <w:color w:val="000000"/>
            </w:rPr>
          </w:pPr>
          <w:hyperlink w:anchor="_heading=">
            <w:r>
              <w:rPr>
                <w:rFonts w:ascii="Arial" w:eastAsia="Arial" w:hAnsi="Arial" w:cs="Arial"/>
                <w:color w:val="000000"/>
              </w:rPr>
              <w:t>Figure S3. PCA plot (with 1KG samples)</w:t>
            </w:r>
            <w:r>
              <w:rPr>
                <w:rFonts w:ascii="Arial" w:eastAsia="Arial" w:hAnsi="Arial" w:cs="Arial"/>
                <w:color w:val="000000"/>
              </w:rPr>
              <w:tab/>
              <w:t>4</w:t>
            </w:r>
          </w:hyperlink>
        </w:p>
        <w:p w14:paraId="6E495217" w14:textId="77777777" w:rsidR="00471761" w:rsidRDefault="00000000">
          <w:pPr>
            <w:widowControl w:val="0"/>
            <w:tabs>
              <w:tab w:val="right" w:leader="dot" w:pos="12000"/>
            </w:tabs>
            <w:spacing w:before="60" w:after="40" w:line="240" w:lineRule="auto"/>
            <w:ind w:right="-540" w:hanging="720"/>
            <w:jc w:val="both"/>
            <w:rPr>
              <w:rFonts w:ascii="Arial" w:eastAsia="Arial" w:hAnsi="Arial" w:cs="Arial"/>
              <w:color w:val="000000"/>
            </w:rPr>
          </w:pPr>
          <w:hyperlink w:anchor="_heading=">
            <w:r>
              <w:rPr>
                <w:rFonts w:ascii="Arial" w:eastAsia="Arial" w:hAnsi="Arial" w:cs="Arial"/>
                <w:color w:val="000000"/>
              </w:rPr>
              <w:t>Figure S4. Louvain clustering of samples using PCs 1-6</w:t>
            </w:r>
            <w:r>
              <w:rPr>
                <w:rFonts w:ascii="Arial" w:eastAsia="Arial" w:hAnsi="Arial" w:cs="Arial"/>
                <w:color w:val="000000"/>
              </w:rPr>
              <w:tab/>
              <w:t>5</w:t>
            </w:r>
          </w:hyperlink>
        </w:p>
        <w:p w14:paraId="0DDF370E" w14:textId="77777777" w:rsidR="00471761" w:rsidRDefault="00000000">
          <w:pPr>
            <w:widowControl w:val="0"/>
            <w:tabs>
              <w:tab w:val="right" w:leader="dot" w:pos="12000"/>
            </w:tabs>
            <w:spacing w:before="60" w:after="40" w:line="240" w:lineRule="auto"/>
            <w:ind w:right="-540" w:hanging="720"/>
            <w:jc w:val="both"/>
            <w:rPr>
              <w:rFonts w:ascii="Arial" w:eastAsia="Arial" w:hAnsi="Arial" w:cs="Arial"/>
              <w:color w:val="000000"/>
            </w:rPr>
          </w:pPr>
          <w:hyperlink w:anchor="_heading=h.qkw48qtiqeel">
            <w:r>
              <w:rPr>
                <w:rFonts w:ascii="Arial" w:eastAsia="Arial" w:hAnsi="Arial" w:cs="Arial"/>
                <w:color w:val="000000"/>
              </w:rPr>
              <w:t>Figure S5. Mean 1000 genomes phase 3 supergroup probabilities per assigned sample cluster</w:t>
            </w:r>
            <w:r>
              <w:rPr>
                <w:rFonts w:ascii="Arial" w:eastAsia="Arial" w:hAnsi="Arial" w:cs="Arial"/>
                <w:color w:val="000000"/>
              </w:rPr>
              <w:tab/>
              <w:t>6</w:t>
            </w:r>
          </w:hyperlink>
        </w:p>
        <w:p w14:paraId="474FD08E" w14:textId="77777777" w:rsidR="00471761" w:rsidRDefault="00000000">
          <w:pPr>
            <w:widowControl w:val="0"/>
            <w:tabs>
              <w:tab w:val="right" w:leader="dot" w:pos="12000"/>
            </w:tabs>
            <w:spacing w:before="60" w:after="40" w:line="240" w:lineRule="auto"/>
            <w:ind w:right="-540" w:hanging="720"/>
            <w:jc w:val="both"/>
            <w:rPr>
              <w:rFonts w:ascii="Arial" w:eastAsia="Arial" w:hAnsi="Arial" w:cs="Arial"/>
              <w:color w:val="000000"/>
            </w:rPr>
          </w:pPr>
          <w:hyperlink w:anchor="_heading=">
            <w:r>
              <w:rPr>
                <w:rFonts w:ascii="Arial" w:eastAsia="Arial" w:hAnsi="Arial" w:cs="Arial"/>
                <w:color w:val="000000"/>
              </w:rPr>
              <w:t>Figure S6. Mean and standard deviation of N raw CNV per sample in each dataset before and after QC</w:t>
            </w:r>
            <w:r>
              <w:rPr>
                <w:rFonts w:ascii="Arial" w:eastAsia="Arial" w:hAnsi="Arial" w:cs="Arial"/>
                <w:color w:val="000000"/>
              </w:rPr>
              <w:tab/>
              <w:t>7</w:t>
            </w:r>
          </w:hyperlink>
        </w:p>
        <w:p w14:paraId="5C00A177" w14:textId="77777777" w:rsidR="00471761" w:rsidRDefault="00000000">
          <w:pPr>
            <w:widowControl w:val="0"/>
            <w:tabs>
              <w:tab w:val="right" w:leader="dot" w:pos="12000"/>
            </w:tabs>
            <w:spacing w:before="60" w:after="40" w:line="240" w:lineRule="auto"/>
            <w:ind w:right="-540" w:hanging="720"/>
            <w:jc w:val="both"/>
            <w:rPr>
              <w:rFonts w:ascii="Arial" w:eastAsia="Arial" w:hAnsi="Arial" w:cs="Arial"/>
              <w:color w:val="000000"/>
            </w:rPr>
          </w:pPr>
          <w:hyperlink w:anchor="_heading=">
            <w:r>
              <w:rPr>
                <w:rFonts w:ascii="Arial" w:eastAsia="Arial" w:hAnsi="Arial" w:cs="Arial"/>
                <w:color w:val="000000"/>
              </w:rPr>
              <w:t>Figure S7. Distribution of LRR SD per array group before and after QC</w:t>
            </w:r>
            <w:r>
              <w:rPr>
                <w:rFonts w:ascii="Arial" w:eastAsia="Arial" w:hAnsi="Arial" w:cs="Arial"/>
                <w:color w:val="000000"/>
              </w:rPr>
              <w:tab/>
              <w:t>8</w:t>
            </w:r>
          </w:hyperlink>
        </w:p>
        <w:p w14:paraId="1F3F2FD1" w14:textId="77777777" w:rsidR="00471761" w:rsidRDefault="00000000">
          <w:pPr>
            <w:widowControl w:val="0"/>
            <w:tabs>
              <w:tab w:val="right" w:leader="dot" w:pos="12000"/>
            </w:tabs>
            <w:spacing w:before="60" w:after="40" w:line="240" w:lineRule="auto"/>
            <w:ind w:right="-540" w:hanging="720"/>
            <w:jc w:val="both"/>
            <w:rPr>
              <w:rFonts w:ascii="Arial" w:eastAsia="Arial" w:hAnsi="Arial" w:cs="Arial"/>
              <w:color w:val="000000"/>
            </w:rPr>
          </w:pPr>
          <w:hyperlink w:anchor="_heading=">
            <w:r>
              <w:rPr>
                <w:rFonts w:ascii="Arial" w:eastAsia="Arial" w:hAnsi="Arial" w:cs="Arial"/>
                <w:color w:val="000000"/>
              </w:rPr>
              <w:t>Figure S8. Mean and standard deviation of LRR SD per sample in each dataset after QC</w:t>
            </w:r>
            <w:r>
              <w:rPr>
                <w:rFonts w:ascii="Arial" w:eastAsia="Arial" w:hAnsi="Arial" w:cs="Arial"/>
                <w:color w:val="000000"/>
              </w:rPr>
              <w:tab/>
              <w:t>9</w:t>
            </w:r>
          </w:hyperlink>
        </w:p>
        <w:p w14:paraId="561A39BE" w14:textId="77777777" w:rsidR="00471761" w:rsidRDefault="00000000">
          <w:pPr>
            <w:widowControl w:val="0"/>
            <w:tabs>
              <w:tab w:val="right" w:leader="dot" w:pos="12000"/>
            </w:tabs>
            <w:spacing w:before="60" w:after="40" w:line="240" w:lineRule="auto"/>
            <w:ind w:right="-540" w:hanging="720"/>
            <w:jc w:val="both"/>
            <w:rPr>
              <w:rFonts w:ascii="Arial" w:eastAsia="Arial" w:hAnsi="Arial" w:cs="Arial"/>
              <w:color w:val="000000"/>
            </w:rPr>
          </w:pPr>
          <w:hyperlink w:anchor="_heading=">
            <w:r>
              <w:rPr>
                <w:rFonts w:ascii="Arial" w:eastAsia="Arial" w:hAnsi="Arial" w:cs="Arial"/>
                <w:color w:val="000000"/>
              </w:rPr>
              <w:t>Figure S9. Burden in cases versus controls of CNVs stratified by size</w:t>
            </w:r>
            <w:r>
              <w:rPr>
                <w:rFonts w:ascii="Arial" w:eastAsia="Arial" w:hAnsi="Arial" w:cs="Arial"/>
                <w:color w:val="000000"/>
              </w:rPr>
              <w:tab/>
              <w:t>10</w:t>
            </w:r>
          </w:hyperlink>
        </w:p>
        <w:p w14:paraId="47261F8A" w14:textId="77777777" w:rsidR="00471761" w:rsidRDefault="00000000">
          <w:pPr>
            <w:widowControl w:val="0"/>
            <w:tabs>
              <w:tab w:val="right" w:leader="dot" w:pos="12000"/>
            </w:tabs>
            <w:spacing w:before="60" w:after="40" w:line="240" w:lineRule="auto"/>
            <w:ind w:right="-540" w:hanging="720"/>
            <w:jc w:val="both"/>
            <w:rPr>
              <w:rFonts w:ascii="Arial" w:eastAsia="Arial" w:hAnsi="Arial" w:cs="Arial"/>
              <w:color w:val="000000"/>
            </w:rPr>
          </w:pPr>
          <w:hyperlink w:anchor="_heading=">
            <w:r>
              <w:rPr>
                <w:rFonts w:ascii="Arial" w:eastAsia="Arial" w:hAnsi="Arial" w:cs="Arial"/>
                <w:color w:val="000000"/>
              </w:rPr>
              <w:t>Figure S10. Burden in cases versus controls of CNVs stratified by frequency</w:t>
            </w:r>
            <w:r>
              <w:rPr>
                <w:rFonts w:ascii="Arial" w:eastAsia="Arial" w:hAnsi="Arial" w:cs="Arial"/>
                <w:color w:val="000000"/>
              </w:rPr>
              <w:tab/>
              <w:t>11</w:t>
            </w:r>
          </w:hyperlink>
        </w:p>
        <w:p w14:paraId="1C94D218" w14:textId="77777777" w:rsidR="00471761" w:rsidRDefault="00000000">
          <w:pPr>
            <w:widowControl w:val="0"/>
            <w:tabs>
              <w:tab w:val="right" w:leader="dot" w:pos="12000"/>
            </w:tabs>
            <w:spacing w:before="60" w:after="40" w:line="240" w:lineRule="auto"/>
            <w:ind w:right="-540" w:hanging="720"/>
            <w:jc w:val="both"/>
            <w:rPr>
              <w:rFonts w:ascii="Arial" w:eastAsia="Arial" w:hAnsi="Arial" w:cs="Arial"/>
              <w:color w:val="000000"/>
            </w:rPr>
          </w:pPr>
          <w:hyperlink w:anchor="_heading=h.2ieqnms2927k">
            <w:r>
              <w:rPr>
                <w:rFonts w:ascii="Arial" w:eastAsia="Arial" w:hAnsi="Arial" w:cs="Arial"/>
                <w:color w:val="000000"/>
              </w:rPr>
              <w:t>Figure S11. Burden of non-genic and genic deletions and duplications in cases versus controls</w:t>
            </w:r>
            <w:r>
              <w:rPr>
                <w:rFonts w:ascii="Arial" w:eastAsia="Arial" w:hAnsi="Arial" w:cs="Arial"/>
                <w:color w:val="000000"/>
              </w:rPr>
              <w:tab/>
              <w:t>12</w:t>
            </w:r>
          </w:hyperlink>
        </w:p>
        <w:p w14:paraId="144C97D9" w14:textId="77777777" w:rsidR="00471761" w:rsidRDefault="00000000">
          <w:pPr>
            <w:widowControl w:val="0"/>
            <w:tabs>
              <w:tab w:val="right" w:leader="dot" w:pos="12000"/>
            </w:tabs>
            <w:spacing w:before="60" w:after="40" w:line="240" w:lineRule="auto"/>
            <w:ind w:right="-540" w:hanging="720"/>
            <w:jc w:val="both"/>
            <w:rPr>
              <w:rFonts w:ascii="Arial" w:eastAsia="Arial" w:hAnsi="Arial" w:cs="Arial"/>
            </w:rPr>
          </w:pPr>
          <w:hyperlink w:anchor="_heading=">
            <w:r>
              <w:rPr>
                <w:rFonts w:ascii="Arial" w:eastAsia="Arial" w:hAnsi="Arial" w:cs="Arial"/>
                <w:color w:val="000000"/>
              </w:rPr>
              <w:t>Figure</w:t>
            </w:r>
          </w:hyperlink>
          <w:hyperlink w:anchor="_heading=">
            <w:r>
              <w:rPr>
                <w:rFonts w:ascii="Arial" w:eastAsia="Arial" w:hAnsi="Arial" w:cs="Arial"/>
              </w:rPr>
              <w:t xml:space="preserve"> </w:t>
            </w:r>
          </w:hyperlink>
          <w:hyperlink w:anchor="_heading=">
            <w:r>
              <w:rPr>
                <w:rFonts w:ascii="Arial" w:eastAsia="Arial" w:hAnsi="Arial" w:cs="Arial"/>
                <w:color w:val="000000"/>
              </w:rPr>
              <w:t>S12. Burden in cases versus controls of CNVs impacting putatively haplosensitive and triplosensitive genes</w:t>
            </w:r>
            <w:r>
              <w:rPr>
                <w:rFonts w:ascii="Arial" w:eastAsia="Arial" w:hAnsi="Arial" w:cs="Arial"/>
                <w:color w:val="000000"/>
              </w:rPr>
              <w:tab/>
              <w:t>13</w:t>
            </w:r>
          </w:hyperlink>
        </w:p>
        <w:p w14:paraId="596A0AFD" w14:textId="77777777" w:rsidR="00471761" w:rsidRDefault="00000000">
          <w:pPr>
            <w:widowControl w:val="0"/>
            <w:tabs>
              <w:tab w:val="right" w:leader="dot" w:pos="12000"/>
            </w:tabs>
            <w:spacing w:before="60" w:after="40" w:line="240" w:lineRule="auto"/>
            <w:ind w:right="-540" w:hanging="720"/>
            <w:jc w:val="both"/>
            <w:rPr>
              <w:rFonts w:ascii="Arial" w:eastAsia="Arial" w:hAnsi="Arial" w:cs="Arial"/>
            </w:rPr>
          </w:pPr>
          <w:r>
            <w:rPr>
              <w:rFonts w:ascii="Arial" w:eastAsia="Arial" w:hAnsi="Arial" w:cs="Arial"/>
            </w:rPr>
            <w:t>Figure S13. 17q12 CNV breakpoints……………………………………………………………...…………14</w:t>
          </w:r>
        </w:p>
        <w:p w14:paraId="54347DBA" w14:textId="77777777" w:rsidR="00471761" w:rsidRDefault="00000000">
          <w:pPr>
            <w:widowControl w:val="0"/>
            <w:tabs>
              <w:tab w:val="right" w:leader="dot" w:pos="12000"/>
            </w:tabs>
            <w:spacing w:before="60" w:after="40" w:line="240" w:lineRule="auto"/>
            <w:ind w:right="-540" w:hanging="720"/>
            <w:jc w:val="both"/>
            <w:rPr>
              <w:rFonts w:ascii="Arial" w:eastAsia="Arial" w:hAnsi="Arial" w:cs="Arial"/>
            </w:rPr>
          </w:pPr>
          <w:r>
            <w:rPr>
              <w:rFonts w:ascii="Arial" w:eastAsia="Arial" w:hAnsi="Arial" w:cs="Arial"/>
            </w:rPr>
            <w:t>Figure S14. ACACA gene expression………………..……………………………………………………...15</w:t>
          </w:r>
        </w:p>
        <w:p w14:paraId="7CC81F09" w14:textId="4E4C8FCE" w:rsidR="00471761" w:rsidRDefault="00000000">
          <w:pPr>
            <w:widowControl w:val="0"/>
            <w:tabs>
              <w:tab w:val="right" w:leader="dot" w:pos="12000"/>
            </w:tabs>
            <w:spacing w:before="60" w:after="40" w:line="240" w:lineRule="auto"/>
            <w:ind w:right="-540" w:hanging="720"/>
            <w:jc w:val="both"/>
            <w:rPr>
              <w:rFonts w:ascii="Arial" w:eastAsia="Arial" w:hAnsi="Arial" w:cs="Arial"/>
            </w:rPr>
          </w:pPr>
          <w:r>
            <w:rPr>
              <w:rFonts w:ascii="Arial" w:eastAsia="Arial" w:hAnsi="Arial" w:cs="Arial"/>
            </w:rPr>
            <w:t>Figure S15. ACACA Hi-C data……………………………………………………</w:t>
          </w:r>
          <w:r w:rsidR="00B37DA6">
            <w:rPr>
              <w:rFonts w:ascii="Arial" w:eastAsia="Arial" w:hAnsi="Arial" w:cs="Arial"/>
            </w:rPr>
            <w:t>.</w:t>
          </w:r>
          <w:r>
            <w:rPr>
              <w:rFonts w:ascii="Arial" w:eastAsia="Arial" w:hAnsi="Arial" w:cs="Arial"/>
            </w:rPr>
            <w:t>………………………….16</w:t>
          </w:r>
        </w:p>
        <w:p w14:paraId="245B8DA3" w14:textId="77777777" w:rsidR="00471761" w:rsidRDefault="00471761">
          <w:pPr>
            <w:widowControl w:val="0"/>
            <w:tabs>
              <w:tab w:val="right" w:leader="dot" w:pos="12000"/>
            </w:tabs>
            <w:spacing w:before="60" w:after="40" w:line="240" w:lineRule="auto"/>
            <w:rPr>
              <w:rFonts w:ascii="Arial" w:eastAsia="Arial" w:hAnsi="Arial" w:cs="Arial"/>
            </w:rPr>
          </w:pPr>
        </w:p>
        <w:p w14:paraId="6755794F" w14:textId="77777777" w:rsidR="00471761" w:rsidRDefault="00000000">
          <w:pPr>
            <w:widowControl w:val="0"/>
            <w:tabs>
              <w:tab w:val="right" w:leader="dot" w:pos="12000"/>
            </w:tabs>
            <w:spacing w:before="60" w:after="40" w:line="240" w:lineRule="auto"/>
            <w:rPr>
              <w:rFonts w:ascii="Arial" w:eastAsia="Arial" w:hAnsi="Arial" w:cs="Arial"/>
            </w:rPr>
          </w:pPr>
          <w:r>
            <w:fldChar w:fldCharType="end"/>
          </w:r>
        </w:p>
      </w:sdtContent>
    </w:sdt>
    <w:p w14:paraId="551BB665" w14:textId="77777777" w:rsidR="00471761" w:rsidRDefault="00471761">
      <w:pPr>
        <w:ind w:left="-720" w:right="-720"/>
        <w:jc w:val="both"/>
        <w:rPr>
          <w:rFonts w:ascii="Arial" w:eastAsia="Arial" w:hAnsi="Arial" w:cs="Arial"/>
        </w:rPr>
      </w:pPr>
    </w:p>
    <w:p w14:paraId="233133B5" w14:textId="77777777" w:rsidR="00471761" w:rsidRDefault="00471761">
      <w:pPr>
        <w:ind w:left="-720" w:right="-720"/>
        <w:rPr>
          <w:rFonts w:ascii="Arial" w:eastAsia="Arial" w:hAnsi="Arial" w:cs="Arial"/>
        </w:rPr>
      </w:pPr>
    </w:p>
    <w:p w14:paraId="319979A0" w14:textId="77777777" w:rsidR="00471761" w:rsidRDefault="00471761">
      <w:pPr>
        <w:ind w:left="-720" w:right="-720"/>
        <w:rPr>
          <w:rFonts w:ascii="Arial" w:eastAsia="Arial" w:hAnsi="Arial" w:cs="Arial"/>
        </w:rPr>
      </w:pPr>
    </w:p>
    <w:p w14:paraId="1BDB8898" w14:textId="77777777" w:rsidR="00B37DA6" w:rsidRDefault="00B37DA6" w:rsidP="00B37DA6">
      <w:pPr>
        <w:pStyle w:val="Heading1"/>
        <w:tabs>
          <w:tab w:val="center" w:pos="4320"/>
        </w:tabs>
        <w:ind w:left="-720" w:right="-720"/>
        <w:jc w:val="center"/>
      </w:pPr>
    </w:p>
    <w:p w14:paraId="67DBC4EA" w14:textId="269ACDF2" w:rsidR="00471761" w:rsidRDefault="00000000" w:rsidP="00B37DA6">
      <w:pPr>
        <w:pStyle w:val="Heading1"/>
        <w:tabs>
          <w:tab w:val="center" w:pos="4320"/>
        </w:tabs>
        <w:ind w:left="-720" w:right="-720"/>
        <w:rPr>
          <w:rFonts w:ascii="Arial" w:eastAsia="Arial" w:hAnsi="Arial" w:cs="Arial"/>
        </w:rPr>
      </w:pPr>
      <w:r w:rsidRPr="00B37DA6">
        <w:br w:type="page"/>
      </w:r>
      <w:r w:rsidR="00B37DA6">
        <w:lastRenderedPageBreak/>
        <w:tab/>
      </w:r>
    </w:p>
    <w:p w14:paraId="751E4462" w14:textId="77777777" w:rsidR="00471761" w:rsidRDefault="00000000">
      <w:pPr>
        <w:pStyle w:val="Heading1"/>
        <w:ind w:left="-720" w:right="-720"/>
        <w:rPr>
          <w:rFonts w:ascii="Arial" w:eastAsia="Arial" w:hAnsi="Arial" w:cs="Arial"/>
          <w:color w:val="000000"/>
          <w:sz w:val="22"/>
          <w:szCs w:val="22"/>
        </w:rPr>
      </w:pPr>
      <w:r>
        <w:rPr>
          <w:rFonts w:ascii="Arial" w:eastAsia="Arial" w:hAnsi="Arial" w:cs="Arial"/>
          <w:color w:val="000000"/>
          <w:sz w:val="22"/>
          <w:szCs w:val="22"/>
        </w:rPr>
        <w:t>Figure S1. PCA plot (full)</w:t>
      </w:r>
    </w:p>
    <w:p w14:paraId="25325BB7" w14:textId="77777777" w:rsidR="00471761" w:rsidRDefault="00000000">
      <w:pPr>
        <w:ind w:left="-720" w:right="-720"/>
        <w:rPr>
          <w:rFonts w:ascii="Arial" w:eastAsia="Arial" w:hAnsi="Arial" w:cs="Arial"/>
        </w:rPr>
      </w:pPr>
      <w:r>
        <w:rPr>
          <w:rFonts w:ascii="Arial" w:eastAsia="Arial" w:hAnsi="Arial" w:cs="Arial"/>
          <w:noProof/>
        </w:rPr>
        <w:drawing>
          <wp:inline distT="0" distB="0" distL="114300" distR="114300" wp14:anchorId="140A79CA" wp14:editId="70EF0994">
            <wp:extent cx="5486400" cy="5486400"/>
            <wp:effectExtent l="0" t="0" r="0" b="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a:stretch>
                      <a:fillRect/>
                    </a:stretch>
                  </pic:blipFill>
                  <pic:spPr>
                    <a:xfrm>
                      <a:off x="0" y="0"/>
                      <a:ext cx="5486400" cy="5486400"/>
                    </a:xfrm>
                    <a:prstGeom prst="rect">
                      <a:avLst/>
                    </a:prstGeom>
                    <a:ln/>
                  </pic:spPr>
                </pic:pic>
              </a:graphicData>
            </a:graphic>
          </wp:inline>
        </w:drawing>
      </w:r>
    </w:p>
    <w:p w14:paraId="17F5358D" w14:textId="77777777" w:rsidR="00471761" w:rsidRDefault="00000000">
      <w:pPr>
        <w:ind w:left="-720" w:right="-720"/>
        <w:jc w:val="both"/>
        <w:rPr>
          <w:rFonts w:ascii="Arial" w:eastAsia="Arial" w:hAnsi="Arial" w:cs="Arial"/>
        </w:rPr>
      </w:pPr>
      <w:r>
        <w:rPr>
          <w:rFonts w:ascii="Arial" w:eastAsia="Arial" w:hAnsi="Arial" w:cs="Arial"/>
          <w:b/>
          <w:i/>
        </w:rPr>
        <w:t>Figure S1</w:t>
      </w:r>
      <w:r>
        <w:rPr>
          <w:rFonts w:ascii="Arial" w:eastAsia="Arial" w:hAnsi="Arial" w:cs="Arial"/>
        </w:rPr>
        <w:t>. The first eight principal components of a common variant principal component analysis (PCA) conducted on 37,784 common variants genotyped across 5,201 cases and 8,667 controls included in the core dataset for this analysis. Although principal components nine through twenty were generated, they are not displayed here because they explain an insignificant amount of the total variance in the common variant genotype data (</w:t>
      </w:r>
      <w:r>
        <w:rPr>
          <w:rFonts w:ascii="Arial" w:eastAsia="Arial" w:hAnsi="Arial" w:cs="Arial"/>
          <w:b/>
          <w:i/>
        </w:rPr>
        <w:t>Figure S2</w:t>
      </w:r>
      <w:r>
        <w:rPr>
          <w:rFonts w:ascii="Arial" w:eastAsia="Arial" w:hAnsi="Arial" w:cs="Arial"/>
        </w:rPr>
        <w:t xml:space="preserve">). </w:t>
      </w:r>
    </w:p>
    <w:p w14:paraId="3514334C" w14:textId="77777777" w:rsidR="00471761" w:rsidRDefault="00000000">
      <w:pPr>
        <w:ind w:left="-720" w:right="-720"/>
        <w:rPr>
          <w:rFonts w:ascii="Arial" w:eastAsia="Arial" w:hAnsi="Arial" w:cs="Arial"/>
        </w:rPr>
      </w:pPr>
      <w:r>
        <w:br w:type="page"/>
      </w:r>
    </w:p>
    <w:p w14:paraId="6300B29D" w14:textId="77777777" w:rsidR="00471761" w:rsidRDefault="00000000">
      <w:pPr>
        <w:pStyle w:val="Heading1"/>
        <w:ind w:left="-720" w:right="-720"/>
        <w:rPr>
          <w:rFonts w:ascii="Arial" w:eastAsia="Arial" w:hAnsi="Arial" w:cs="Arial"/>
          <w:color w:val="000000"/>
          <w:sz w:val="22"/>
          <w:szCs w:val="22"/>
        </w:rPr>
      </w:pPr>
      <w:r>
        <w:rPr>
          <w:rFonts w:ascii="Arial" w:eastAsia="Arial" w:hAnsi="Arial" w:cs="Arial"/>
          <w:color w:val="000000"/>
          <w:sz w:val="22"/>
          <w:szCs w:val="22"/>
        </w:rPr>
        <w:lastRenderedPageBreak/>
        <w:t xml:space="preserve">Figure S2. Eigenvalues for </w:t>
      </w:r>
      <w:proofErr w:type="spellStart"/>
      <w:r>
        <w:rPr>
          <w:rFonts w:ascii="Arial" w:eastAsia="Arial" w:hAnsi="Arial" w:cs="Arial"/>
          <w:color w:val="000000"/>
          <w:sz w:val="22"/>
          <w:szCs w:val="22"/>
        </w:rPr>
        <w:t>cas</w:t>
      </w:r>
      <w:proofErr w:type="spellEnd"/>
      <w:r>
        <w:rPr>
          <w:rFonts w:ascii="Arial" w:eastAsia="Arial" w:hAnsi="Arial" w:cs="Arial"/>
          <w:color w:val="000000"/>
          <w:sz w:val="22"/>
          <w:szCs w:val="22"/>
        </w:rPr>
        <w:t>/control PCA plot</w:t>
      </w:r>
    </w:p>
    <w:p w14:paraId="2CD1203B" w14:textId="77777777" w:rsidR="00471761" w:rsidRDefault="00471761">
      <w:pPr>
        <w:ind w:left="-720" w:right="-720"/>
      </w:pPr>
    </w:p>
    <w:p w14:paraId="6DCE4030" w14:textId="77777777" w:rsidR="00471761" w:rsidRDefault="00000000">
      <w:pPr>
        <w:ind w:left="-720" w:right="-720"/>
        <w:rPr>
          <w:rFonts w:ascii="Arial" w:eastAsia="Arial" w:hAnsi="Arial" w:cs="Arial"/>
        </w:rPr>
      </w:pPr>
      <w:r>
        <w:rPr>
          <w:rFonts w:ascii="Arial" w:eastAsia="Arial" w:hAnsi="Arial" w:cs="Arial"/>
          <w:noProof/>
        </w:rPr>
        <w:drawing>
          <wp:inline distT="0" distB="0" distL="114300" distR="114300" wp14:anchorId="1D4F72BF" wp14:editId="0BF1C628">
            <wp:extent cx="5486400" cy="5486400"/>
            <wp:effectExtent l="0" t="0" r="0" b="0"/>
            <wp:docPr id="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5486400" cy="5486400"/>
                    </a:xfrm>
                    <a:prstGeom prst="rect">
                      <a:avLst/>
                    </a:prstGeom>
                    <a:ln/>
                  </pic:spPr>
                </pic:pic>
              </a:graphicData>
            </a:graphic>
          </wp:inline>
        </w:drawing>
      </w:r>
    </w:p>
    <w:p w14:paraId="1C815997" w14:textId="77777777" w:rsidR="00471761" w:rsidRDefault="00000000">
      <w:pPr>
        <w:ind w:left="-720" w:right="-720"/>
        <w:jc w:val="both"/>
        <w:rPr>
          <w:rFonts w:ascii="Arial" w:eastAsia="Arial" w:hAnsi="Arial" w:cs="Arial"/>
        </w:rPr>
      </w:pPr>
      <w:r>
        <w:rPr>
          <w:rFonts w:ascii="Arial" w:eastAsia="Arial" w:hAnsi="Arial" w:cs="Arial"/>
          <w:b/>
          <w:i/>
        </w:rPr>
        <w:t>Figure S2</w:t>
      </w:r>
      <w:r>
        <w:rPr>
          <w:rFonts w:ascii="Arial" w:eastAsia="Arial" w:hAnsi="Arial" w:cs="Arial"/>
        </w:rPr>
        <w:t xml:space="preserve">. Eigenvalues from the first 20 principal components across common variant genotypes, as illustrated in </w:t>
      </w:r>
      <w:r>
        <w:rPr>
          <w:rFonts w:ascii="Arial" w:eastAsia="Arial" w:hAnsi="Arial" w:cs="Arial"/>
          <w:b/>
          <w:i/>
        </w:rPr>
        <w:t>Figure S1</w:t>
      </w:r>
      <w:r>
        <w:rPr>
          <w:rFonts w:ascii="Arial" w:eastAsia="Arial" w:hAnsi="Arial" w:cs="Arial"/>
        </w:rPr>
        <w:t>. Here, it is evident that the majority of the variance is accounted for by PCs 1-5. We employed PCs 1-6 for unsupervised clustering of samples (</w:t>
      </w:r>
      <w:r>
        <w:rPr>
          <w:rFonts w:ascii="Arial" w:eastAsia="Arial" w:hAnsi="Arial" w:cs="Arial"/>
          <w:b/>
          <w:i/>
        </w:rPr>
        <w:t>Figure S4</w:t>
      </w:r>
      <w:r>
        <w:rPr>
          <w:rFonts w:ascii="Arial" w:eastAsia="Arial" w:hAnsi="Arial" w:cs="Arial"/>
        </w:rPr>
        <w:t xml:space="preserve">). </w:t>
      </w:r>
    </w:p>
    <w:p w14:paraId="2956BBC4" w14:textId="77777777" w:rsidR="00471761" w:rsidRDefault="00000000">
      <w:pPr>
        <w:ind w:left="-720" w:right="-720"/>
        <w:rPr>
          <w:rFonts w:ascii="Arial" w:eastAsia="Arial" w:hAnsi="Arial" w:cs="Arial"/>
        </w:rPr>
      </w:pPr>
      <w:r>
        <w:br w:type="page"/>
      </w:r>
    </w:p>
    <w:p w14:paraId="7F6E13BC" w14:textId="77777777" w:rsidR="00471761" w:rsidRDefault="00000000">
      <w:pPr>
        <w:pStyle w:val="Heading1"/>
        <w:ind w:left="-720" w:right="-720"/>
        <w:rPr>
          <w:rFonts w:ascii="Arial" w:eastAsia="Arial" w:hAnsi="Arial" w:cs="Arial"/>
          <w:color w:val="000000"/>
          <w:sz w:val="22"/>
          <w:szCs w:val="22"/>
        </w:rPr>
      </w:pPr>
      <w:r>
        <w:rPr>
          <w:rFonts w:ascii="Arial" w:eastAsia="Arial" w:hAnsi="Arial" w:cs="Arial"/>
          <w:color w:val="000000"/>
          <w:sz w:val="22"/>
          <w:szCs w:val="22"/>
        </w:rPr>
        <w:lastRenderedPageBreak/>
        <w:t>Figure S3. PCA plot (with 1KG samples)</w:t>
      </w:r>
    </w:p>
    <w:p w14:paraId="3CF802B7" w14:textId="77777777" w:rsidR="00471761" w:rsidRDefault="00471761">
      <w:pPr>
        <w:ind w:left="-720" w:right="-720"/>
      </w:pPr>
    </w:p>
    <w:p w14:paraId="118D0438" w14:textId="77777777" w:rsidR="00471761" w:rsidRDefault="00000000">
      <w:pPr>
        <w:ind w:left="-720" w:right="-720"/>
        <w:rPr>
          <w:rFonts w:ascii="Arial" w:eastAsia="Arial" w:hAnsi="Arial" w:cs="Arial"/>
        </w:rPr>
      </w:pPr>
      <w:r>
        <w:rPr>
          <w:rFonts w:ascii="Arial" w:eastAsia="Arial" w:hAnsi="Arial" w:cs="Arial"/>
          <w:noProof/>
        </w:rPr>
        <w:drawing>
          <wp:inline distT="0" distB="0" distL="114300" distR="114300" wp14:anchorId="554BABEB" wp14:editId="530F49D6">
            <wp:extent cx="5486400" cy="5486400"/>
            <wp:effectExtent l="0" t="0" r="0" b="0"/>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
                    <a:srcRect/>
                    <a:stretch>
                      <a:fillRect/>
                    </a:stretch>
                  </pic:blipFill>
                  <pic:spPr>
                    <a:xfrm>
                      <a:off x="0" y="0"/>
                      <a:ext cx="5486400" cy="5486400"/>
                    </a:xfrm>
                    <a:prstGeom prst="rect">
                      <a:avLst/>
                    </a:prstGeom>
                    <a:ln/>
                  </pic:spPr>
                </pic:pic>
              </a:graphicData>
            </a:graphic>
          </wp:inline>
        </w:drawing>
      </w:r>
    </w:p>
    <w:p w14:paraId="69E794BC" w14:textId="77777777" w:rsidR="00471761" w:rsidRDefault="00000000">
      <w:pPr>
        <w:ind w:left="-720" w:right="-720"/>
        <w:jc w:val="both"/>
        <w:rPr>
          <w:rFonts w:ascii="Arial" w:eastAsia="Arial" w:hAnsi="Arial" w:cs="Arial"/>
        </w:rPr>
      </w:pPr>
      <w:r>
        <w:rPr>
          <w:rFonts w:ascii="Arial" w:eastAsia="Arial" w:hAnsi="Arial" w:cs="Arial"/>
          <w:b/>
          <w:i/>
        </w:rPr>
        <w:t xml:space="preserve">Figure S3. </w:t>
      </w:r>
      <w:r>
        <w:rPr>
          <w:rFonts w:ascii="Arial" w:eastAsia="Arial" w:hAnsi="Arial" w:cs="Arial"/>
        </w:rPr>
        <w:t xml:space="preserve">The first four principal components across 37,577 common variant genotypes shared between case/control samples and 1000 Genomes Phase 3 reference samples. The first four PCs for the 1000 Genomes Phase 3 samples are presented on the left, along with sample ancestry super-population classifications. Samples from the case/control cohort are displayed on the left. The clustering illustrated on the left clearly indicates that the separation across the major PCs is driven by ancestry differences that need to be controlled. </w:t>
      </w:r>
    </w:p>
    <w:p w14:paraId="7441D991" w14:textId="77777777" w:rsidR="00471761" w:rsidRDefault="00000000">
      <w:pPr>
        <w:ind w:left="-720" w:right="-720"/>
        <w:rPr>
          <w:rFonts w:ascii="Arial" w:eastAsia="Arial" w:hAnsi="Arial" w:cs="Arial"/>
        </w:rPr>
      </w:pPr>
      <w:r>
        <w:br w:type="page"/>
      </w:r>
    </w:p>
    <w:p w14:paraId="1D4497BF" w14:textId="77777777" w:rsidR="00471761" w:rsidRDefault="00000000">
      <w:pPr>
        <w:pStyle w:val="Heading1"/>
        <w:ind w:left="-720" w:right="-720"/>
        <w:rPr>
          <w:rFonts w:ascii="Arial" w:eastAsia="Arial" w:hAnsi="Arial" w:cs="Arial"/>
          <w:color w:val="000000"/>
          <w:sz w:val="22"/>
          <w:szCs w:val="22"/>
        </w:rPr>
      </w:pPr>
      <w:r>
        <w:rPr>
          <w:rFonts w:ascii="Arial" w:eastAsia="Arial" w:hAnsi="Arial" w:cs="Arial"/>
          <w:color w:val="000000"/>
          <w:sz w:val="22"/>
          <w:szCs w:val="22"/>
        </w:rPr>
        <w:lastRenderedPageBreak/>
        <w:t>Figure S4. Louvain clustering of samples using PCs 1-6</w:t>
      </w:r>
    </w:p>
    <w:p w14:paraId="6B7E4ED4" w14:textId="77777777" w:rsidR="00471761" w:rsidRDefault="00471761">
      <w:pPr>
        <w:ind w:left="-720" w:right="-720"/>
      </w:pPr>
    </w:p>
    <w:p w14:paraId="67A3100D" w14:textId="77777777" w:rsidR="00471761" w:rsidRDefault="00000000">
      <w:pPr>
        <w:ind w:left="-720" w:right="-720"/>
        <w:rPr>
          <w:rFonts w:ascii="Arial" w:eastAsia="Arial" w:hAnsi="Arial" w:cs="Arial"/>
        </w:rPr>
      </w:pPr>
      <w:r>
        <w:rPr>
          <w:rFonts w:ascii="Arial" w:eastAsia="Arial" w:hAnsi="Arial" w:cs="Arial"/>
          <w:noProof/>
        </w:rPr>
        <w:drawing>
          <wp:inline distT="0" distB="0" distL="114300" distR="114300" wp14:anchorId="0C906D10" wp14:editId="1BB4BBE2">
            <wp:extent cx="5486400" cy="5486400"/>
            <wp:effectExtent l="0" t="0" r="0" b="0"/>
            <wp:docPr id="2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
                    <a:srcRect/>
                    <a:stretch>
                      <a:fillRect/>
                    </a:stretch>
                  </pic:blipFill>
                  <pic:spPr>
                    <a:xfrm>
                      <a:off x="0" y="0"/>
                      <a:ext cx="5486400" cy="5486400"/>
                    </a:xfrm>
                    <a:prstGeom prst="rect">
                      <a:avLst/>
                    </a:prstGeom>
                    <a:ln/>
                  </pic:spPr>
                </pic:pic>
              </a:graphicData>
            </a:graphic>
          </wp:inline>
        </w:drawing>
      </w:r>
    </w:p>
    <w:p w14:paraId="75ABB848" w14:textId="77777777" w:rsidR="00471761" w:rsidRDefault="00000000">
      <w:pPr>
        <w:ind w:left="-720" w:right="-720"/>
        <w:jc w:val="both"/>
        <w:rPr>
          <w:rFonts w:ascii="Arial" w:eastAsia="Arial" w:hAnsi="Arial" w:cs="Arial"/>
        </w:rPr>
      </w:pPr>
      <w:r>
        <w:rPr>
          <w:rFonts w:ascii="Arial" w:eastAsia="Arial" w:hAnsi="Arial" w:cs="Arial"/>
          <w:b/>
          <w:i/>
        </w:rPr>
        <w:t>Figure S4</w:t>
      </w:r>
      <w:r>
        <w:rPr>
          <w:rFonts w:ascii="Arial" w:eastAsia="Arial" w:hAnsi="Arial" w:cs="Arial"/>
        </w:rPr>
        <w:t xml:space="preserve">. Results of Louvain clustering, an unsupervised method for grouping similar samples, based on the first six Principal Components from PCA illustrated in </w:t>
      </w:r>
      <w:r>
        <w:rPr>
          <w:rFonts w:ascii="Arial" w:eastAsia="Arial" w:hAnsi="Arial" w:cs="Arial"/>
          <w:b/>
          <w:i/>
        </w:rPr>
        <w:t>Figures S1</w:t>
      </w:r>
      <w:r>
        <w:rPr>
          <w:rFonts w:ascii="Arial" w:eastAsia="Arial" w:hAnsi="Arial" w:cs="Arial"/>
        </w:rPr>
        <w:t xml:space="preserve"> and </w:t>
      </w:r>
      <w:r>
        <w:rPr>
          <w:rFonts w:ascii="Arial" w:eastAsia="Arial" w:hAnsi="Arial" w:cs="Arial"/>
          <w:b/>
          <w:i/>
        </w:rPr>
        <w:t>S2</w:t>
      </w:r>
      <w:r>
        <w:rPr>
          <w:rFonts w:ascii="Arial" w:eastAsia="Arial" w:hAnsi="Arial" w:cs="Arial"/>
        </w:rPr>
        <w:t xml:space="preserve">. A total of eight clusters </w:t>
      </w:r>
      <w:proofErr w:type="gramStart"/>
      <w:r>
        <w:rPr>
          <w:rFonts w:ascii="Arial" w:eastAsia="Arial" w:hAnsi="Arial" w:cs="Arial"/>
        </w:rPr>
        <w:t>are</w:t>
      </w:r>
      <w:proofErr w:type="gramEnd"/>
      <w:r>
        <w:rPr>
          <w:rFonts w:ascii="Arial" w:eastAsia="Arial" w:hAnsi="Arial" w:cs="Arial"/>
        </w:rPr>
        <w:t xml:space="preserve"> formed. Two of the most populated clusters (identified here as clusters ‘0’ and ‘1’ but subsequently referred to as clusters ‘1’ and ‘2’) seem to correspond to European ancestry (see </w:t>
      </w:r>
      <w:r>
        <w:rPr>
          <w:rFonts w:ascii="Arial" w:eastAsia="Arial" w:hAnsi="Arial" w:cs="Arial"/>
          <w:b/>
          <w:i/>
        </w:rPr>
        <w:t>Figure S5</w:t>
      </w:r>
      <w:r>
        <w:rPr>
          <w:rFonts w:ascii="Arial" w:eastAsia="Arial" w:hAnsi="Arial" w:cs="Arial"/>
        </w:rPr>
        <w:t xml:space="preserve">). </w:t>
      </w:r>
    </w:p>
    <w:p w14:paraId="57C9A222" w14:textId="77777777" w:rsidR="00471761" w:rsidRDefault="00000000">
      <w:pPr>
        <w:ind w:left="-720" w:right="-720"/>
        <w:rPr>
          <w:rFonts w:ascii="Arial" w:eastAsia="Arial" w:hAnsi="Arial" w:cs="Arial"/>
        </w:rPr>
      </w:pPr>
      <w:r>
        <w:br w:type="page"/>
      </w:r>
    </w:p>
    <w:p w14:paraId="6D5DD57B" w14:textId="77777777" w:rsidR="00471761" w:rsidRDefault="00000000">
      <w:pPr>
        <w:pStyle w:val="Heading1"/>
        <w:ind w:left="-720" w:right="-720"/>
        <w:rPr>
          <w:rFonts w:ascii="Arial" w:eastAsia="Arial" w:hAnsi="Arial" w:cs="Arial"/>
          <w:color w:val="000000"/>
          <w:sz w:val="21"/>
          <w:szCs w:val="21"/>
        </w:rPr>
      </w:pPr>
      <w:bookmarkStart w:id="0" w:name="_heading=h.qkw48qtiqeel" w:colFirst="0" w:colLast="0"/>
      <w:bookmarkEnd w:id="0"/>
      <w:r>
        <w:rPr>
          <w:rFonts w:ascii="Arial" w:eastAsia="Arial" w:hAnsi="Arial" w:cs="Arial"/>
          <w:color w:val="000000"/>
          <w:sz w:val="22"/>
          <w:szCs w:val="22"/>
        </w:rPr>
        <w:lastRenderedPageBreak/>
        <w:t xml:space="preserve">Figure S5. </w:t>
      </w:r>
      <w:r>
        <w:rPr>
          <w:rFonts w:ascii="Arial" w:eastAsia="Arial" w:hAnsi="Arial" w:cs="Arial"/>
          <w:color w:val="000000"/>
          <w:sz w:val="21"/>
          <w:szCs w:val="21"/>
        </w:rPr>
        <w:t>Mean 1000 genomes phase 3 supergroup probabilities per assigned sample cluster</w:t>
      </w:r>
    </w:p>
    <w:p w14:paraId="43D3B570" w14:textId="77777777" w:rsidR="00471761" w:rsidRDefault="00000000">
      <w:pPr>
        <w:ind w:left="-720" w:right="-720"/>
      </w:pPr>
      <w:r>
        <w:rPr>
          <w:noProof/>
        </w:rPr>
        <w:drawing>
          <wp:inline distT="114300" distB="114300" distL="114300" distR="114300" wp14:anchorId="7F9881FF" wp14:editId="18C01CFC">
            <wp:extent cx="5486400" cy="5486400"/>
            <wp:effectExtent l="0" t="0" r="0" b="0"/>
            <wp:docPr id="2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a:stretch>
                      <a:fillRect/>
                    </a:stretch>
                  </pic:blipFill>
                  <pic:spPr>
                    <a:xfrm>
                      <a:off x="0" y="0"/>
                      <a:ext cx="5486400" cy="5486400"/>
                    </a:xfrm>
                    <a:prstGeom prst="rect">
                      <a:avLst/>
                    </a:prstGeom>
                    <a:ln/>
                  </pic:spPr>
                </pic:pic>
              </a:graphicData>
            </a:graphic>
          </wp:inline>
        </w:drawing>
      </w:r>
    </w:p>
    <w:p w14:paraId="2BE456CA" w14:textId="77777777" w:rsidR="00471761" w:rsidRDefault="00000000">
      <w:pPr>
        <w:ind w:left="-720" w:right="-720"/>
        <w:jc w:val="both"/>
      </w:pPr>
      <w:r>
        <w:rPr>
          <w:rFonts w:ascii="Arial" w:eastAsia="Arial" w:hAnsi="Arial" w:cs="Arial"/>
          <w:b/>
          <w:i/>
        </w:rPr>
        <w:t>Figure S5.</w:t>
      </w:r>
      <w:r>
        <w:rPr>
          <w:rFonts w:ascii="Arial" w:eastAsia="Arial" w:hAnsi="Arial" w:cs="Arial"/>
        </w:rPr>
        <w:t xml:space="preserve"> The mean probabilities of each sample within the eight clusters from </w:t>
      </w:r>
      <w:r>
        <w:rPr>
          <w:rFonts w:ascii="Arial" w:eastAsia="Arial" w:hAnsi="Arial" w:cs="Arial"/>
          <w:b/>
          <w:i/>
        </w:rPr>
        <w:t>Figure S4</w:t>
      </w:r>
      <w:r>
        <w:rPr>
          <w:rFonts w:ascii="Arial" w:eastAsia="Arial" w:hAnsi="Arial" w:cs="Arial"/>
        </w:rPr>
        <w:t xml:space="preserve"> belonging to the five 1000 Genomes Phase 3 supergroups. The probabilities were determined using a random forest model applied to the first six principal components of a PCA of common variations across our samples and 2500 1000 Genomes Phase 3 samples. The number of samples in each cluster is shown in parentheses on the X-axis below the cluster identity number. Clusters 1 and 2 consist of high-confidence European ancestry, while Cluster 3 appears to feature non-European admixture. Clusters 4, 6, and 8 consist of high-confidence East Asian, African, and admixed American (i.e., Hispanic) samples. Cluster 5 and Cluster 7 seem to fit ancestry profiles that do not align neatly with any of the 1000 Genomes supergroups.</w:t>
      </w:r>
    </w:p>
    <w:p w14:paraId="71E259B3" w14:textId="77777777" w:rsidR="00471761" w:rsidRDefault="00000000">
      <w:pPr>
        <w:pStyle w:val="Heading1"/>
        <w:ind w:left="-720" w:right="-720"/>
        <w:rPr>
          <w:rFonts w:ascii="Arial" w:eastAsia="Arial" w:hAnsi="Arial" w:cs="Arial"/>
          <w:color w:val="000000"/>
          <w:sz w:val="22"/>
          <w:szCs w:val="22"/>
        </w:rPr>
      </w:pPr>
      <w:r>
        <w:rPr>
          <w:rFonts w:ascii="Arial" w:eastAsia="Arial" w:hAnsi="Arial" w:cs="Arial"/>
          <w:color w:val="000000"/>
          <w:sz w:val="22"/>
          <w:szCs w:val="22"/>
        </w:rPr>
        <w:lastRenderedPageBreak/>
        <w:t>Figure S6. Mean and standard deviation of N raw CNV per sample in each dataset before and after QC</w:t>
      </w:r>
    </w:p>
    <w:p w14:paraId="13980B76" w14:textId="77777777" w:rsidR="00471761" w:rsidRDefault="00471761">
      <w:pPr>
        <w:ind w:left="-720" w:right="-720"/>
      </w:pPr>
    </w:p>
    <w:p w14:paraId="4AFC62D7" w14:textId="77777777" w:rsidR="00471761" w:rsidRDefault="00000000">
      <w:pPr>
        <w:ind w:left="-720" w:right="-720"/>
        <w:rPr>
          <w:rFonts w:ascii="Arial" w:eastAsia="Arial" w:hAnsi="Arial" w:cs="Arial"/>
        </w:rPr>
      </w:pPr>
      <w:r>
        <w:rPr>
          <w:rFonts w:ascii="Arial" w:eastAsia="Arial" w:hAnsi="Arial" w:cs="Arial"/>
          <w:noProof/>
        </w:rPr>
        <w:drawing>
          <wp:inline distT="114300" distB="114300" distL="114300" distR="114300" wp14:anchorId="1D24A114" wp14:editId="21443237">
            <wp:extent cx="6393233" cy="3196616"/>
            <wp:effectExtent l="0" t="0" r="0" b="0"/>
            <wp:docPr id="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6393233" cy="3196616"/>
                    </a:xfrm>
                    <a:prstGeom prst="rect">
                      <a:avLst/>
                    </a:prstGeom>
                    <a:ln/>
                  </pic:spPr>
                </pic:pic>
              </a:graphicData>
            </a:graphic>
          </wp:inline>
        </w:drawing>
      </w:r>
    </w:p>
    <w:p w14:paraId="4F68BC0E" w14:textId="77777777" w:rsidR="00471761" w:rsidRDefault="00000000">
      <w:pPr>
        <w:ind w:left="-720" w:right="-720"/>
        <w:jc w:val="both"/>
        <w:rPr>
          <w:rFonts w:ascii="Arial" w:eastAsia="Arial" w:hAnsi="Arial" w:cs="Arial"/>
        </w:rPr>
      </w:pPr>
      <w:r>
        <w:rPr>
          <w:rFonts w:ascii="Arial" w:eastAsia="Arial" w:hAnsi="Arial" w:cs="Arial"/>
          <w:b/>
          <w:i/>
        </w:rPr>
        <w:t xml:space="preserve">Figure S6. </w:t>
      </w:r>
      <w:r>
        <w:rPr>
          <w:rFonts w:ascii="Arial" w:eastAsia="Arial" w:hAnsi="Arial" w:cs="Arial"/>
        </w:rPr>
        <w:t xml:space="preserve">Mean (dots) and standard deviations (bars) of the number of raw CNVs per sample across each dataset included in the analysis. Before quality control (left), the variance in the number of raw CNVs per sample varies depending on the dataset considered. After quality control (right), the number of raw CNVs per sample is grouped by dataset, as these groups have different baseline numbers of probes from which CNV calls were made, leading to counts per dataset being much more comparable. </w:t>
      </w:r>
    </w:p>
    <w:p w14:paraId="000338C9" w14:textId="77777777" w:rsidR="00471761" w:rsidRDefault="00000000">
      <w:pPr>
        <w:ind w:left="-720" w:right="-720"/>
        <w:rPr>
          <w:rFonts w:ascii="Arial" w:eastAsia="Arial" w:hAnsi="Arial" w:cs="Arial"/>
        </w:rPr>
      </w:pPr>
      <w:r>
        <w:br w:type="page"/>
      </w:r>
    </w:p>
    <w:p w14:paraId="16A62661" w14:textId="77777777" w:rsidR="00471761" w:rsidRDefault="00000000">
      <w:pPr>
        <w:pStyle w:val="Heading1"/>
        <w:ind w:left="-720" w:right="-720"/>
        <w:rPr>
          <w:rFonts w:ascii="Arial" w:eastAsia="Arial" w:hAnsi="Arial" w:cs="Arial"/>
          <w:color w:val="000000"/>
          <w:sz w:val="22"/>
          <w:szCs w:val="22"/>
        </w:rPr>
      </w:pPr>
      <w:r>
        <w:rPr>
          <w:rFonts w:ascii="Arial" w:eastAsia="Arial" w:hAnsi="Arial" w:cs="Arial"/>
          <w:color w:val="000000"/>
          <w:sz w:val="22"/>
          <w:szCs w:val="22"/>
        </w:rPr>
        <w:lastRenderedPageBreak/>
        <w:t>Figure S7. Distribution of LRR SD per array group before and after QC</w:t>
      </w:r>
    </w:p>
    <w:p w14:paraId="7F1B02EB" w14:textId="77777777" w:rsidR="00471761" w:rsidRDefault="00471761">
      <w:pPr>
        <w:ind w:left="-720" w:right="-720"/>
      </w:pPr>
    </w:p>
    <w:p w14:paraId="4A4BFB72" w14:textId="77777777" w:rsidR="00471761" w:rsidRDefault="00000000">
      <w:pPr>
        <w:ind w:left="-720" w:right="-720"/>
        <w:rPr>
          <w:rFonts w:ascii="Arial" w:eastAsia="Arial" w:hAnsi="Arial" w:cs="Arial"/>
        </w:rPr>
      </w:pPr>
      <w:r>
        <w:rPr>
          <w:rFonts w:ascii="Arial" w:eastAsia="Arial" w:hAnsi="Arial" w:cs="Arial"/>
          <w:noProof/>
        </w:rPr>
        <w:drawing>
          <wp:inline distT="114300" distB="114300" distL="114300" distR="114300" wp14:anchorId="5047396D" wp14:editId="5772F572">
            <wp:extent cx="5486400" cy="2743200"/>
            <wp:effectExtent l="0" t="0" r="0" b="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5486400" cy="2743200"/>
                    </a:xfrm>
                    <a:prstGeom prst="rect">
                      <a:avLst/>
                    </a:prstGeom>
                    <a:ln/>
                  </pic:spPr>
                </pic:pic>
              </a:graphicData>
            </a:graphic>
          </wp:inline>
        </w:drawing>
      </w:r>
    </w:p>
    <w:p w14:paraId="5FFA1D0D" w14:textId="77777777" w:rsidR="00471761" w:rsidRDefault="00000000">
      <w:pPr>
        <w:ind w:left="-720" w:right="-720"/>
        <w:jc w:val="both"/>
        <w:rPr>
          <w:rFonts w:ascii="Arial" w:eastAsia="Arial" w:hAnsi="Arial" w:cs="Arial"/>
        </w:rPr>
      </w:pPr>
      <w:r>
        <w:rPr>
          <w:rFonts w:ascii="Arial" w:eastAsia="Arial" w:hAnsi="Arial" w:cs="Arial"/>
          <w:b/>
          <w:i/>
        </w:rPr>
        <w:t>Figure</w:t>
      </w:r>
      <w:r>
        <w:rPr>
          <w:rFonts w:ascii="Arial" w:eastAsia="Arial" w:hAnsi="Arial" w:cs="Arial"/>
        </w:rPr>
        <w:t xml:space="preserve"> </w:t>
      </w:r>
      <w:r>
        <w:rPr>
          <w:rFonts w:ascii="Arial" w:eastAsia="Arial" w:hAnsi="Arial" w:cs="Arial"/>
          <w:b/>
          <w:i/>
        </w:rPr>
        <w:t>S7</w:t>
      </w:r>
      <w:r>
        <w:rPr>
          <w:rFonts w:ascii="Arial" w:eastAsia="Arial" w:hAnsi="Arial" w:cs="Arial"/>
        </w:rPr>
        <w:t xml:space="preserve"> shows the distribution of Log R Ratio Standard Deviation (LRR-SD) metrics for each sample, with distributions created for each of the three array groups in the core genotype array dataset (610K, GSA, </w:t>
      </w:r>
      <w:proofErr w:type="spellStart"/>
      <w:r>
        <w:rPr>
          <w:rFonts w:ascii="Arial" w:eastAsia="Arial" w:hAnsi="Arial" w:cs="Arial"/>
        </w:rPr>
        <w:t>OmniExpress</w:t>
      </w:r>
      <w:proofErr w:type="spellEnd"/>
      <w:r>
        <w:rPr>
          <w:rFonts w:ascii="Arial" w:eastAsia="Arial" w:hAnsi="Arial" w:cs="Arial"/>
        </w:rPr>
        <w:t>). Before quality control (left), these distributions have long tails, indicating the presence of low-quality samples with unusually high LRR-SD metrics still in the data. After quality control (right), these outliers are removed, but inherent differences in LRR-SD persist and should be controlled in the analysis by stratifying case/control comparisons according to array group.</w:t>
      </w:r>
    </w:p>
    <w:p w14:paraId="1939775B" w14:textId="77777777" w:rsidR="00471761" w:rsidRDefault="00000000">
      <w:pPr>
        <w:ind w:left="-720" w:right="-720"/>
        <w:rPr>
          <w:rFonts w:ascii="Arial" w:eastAsia="Arial" w:hAnsi="Arial" w:cs="Arial"/>
        </w:rPr>
      </w:pPr>
      <w:r>
        <w:br w:type="page"/>
      </w:r>
    </w:p>
    <w:p w14:paraId="4CA4ACA8" w14:textId="77777777" w:rsidR="00471761" w:rsidRDefault="00000000">
      <w:pPr>
        <w:pStyle w:val="Heading1"/>
        <w:ind w:left="-720" w:right="-720"/>
        <w:rPr>
          <w:rFonts w:ascii="Arial" w:eastAsia="Arial" w:hAnsi="Arial" w:cs="Arial"/>
          <w:color w:val="000000"/>
          <w:sz w:val="22"/>
          <w:szCs w:val="22"/>
        </w:rPr>
      </w:pPr>
      <w:r>
        <w:rPr>
          <w:rFonts w:ascii="Arial" w:eastAsia="Arial" w:hAnsi="Arial" w:cs="Arial"/>
          <w:color w:val="000000"/>
          <w:sz w:val="22"/>
          <w:szCs w:val="22"/>
        </w:rPr>
        <w:lastRenderedPageBreak/>
        <w:t>Figure S8. Mean and standard deviation of LRR SD per sample in each dataset after QC</w:t>
      </w:r>
    </w:p>
    <w:p w14:paraId="648097A0" w14:textId="77777777" w:rsidR="00471761" w:rsidRDefault="00471761">
      <w:pPr>
        <w:ind w:left="-720" w:right="-720"/>
      </w:pPr>
    </w:p>
    <w:p w14:paraId="3445B2DD" w14:textId="77777777" w:rsidR="00471761" w:rsidRDefault="00000000">
      <w:pPr>
        <w:ind w:left="-720" w:right="-720"/>
        <w:rPr>
          <w:rFonts w:ascii="Arial" w:eastAsia="Arial" w:hAnsi="Arial" w:cs="Arial"/>
        </w:rPr>
      </w:pPr>
      <w:r>
        <w:rPr>
          <w:rFonts w:ascii="Arial" w:eastAsia="Arial" w:hAnsi="Arial" w:cs="Arial"/>
          <w:noProof/>
        </w:rPr>
        <w:drawing>
          <wp:inline distT="114300" distB="114300" distL="114300" distR="114300" wp14:anchorId="703EF100" wp14:editId="39B07DFE">
            <wp:extent cx="6419808" cy="3209904"/>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6419808" cy="3209904"/>
                    </a:xfrm>
                    <a:prstGeom prst="rect">
                      <a:avLst/>
                    </a:prstGeom>
                    <a:ln/>
                  </pic:spPr>
                </pic:pic>
              </a:graphicData>
            </a:graphic>
          </wp:inline>
        </w:drawing>
      </w:r>
    </w:p>
    <w:p w14:paraId="70EB84AD" w14:textId="77777777" w:rsidR="00471761" w:rsidRDefault="00000000">
      <w:pPr>
        <w:ind w:left="-720" w:right="-720"/>
        <w:jc w:val="both"/>
        <w:rPr>
          <w:rFonts w:ascii="Arial" w:eastAsia="Arial" w:hAnsi="Arial" w:cs="Arial"/>
        </w:rPr>
      </w:pPr>
      <w:r>
        <w:rPr>
          <w:rFonts w:ascii="Arial" w:eastAsia="Arial" w:hAnsi="Arial" w:cs="Arial"/>
          <w:b/>
          <w:i/>
        </w:rPr>
        <w:t xml:space="preserve">Figure S8. </w:t>
      </w:r>
      <w:r>
        <w:rPr>
          <w:rFonts w:ascii="Arial" w:eastAsia="Arial" w:hAnsi="Arial" w:cs="Arial"/>
        </w:rPr>
        <w:t xml:space="preserve">The mean (dots) and standard deviations (bars) for each included dataset concerning the Log R Ratio Standard Deviation (LRR-SD) metrics, which predict the ‘noisiness’ of data for each sample and the subsequent ability to accurately call CNVs. We generally observe that some datasets, such as WTCCC2, exhibit higher LRR-SD metrics than others. Additionally, we find that the Illumina 610K datasets tend to display higher LRR-SD metrics compared to others, which aligns with the fact that these arrays and their subsequent data are older and of lower quality. </w:t>
      </w:r>
    </w:p>
    <w:p w14:paraId="164DCA20" w14:textId="77777777" w:rsidR="00471761" w:rsidRDefault="00471761">
      <w:pPr>
        <w:ind w:left="-720" w:right="-720"/>
        <w:rPr>
          <w:rFonts w:ascii="Arial" w:eastAsia="Arial" w:hAnsi="Arial" w:cs="Arial"/>
        </w:rPr>
      </w:pPr>
    </w:p>
    <w:p w14:paraId="414FE90B" w14:textId="77777777" w:rsidR="00471761" w:rsidRDefault="00000000">
      <w:pPr>
        <w:pStyle w:val="Heading1"/>
        <w:ind w:left="-720" w:right="-720"/>
        <w:rPr>
          <w:rFonts w:ascii="Arial" w:eastAsia="Arial" w:hAnsi="Arial" w:cs="Arial"/>
        </w:rPr>
      </w:pPr>
      <w:r>
        <w:br w:type="page"/>
      </w:r>
    </w:p>
    <w:p w14:paraId="31AC2669" w14:textId="77777777" w:rsidR="00471761" w:rsidRDefault="00000000">
      <w:pPr>
        <w:pStyle w:val="Heading1"/>
        <w:ind w:left="-720" w:right="-720"/>
        <w:rPr>
          <w:rFonts w:ascii="Arial" w:eastAsia="Arial" w:hAnsi="Arial" w:cs="Arial"/>
          <w:color w:val="000000"/>
          <w:sz w:val="22"/>
          <w:szCs w:val="22"/>
        </w:rPr>
      </w:pPr>
      <w:r>
        <w:rPr>
          <w:rFonts w:ascii="Arial" w:eastAsia="Arial" w:hAnsi="Arial" w:cs="Arial"/>
          <w:color w:val="000000"/>
          <w:sz w:val="22"/>
          <w:szCs w:val="22"/>
        </w:rPr>
        <w:lastRenderedPageBreak/>
        <w:t>Figure S9. Burden in cases versus controls of CNVs stratified by size</w:t>
      </w:r>
    </w:p>
    <w:p w14:paraId="344A54B3" w14:textId="77777777" w:rsidR="00471761" w:rsidRDefault="00471761">
      <w:pPr>
        <w:ind w:left="-720" w:right="-720"/>
      </w:pPr>
    </w:p>
    <w:p w14:paraId="22A0269A" w14:textId="77777777" w:rsidR="00471761" w:rsidRDefault="00000000">
      <w:pPr>
        <w:ind w:left="-720" w:right="-720"/>
        <w:rPr>
          <w:rFonts w:ascii="Arial" w:eastAsia="Arial" w:hAnsi="Arial" w:cs="Arial"/>
        </w:rPr>
      </w:pPr>
      <w:r>
        <w:rPr>
          <w:rFonts w:ascii="Arial" w:eastAsia="Arial" w:hAnsi="Arial" w:cs="Arial"/>
          <w:noProof/>
        </w:rPr>
        <w:drawing>
          <wp:inline distT="0" distB="0" distL="114300" distR="114300" wp14:anchorId="42DE4FD1" wp14:editId="65A8D6E5">
            <wp:extent cx="5486400" cy="4389120"/>
            <wp:effectExtent l="0" t="0" r="0" b="0"/>
            <wp:docPr id="2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5486400" cy="4389120"/>
                    </a:xfrm>
                    <a:prstGeom prst="rect">
                      <a:avLst/>
                    </a:prstGeom>
                    <a:ln/>
                  </pic:spPr>
                </pic:pic>
              </a:graphicData>
            </a:graphic>
          </wp:inline>
        </w:drawing>
      </w:r>
    </w:p>
    <w:p w14:paraId="74F5B809" w14:textId="77777777" w:rsidR="00471761" w:rsidRDefault="00000000">
      <w:pPr>
        <w:ind w:left="-720" w:right="-720"/>
        <w:jc w:val="both"/>
        <w:rPr>
          <w:rFonts w:ascii="Arial" w:eastAsia="Arial" w:hAnsi="Arial" w:cs="Arial"/>
        </w:rPr>
      </w:pPr>
      <w:r>
        <w:rPr>
          <w:rFonts w:ascii="Arial" w:eastAsia="Arial" w:hAnsi="Arial" w:cs="Arial"/>
          <w:b/>
          <w:i/>
        </w:rPr>
        <w:t xml:space="preserve">Figure S9. </w:t>
      </w:r>
      <w:r>
        <w:rPr>
          <w:rFonts w:ascii="Arial" w:eastAsia="Arial" w:hAnsi="Arial" w:cs="Arial"/>
        </w:rPr>
        <w:t>Association between CNV burden, categorized by CNV size, and TS case status. The odds ratio for the association test estimate is represented by dots and the 95% confidence interval for the estimate indicated by bars. Consistent with the findings described by Huang et al., cases exhibit an increased burden of CNVs larger than 1 MB in size.</w:t>
      </w:r>
    </w:p>
    <w:p w14:paraId="11A22629" w14:textId="77777777" w:rsidR="00471761" w:rsidRDefault="00000000">
      <w:pPr>
        <w:ind w:left="-720" w:right="-720"/>
        <w:rPr>
          <w:rFonts w:ascii="Arial" w:eastAsia="Arial" w:hAnsi="Arial" w:cs="Arial"/>
        </w:rPr>
      </w:pPr>
      <w:r>
        <w:br w:type="page"/>
      </w:r>
    </w:p>
    <w:p w14:paraId="149EB429" w14:textId="77777777" w:rsidR="00471761" w:rsidRDefault="00000000">
      <w:pPr>
        <w:pStyle w:val="Heading1"/>
        <w:ind w:left="-720" w:right="-720"/>
        <w:rPr>
          <w:rFonts w:ascii="Arial" w:eastAsia="Arial" w:hAnsi="Arial" w:cs="Arial"/>
          <w:color w:val="000000"/>
          <w:sz w:val="22"/>
          <w:szCs w:val="22"/>
        </w:rPr>
      </w:pPr>
      <w:r>
        <w:rPr>
          <w:rFonts w:ascii="Arial" w:eastAsia="Arial" w:hAnsi="Arial" w:cs="Arial"/>
          <w:color w:val="000000"/>
          <w:sz w:val="22"/>
          <w:szCs w:val="22"/>
        </w:rPr>
        <w:lastRenderedPageBreak/>
        <w:t>Figure S10. Burden in cases versus controls of CNVs stratified by frequency</w:t>
      </w:r>
    </w:p>
    <w:p w14:paraId="27724464" w14:textId="77777777" w:rsidR="00471761" w:rsidRDefault="00471761">
      <w:pPr>
        <w:ind w:left="-720" w:right="-720"/>
      </w:pPr>
    </w:p>
    <w:p w14:paraId="65B66C58" w14:textId="77777777" w:rsidR="00471761" w:rsidRDefault="00000000">
      <w:pPr>
        <w:ind w:left="-720" w:right="-720"/>
        <w:rPr>
          <w:rFonts w:ascii="Arial" w:eastAsia="Arial" w:hAnsi="Arial" w:cs="Arial"/>
        </w:rPr>
      </w:pPr>
      <w:r>
        <w:rPr>
          <w:rFonts w:ascii="Arial" w:eastAsia="Arial" w:hAnsi="Arial" w:cs="Arial"/>
          <w:noProof/>
        </w:rPr>
        <w:drawing>
          <wp:inline distT="0" distB="0" distL="114300" distR="114300" wp14:anchorId="19490475" wp14:editId="213CBA3F">
            <wp:extent cx="5486400" cy="4389120"/>
            <wp:effectExtent l="0" t="0" r="0" b="0"/>
            <wp:docPr id="2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a:srcRect/>
                    <a:stretch>
                      <a:fillRect/>
                    </a:stretch>
                  </pic:blipFill>
                  <pic:spPr>
                    <a:xfrm>
                      <a:off x="0" y="0"/>
                      <a:ext cx="5486400" cy="4389120"/>
                    </a:xfrm>
                    <a:prstGeom prst="rect">
                      <a:avLst/>
                    </a:prstGeom>
                    <a:ln/>
                  </pic:spPr>
                </pic:pic>
              </a:graphicData>
            </a:graphic>
          </wp:inline>
        </w:drawing>
      </w:r>
    </w:p>
    <w:p w14:paraId="226758C4" w14:textId="77777777" w:rsidR="00471761" w:rsidRDefault="00000000">
      <w:pPr>
        <w:ind w:left="-720" w:right="-720"/>
        <w:jc w:val="both"/>
        <w:rPr>
          <w:rFonts w:ascii="Arial" w:eastAsia="Arial" w:hAnsi="Arial" w:cs="Arial"/>
        </w:rPr>
      </w:pPr>
      <w:r>
        <w:rPr>
          <w:rFonts w:ascii="Arial" w:eastAsia="Arial" w:hAnsi="Arial" w:cs="Arial"/>
          <w:b/>
          <w:i/>
        </w:rPr>
        <w:t xml:space="preserve">Figure S10. </w:t>
      </w:r>
      <w:r>
        <w:rPr>
          <w:rFonts w:ascii="Arial" w:eastAsia="Arial" w:hAnsi="Arial" w:cs="Arial"/>
        </w:rPr>
        <w:t xml:space="preserve">Association between TS case status and the burden of CNVs categorized by rarity. The points represent the odds ratio estimate from association tests, while the bars indicate the 95% confidence interval for the odds ratio estimate. We do not observe an increased burden in cases for singleton CNVs that exist in only one sample within the primary case/control cohort. </w:t>
      </w:r>
    </w:p>
    <w:p w14:paraId="71C52726" w14:textId="77777777" w:rsidR="00471761" w:rsidRDefault="00471761">
      <w:pPr>
        <w:ind w:left="-720" w:right="-720"/>
        <w:rPr>
          <w:rFonts w:ascii="Arial" w:eastAsia="Arial" w:hAnsi="Arial" w:cs="Arial"/>
        </w:rPr>
      </w:pPr>
    </w:p>
    <w:p w14:paraId="337BD5BD" w14:textId="77777777" w:rsidR="00471761" w:rsidRDefault="00000000">
      <w:pPr>
        <w:pStyle w:val="Heading1"/>
        <w:ind w:left="-720" w:right="-720"/>
        <w:rPr>
          <w:rFonts w:ascii="Arial" w:eastAsia="Arial" w:hAnsi="Arial" w:cs="Arial"/>
        </w:rPr>
      </w:pPr>
      <w:bookmarkStart w:id="1" w:name="_heading=h.k4n97o5bhj3y" w:colFirst="0" w:colLast="0"/>
      <w:bookmarkEnd w:id="1"/>
      <w:r>
        <w:br w:type="page"/>
      </w:r>
    </w:p>
    <w:p w14:paraId="30C393F2" w14:textId="77777777" w:rsidR="00471761" w:rsidRDefault="00000000">
      <w:pPr>
        <w:pStyle w:val="Heading1"/>
        <w:ind w:left="-720" w:right="-720"/>
        <w:rPr>
          <w:rFonts w:ascii="Arial" w:eastAsia="Arial" w:hAnsi="Arial" w:cs="Arial"/>
          <w:color w:val="000000"/>
          <w:sz w:val="22"/>
          <w:szCs w:val="22"/>
        </w:rPr>
      </w:pPr>
      <w:bookmarkStart w:id="2" w:name="_heading=h.2ieqnms2927k" w:colFirst="0" w:colLast="0"/>
      <w:bookmarkEnd w:id="2"/>
      <w:r>
        <w:rPr>
          <w:rFonts w:ascii="Arial" w:eastAsia="Arial" w:hAnsi="Arial" w:cs="Arial"/>
          <w:color w:val="000000"/>
          <w:sz w:val="22"/>
          <w:szCs w:val="22"/>
        </w:rPr>
        <w:lastRenderedPageBreak/>
        <w:t>Figure S11. Burden of non-genic and genic deletions and duplications in cases versus controls</w:t>
      </w:r>
    </w:p>
    <w:p w14:paraId="5A0F6E0C" w14:textId="77777777" w:rsidR="00471761" w:rsidRDefault="00000000">
      <w:pPr>
        <w:ind w:left="-720" w:right="-720"/>
      </w:pPr>
      <w:r>
        <w:rPr>
          <w:rFonts w:ascii="Arial" w:eastAsia="Arial" w:hAnsi="Arial" w:cs="Arial"/>
          <w:noProof/>
        </w:rPr>
        <w:drawing>
          <wp:inline distT="0" distB="0" distL="114300" distR="114300" wp14:anchorId="31C1D024" wp14:editId="735AB2F7">
            <wp:extent cx="5486400" cy="4389120"/>
            <wp:effectExtent l="0" t="0" r="0" b="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5486400" cy="4389120"/>
                    </a:xfrm>
                    <a:prstGeom prst="rect">
                      <a:avLst/>
                    </a:prstGeom>
                    <a:ln/>
                  </pic:spPr>
                </pic:pic>
              </a:graphicData>
            </a:graphic>
          </wp:inline>
        </w:drawing>
      </w:r>
    </w:p>
    <w:p w14:paraId="1CFDB8F9" w14:textId="77777777" w:rsidR="00471761" w:rsidRDefault="00471761">
      <w:pPr>
        <w:ind w:left="-720" w:right="-720"/>
        <w:rPr>
          <w:rFonts w:ascii="Arial" w:eastAsia="Arial" w:hAnsi="Arial" w:cs="Arial"/>
        </w:rPr>
      </w:pPr>
    </w:p>
    <w:p w14:paraId="4CADF08A" w14:textId="77777777" w:rsidR="00471761" w:rsidRDefault="00000000">
      <w:pPr>
        <w:ind w:left="-720" w:right="-720"/>
        <w:jc w:val="both"/>
        <w:rPr>
          <w:rFonts w:ascii="Arial" w:eastAsia="Arial" w:hAnsi="Arial" w:cs="Arial"/>
        </w:rPr>
      </w:pPr>
      <w:r>
        <w:rPr>
          <w:rFonts w:ascii="Arial" w:eastAsia="Arial" w:hAnsi="Arial" w:cs="Arial"/>
          <w:b/>
          <w:i/>
        </w:rPr>
        <w:t xml:space="preserve">Figure S11. </w:t>
      </w:r>
      <w:r>
        <w:rPr>
          <w:rFonts w:ascii="Arial" w:eastAsia="Arial" w:hAnsi="Arial" w:cs="Arial"/>
        </w:rPr>
        <w:t xml:space="preserve">Association between case status and the burden of non-genic and genic CNVs. As with earlier figures, dots represent odds ratio estimates for the association, and bars illustrate the 95% confidence interval for these estimates. We define CNVs as genic if they overlap with at least one annotated protein-coding base and as non-genic if they do not overlap with any protein-coding base. Consistent with Huang et al., there is no evidence of a burden of non-genic CNVs in cases, but there is evidence of an excess of genic CNVs in cases compared to controls. </w:t>
      </w:r>
    </w:p>
    <w:p w14:paraId="47F1ADEE" w14:textId="77777777" w:rsidR="00471761" w:rsidRDefault="00000000">
      <w:pPr>
        <w:ind w:left="-720" w:right="-720"/>
        <w:rPr>
          <w:rFonts w:ascii="Arial" w:eastAsia="Arial" w:hAnsi="Arial" w:cs="Arial"/>
        </w:rPr>
      </w:pPr>
      <w:r>
        <w:br w:type="page"/>
      </w:r>
    </w:p>
    <w:p w14:paraId="1DAA6E76" w14:textId="77777777" w:rsidR="00471761" w:rsidRDefault="00000000">
      <w:pPr>
        <w:pStyle w:val="Heading1"/>
        <w:ind w:left="-720" w:right="-720"/>
        <w:rPr>
          <w:rFonts w:ascii="Arial" w:eastAsia="Arial" w:hAnsi="Arial" w:cs="Arial"/>
          <w:color w:val="000000"/>
          <w:sz w:val="22"/>
          <w:szCs w:val="22"/>
        </w:rPr>
      </w:pPr>
      <w:r>
        <w:rPr>
          <w:rFonts w:ascii="Arial" w:eastAsia="Arial" w:hAnsi="Arial" w:cs="Arial"/>
          <w:color w:val="000000"/>
          <w:sz w:val="22"/>
          <w:szCs w:val="22"/>
        </w:rPr>
        <w:lastRenderedPageBreak/>
        <w:t xml:space="preserve">Figure S12. Burden in cases versus controls of CNVs impacting putatively </w:t>
      </w:r>
      <w:proofErr w:type="spellStart"/>
      <w:r>
        <w:rPr>
          <w:rFonts w:ascii="Arial" w:eastAsia="Arial" w:hAnsi="Arial" w:cs="Arial"/>
          <w:color w:val="000000"/>
          <w:sz w:val="22"/>
          <w:szCs w:val="22"/>
        </w:rPr>
        <w:t>haplosensitive</w:t>
      </w:r>
      <w:proofErr w:type="spellEnd"/>
      <w:r>
        <w:rPr>
          <w:rFonts w:ascii="Arial" w:eastAsia="Arial" w:hAnsi="Arial" w:cs="Arial"/>
          <w:color w:val="000000"/>
          <w:sz w:val="22"/>
          <w:szCs w:val="22"/>
        </w:rPr>
        <w:t xml:space="preserve"> and </w:t>
      </w:r>
      <w:proofErr w:type="spellStart"/>
      <w:r>
        <w:rPr>
          <w:rFonts w:ascii="Arial" w:eastAsia="Arial" w:hAnsi="Arial" w:cs="Arial"/>
          <w:color w:val="000000"/>
          <w:sz w:val="22"/>
          <w:szCs w:val="22"/>
        </w:rPr>
        <w:t>triplosensitive</w:t>
      </w:r>
      <w:proofErr w:type="spellEnd"/>
      <w:r>
        <w:rPr>
          <w:rFonts w:ascii="Arial" w:eastAsia="Arial" w:hAnsi="Arial" w:cs="Arial"/>
          <w:color w:val="000000"/>
          <w:sz w:val="22"/>
          <w:szCs w:val="22"/>
        </w:rPr>
        <w:t xml:space="preserve"> genes</w:t>
      </w:r>
    </w:p>
    <w:p w14:paraId="2E5C6708" w14:textId="77777777" w:rsidR="00471761" w:rsidRDefault="00471761">
      <w:pPr>
        <w:ind w:left="-720" w:right="-720"/>
      </w:pPr>
    </w:p>
    <w:p w14:paraId="29E9604B" w14:textId="77777777" w:rsidR="00471761" w:rsidRDefault="00000000">
      <w:pPr>
        <w:ind w:left="-720" w:right="-720"/>
        <w:rPr>
          <w:rFonts w:ascii="Arial" w:eastAsia="Arial" w:hAnsi="Arial" w:cs="Arial"/>
        </w:rPr>
      </w:pPr>
      <w:r>
        <w:rPr>
          <w:rFonts w:ascii="Arial" w:eastAsia="Arial" w:hAnsi="Arial" w:cs="Arial"/>
          <w:noProof/>
        </w:rPr>
        <w:drawing>
          <wp:inline distT="0" distB="0" distL="114300" distR="114300" wp14:anchorId="7990AF47" wp14:editId="3EA1393E">
            <wp:extent cx="5486400" cy="4389120"/>
            <wp:effectExtent l="0" t="0" r="0" b="0"/>
            <wp:docPr id="2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5486400" cy="4389120"/>
                    </a:xfrm>
                    <a:prstGeom prst="rect">
                      <a:avLst/>
                    </a:prstGeom>
                    <a:ln/>
                  </pic:spPr>
                </pic:pic>
              </a:graphicData>
            </a:graphic>
          </wp:inline>
        </w:drawing>
      </w:r>
    </w:p>
    <w:p w14:paraId="791FF489" w14:textId="77777777" w:rsidR="00471761" w:rsidRDefault="00000000">
      <w:pPr>
        <w:ind w:left="-720" w:right="-720"/>
        <w:jc w:val="both"/>
        <w:rPr>
          <w:rFonts w:ascii="Arial" w:eastAsia="Arial" w:hAnsi="Arial" w:cs="Arial"/>
        </w:rPr>
      </w:pPr>
      <w:r>
        <w:rPr>
          <w:rFonts w:ascii="Arial" w:eastAsia="Arial" w:hAnsi="Arial" w:cs="Arial"/>
          <w:b/>
          <w:i/>
        </w:rPr>
        <w:t xml:space="preserve">Figure S12. </w:t>
      </w:r>
      <w:r>
        <w:rPr>
          <w:rFonts w:ascii="Arial" w:eastAsia="Arial" w:hAnsi="Arial" w:cs="Arial"/>
        </w:rPr>
        <w:t xml:space="preserve">Association between case status and the burden of genic CNVs, categorized by the effect of </w:t>
      </w:r>
      <w:proofErr w:type="spellStart"/>
      <w:r>
        <w:rPr>
          <w:rFonts w:ascii="Arial" w:eastAsia="Arial" w:hAnsi="Arial" w:cs="Arial"/>
        </w:rPr>
        <w:t>haplosensitive</w:t>
      </w:r>
      <w:proofErr w:type="spellEnd"/>
      <w:r>
        <w:rPr>
          <w:rFonts w:ascii="Arial" w:eastAsia="Arial" w:hAnsi="Arial" w:cs="Arial"/>
        </w:rPr>
        <w:t xml:space="preserve"> and </w:t>
      </w:r>
      <w:proofErr w:type="spellStart"/>
      <w:r>
        <w:rPr>
          <w:rFonts w:ascii="Arial" w:eastAsia="Arial" w:hAnsi="Arial" w:cs="Arial"/>
        </w:rPr>
        <w:t>triplosensitive</w:t>
      </w:r>
      <w:proofErr w:type="spellEnd"/>
      <w:r>
        <w:rPr>
          <w:rFonts w:ascii="Arial" w:eastAsia="Arial" w:hAnsi="Arial" w:cs="Arial"/>
        </w:rPr>
        <w:t xml:space="preserve"> genes as defined by Collins et al. (PMID </w:t>
      </w:r>
      <w:r>
        <w:rPr>
          <w:rFonts w:ascii="Roboto" w:eastAsia="Roboto" w:hAnsi="Roboto" w:cs="Roboto"/>
          <w:color w:val="212121"/>
        </w:rPr>
        <w:t>35917817)</w:t>
      </w:r>
      <w:r>
        <w:rPr>
          <w:rFonts w:ascii="Arial" w:eastAsia="Arial" w:hAnsi="Arial" w:cs="Arial"/>
        </w:rPr>
        <w:t xml:space="preserve">. As before, odds ratio estimates are represented with dots, while 95% confidence intervals for these estimates are indicated with bars. The most significant case excess arises specifically from the category of genic deletions affecting at least one </w:t>
      </w:r>
      <w:proofErr w:type="spellStart"/>
      <w:r>
        <w:rPr>
          <w:rFonts w:ascii="Arial" w:eastAsia="Arial" w:hAnsi="Arial" w:cs="Arial"/>
        </w:rPr>
        <w:t>haplosensitive</w:t>
      </w:r>
      <w:proofErr w:type="spellEnd"/>
      <w:r>
        <w:rPr>
          <w:rFonts w:ascii="Arial" w:eastAsia="Arial" w:hAnsi="Arial" w:cs="Arial"/>
        </w:rPr>
        <w:t xml:space="preserve"> gene, consistent with other findings that use </w:t>
      </w:r>
      <w:proofErr w:type="spellStart"/>
      <w:r>
        <w:rPr>
          <w:rFonts w:ascii="Arial" w:eastAsia="Arial" w:hAnsi="Arial" w:cs="Arial"/>
        </w:rPr>
        <w:t>pLI</w:t>
      </w:r>
      <w:proofErr w:type="spellEnd"/>
      <w:r>
        <w:rPr>
          <w:rFonts w:ascii="Arial" w:eastAsia="Arial" w:hAnsi="Arial" w:cs="Arial"/>
        </w:rPr>
        <w:t xml:space="preserve"> for categorization.  </w:t>
      </w:r>
    </w:p>
    <w:p w14:paraId="59F51D0F" w14:textId="77777777" w:rsidR="00471761" w:rsidRDefault="00471761">
      <w:pPr>
        <w:ind w:left="-720" w:right="-720"/>
        <w:rPr>
          <w:rFonts w:ascii="Arial" w:eastAsia="Arial" w:hAnsi="Arial" w:cs="Arial"/>
        </w:rPr>
      </w:pPr>
    </w:p>
    <w:p w14:paraId="2B68BADE" w14:textId="77777777" w:rsidR="00471761" w:rsidRDefault="00471761">
      <w:pPr>
        <w:ind w:left="-720" w:right="-720"/>
        <w:rPr>
          <w:rFonts w:ascii="Arial" w:eastAsia="Arial" w:hAnsi="Arial" w:cs="Arial"/>
        </w:rPr>
      </w:pPr>
    </w:p>
    <w:p w14:paraId="6BD59822" w14:textId="77777777" w:rsidR="00471761" w:rsidRDefault="00000000">
      <w:pPr>
        <w:ind w:left="-720" w:right="-720"/>
        <w:rPr>
          <w:rFonts w:ascii="Arial" w:eastAsia="Arial" w:hAnsi="Arial" w:cs="Arial"/>
          <w:b/>
        </w:rPr>
      </w:pPr>
      <w:r>
        <w:br w:type="page"/>
      </w:r>
    </w:p>
    <w:p w14:paraId="7C3A471C" w14:textId="77777777" w:rsidR="00471761" w:rsidRDefault="00000000">
      <w:pPr>
        <w:ind w:left="-720" w:right="-720"/>
        <w:rPr>
          <w:rFonts w:ascii="Arial" w:eastAsia="Arial" w:hAnsi="Arial" w:cs="Arial"/>
          <w:b/>
        </w:rPr>
      </w:pPr>
      <w:r>
        <w:rPr>
          <w:rFonts w:ascii="Arial" w:eastAsia="Arial" w:hAnsi="Arial" w:cs="Arial"/>
          <w:b/>
        </w:rPr>
        <w:lastRenderedPageBreak/>
        <w:t>Figure S13. 17q12 CNV breakpoints</w:t>
      </w:r>
    </w:p>
    <w:p w14:paraId="62C6F9A0" w14:textId="77777777" w:rsidR="00471761" w:rsidRDefault="00471761">
      <w:pPr>
        <w:ind w:left="-720" w:right="-720"/>
        <w:rPr>
          <w:rFonts w:ascii="Arial" w:eastAsia="Arial" w:hAnsi="Arial" w:cs="Arial"/>
          <w:b/>
        </w:rPr>
      </w:pPr>
    </w:p>
    <w:p w14:paraId="06636418" w14:textId="77777777" w:rsidR="00471761" w:rsidRDefault="00000000">
      <w:pPr>
        <w:ind w:left="-720" w:right="-720"/>
        <w:rPr>
          <w:rFonts w:ascii="Arial" w:eastAsia="Arial" w:hAnsi="Arial" w:cs="Arial"/>
          <w:b/>
        </w:rPr>
      </w:pPr>
      <w:r>
        <w:rPr>
          <w:rFonts w:ascii="Arial" w:eastAsia="Arial" w:hAnsi="Arial" w:cs="Arial"/>
          <w:b/>
          <w:noProof/>
        </w:rPr>
        <w:drawing>
          <wp:inline distT="114300" distB="114300" distL="114300" distR="114300" wp14:anchorId="4A1DE281" wp14:editId="778746AD">
            <wp:extent cx="6885396" cy="3096037"/>
            <wp:effectExtent l="0" t="0" r="0" b="0"/>
            <wp:docPr id="2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a:stretch>
                      <a:fillRect/>
                    </a:stretch>
                  </pic:blipFill>
                  <pic:spPr>
                    <a:xfrm>
                      <a:off x="0" y="0"/>
                      <a:ext cx="6885396" cy="3096037"/>
                    </a:xfrm>
                    <a:prstGeom prst="rect">
                      <a:avLst/>
                    </a:prstGeom>
                    <a:ln/>
                  </pic:spPr>
                </pic:pic>
              </a:graphicData>
            </a:graphic>
          </wp:inline>
        </w:drawing>
      </w:r>
    </w:p>
    <w:p w14:paraId="2E038E96" w14:textId="77777777" w:rsidR="00471761" w:rsidRDefault="00000000">
      <w:pPr>
        <w:ind w:left="-720" w:right="-720"/>
        <w:jc w:val="both"/>
        <w:rPr>
          <w:rFonts w:ascii="Arial" w:eastAsia="Arial" w:hAnsi="Arial" w:cs="Arial"/>
        </w:rPr>
      </w:pPr>
      <w:r>
        <w:rPr>
          <w:rFonts w:ascii="Arial" w:eastAsia="Arial" w:hAnsi="Arial" w:cs="Arial"/>
          <w:b/>
          <w:i/>
        </w:rPr>
        <w:t>Figure</w:t>
      </w:r>
      <w:r>
        <w:rPr>
          <w:rFonts w:ascii="Arial" w:eastAsia="Arial" w:hAnsi="Arial" w:cs="Arial"/>
        </w:rPr>
        <w:t xml:space="preserve"> </w:t>
      </w:r>
      <w:r>
        <w:rPr>
          <w:rFonts w:ascii="Arial" w:eastAsia="Arial" w:hAnsi="Arial" w:cs="Arial"/>
          <w:b/>
          <w:i/>
        </w:rPr>
        <w:t>S13.</w:t>
      </w:r>
      <w:r>
        <w:rPr>
          <w:rFonts w:ascii="Arial" w:eastAsia="Arial" w:hAnsi="Arial" w:cs="Arial"/>
        </w:rPr>
        <w:t xml:space="preserve"> 17q12 CNV breakpoints and locus-based association test results. Blue bars represent the coordinates of duplications, while red bars represent deletions. One 110 kb duplication affects only the </w:t>
      </w:r>
      <w:r>
        <w:rPr>
          <w:rFonts w:ascii="Arial" w:eastAsia="Arial" w:hAnsi="Arial" w:cs="Arial"/>
          <w:i/>
        </w:rPr>
        <w:t>ACACA</w:t>
      </w:r>
      <w:r>
        <w:rPr>
          <w:rFonts w:ascii="Arial" w:eastAsia="Arial" w:hAnsi="Arial" w:cs="Arial"/>
        </w:rPr>
        <w:t xml:space="preserve"> gene, resulting in slightly higher significance in gene-based tests compared to the other 14 surrounding genes.</w:t>
      </w:r>
    </w:p>
    <w:p w14:paraId="5981EE3A" w14:textId="77777777" w:rsidR="00471761" w:rsidRDefault="00471761">
      <w:pPr>
        <w:ind w:left="-720" w:right="-720"/>
        <w:jc w:val="both"/>
        <w:rPr>
          <w:rFonts w:ascii="Arial" w:eastAsia="Arial" w:hAnsi="Arial" w:cs="Arial"/>
        </w:rPr>
      </w:pPr>
    </w:p>
    <w:p w14:paraId="689D09D3" w14:textId="77777777" w:rsidR="00471761" w:rsidRDefault="00471761">
      <w:pPr>
        <w:ind w:left="-720" w:right="-720"/>
        <w:rPr>
          <w:rFonts w:ascii="Arial" w:eastAsia="Arial" w:hAnsi="Arial" w:cs="Arial"/>
          <w:b/>
        </w:rPr>
      </w:pPr>
    </w:p>
    <w:p w14:paraId="6B8ECCED" w14:textId="77777777" w:rsidR="00471761" w:rsidRDefault="00471761">
      <w:pPr>
        <w:ind w:left="-720" w:right="-720"/>
        <w:rPr>
          <w:rFonts w:ascii="Arial" w:eastAsia="Arial" w:hAnsi="Arial" w:cs="Arial"/>
          <w:b/>
        </w:rPr>
      </w:pPr>
    </w:p>
    <w:p w14:paraId="605881CD" w14:textId="77777777" w:rsidR="00471761" w:rsidRDefault="00471761">
      <w:pPr>
        <w:ind w:left="-720" w:right="-720"/>
        <w:rPr>
          <w:rFonts w:ascii="Arial" w:eastAsia="Arial" w:hAnsi="Arial" w:cs="Arial"/>
          <w:b/>
        </w:rPr>
      </w:pPr>
    </w:p>
    <w:p w14:paraId="3E789048" w14:textId="77777777" w:rsidR="00471761" w:rsidRDefault="00471761">
      <w:pPr>
        <w:ind w:left="-720" w:right="-720"/>
        <w:rPr>
          <w:rFonts w:ascii="Arial" w:eastAsia="Arial" w:hAnsi="Arial" w:cs="Arial"/>
          <w:b/>
        </w:rPr>
      </w:pPr>
    </w:p>
    <w:p w14:paraId="3243E8D5" w14:textId="77777777" w:rsidR="00471761" w:rsidRDefault="00471761">
      <w:pPr>
        <w:ind w:left="-720" w:right="-720"/>
        <w:rPr>
          <w:rFonts w:ascii="Arial" w:eastAsia="Arial" w:hAnsi="Arial" w:cs="Arial"/>
          <w:b/>
        </w:rPr>
      </w:pPr>
    </w:p>
    <w:p w14:paraId="72480293" w14:textId="77777777" w:rsidR="00471761" w:rsidRDefault="00471761">
      <w:pPr>
        <w:ind w:left="-720" w:right="-720"/>
        <w:rPr>
          <w:rFonts w:ascii="Arial" w:eastAsia="Arial" w:hAnsi="Arial" w:cs="Arial"/>
          <w:b/>
        </w:rPr>
      </w:pPr>
    </w:p>
    <w:p w14:paraId="4F97C161" w14:textId="77777777" w:rsidR="00471761" w:rsidRDefault="00471761">
      <w:pPr>
        <w:ind w:left="-720" w:right="-720"/>
        <w:rPr>
          <w:rFonts w:ascii="Arial" w:eastAsia="Arial" w:hAnsi="Arial" w:cs="Arial"/>
          <w:b/>
        </w:rPr>
      </w:pPr>
    </w:p>
    <w:p w14:paraId="0BE2895F" w14:textId="77777777" w:rsidR="00471761" w:rsidRDefault="00471761">
      <w:pPr>
        <w:ind w:left="-720" w:right="-720"/>
        <w:rPr>
          <w:rFonts w:ascii="Arial" w:eastAsia="Arial" w:hAnsi="Arial" w:cs="Arial"/>
          <w:b/>
        </w:rPr>
      </w:pPr>
    </w:p>
    <w:p w14:paraId="0CBCC0E8" w14:textId="77777777" w:rsidR="00471761" w:rsidRDefault="00471761">
      <w:pPr>
        <w:ind w:left="-720" w:right="-720"/>
        <w:rPr>
          <w:rFonts w:ascii="Arial" w:eastAsia="Arial" w:hAnsi="Arial" w:cs="Arial"/>
          <w:b/>
        </w:rPr>
      </w:pPr>
    </w:p>
    <w:p w14:paraId="40412B05" w14:textId="77777777" w:rsidR="00471761" w:rsidRDefault="00471761">
      <w:pPr>
        <w:ind w:left="-720" w:right="-720"/>
        <w:rPr>
          <w:rFonts w:ascii="Arial" w:eastAsia="Arial" w:hAnsi="Arial" w:cs="Arial"/>
          <w:b/>
        </w:rPr>
      </w:pPr>
    </w:p>
    <w:p w14:paraId="1F1C3523" w14:textId="77777777" w:rsidR="00471761" w:rsidRDefault="00000000">
      <w:pPr>
        <w:ind w:left="-720" w:right="-720"/>
        <w:rPr>
          <w:rFonts w:ascii="Arial" w:eastAsia="Arial" w:hAnsi="Arial" w:cs="Arial"/>
          <w:b/>
        </w:rPr>
      </w:pPr>
      <w:r>
        <w:rPr>
          <w:rFonts w:ascii="Arial" w:eastAsia="Arial" w:hAnsi="Arial" w:cs="Arial"/>
          <w:b/>
        </w:rPr>
        <w:lastRenderedPageBreak/>
        <w:t>Figure S14. ACACA gene expression</w:t>
      </w:r>
    </w:p>
    <w:p w14:paraId="182F3CC9" w14:textId="77777777" w:rsidR="00471761" w:rsidRDefault="00000000">
      <w:pPr>
        <w:ind w:left="-720" w:right="-720"/>
        <w:rPr>
          <w:rFonts w:ascii="Arial" w:eastAsia="Arial" w:hAnsi="Arial" w:cs="Arial"/>
          <w:b/>
        </w:rPr>
      </w:pPr>
      <w:r>
        <w:rPr>
          <w:rFonts w:ascii="Arial" w:eastAsia="Arial" w:hAnsi="Arial" w:cs="Arial"/>
          <w:b/>
          <w:noProof/>
        </w:rPr>
        <w:drawing>
          <wp:inline distT="114300" distB="114300" distL="114300" distR="114300" wp14:anchorId="1BAF568F" wp14:editId="30985B3B">
            <wp:extent cx="5486400" cy="4889500"/>
            <wp:effectExtent l="0" t="0" r="0" b="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1"/>
                    <a:srcRect/>
                    <a:stretch>
                      <a:fillRect/>
                    </a:stretch>
                  </pic:blipFill>
                  <pic:spPr>
                    <a:xfrm>
                      <a:off x="0" y="0"/>
                      <a:ext cx="5486400" cy="4889500"/>
                    </a:xfrm>
                    <a:prstGeom prst="rect">
                      <a:avLst/>
                    </a:prstGeom>
                    <a:ln/>
                  </pic:spPr>
                </pic:pic>
              </a:graphicData>
            </a:graphic>
          </wp:inline>
        </w:drawing>
      </w:r>
    </w:p>
    <w:p w14:paraId="673B9FEB" w14:textId="77777777" w:rsidR="00471761" w:rsidRDefault="00000000">
      <w:pPr>
        <w:ind w:left="-720" w:right="-720"/>
        <w:jc w:val="both"/>
        <w:rPr>
          <w:rFonts w:ascii="Arial" w:eastAsia="Arial" w:hAnsi="Arial" w:cs="Arial"/>
        </w:rPr>
      </w:pPr>
      <w:r>
        <w:rPr>
          <w:rFonts w:ascii="Arial" w:eastAsia="Arial" w:hAnsi="Arial" w:cs="Arial"/>
          <w:b/>
          <w:i/>
        </w:rPr>
        <w:t>Figure</w:t>
      </w:r>
      <w:r>
        <w:rPr>
          <w:rFonts w:ascii="Arial" w:eastAsia="Arial" w:hAnsi="Arial" w:cs="Arial"/>
        </w:rPr>
        <w:t xml:space="preserve"> </w:t>
      </w:r>
      <w:r>
        <w:rPr>
          <w:rFonts w:ascii="Arial" w:eastAsia="Arial" w:hAnsi="Arial" w:cs="Arial"/>
          <w:b/>
          <w:i/>
        </w:rPr>
        <w:t>S14.</w:t>
      </w:r>
      <w:r>
        <w:rPr>
          <w:rFonts w:ascii="Arial" w:eastAsia="Arial" w:hAnsi="Arial" w:cs="Arial"/>
        </w:rPr>
        <w:t xml:space="preserve"> ACACA gene expression. A. GTEx single-cell data showing ACACA expression in brain cells. Genome build: hg38. Tracks (from top to bottom): GENCODE V47; GTEx expression; single cell RNA expression from cell types from many organs. B. Zoom in on single-cell data showing expression across a number of neuronal and non-neuronal cells from the brain.</w:t>
      </w:r>
    </w:p>
    <w:p w14:paraId="7572DD59" w14:textId="77777777" w:rsidR="00471761" w:rsidRDefault="00471761">
      <w:pPr>
        <w:ind w:left="-720" w:right="-720"/>
        <w:jc w:val="both"/>
        <w:rPr>
          <w:rFonts w:ascii="Arial" w:eastAsia="Arial" w:hAnsi="Arial" w:cs="Arial"/>
        </w:rPr>
      </w:pPr>
    </w:p>
    <w:p w14:paraId="52A29D83" w14:textId="77777777" w:rsidR="00471761" w:rsidRDefault="00471761">
      <w:pPr>
        <w:ind w:left="-720" w:right="-720"/>
        <w:jc w:val="both"/>
        <w:rPr>
          <w:rFonts w:ascii="Arial" w:eastAsia="Arial" w:hAnsi="Arial" w:cs="Arial"/>
        </w:rPr>
      </w:pPr>
    </w:p>
    <w:p w14:paraId="43817FEF" w14:textId="77777777" w:rsidR="00471761" w:rsidRDefault="00471761">
      <w:pPr>
        <w:ind w:left="-720" w:right="-720"/>
        <w:rPr>
          <w:rFonts w:ascii="Arial" w:eastAsia="Arial" w:hAnsi="Arial" w:cs="Arial"/>
          <w:b/>
        </w:rPr>
      </w:pPr>
    </w:p>
    <w:p w14:paraId="5A15C964" w14:textId="77777777" w:rsidR="00471761" w:rsidRDefault="00471761">
      <w:pPr>
        <w:ind w:left="-720" w:right="-720"/>
        <w:rPr>
          <w:rFonts w:ascii="Arial" w:eastAsia="Arial" w:hAnsi="Arial" w:cs="Arial"/>
          <w:b/>
        </w:rPr>
      </w:pPr>
    </w:p>
    <w:p w14:paraId="10DBEBCE" w14:textId="77777777" w:rsidR="00471761" w:rsidRDefault="00471761">
      <w:pPr>
        <w:ind w:left="-720" w:right="-720"/>
        <w:rPr>
          <w:rFonts w:ascii="Arial" w:eastAsia="Arial" w:hAnsi="Arial" w:cs="Arial"/>
          <w:b/>
        </w:rPr>
      </w:pPr>
    </w:p>
    <w:p w14:paraId="5FF1F595" w14:textId="77777777" w:rsidR="00471761" w:rsidRDefault="00471761">
      <w:pPr>
        <w:ind w:left="-720" w:right="-720"/>
        <w:rPr>
          <w:rFonts w:ascii="Arial" w:eastAsia="Arial" w:hAnsi="Arial" w:cs="Arial"/>
          <w:b/>
        </w:rPr>
      </w:pPr>
    </w:p>
    <w:p w14:paraId="6067345C" w14:textId="77777777" w:rsidR="00471761" w:rsidRDefault="00000000">
      <w:pPr>
        <w:ind w:left="-720" w:right="-720"/>
        <w:rPr>
          <w:rFonts w:ascii="Arial" w:eastAsia="Arial" w:hAnsi="Arial" w:cs="Arial"/>
          <w:b/>
        </w:rPr>
      </w:pPr>
      <w:r>
        <w:rPr>
          <w:rFonts w:ascii="Arial" w:eastAsia="Arial" w:hAnsi="Arial" w:cs="Arial"/>
          <w:b/>
        </w:rPr>
        <w:lastRenderedPageBreak/>
        <w:t>Figure S15. ACACA Hi-C data</w:t>
      </w:r>
    </w:p>
    <w:p w14:paraId="7250A874" w14:textId="77777777" w:rsidR="00471761" w:rsidRDefault="00471761">
      <w:pPr>
        <w:ind w:left="-720" w:right="-720"/>
        <w:rPr>
          <w:rFonts w:ascii="Arial" w:eastAsia="Arial" w:hAnsi="Arial" w:cs="Arial"/>
          <w:b/>
        </w:rPr>
      </w:pPr>
    </w:p>
    <w:p w14:paraId="1B5B4DB9" w14:textId="77777777" w:rsidR="00471761" w:rsidRDefault="00000000">
      <w:pPr>
        <w:ind w:left="-720" w:right="-720"/>
        <w:jc w:val="both"/>
        <w:rPr>
          <w:rFonts w:ascii="Arial" w:eastAsia="Arial" w:hAnsi="Arial" w:cs="Arial"/>
          <w:b/>
        </w:rPr>
      </w:pPr>
      <w:r>
        <w:rPr>
          <w:rFonts w:ascii="Arial" w:eastAsia="Arial" w:hAnsi="Arial" w:cs="Arial"/>
          <w:b/>
          <w:noProof/>
        </w:rPr>
        <w:drawing>
          <wp:inline distT="114300" distB="114300" distL="114300" distR="114300" wp14:anchorId="5FF0B183" wp14:editId="2FD6C894">
            <wp:extent cx="5486400" cy="3467100"/>
            <wp:effectExtent l="0" t="0" r="0" b="0"/>
            <wp:docPr id="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2"/>
                    <a:srcRect r="1765"/>
                    <a:stretch>
                      <a:fillRect/>
                    </a:stretch>
                  </pic:blipFill>
                  <pic:spPr>
                    <a:xfrm>
                      <a:off x="0" y="0"/>
                      <a:ext cx="5486400" cy="3467100"/>
                    </a:xfrm>
                    <a:prstGeom prst="rect">
                      <a:avLst/>
                    </a:prstGeom>
                    <a:ln/>
                  </pic:spPr>
                </pic:pic>
              </a:graphicData>
            </a:graphic>
          </wp:inline>
        </w:drawing>
      </w:r>
    </w:p>
    <w:p w14:paraId="18C1751F" w14:textId="77777777" w:rsidR="00471761" w:rsidRDefault="00000000">
      <w:pPr>
        <w:ind w:left="-720" w:right="-720"/>
        <w:jc w:val="both"/>
        <w:rPr>
          <w:rFonts w:ascii="Arial" w:eastAsia="Arial" w:hAnsi="Arial" w:cs="Arial"/>
        </w:rPr>
      </w:pPr>
      <w:r>
        <w:rPr>
          <w:rFonts w:ascii="Arial" w:eastAsia="Arial" w:hAnsi="Arial" w:cs="Arial"/>
          <w:b/>
          <w:i/>
        </w:rPr>
        <w:t>Figure</w:t>
      </w:r>
      <w:r>
        <w:rPr>
          <w:rFonts w:ascii="Arial" w:eastAsia="Arial" w:hAnsi="Arial" w:cs="Arial"/>
        </w:rPr>
        <w:t xml:space="preserve"> </w:t>
      </w:r>
      <w:r>
        <w:rPr>
          <w:rFonts w:ascii="Arial" w:eastAsia="Arial" w:hAnsi="Arial" w:cs="Arial"/>
          <w:b/>
          <w:i/>
        </w:rPr>
        <w:t>S15.</w:t>
      </w:r>
      <w:r>
        <w:rPr>
          <w:rFonts w:ascii="Arial" w:eastAsia="Arial" w:hAnsi="Arial" w:cs="Arial"/>
        </w:rPr>
        <w:t xml:space="preserve"> ACACA Hi-C data. Hi-C data from the fetal and adult cortex show overlaps in TAD boundaries with ACACA. Genome build: hg19. Tracks (from the top): GENCODE V47lift37; fetal high-confidence regulatory chromatin interactions; adult high-confidence regulatory chromatin interactions; fetal cortex TAD boundaries; adult cortex TAD boundaries.</w:t>
      </w:r>
    </w:p>
    <w:p w14:paraId="50B6E19B" w14:textId="77777777" w:rsidR="00471761" w:rsidRDefault="00471761">
      <w:pPr>
        <w:ind w:left="-720" w:right="-720"/>
        <w:jc w:val="both"/>
        <w:rPr>
          <w:rFonts w:ascii="Arial" w:eastAsia="Arial" w:hAnsi="Arial" w:cs="Arial"/>
        </w:rPr>
      </w:pPr>
    </w:p>
    <w:p w14:paraId="12F9CBC1" w14:textId="77777777" w:rsidR="00471761" w:rsidRDefault="00471761">
      <w:pPr>
        <w:ind w:left="-720" w:right="-720"/>
        <w:jc w:val="both"/>
        <w:rPr>
          <w:rFonts w:ascii="Arial" w:eastAsia="Arial" w:hAnsi="Arial" w:cs="Arial"/>
        </w:rPr>
      </w:pPr>
    </w:p>
    <w:sectPr w:rsidR="00471761">
      <w:footerReference w:type="default" r:id="rId23"/>
      <w:pgSz w:w="12240" w:h="15840"/>
      <w:pgMar w:top="1440" w:right="1800" w:bottom="1440" w:left="180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0759A3" w14:textId="77777777" w:rsidR="000B3B20" w:rsidRDefault="000B3B20">
      <w:pPr>
        <w:spacing w:after="0" w:line="240" w:lineRule="auto"/>
      </w:pPr>
      <w:r>
        <w:separator/>
      </w:r>
    </w:p>
  </w:endnote>
  <w:endnote w:type="continuationSeparator" w:id="0">
    <w:p w14:paraId="62507CC7" w14:textId="77777777" w:rsidR="000B3B20" w:rsidRDefault="000B3B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2FF" w:usb1="400004FF" w:usb2="00000000" w:usb3="00000000" w:csb0="0000019F" w:csb1="00000000"/>
    <w:embedRegular r:id="rId1" w:fontKey="{B8BFB9CC-8380-6C44-80E0-73BD9F43778D}"/>
    <w:embedBold r:id="rId2" w:fontKey="{0ECA4BDE-C8AE-AA4A-B582-27306C97E555}"/>
    <w:embedItalic r:id="rId3" w:fontKey="{C0920D73-BEB3-DE48-9D39-D557D55316DB}"/>
    <w:embedBoldItalic r:id="rId4" w:fontKey="{3B6F2612-59D4-D942-B727-F24CF6C48940}"/>
  </w:font>
  <w:font w:name="Calibri">
    <w:panose1 w:val="020F0502020204030204"/>
    <w:charset w:val="00"/>
    <w:family w:val="swiss"/>
    <w:pitch w:val="variable"/>
    <w:sig w:usb0="E0002AFF" w:usb1="C000247B" w:usb2="00000009" w:usb3="00000000" w:csb0="000001FF" w:csb1="00000000"/>
    <w:embedRegular r:id="rId5" w:fontKey="{635560A7-45C8-F740-9BD4-E9127D824FEC}"/>
    <w:embedBold r:id="rId6" w:fontKey="{6B273E23-8844-3D4A-95CC-D5653AE8F555}"/>
    <w:embedItalic r:id="rId7" w:fontKey="{B297BA3B-F27A-7B4B-951C-154A25B4B88F}"/>
    <w:embedBoldItalic r:id="rId8" w:fontKey="{10EAF933-CBBD-CB47-87E1-B895EA214327}"/>
  </w:font>
  <w:font w:name="Times New Roman">
    <w:panose1 w:val="02020603050405020304"/>
    <w:charset w:val="00"/>
    <w:family w:val="roman"/>
    <w:pitch w:val="variable"/>
    <w:sig w:usb0="E0002EFF" w:usb1="C000785B" w:usb2="00000009" w:usb3="00000000" w:csb0="000001FF" w:csb1="00000000"/>
    <w:embedRegular r:id="rId9" w:fontKey="{BAD0B58A-921B-8645-A8E6-31BFE676A7F2}"/>
    <w:embedBold r:id="rId10" w:fontKey="{300555AE-7BC6-3D44-82C4-3FD05CF00537}"/>
    <w:embedItalic r:id="rId11" w:fontKey="{DA4B2610-1C73-9D45-8AF6-5D89FF32F345}"/>
    <w:embedBoldItalic r:id="rId12" w:fontKey="{5B8968C9-0B2D-914F-9393-31FB633C7E23}"/>
  </w:font>
  <w:font w:name="Courier">
    <w:panose1 w:val="02070309020205020404"/>
    <w:charset w:val="00"/>
    <w:family w:val="modern"/>
    <w:pitch w:val="fixed"/>
    <w:sig w:usb0="00000003" w:usb1="00000000" w:usb2="00000000" w:usb3="00000000" w:csb0="00000001" w:csb1="00000000"/>
    <w:embedRegular r:id="rId13" w:fontKey="{00FEC212-6925-6540-AD29-6FCFF0544F42}"/>
  </w:font>
  <w:font w:name="Arial">
    <w:panose1 w:val="020B0604020202020204"/>
    <w:charset w:val="00"/>
    <w:family w:val="swiss"/>
    <w:pitch w:val="variable"/>
    <w:sig w:usb0="E0002AFF" w:usb1="C0007843" w:usb2="00000009" w:usb3="00000000" w:csb0="000001FF" w:csb1="00000000"/>
    <w:embedRegular r:id="rId14" w:fontKey="{F913FEC0-DC90-FF46-AFC9-A2A0DE9E704D}"/>
    <w:embedBold r:id="rId15" w:fontKey="{6B27ED40-9321-4749-AAA7-F6CB88B56868}"/>
    <w:embedItalic r:id="rId16" w:fontKey="{BCA71875-3DA9-3446-966E-511C9FDDCB20}"/>
    <w:embedBoldItalic r:id="rId17" w:fontKey="{9F625A77-1036-B049-A3E8-669231B4EF40}"/>
  </w:font>
  <w:font w:name="Roboto">
    <w:panose1 w:val="02000000000000000000"/>
    <w:charset w:val="00"/>
    <w:family w:val="auto"/>
    <w:pitch w:val="variable"/>
    <w:sig w:usb0="E0000AFF" w:usb1="5000217F" w:usb2="00000021" w:usb3="00000000" w:csb0="0000019F" w:csb1="00000000"/>
    <w:embedRegular r:id="rId18" w:fontKey="{DACB8726-34BC-F54F-B342-09A5753286B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18DEF3" w14:textId="77777777" w:rsidR="00471761" w:rsidRDefault="00000000">
    <w:pPr>
      <w:jc w:val="right"/>
      <w:rPr>
        <w:rFonts w:ascii="Arial" w:eastAsia="Arial" w:hAnsi="Arial" w:cs="Arial"/>
      </w:rPr>
    </w:pPr>
    <w:r>
      <w:rPr>
        <w:rFonts w:ascii="Arial" w:eastAsia="Arial" w:hAnsi="Arial" w:cs="Arial"/>
      </w:rPr>
      <w:fldChar w:fldCharType="begin"/>
    </w:r>
    <w:r>
      <w:rPr>
        <w:rFonts w:ascii="Arial" w:eastAsia="Arial" w:hAnsi="Arial" w:cs="Arial"/>
      </w:rPr>
      <w:instrText>PAGE</w:instrText>
    </w:r>
    <w:r>
      <w:rPr>
        <w:rFonts w:ascii="Arial" w:eastAsia="Arial" w:hAnsi="Arial" w:cs="Arial"/>
      </w:rPr>
      <w:fldChar w:fldCharType="separate"/>
    </w:r>
    <w:r w:rsidR="00B37DA6">
      <w:rPr>
        <w:rFonts w:ascii="Arial" w:eastAsia="Arial" w:hAnsi="Arial" w:cs="Arial"/>
        <w:noProof/>
      </w:rPr>
      <w:t>1</w:t>
    </w:r>
    <w:r>
      <w:rPr>
        <w:rFonts w:ascii="Arial" w:eastAsia="Arial" w:hAnsi="Arial"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712E5D" w14:textId="77777777" w:rsidR="000B3B20" w:rsidRDefault="000B3B20">
      <w:pPr>
        <w:spacing w:after="0" w:line="240" w:lineRule="auto"/>
      </w:pPr>
      <w:r>
        <w:separator/>
      </w:r>
    </w:p>
  </w:footnote>
  <w:footnote w:type="continuationSeparator" w:id="0">
    <w:p w14:paraId="3586BCF8" w14:textId="77777777" w:rsidR="000B3B20" w:rsidRDefault="000B3B2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466EC0"/>
    <w:multiLevelType w:val="multilevel"/>
    <w:tmpl w:val="2010674C"/>
    <w:lvl w:ilvl="0">
      <w:start w:val="1"/>
      <w:numFmt w:val="decimal"/>
      <w:pStyle w:val="List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332032269">
    <w:abstractNumId w:val="0"/>
  </w:num>
  <w:num w:numId="2" w16cid:durableId="156502166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56698490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4509760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0326569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9517815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9"/>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1761"/>
    <w:rsid w:val="000B3B20"/>
    <w:rsid w:val="001B6710"/>
    <w:rsid w:val="00471761"/>
    <w:rsid w:val="00B37D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2441CEB"/>
  <w15:docId w15:val="{1AF2A091-76C2-B341-94DD-28077B6597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Pr>
      <w:rFonts w:ascii="Calibri" w:eastAsia="Calibri" w:hAnsi="Calibri" w:cs="Calibri"/>
      <w:i/>
      <w:color w:val="4F81BD"/>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tabs>
        <w:tab w:val="num" w:pos="720"/>
      </w:tabs>
      <w:ind w:left="720" w:hanging="720"/>
      <w:contextualSpacing/>
    </w:pPr>
  </w:style>
  <w:style w:type="paragraph" w:styleId="ListBullet3">
    <w:name w:val="List Bullet 3"/>
    <w:basedOn w:val="Normal"/>
    <w:uiPriority w:val="99"/>
    <w:unhideWhenUsed/>
    <w:rsid w:val="00326F90"/>
    <w:pPr>
      <w:tabs>
        <w:tab w:val="num" w:pos="720"/>
      </w:tabs>
      <w:ind w:left="720" w:hanging="720"/>
      <w:contextualSpacing/>
    </w:pPr>
  </w:style>
  <w:style w:type="paragraph" w:styleId="ListNumber">
    <w:name w:val="List Number"/>
    <w:basedOn w:val="Normal"/>
    <w:uiPriority w:val="99"/>
    <w:unhideWhenUsed/>
    <w:rsid w:val="00326F90"/>
    <w:pPr>
      <w:tabs>
        <w:tab w:val="num" w:pos="720"/>
      </w:tabs>
      <w:ind w:left="720" w:hanging="720"/>
      <w:contextualSpacing/>
    </w:pPr>
  </w:style>
  <w:style w:type="paragraph" w:styleId="ListNumber2">
    <w:name w:val="List Number 2"/>
    <w:basedOn w:val="Normal"/>
    <w:uiPriority w:val="99"/>
    <w:unhideWhenUsed/>
    <w:rsid w:val="0029639D"/>
    <w:pPr>
      <w:tabs>
        <w:tab w:val="num" w:pos="720"/>
      </w:tabs>
      <w:ind w:left="720" w:hanging="720"/>
      <w:contextualSpacing/>
    </w:pPr>
  </w:style>
  <w:style w:type="paragraph" w:styleId="ListNumber3">
    <w:name w:val="List Number 3"/>
    <w:basedOn w:val="Normal"/>
    <w:uiPriority w:val="99"/>
    <w:unhideWhenUsed/>
    <w:rsid w:val="0029639D"/>
    <w:pPr>
      <w:tabs>
        <w:tab w:val="num" w:pos="720"/>
      </w:tabs>
      <w:ind w:left="720" w:hanging="720"/>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Y9FeIbOUr+i8gl9QUiHKfmrffig==">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</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1453</Words>
  <Characters>8283</Characters>
  <Application>Microsoft Office Word</Application>
  <DocSecurity>0</DocSecurity>
  <Lines>69</Lines>
  <Paragraphs>19</Paragraphs>
  <ScaleCrop>false</ScaleCrop>
  <Company/>
  <LinksUpToDate>false</LinksUpToDate>
  <CharactersWithSpaces>9717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python-docx</dc:creator>
  <cp:lastModifiedBy>Crowley, James J</cp:lastModifiedBy>
  <cp:revision>2</cp:revision>
  <dcterms:created xsi:type="dcterms:W3CDTF">2013-12-23T23:15:00Z</dcterms:created>
  <dcterms:modified xsi:type="dcterms:W3CDTF">2025-07-02T03:08:00Z</dcterms:modified>
</cp:coreProperties>
</file>