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9C8C45" w14:textId="48E37B45" w:rsidR="001F4CFF" w:rsidRPr="00537C29" w:rsidRDefault="004209E0" w:rsidP="001F4CFF">
      <w:pPr>
        <w:rPr>
          <w:b/>
          <w:bCs/>
        </w:rPr>
      </w:pPr>
      <w:r>
        <w:rPr>
          <w:b/>
          <w:bCs/>
        </w:rPr>
        <w:t>Supplementary information</w:t>
      </w:r>
      <w:r w:rsidR="0097406D">
        <w:rPr>
          <w:b/>
          <w:bCs/>
        </w:rPr>
        <w:t xml:space="preserve"> for </w:t>
      </w:r>
      <w:r w:rsidR="001F4CFF" w:rsidRPr="00537C29">
        <w:rPr>
          <w:b/>
          <w:bCs/>
        </w:rPr>
        <w:t>Costs and affordability of COVID-19 testing and treatment in India</w:t>
      </w:r>
    </w:p>
    <w:p w14:paraId="7BBE1A50" w14:textId="77777777" w:rsidR="001F4CFF" w:rsidRDefault="001F4CFF" w:rsidP="001F4CFF"/>
    <w:p w14:paraId="07BE69AF" w14:textId="682B2B2B" w:rsidR="002E6C94" w:rsidRDefault="0097406D">
      <w:pPr>
        <w:rPr>
          <w:b/>
          <w:bCs/>
        </w:rPr>
      </w:pPr>
      <w:r>
        <w:rPr>
          <w:b/>
          <w:bCs/>
        </w:rPr>
        <w:t xml:space="preserve">Section </w:t>
      </w:r>
      <w:r w:rsidR="004954B9">
        <w:rPr>
          <w:b/>
          <w:bCs/>
        </w:rPr>
        <w:t>A</w:t>
      </w:r>
      <w:r>
        <w:rPr>
          <w:b/>
          <w:bCs/>
        </w:rPr>
        <w:t xml:space="preserve">1: </w:t>
      </w:r>
      <w:r w:rsidR="004954B9">
        <w:rPr>
          <w:b/>
          <w:bCs/>
        </w:rPr>
        <w:t>Standard of care for COVID-19 testing and treatment in India</w:t>
      </w:r>
    </w:p>
    <w:p w14:paraId="4BF1F012" w14:textId="3D6C67DA" w:rsidR="00FE3AA3" w:rsidRDefault="00C131EE" w:rsidP="00791DA3">
      <w:r>
        <w:t>In response to COVID-19, t</w:t>
      </w:r>
      <w:r w:rsidRPr="00E02F1B">
        <w:t xml:space="preserve">he </w:t>
      </w:r>
      <w:r w:rsidR="00791DA3" w:rsidRPr="00E02F1B">
        <w:t>Government of India</w:t>
      </w:r>
      <w:r>
        <w:t>, through an act of parliament,</w:t>
      </w:r>
      <w:r w:rsidR="00791DA3" w:rsidRPr="00E02F1B">
        <w:t xml:space="preserve"> adopted an inter-sectoral</w:t>
      </w:r>
      <w:r>
        <w:t>,</w:t>
      </w:r>
      <w:r w:rsidR="00791DA3" w:rsidRPr="00E02F1B">
        <w:t xml:space="preserve"> proactive, plan</w:t>
      </w:r>
      <w:r>
        <w:t xml:space="preserve"> that included several strategies</w:t>
      </w:r>
      <w:r w:rsidR="00791DA3" w:rsidRPr="00E02F1B">
        <w:t xml:space="preserve"> (PSC, 2020)</w:t>
      </w:r>
      <w:r w:rsidR="00791DA3" w:rsidRPr="00E02F1B">
        <w:rPr>
          <w:rStyle w:val="EndnoteReference"/>
          <w:rFonts w:ascii="Times New Roman" w:hAnsi="Times New Roman" w:cs="Times New Roman"/>
          <w:sz w:val="22"/>
          <w:szCs w:val="22"/>
        </w:rPr>
        <w:t xml:space="preserve"> </w:t>
      </w:r>
      <w:r w:rsidR="00791DA3" w:rsidRPr="00E02F1B">
        <w:t>.</w:t>
      </w:r>
      <w:r w:rsidR="00791DA3" w:rsidRPr="00E02F1B">
        <w:rPr>
          <w:rStyle w:val="EndnoteReference"/>
          <w:rFonts w:ascii="Times New Roman" w:hAnsi="Times New Roman" w:cs="Times New Roman"/>
          <w:sz w:val="22"/>
          <w:szCs w:val="22"/>
        </w:rPr>
        <w:endnoteReference w:id="1"/>
      </w:r>
      <w:r w:rsidR="00791DA3" w:rsidRPr="00E02F1B">
        <w:t xml:space="preserve"> </w:t>
      </w:r>
    </w:p>
    <w:p w14:paraId="0F43F4AE" w14:textId="77777777" w:rsidR="00FE3AA3" w:rsidRDefault="00FE3AA3" w:rsidP="00791DA3"/>
    <w:p w14:paraId="24AEF35E" w14:textId="3228945B" w:rsidR="00791DA3" w:rsidRPr="00E02F1B" w:rsidRDefault="00FE3AA3" w:rsidP="00791DA3">
      <w:r w:rsidRPr="00BB6A85">
        <w:rPr>
          <w:b/>
          <w:bCs/>
        </w:rPr>
        <w:t>COVID-19 testing:</w:t>
      </w:r>
      <w:r>
        <w:t xml:space="preserve"> </w:t>
      </w:r>
      <w:r w:rsidR="00791DA3" w:rsidRPr="00E02F1B">
        <w:t>The testing and treatment protocol, pharmaceutical therapies, risk factor management, treatment period, levels of care and utilization of public and private health facilities</w:t>
      </w:r>
      <w:r w:rsidR="00C131EE">
        <w:t xml:space="preserve"> under this plan </w:t>
      </w:r>
      <w:r w:rsidR="00791DA3" w:rsidRPr="00E02F1B">
        <w:t>are described in Table 1</w:t>
      </w:r>
      <w:r w:rsidR="00C131EE">
        <w:t xml:space="preserve"> of the article</w:t>
      </w:r>
      <w:r w:rsidR="00791DA3" w:rsidRPr="00E02F1B">
        <w:t xml:space="preserve">. </w:t>
      </w:r>
      <w:r w:rsidR="00C131EE">
        <w:t xml:space="preserve">As at December 10, 2020, </w:t>
      </w:r>
      <w:r w:rsidR="00C131EE">
        <w:rPr>
          <w:bCs/>
        </w:rPr>
        <w:t xml:space="preserve">over 15.2 million </w:t>
      </w:r>
      <w:r>
        <w:rPr>
          <w:bCs/>
        </w:rPr>
        <w:t>COVID-19 tests had been conducted in laboratories.</w:t>
      </w:r>
      <w:r w:rsidR="00791DA3" w:rsidRPr="00E02F1B">
        <w:rPr>
          <w:rStyle w:val="EndnoteReference"/>
          <w:rFonts w:ascii="Times New Roman" w:hAnsi="Times New Roman" w:cs="Times New Roman"/>
          <w:sz w:val="22"/>
          <w:szCs w:val="22"/>
        </w:rPr>
        <w:endnoteReference w:id="2"/>
      </w:r>
      <w:r w:rsidR="00791DA3" w:rsidRPr="00E02F1B">
        <w:rPr>
          <w:bCs/>
        </w:rPr>
        <w:t xml:space="preserve"> </w:t>
      </w:r>
      <w:r>
        <w:rPr>
          <w:bCs/>
        </w:rPr>
        <w:t xml:space="preserve">Testing rates have reached an </w:t>
      </w:r>
      <w:r w:rsidR="00791DA3" w:rsidRPr="00E02F1B">
        <w:rPr>
          <w:bCs/>
        </w:rPr>
        <w:t>averag</w:t>
      </w:r>
      <w:r>
        <w:rPr>
          <w:bCs/>
        </w:rPr>
        <w:t>e of</w:t>
      </w:r>
      <w:r w:rsidR="00791DA3" w:rsidRPr="00E02F1B">
        <w:rPr>
          <w:bCs/>
        </w:rPr>
        <w:t xml:space="preserve"> 800,000 per day across the country, </w:t>
      </w:r>
      <w:r>
        <w:rPr>
          <w:bCs/>
        </w:rPr>
        <w:t xml:space="preserve">with </w:t>
      </w:r>
      <w:r w:rsidR="00791DA3" w:rsidRPr="00E02F1B">
        <w:rPr>
          <w:bCs/>
        </w:rPr>
        <w:t>1</w:t>
      </w:r>
      <w:r>
        <w:rPr>
          <w:bCs/>
        </w:rPr>
        <w:t>,</w:t>
      </w:r>
      <w:r w:rsidR="00791DA3" w:rsidRPr="00E02F1B">
        <w:rPr>
          <w:bCs/>
        </w:rPr>
        <w:t xml:space="preserve">191 </w:t>
      </w:r>
      <w:r>
        <w:rPr>
          <w:bCs/>
        </w:rPr>
        <w:t xml:space="preserve">active </w:t>
      </w:r>
      <w:r w:rsidRPr="00E02F1B">
        <w:rPr>
          <w:bCs/>
        </w:rPr>
        <w:t>lab</w:t>
      </w:r>
      <w:r>
        <w:rPr>
          <w:bCs/>
        </w:rPr>
        <w:t>oratories</w:t>
      </w:r>
      <w:r w:rsidRPr="00E02F1B">
        <w:rPr>
          <w:bCs/>
        </w:rPr>
        <w:t xml:space="preserve"> </w:t>
      </w:r>
      <w:r w:rsidR="00791DA3" w:rsidRPr="00E02F1B">
        <w:rPr>
          <w:bCs/>
        </w:rPr>
        <w:t>in the public sector and 1</w:t>
      </w:r>
      <w:r>
        <w:rPr>
          <w:bCs/>
        </w:rPr>
        <w:t>,</w:t>
      </w:r>
      <w:r w:rsidR="00791DA3" w:rsidRPr="00E02F1B">
        <w:rPr>
          <w:bCs/>
        </w:rPr>
        <w:t>038 in the private sector</w:t>
      </w:r>
      <w:r w:rsidR="00791DA3" w:rsidRPr="00E02F1B">
        <w:rPr>
          <w:rStyle w:val="EndnoteReference"/>
          <w:rFonts w:ascii="Times New Roman" w:hAnsi="Times New Roman" w:cs="Times New Roman"/>
          <w:sz w:val="22"/>
          <w:szCs w:val="22"/>
        </w:rPr>
        <w:endnoteReference w:id="3"/>
      </w:r>
      <w:r w:rsidR="00791DA3" w:rsidRPr="00E02F1B">
        <w:rPr>
          <w:bCs/>
        </w:rPr>
        <w:t xml:space="preserve">. </w:t>
      </w:r>
      <w:r>
        <w:rPr>
          <w:bCs/>
        </w:rPr>
        <w:t xml:space="preserve">Laboratories in </w:t>
      </w:r>
      <w:r w:rsidR="00791DA3" w:rsidRPr="00E02F1B">
        <w:rPr>
          <w:bCs/>
        </w:rPr>
        <w:t xml:space="preserve">India </w:t>
      </w:r>
      <w:r>
        <w:rPr>
          <w:bCs/>
        </w:rPr>
        <w:t>offer</w:t>
      </w:r>
      <w:r w:rsidR="00791DA3" w:rsidRPr="00E02F1B">
        <w:rPr>
          <w:bCs/>
        </w:rPr>
        <w:t xml:space="preserve"> </w:t>
      </w:r>
      <w:r>
        <w:rPr>
          <w:bCs/>
        </w:rPr>
        <w:t>three</w:t>
      </w:r>
      <w:r w:rsidR="00791DA3" w:rsidRPr="00E02F1B">
        <w:rPr>
          <w:bCs/>
        </w:rPr>
        <w:t xml:space="preserve"> types of diagnostic tests, including RT PCR, </w:t>
      </w:r>
      <w:proofErr w:type="spellStart"/>
      <w:r w:rsidR="00791DA3" w:rsidRPr="00E02F1B">
        <w:rPr>
          <w:bCs/>
        </w:rPr>
        <w:t>TrueNat</w:t>
      </w:r>
      <w:proofErr w:type="spellEnd"/>
      <w:r w:rsidR="00791DA3" w:rsidRPr="00E02F1B">
        <w:rPr>
          <w:bCs/>
        </w:rPr>
        <w:t xml:space="preserve"> and CBNAAT test</w:t>
      </w:r>
      <w:r w:rsidR="00791DA3" w:rsidRPr="00E02F1B">
        <w:rPr>
          <w:rStyle w:val="EndnoteReference"/>
          <w:rFonts w:ascii="Times New Roman" w:hAnsi="Times New Roman" w:cs="Times New Roman"/>
          <w:sz w:val="22"/>
          <w:szCs w:val="22"/>
        </w:rPr>
        <w:endnoteReference w:id="4"/>
      </w:r>
      <w:r w:rsidR="00791DA3" w:rsidRPr="00E02F1B">
        <w:rPr>
          <w:bCs/>
        </w:rPr>
        <w:t xml:space="preserve"> (the latter two have largely been used at P</w:t>
      </w:r>
      <w:r>
        <w:rPr>
          <w:bCs/>
        </w:rPr>
        <w:t xml:space="preserve">rimary </w:t>
      </w:r>
      <w:r w:rsidR="00791DA3" w:rsidRPr="00E02F1B">
        <w:rPr>
          <w:bCs/>
        </w:rPr>
        <w:t>H</w:t>
      </w:r>
      <w:r>
        <w:rPr>
          <w:bCs/>
        </w:rPr>
        <w:t xml:space="preserve">ealth </w:t>
      </w:r>
      <w:r w:rsidR="00791DA3" w:rsidRPr="00E02F1B">
        <w:rPr>
          <w:bCs/>
        </w:rPr>
        <w:t>C</w:t>
      </w:r>
      <w:r>
        <w:rPr>
          <w:bCs/>
        </w:rPr>
        <w:t>are</w:t>
      </w:r>
      <w:r w:rsidR="00791DA3" w:rsidRPr="00E02F1B">
        <w:rPr>
          <w:bCs/>
        </w:rPr>
        <w:t xml:space="preserve"> and CHC level to scale up testing facilities at district and sub district level). Rapid Antig</w:t>
      </w:r>
      <w:r w:rsidR="00791DA3">
        <w:rPr>
          <w:bCs/>
        </w:rPr>
        <w:t>e</w:t>
      </w:r>
      <w:r w:rsidR="00791DA3" w:rsidRPr="00E02F1B">
        <w:rPr>
          <w:bCs/>
        </w:rPr>
        <w:t>n Test</w:t>
      </w:r>
      <w:r>
        <w:rPr>
          <w:bCs/>
        </w:rPr>
        <w:t>s</w:t>
      </w:r>
      <w:r w:rsidR="00791DA3" w:rsidRPr="00E02F1B">
        <w:rPr>
          <w:bCs/>
        </w:rPr>
        <w:t xml:space="preserve"> and RT PCR have also been deployed for screening and surveillance, with RAT as the preferred test in containment zones. For large populations and migrants, pooled sample testing </w:t>
      </w:r>
      <w:r>
        <w:rPr>
          <w:bCs/>
        </w:rPr>
        <w:t>is the preferred approach</w:t>
      </w:r>
      <w:r w:rsidR="00791DA3" w:rsidRPr="00E02F1B">
        <w:rPr>
          <w:rStyle w:val="EndnoteReference"/>
          <w:rFonts w:ascii="Times New Roman" w:hAnsi="Times New Roman" w:cs="Times New Roman"/>
          <w:sz w:val="22"/>
          <w:szCs w:val="22"/>
        </w:rPr>
        <w:endnoteReference w:id="5"/>
      </w:r>
      <w:r w:rsidR="00791DA3" w:rsidRPr="00E02F1B">
        <w:rPr>
          <w:bCs/>
        </w:rPr>
        <w:t>.</w:t>
      </w:r>
    </w:p>
    <w:p w14:paraId="66BB2F0B" w14:textId="77777777" w:rsidR="00791DA3" w:rsidRPr="00E02F1B" w:rsidRDefault="00791DA3" w:rsidP="00791DA3">
      <w:pPr>
        <w:rPr>
          <w:color w:val="000000"/>
          <w:spacing w:val="6"/>
        </w:rPr>
      </w:pPr>
    </w:p>
    <w:p w14:paraId="3608A74B" w14:textId="019D2575" w:rsidR="00791DA3" w:rsidRPr="00E02F1B" w:rsidRDefault="00FE3AA3" w:rsidP="00791DA3">
      <w:pPr>
        <w:rPr>
          <w:shd w:val="clear" w:color="auto" w:fill="FFFFFF"/>
        </w:rPr>
      </w:pPr>
      <w:r w:rsidRPr="00BB6A85">
        <w:rPr>
          <w:b/>
          <w:bCs/>
          <w:color w:val="000000"/>
          <w:spacing w:val="6"/>
        </w:rPr>
        <w:t>COVID-19 isolation and treatment:</w:t>
      </w:r>
      <w:r>
        <w:rPr>
          <w:color w:val="000000"/>
          <w:spacing w:val="6"/>
        </w:rPr>
        <w:t xml:space="preserve"> </w:t>
      </w:r>
      <w:r w:rsidR="00791DA3" w:rsidRPr="00E02F1B">
        <w:rPr>
          <w:color w:val="000000"/>
          <w:spacing w:val="6"/>
        </w:rPr>
        <w:t>India has developed a three-tiered structure for pandemic preparedness to quarantine, isolate, and treat COVID-19 cases, through dedicated COVID care centers, COVID health centers and COVID care hospitals in the public and private sector</w:t>
      </w:r>
      <w:r w:rsidR="00791DA3" w:rsidRPr="00E02F1B">
        <w:rPr>
          <w:rStyle w:val="EndnoteReference"/>
          <w:rFonts w:ascii="Times New Roman" w:hAnsi="Times New Roman" w:cs="Times New Roman"/>
          <w:color w:val="000000"/>
          <w:spacing w:val="6"/>
          <w:sz w:val="22"/>
          <w:szCs w:val="22"/>
        </w:rPr>
        <w:endnoteReference w:id="6"/>
      </w:r>
      <w:r w:rsidR="00791DA3" w:rsidRPr="00E02F1B">
        <w:rPr>
          <w:color w:val="000000"/>
          <w:spacing w:val="6"/>
        </w:rPr>
        <w:t xml:space="preserve">. Almost 9,000 health facilities including hospitals, health care and special centers were designated and hundreds of thousands of isolation and critical care beds were made available for COVID-19 patients. Thousands of </w:t>
      </w:r>
      <w:r w:rsidR="00791DA3" w:rsidRPr="00E02F1B">
        <w:rPr>
          <w:shd w:val="clear" w:color="auto" w:fill="FFFFFF"/>
        </w:rPr>
        <w:t xml:space="preserve">railway coaches were prepared, to be deployed in different states and cities in the event of a massive upsurge. </w:t>
      </w:r>
      <w:r w:rsidR="00791DA3" w:rsidRPr="00E02F1B">
        <w:rPr>
          <w:bCs/>
        </w:rPr>
        <w:t xml:space="preserve">This three-tier strategy for managing COVID positive patients has been followed almost uniformly across the country. </w:t>
      </w:r>
      <w:r w:rsidR="00791DA3" w:rsidRPr="00E02F1B">
        <w:rPr>
          <w:shd w:val="clear" w:color="auto" w:fill="FFFFFF"/>
        </w:rPr>
        <w:t xml:space="preserve">Positive COVID patients have been triaged for seriousness of their condition and accordingly assigned to quarantine at designated COVID care centers, or care and treatment at COVID health centers and designated COVID hospitals. </w:t>
      </w:r>
    </w:p>
    <w:p w14:paraId="0506AA1D" w14:textId="77777777" w:rsidR="00791DA3" w:rsidRPr="00E02F1B" w:rsidRDefault="00791DA3" w:rsidP="00791DA3">
      <w:pPr>
        <w:rPr>
          <w:bCs/>
        </w:rPr>
      </w:pPr>
    </w:p>
    <w:p w14:paraId="1BEA25D6" w14:textId="3A0168C1" w:rsidR="00F72962" w:rsidRDefault="00F72962" w:rsidP="00791DA3">
      <w:pPr>
        <w:pStyle w:val="ListParagraph"/>
        <w:numPr>
          <w:ilvl w:val="0"/>
          <w:numId w:val="5"/>
        </w:numPr>
        <w:rPr>
          <w:bCs/>
        </w:rPr>
      </w:pPr>
      <w:r w:rsidRPr="00BB6A85">
        <w:rPr>
          <w:b/>
        </w:rPr>
        <w:t xml:space="preserve">Home </w:t>
      </w:r>
      <w:r>
        <w:rPr>
          <w:b/>
        </w:rPr>
        <w:t>i</w:t>
      </w:r>
      <w:r w:rsidRPr="00BB6A85">
        <w:rPr>
          <w:b/>
        </w:rPr>
        <w:t>solation:</w:t>
      </w:r>
      <w:r>
        <w:rPr>
          <w:bCs/>
        </w:rPr>
        <w:t xml:space="preserve"> </w:t>
      </w:r>
      <w:r w:rsidR="00791DA3" w:rsidRPr="00F72962">
        <w:rPr>
          <w:bCs/>
        </w:rPr>
        <w:t xml:space="preserve">In July 2020, </w:t>
      </w:r>
      <w:r w:rsidR="00FE3AA3" w:rsidRPr="00F72962">
        <w:rPr>
          <w:bCs/>
        </w:rPr>
        <w:t xml:space="preserve">the central </w:t>
      </w:r>
      <w:r w:rsidR="00791DA3" w:rsidRPr="00F72962">
        <w:rPr>
          <w:bCs/>
        </w:rPr>
        <w:t>government provided the guidelines for home isolation for identifying, selecting and managing asymptomatic and mildly symptomatic cases</w:t>
      </w:r>
      <w:r w:rsidR="00791DA3" w:rsidRPr="00E02F1B">
        <w:rPr>
          <w:rStyle w:val="EndnoteReference"/>
          <w:rFonts w:ascii="Times New Roman" w:hAnsi="Times New Roman" w:cs="Times New Roman"/>
          <w:sz w:val="22"/>
          <w:szCs w:val="22"/>
        </w:rPr>
        <w:endnoteReference w:id="7"/>
      </w:r>
      <w:r w:rsidR="00791DA3" w:rsidRPr="00F72962">
        <w:rPr>
          <w:bCs/>
        </w:rPr>
        <w:t xml:space="preserve">. Since the large majority (81%) of symptomatic patients make a smooth recovery with only mild symptoms, they </w:t>
      </w:r>
      <w:r w:rsidR="00FE3AA3" w:rsidRPr="00BB6A85">
        <w:rPr>
          <w:bCs/>
        </w:rPr>
        <w:t xml:space="preserve">are </w:t>
      </w:r>
      <w:r w:rsidR="00791DA3" w:rsidRPr="00BB6A85">
        <w:rPr>
          <w:bCs/>
        </w:rPr>
        <w:t xml:space="preserve">encouraged </w:t>
      </w:r>
      <w:r w:rsidR="00FE3AA3" w:rsidRPr="00BB6A85">
        <w:rPr>
          <w:bCs/>
        </w:rPr>
        <w:t xml:space="preserve">to </w:t>
      </w:r>
      <w:r w:rsidRPr="00BB6A85">
        <w:rPr>
          <w:bCs/>
        </w:rPr>
        <w:t xml:space="preserve">home-isolate </w:t>
      </w:r>
      <w:r w:rsidR="00791DA3" w:rsidRPr="00BB6A85">
        <w:rPr>
          <w:bCs/>
        </w:rPr>
        <w:t>for a period of 10 – 14 days</w:t>
      </w:r>
      <w:r w:rsidRPr="00BB6A85">
        <w:rPr>
          <w:bCs/>
        </w:rPr>
        <w:t>,</w:t>
      </w:r>
      <w:r w:rsidR="00791DA3" w:rsidRPr="00BB6A85">
        <w:rPr>
          <w:bCs/>
        </w:rPr>
        <w:t xml:space="preserve"> and assuming full recovery with no fever for 3 days, and no symptoms. In cities with high </w:t>
      </w:r>
      <w:r w:rsidRPr="00BB6A85">
        <w:rPr>
          <w:bCs/>
        </w:rPr>
        <w:t xml:space="preserve">case-loads </w:t>
      </w:r>
      <w:r w:rsidR="00791DA3" w:rsidRPr="00BB6A85">
        <w:rPr>
          <w:bCs/>
        </w:rPr>
        <w:t xml:space="preserve">and paucity of </w:t>
      </w:r>
      <w:r w:rsidRPr="00BB6A85">
        <w:rPr>
          <w:bCs/>
        </w:rPr>
        <w:t xml:space="preserve">hospital </w:t>
      </w:r>
      <w:r w:rsidR="00791DA3" w:rsidRPr="00BB6A85">
        <w:rPr>
          <w:bCs/>
        </w:rPr>
        <w:t xml:space="preserve">beds, stabilized patients </w:t>
      </w:r>
      <w:r w:rsidRPr="00BB6A85">
        <w:rPr>
          <w:bCs/>
        </w:rPr>
        <w:t xml:space="preserve">are </w:t>
      </w:r>
      <w:r w:rsidR="00791DA3" w:rsidRPr="00BB6A85">
        <w:rPr>
          <w:bCs/>
        </w:rPr>
        <w:t xml:space="preserve">discharged earlier for home isolation and provided close consultation until total recovery. Expanding use of telemedicine and tele consultation, follow up through biochemical markers by home based testing, has made it feasible to implement this strategy. Other factors such as availability of adequate space for isolation, quarantine space for family members and round the clock presence of </w:t>
      </w:r>
      <w:r w:rsidRPr="00BB6A85">
        <w:rPr>
          <w:bCs/>
        </w:rPr>
        <w:t xml:space="preserve">care-givers </w:t>
      </w:r>
      <w:r w:rsidR="00791DA3" w:rsidRPr="00BB6A85">
        <w:rPr>
          <w:bCs/>
        </w:rPr>
        <w:t xml:space="preserve">are </w:t>
      </w:r>
      <w:r w:rsidRPr="00BB6A85">
        <w:rPr>
          <w:bCs/>
        </w:rPr>
        <w:t>pre-</w:t>
      </w:r>
      <w:r w:rsidR="00791DA3" w:rsidRPr="00BB6A85">
        <w:rPr>
          <w:bCs/>
        </w:rPr>
        <w:t xml:space="preserve">requisites for home isolation. Supportive therapeutic care with </w:t>
      </w:r>
      <w:r w:rsidRPr="00BB6A85">
        <w:rPr>
          <w:bCs/>
        </w:rPr>
        <w:t>Hydroxy-chloroquine (</w:t>
      </w:r>
      <w:r w:rsidR="00791DA3" w:rsidRPr="00BB6A85">
        <w:rPr>
          <w:bCs/>
        </w:rPr>
        <w:t>HCQ</w:t>
      </w:r>
      <w:r w:rsidRPr="00BB6A85">
        <w:rPr>
          <w:bCs/>
        </w:rPr>
        <w:t>)</w:t>
      </w:r>
      <w:r w:rsidR="00791DA3" w:rsidRPr="00BB6A85">
        <w:rPr>
          <w:bCs/>
        </w:rPr>
        <w:t xml:space="preserve">, Ivermectin, </w:t>
      </w:r>
      <w:r w:rsidRPr="00BB6A85">
        <w:rPr>
          <w:bCs/>
        </w:rPr>
        <w:t xml:space="preserve">Zinc </w:t>
      </w:r>
      <w:r w:rsidRPr="00BB6A85">
        <w:rPr>
          <w:bCs/>
        </w:rPr>
        <w:lastRenderedPageBreak/>
        <w:t>(</w:t>
      </w:r>
      <w:r w:rsidR="00791DA3" w:rsidRPr="00BB6A85">
        <w:rPr>
          <w:bCs/>
        </w:rPr>
        <w:t>Zn</w:t>
      </w:r>
      <w:r w:rsidRPr="00BB6A85">
        <w:rPr>
          <w:bCs/>
        </w:rPr>
        <w:t>)</w:t>
      </w:r>
      <w:r w:rsidR="00791DA3" w:rsidRPr="00BB6A85">
        <w:rPr>
          <w:bCs/>
        </w:rPr>
        <w:t>,</w:t>
      </w:r>
      <w:r w:rsidRPr="00BB6A85">
        <w:rPr>
          <w:bCs/>
        </w:rPr>
        <w:t xml:space="preserve"> and </w:t>
      </w:r>
      <w:r w:rsidR="00791DA3" w:rsidRPr="00BB6A85">
        <w:rPr>
          <w:bCs/>
        </w:rPr>
        <w:t>Vit</w:t>
      </w:r>
      <w:r w:rsidRPr="00BB6A85">
        <w:rPr>
          <w:bCs/>
        </w:rPr>
        <w:t>amin</w:t>
      </w:r>
      <w:r w:rsidR="00791DA3" w:rsidRPr="00BB6A85">
        <w:rPr>
          <w:bCs/>
        </w:rPr>
        <w:t xml:space="preserve"> C have also been included in the treatment protocol, but varies from state to state. </w:t>
      </w:r>
    </w:p>
    <w:p w14:paraId="042343FC" w14:textId="77777777" w:rsidR="00F72962" w:rsidRDefault="00F72962" w:rsidP="00F72962">
      <w:pPr>
        <w:pStyle w:val="ListParagraph"/>
        <w:rPr>
          <w:bCs/>
        </w:rPr>
      </w:pPr>
    </w:p>
    <w:p w14:paraId="6BB8C10C" w14:textId="5D5275BF" w:rsidR="00791DA3" w:rsidRPr="00F72962" w:rsidRDefault="00791DA3" w:rsidP="00BB6A85">
      <w:pPr>
        <w:pStyle w:val="ListParagraph"/>
        <w:rPr>
          <w:bCs/>
        </w:rPr>
      </w:pPr>
      <w:r w:rsidRPr="00F72962">
        <w:rPr>
          <w:bCs/>
        </w:rPr>
        <w:t xml:space="preserve">However, challenges such as lack of equipment, (oximeter, domiciliary oxygen support and thermometer), supportive </w:t>
      </w:r>
      <w:r w:rsidR="00F72962" w:rsidRPr="00BB6A85">
        <w:rPr>
          <w:bCs/>
        </w:rPr>
        <w:t>care-</w:t>
      </w:r>
      <w:r w:rsidRPr="00BB6A85">
        <w:rPr>
          <w:bCs/>
        </w:rPr>
        <w:t xml:space="preserve">givers, </w:t>
      </w:r>
      <w:r w:rsidR="00F72962" w:rsidRPr="00BB6A85">
        <w:rPr>
          <w:bCs/>
        </w:rPr>
        <w:t>and follow-</w:t>
      </w:r>
      <w:r w:rsidRPr="00BB6A85">
        <w:rPr>
          <w:bCs/>
        </w:rPr>
        <w:t xml:space="preserve">up investigations </w:t>
      </w:r>
      <w:r w:rsidR="00F72962" w:rsidRPr="00BB6A85">
        <w:rPr>
          <w:bCs/>
        </w:rPr>
        <w:t xml:space="preserve">results </w:t>
      </w:r>
      <w:r w:rsidRPr="00BB6A85">
        <w:rPr>
          <w:bCs/>
        </w:rPr>
        <w:t xml:space="preserve">like </w:t>
      </w:r>
      <w:r w:rsidR="00F72962" w:rsidRPr="00BB6A85">
        <w:rPr>
          <w:bCs/>
        </w:rPr>
        <w:t>X-</w:t>
      </w:r>
      <w:r w:rsidRPr="00BB6A85">
        <w:rPr>
          <w:bCs/>
        </w:rPr>
        <w:t>ray from home, has been a challenge. One of the biggest barriers to adequate home isolation is the lack of space, with about 74 million Households living in single room homes in joint or extended families</w:t>
      </w:r>
      <w:r w:rsidRPr="00E02F1B">
        <w:rPr>
          <w:rStyle w:val="EndnoteReference"/>
          <w:rFonts w:ascii="Times New Roman" w:hAnsi="Times New Roman" w:cs="Times New Roman"/>
          <w:sz w:val="22"/>
          <w:szCs w:val="22"/>
        </w:rPr>
        <w:endnoteReference w:id="8"/>
      </w:r>
      <w:r w:rsidRPr="00F72962">
        <w:rPr>
          <w:bCs/>
        </w:rPr>
        <w:t>. Over reliance on home isolation and delay in seeking hospital care may have contributed to increased mortality.</w:t>
      </w:r>
    </w:p>
    <w:p w14:paraId="29D2D123" w14:textId="77777777" w:rsidR="00791DA3" w:rsidRPr="00E02F1B" w:rsidRDefault="00791DA3" w:rsidP="00791DA3">
      <w:pPr>
        <w:rPr>
          <w:bCs/>
        </w:rPr>
      </w:pPr>
    </w:p>
    <w:p w14:paraId="17ADF539" w14:textId="057EACCF" w:rsidR="00791DA3" w:rsidRPr="00BB6A85" w:rsidRDefault="00F72962" w:rsidP="00BB6A85">
      <w:pPr>
        <w:pStyle w:val="ListParagraph"/>
        <w:numPr>
          <w:ilvl w:val="0"/>
          <w:numId w:val="5"/>
        </w:numPr>
        <w:rPr>
          <w:bCs/>
        </w:rPr>
      </w:pPr>
      <w:r w:rsidRPr="00BB6A85">
        <w:rPr>
          <w:b/>
        </w:rPr>
        <w:t>Hospital isolation and admission to Intensive Care Units (ICU):</w:t>
      </w:r>
      <w:r w:rsidRPr="00F72962">
        <w:rPr>
          <w:bCs/>
        </w:rPr>
        <w:t xml:space="preserve"> </w:t>
      </w:r>
      <w:r w:rsidR="00791DA3" w:rsidRPr="00F72962">
        <w:rPr>
          <w:bCs/>
        </w:rPr>
        <w:t>About 20% of COVID pos</w:t>
      </w:r>
      <w:r w:rsidR="00791DA3" w:rsidRPr="00005471">
        <w:rPr>
          <w:bCs/>
        </w:rPr>
        <w:t>itive patients require hospitalization in dedicated COVID care hospital</w:t>
      </w:r>
      <w:r w:rsidR="00791DA3" w:rsidRPr="00BB6A85">
        <w:rPr>
          <w:bCs/>
        </w:rPr>
        <w:t>. Around 15% of these patients are usually with comorbidities, with moderate to severe infection and require aggressive supplemental oxygen through High Flow Nasal Cannula (HFNC), and supportive therapy with anti- inflammatory, antivirals, and anticoagulants, convalescent plasma, along with management of comorbidities. Around 5% of the hospitalized patients may deteriorate and require advanced critical care in ICU and ventilator support along with aggressive management to improve outcomes. Severe patients also have prolonged hospital stay with discharge average of 21 days. It is also important to consider post discharge pulmonary rehabilitation of such patients.</w:t>
      </w:r>
    </w:p>
    <w:p w14:paraId="07A54674" w14:textId="77777777" w:rsidR="00791DA3" w:rsidRPr="00E02F1B" w:rsidRDefault="00791DA3" w:rsidP="00791DA3">
      <w:pPr>
        <w:rPr>
          <w:bCs/>
        </w:rPr>
      </w:pPr>
    </w:p>
    <w:p w14:paraId="0C7C30F0" w14:textId="136E1173" w:rsidR="004954B9" w:rsidRDefault="004954B9"/>
    <w:p w14:paraId="00A02D57" w14:textId="1BF81DCD" w:rsidR="004954B9" w:rsidRDefault="004954B9"/>
    <w:p w14:paraId="7509FD29" w14:textId="77777777" w:rsidR="00791DA3" w:rsidRDefault="00791DA3">
      <w:pPr>
        <w:rPr>
          <w:b/>
          <w:bCs/>
        </w:rPr>
      </w:pPr>
      <w:r>
        <w:rPr>
          <w:b/>
          <w:bCs/>
        </w:rPr>
        <w:br w:type="page"/>
      </w:r>
    </w:p>
    <w:p w14:paraId="3D9F3330" w14:textId="75A5CF2E" w:rsidR="004954B9" w:rsidRDefault="004954B9" w:rsidP="004954B9">
      <w:pPr>
        <w:rPr>
          <w:b/>
          <w:bCs/>
        </w:rPr>
      </w:pPr>
      <w:r>
        <w:rPr>
          <w:b/>
          <w:bCs/>
        </w:rPr>
        <w:lastRenderedPageBreak/>
        <w:t xml:space="preserve">Section A2: </w:t>
      </w:r>
      <w:r w:rsidR="007A57B7">
        <w:rPr>
          <w:b/>
          <w:bCs/>
        </w:rPr>
        <w:t>Unit cost estimation</w:t>
      </w:r>
    </w:p>
    <w:p w14:paraId="037B0806" w14:textId="7ACCBED4" w:rsidR="00F81B5C" w:rsidRDefault="00F81B5C" w:rsidP="007A57B7">
      <w:r>
        <w:t>We defined u</w:t>
      </w:r>
      <w:r w:rsidRPr="00E02F1B">
        <w:t xml:space="preserve">nit </w:t>
      </w:r>
      <w:r w:rsidR="007A57B7" w:rsidRPr="00E02F1B">
        <w:t>cost</w:t>
      </w:r>
      <w:r>
        <w:t>s as the</w:t>
      </w:r>
      <w:r w:rsidR="007A57B7" w:rsidRPr="00E02F1B">
        <w:t xml:space="preserve"> cost of providing a </w:t>
      </w:r>
      <w:r>
        <w:t xml:space="preserve">COVID-19 </w:t>
      </w:r>
      <w:r w:rsidR="007A57B7" w:rsidRPr="00E02F1B">
        <w:t xml:space="preserve">health service or intervention </w:t>
      </w:r>
      <w:r>
        <w:t>for that episode of care</w:t>
      </w:r>
      <w:r w:rsidR="007A57B7" w:rsidRPr="00E02F1B">
        <w:rPr>
          <w:rStyle w:val="EndnoteReference"/>
          <w:rFonts w:ascii="Times New Roman" w:hAnsi="Times New Roman" w:cs="Times New Roman"/>
          <w:sz w:val="22"/>
          <w:szCs w:val="22"/>
        </w:rPr>
        <w:endnoteReference w:id="9"/>
      </w:r>
      <w:r w:rsidR="007A57B7" w:rsidRPr="00E02F1B">
        <w:t xml:space="preserve">. Unit cost estimates for curative care are provided, with a distinction between costs that are incurred by the government and by households. National and state level estimates of costs for each curative intervention were estimated per episode per year. </w:t>
      </w:r>
    </w:p>
    <w:p w14:paraId="7A73910A" w14:textId="77777777" w:rsidR="00F81B5C" w:rsidRDefault="00F81B5C" w:rsidP="007A57B7"/>
    <w:p w14:paraId="65740E4D" w14:textId="22C97781" w:rsidR="00205501" w:rsidRDefault="007A57B7" w:rsidP="007A57B7">
      <w:r w:rsidRPr="00E02F1B">
        <w:t xml:space="preserve">Several steps were employed to </w:t>
      </w:r>
      <w:r w:rsidR="009538C4">
        <w:t>estimate</w:t>
      </w:r>
      <w:r w:rsidRPr="00E02F1B">
        <w:t xml:space="preserve"> per episode expenditure for </w:t>
      </w:r>
      <w:r w:rsidR="009538C4">
        <w:t>(</w:t>
      </w:r>
      <w:proofErr w:type="spellStart"/>
      <w:r w:rsidRPr="00E02F1B">
        <w:t>i</w:t>
      </w:r>
      <w:proofErr w:type="spellEnd"/>
      <w:r w:rsidRPr="00E02F1B">
        <w:t xml:space="preserve">) home isolation </w:t>
      </w:r>
      <w:r w:rsidR="009538C4">
        <w:t>(</w:t>
      </w:r>
      <w:r w:rsidRPr="00E02F1B">
        <w:t>ii) ICU support without ventilators</w:t>
      </w:r>
      <w:r w:rsidR="009538C4">
        <w:t>, and</w:t>
      </w:r>
      <w:r w:rsidRPr="00E02F1B">
        <w:t xml:space="preserve"> </w:t>
      </w:r>
      <w:r w:rsidR="009538C4">
        <w:t>(</w:t>
      </w:r>
      <w:r w:rsidRPr="00E02F1B">
        <w:t xml:space="preserve">iii) ICU support with ventilators. </w:t>
      </w:r>
      <w:r w:rsidR="00205501">
        <w:t xml:space="preserve">Mean </w:t>
      </w:r>
      <w:r w:rsidRPr="00E02F1B">
        <w:t xml:space="preserve">expenditure for these categories were estimated based on prices </w:t>
      </w:r>
      <w:r w:rsidR="00205501">
        <w:t>derived</w:t>
      </w:r>
      <w:r w:rsidR="00205501" w:rsidRPr="00E02F1B">
        <w:t xml:space="preserve"> </w:t>
      </w:r>
      <w:r w:rsidRPr="00E02F1B">
        <w:t>from government-insurance package rates/government capped package rates for private facilities. The package rates capped the cost per patient per day, that were based on detailed cost break-downs including</w:t>
      </w:r>
      <w:r w:rsidR="00205501">
        <w:t>:</w:t>
      </w:r>
      <w:r w:rsidRPr="00E02F1B">
        <w:t xml:space="preserve"> </w:t>
      </w:r>
    </w:p>
    <w:p w14:paraId="4B955509" w14:textId="25FA510E" w:rsidR="00205501" w:rsidRDefault="00205501" w:rsidP="00205501">
      <w:pPr>
        <w:pStyle w:val="ListParagraph"/>
        <w:numPr>
          <w:ilvl w:val="0"/>
          <w:numId w:val="6"/>
        </w:numPr>
      </w:pPr>
      <w:r>
        <w:t>R</w:t>
      </w:r>
      <w:r w:rsidR="007A57B7" w:rsidRPr="00E02F1B">
        <w:t xml:space="preserve">oom rent, consultation, nursing, monitoring, administrative &amp; maintenance charges, basic interventions, such as, Ryle’s tube insertion, urinary catheterization, etc. </w:t>
      </w:r>
    </w:p>
    <w:p w14:paraId="744FF19F" w14:textId="0F043A9D" w:rsidR="00205501" w:rsidRDefault="00205501" w:rsidP="00205501">
      <w:pPr>
        <w:pStyle w:val="ListParagraph"/>
        <w:numPr>
          <w:ilvl w:val="0"/>
          <w:numId w:val="6"/>
        </w:numPr>
      </w:pPr>
      <w:r>
        <w:t>N</w:t>
      </w:r>
      <w:r w:rsidR="007A57B7" w:rsidRPr="00E02F1B">
        <w:t xml:space="preserve">ebulization charges; </w:t>
      </w:r>
    </w:p>
    <w:p w14:paraId="4B0E60E8" w14:textId="3049592D" w:rsidR="00205501" w:rsidRDefault="00205501" w:rsidP="00205501">
      <w:pPr>
        <w:pStyle w:val="ListParagraph"/>
        <w:numPr>
          <w:ilvl w:val="0"/>
          <w:numId w:val="6"/>
        </w:numPr>
      </w:pPr>
      <w:r>
        <w:t>D</w:t>
      </w:r>
      <w:r w:rsidR="007A57B7" w:rsidRPr="00E02F1B">
        <w:t xml:space="preserve">rugs and investigations; </w:t>
      </w:r>
    </w:p>
    <w:p w14:paraId="06DBFF68" w14:textId="08EED969" w:rsidR="00205501" w:rsidRDefault="00205501" w:rsidP="00205501">
      <w:pPr>
        <w:pStyle w:val="ListParagraph"/>
        <w:numPr>
          <w:ilvl w:val="0"/>
          <w:numId w:val="6"/>
        </w:numPr>
      </w:pPr>
      <w:r>
        <w:t>A</w:t>
      </w:r>
      <w:r w:rsidR="007A57B7" w:rsidRPr="00E02F1B">
        <w:t xml:space="preserve">dditional management charges; </w:t>
      </w:r>
    </w:p>
    <w:p w14:paraId="0B3F3AB8" w14:textId="4E173E40" w:rsidR="00205501" w:rsidRDefault="00205501" w:rsidP="00205501">
      <w:pPr>
        <w:pStyle w:val="ListParagraph"/>
        <w:numPr>
          <w:ilvl w:val="0"/>
          <w:numId w:val="6"/>
        </w:numPr>
      </w:pPr>
      <w:r>
        <w:t>N</w:t>
      </w:r>
      <w:r w:rsidR="007A57B7" w:rsidRPr="00E02F1B">
        <w:t xml:space="preserve">umber and cost of PPEs; </w:t>
      </w:r>
    </w:p>
    <w:p w14:paraId="6B968C45" w14:textId="6CBC046D" w:rsidR="00205501" w:rsidRDefault="00205501" w:rsidP="00205501">
      <w:pPr>
        <w:pStyle w:val="ListParagraph"/>
        <w:numPr>
          <w:ilvl w:val="0"/>
          <w:numId w:val="6"/>
        </w:numPr>
      </w:pPr>
      <w:r>
        <w:t>N</w:t>
      </w:r>
      <w:r w:rsidR="007A57B7" w:rsidRPr="00E02F1B">
        <w:t xml:space="preserve">utritious diet; </w:t>
      </w:r>
    </w:p>
    <w:p w14:paraId="317ED28F" w14:textId="0402A803" w:rsidR="00205501" w:rsidRDefault="00205501" w:rsidP="00205501">
      <w:pPr>
        <w:pStyle w:val="ListParagraph"/>
        <w:numPr>
          <w:ilvl w:val="0"/>
          <w:numId w:val="6"/>
        </w:numPr>
      </w:pPr>
      <w:r>
        <w:t>D</w:t>
      </w:r>
      <w:r w:rsidR="007A57B7" w:rsidRPr="00E02F1B">
        <w:t>isinfection cost</w:t>
      </w:r>
      <w:r>
        <w:t>s</w:t>
      </w:r>
      <w:r w:rsidR="007A57B7" w:rsidRPr="00E02F1B">
        <w:t xml:space="preserve">. </w:t>
      </w:r>
    </w:p>
    <w:p w14:paraId="46CDB3A8" w14:textId="77777777" w:rsidR="00205501" w:rsidRDefault="00205501" w:rsidP="00205501">
      <w:pPr>
        <w:ind w:left="360"/>
      </w:pPr>
    </w:p>
    <w:p w14:paraId="7B6B9F74" w14:textId="389A6803" w:rsidR="007A57B7" w:rsidRPr="00E02F1B" w:rsidRDefault="007A57B7" w:rsidP="00205501">
      <w:r w:rsidRPr="00E02F1B">
        <w:t>Further, the cost break-downs also relied on a detailed estimate of health care personnel required to carry out functions</w:t>
      </w:r>
      <w:r w:rsidRPr="00E02F1B">
        <w:rPr>
          <w:rStyle w:val="EndnoteReference"/>
          <w:rFonts w:ascii="Times New Roman" w:hAnsi="Times New Roman" w:cs="Times New Roman"/>
          <w:sz w:val="22"/>
          <w:szCs w:val="22"/>
        </w:rPr>
        <w:endnoteReference w:id="10"/>
      </w:r>
      <w:r w:rsidRPr="00E02F1B">
        <w:t>. For instance, in ICU setting</w:t>
      </w:r>
      <w:r w:rsidR="00205501">
        <w:t>s</w:t>
      </w:r>
      <w:r w:rsidRPr="00E02F1B">
        <w:t xml:space="preserve"> without ventilation, per shift per day estimates were provided that included duty doctors, emergency/critical care physician, consultants, nurses, technicians (ICU technician, radiographer, physiotherapist, dietician, biomedical engineer), </w:t>
      </w:r>
      <w:r w:rsidR="00205501">
        <w:t xml:space="preserve">and </w:t>
      </w:r>
      <w:r w:rsidRPr="00E02F1B">
        <w:t xml:space="preserve">house-keeping. The cost break-down also </w:t>
      </w:r>
      <w:r w:rsidR="00205501">
        <w:t>capped</w:t>
      </w:r>
      <w:r w:rsidR="00205501" w:rsidRPr="00E02F1B">
        <w:t xml:space="preserve"> </w:t>
      </w:r>
      <w:r w:rsidRPr="00E02F1B">
        <w:t xml:space="preserve">the length of stay for non-critical care at 10 days while critical care involving ICU with ventilator and </w:t>
      </w:r>
      <w:r w:rsidR="00205501">
        <w:t>sepsis</w:t>
      </w:r>
      <w:r w:rsidR="00205501" w:rsidRPr="00E02F1B">
        <w:t xml:space="preserve"> </w:t>
      </w:r>
      <w:r w:rsidRPr="00E02F1B">
        <w:t>treatment without ventilator at 14 days each</w:t>
      </w:r>
      <w:r w:rsidRPr="00E02F1B">
        <w:rPr>
          <w:rStyle w:val="EndnoteReference"/>
          <w:rFonts w:ascii="Times New Roman" w:hAnsi="Times New Roman" w:cs="Times New Roman"/>
          <w:sz w:val="22"/>
          <w:szCs w:val="22"/>
        </w:rPr>
        <w:endnoteReference w:id="11"/>
      </w:r>
      <w:r w:rsidRPr="00E02F1B">
        <w:t xml:space="preserve">. Package rates also specify mandatory investigations that are included in cases involving </w:t>
      </w:r>
      <w:r w:rsidR="00205501">
        <w:t>sepsis</w:t>
      </w:r>
      <w:r w:rsidR="00205501" w:rsidRPr="00E02F1B">
        <w:t xml:space="preserve"> </w:t>
      </w:r>
      <w:r w:rsidRPr="00E02F1B">
        <w:t>with ventilator: serum ferritin, CRP, D-Dimer, troponin, Chest X-Ray, hemogram, ECG, RFT, LFT, ABG, electrolytes, LDH, procalcitonin, CT-Chest, blood culture. However, most states did not include experimental therapies, such as, Remdesivir</w:t>
      </w:r>
      <w:r w:rsidR="00791DA3">
        <w:t>.</w:t>
      </w:r>
      <w:r w:rsidRPr="00E02F1B">
        <w:rPr>
          <w:rStyle w:val="EndnoteReference"/>
          <w:rFonts w:ascii="Times New Roman" w:hAnsi="Times New Roman" w:cs="Times New Roman"/>
          <w:sz w:val="22"/>
          <w:szCs w:val="22"/>
        </w:rPr>
        <w:endnoteReference w:id="12"/>
      </w:r>
    </w:p>
    <w:p w14:paraId="1C6614BD" w14:textId="77777777" w:rsidR="004C7BDF" w:rsidRDefault="004C7BDF" w:rsidP="007A57B7"/>
    <w:p w14:paraId="755E899B" w14:textId="2EE372DB" w:rsidR="007A57B7" w:rsidRPr="00E02F1B" w:rsidRDefault="007A57B7" w:rsidP="00005471">
      <w:r w:rsidRPr="00E02F1B">
        <w:t xml:space="preserve">Since COVID-19 affects patients with co-morbid conditions including hypertension, diabetes, </w:t>
      </w:r>
      <w:r w:rsidR="004C7BDF">
        <w:t xml:space="preserve">and </w:t>
      </w:r>
      <w:r w:rsidRPr="00E02F1B">
        <w:t>cardiovascular problems</w:t>
      </w:r>
      <w:r w:rsidR="004C7BDF">
        <w:t>,</w:t>
      </w:r>
      <w:r w:rsidRPr="00E02F1B">
        <w:t xml:space="preserve"> the capped rates included </w:t>
      </w:r>
      <w:r w:rsidR="004C7BDF">
        <w:t xml:space="preserve">treatment for </w:t>
      </w:r>
      <w:r w:rsidRPr="00E02F1B">
        <w:t xml:space="preserve">the underlying conditions. </w:t>
      </w:r>
      <w:r w:rsidR="004C7BDF">
        <w:t xml:space="preserve">These capped rates </w:t>
      </w:r>
      <w:r w:rsidRPr="00E02F1B">
        <w:t xml:space="preserve">differed from one state to another. </w:t>
      </w:r>
      <w:r w:rsidR="004C7BDF">
        <w:t>For example, i</w:t>
      </w:r>
      <w:r w:rsidR="004C7BDF" w:rsidRPr="00E02F1B">
        <w:t xml:space="preserve">n </w:t>
      </w:r>
      <w:r w:rsidRPr="00E02F1B">
        <w:t>Haryana and Delhi, the package rates are applicable up</w:t>
      </w:r>
      <w:r w:rsidR="00791DA3">
        <w:t xml:space="preserve"> </w:t>
      </w:r>
      <w:r w:rsidRPr="00E02F1B">
        <w:t xml:space="preserve">to a maximum of 60 percent of total hospital bed capacity while the hospitals </w:t>
      </w:r>
      <w:r w:rsidR="004C7BDF">
        <w:t>have</w:t>
      </w:r>
      <w:r w:rsidRPr="00E02F1B">
        <w:t xml:space="preserve"> freedom to charge </w:t>
      </w:r>
      <w:r w:rsidR="004C7BDF">
        <w:t>higher</w:t>
      </w:r>
      <w:r w:rsidR="004C7BDF" w:rsidRPr="00E02F1B">
        <w:t xml:space="preserve"> </w:t>
      </w:r>
      <w:r w:rsidRPr="00E02F1B">
        <w:t xml:space="preserve">rates for the remaining 40 percent beds.  </w:t>
      </w:r>
      <w:r w:rsidR="004C7BDF">
        <w:t>By contrast, i</w:t>
      </w:r>
      <w:r w:rsidR="004C7BDF" w:rsidRPr="00E02F1B">
        <w:t xml:space="preserve">n </w:t>
      </w:r>
      <w:r w:rsidRPr="00E02F1B">
        <w:t>Karnataka, the share of beds under price cap was about half while the remaining falls under uncapped rates</w:t>
      </w:r>
      <w:r w:rsidRPr="00E02F1B">
        <w:rPr>
          <w:rStyle w:val="EndnoteReference"/>
          <w:rFonts w:ascii="Times New Roman" w:hAnsi="Times New Roman" w:cs="Times New Roman"/>
          <w:sz w:val="22"/>
          <w:szCs w:val="22"/>
        </w:rPr>
        <w:endnoteReference w:id="13"/>
      </w:r>
      <w:r w:rsidRPr="00E02F1B">
        <w:t xml:space="preserve">. </w:t>
      </w:r>
    </w:p>
    <w:p w14:paraId="46D1F505" w14:textId="77777777" w:rsidR="007A57B7" w:rsidRPr="00E02F1B" w:rsidRDefault="007A57B7" w:rsidP="007A57B7"/>
    <w:p w14:paraId="644D4EBF" w14:textId="1A8742CA" w:rsidR="007A57B7" w:rsidRPr="007A57B7" w:rsidRDefault="007A57B7" w:rsidP="007A57B7">
      <w:r w:rsidRPr="00E02F1B">
        <w:t xml:space="preserve">For symptomatic patients requiring home isolation, per episode average expenditure </w:t>
      </w:r>
      <w:r w:rsidR="004C7BDF" w:rsidRPr="00E02F1B">
        <w:t>w</w:t>
      </w:r>
      <w:r w:rsidR="004C7BDF">
        <w:t>as</w:t>
      </w:r>
      <w:r w:rsidR="004C7BDF" w:rsidRPr="00E02F1B">
        <w:t xml:space="preserve"> </w:t>
      </w:r>
      <w:r w:rsidRPr="00E02F1B">
        <w:t xml:space="preserve">derived from the National Sample Survey (NSS) data that </w:t>
      </w:r>
      <w:r w:rsidR="004C7BDF" w:rsidRPr="00E02F1B">
        <w:t>capture</w:t>
      </w:r>
      <w:r w:rsidR="004C7BDF">
        <w:t>d</w:t>
      </w:r>
      <w:r w:rsidR="004C7BDF" w:rsidRPr="00E02F1B">
        <w:t xml:space="preserve"> </w:t>
      </w:r>
      <w:r w:rsidRPr="00E02F1B">
        <w:t xml:space="preserve">mean spending per person for common cold and fever. This data was extracted from unit level records of NSS based on </w:t>
      </w:r>
      <w:r w:rsidRPr="00E02F1B">
        <w:lastRenderedPageBreak/>
        <w:t xml:space="preserve">two codes ‘04’ for fever and ‘36’ for respiratory conditions. The average expenditure </w:t>
      </w:r>
      <w:r w:rsidR="004C7BDF">
        <w:t>wa</w:t>
      </w:r>
      <w:r w:rsidR="004C7BDF" w:rsidRPr="00E02F1B">
        <w:t xml:space="preserve">s </w:t>
      </w:r>
      <w:r w:rsidRPr="00E02F1B">
        <w:t xml:space="preserve">then adjusted for inflation to report expenditure for the year 2020, as the NSS was conducted in 2018. Households total expenditure </w:t>
      </w:r>
      <w:r w:rsidR="004C7BDF">
        <w:t>was</w:t>
      </w:r>
      <w:r w:rsidR="004C7BDF" w:rsidRPr="00E02F1B">
        <w:t xml:space="preserve"> </w:t>
      </w:r>
      <w:r w:rsidRPr="00E02F1B">
        <w:t xml:space="preserve">considered as a proxy indicating the financial gap that the government needs to fill </w:t>
      </w:r>
      <w:r w:rsidR="004C7BDF">
        <w:t xml:space="preserve">in order </w:t>
      </w:r>
      <w:r w:rsidRPr="00E02F1B">
        <w:t>to avoid financial vulnerabilities and catastrophe</w:t>
      </w:r>
      <w:r w:rsidR="004C7BDF">
        <w:t xml:space="preserve"> to families. T</w:t>
      </w:r>
      <w:r w:rsidRPr="00E02F1B">
        <w:t xml:space="preserve">he wealthy population can afford to pay on their own, </w:t>
      </w:r>
      <w:r w:rsidR="004C7BDF">
        <w:t>but they are</w:t>
      </w:r>
      <w:r w:rsidRPr="00E02F1B">
        <w:t xml:space="preserve"> expected to be a smaller proportion of those infected and requiring medical intervention.</w:t>
      </w:r>
    </w:p>
    <w:p w14:paraId="4368793D" w14:textId="19FFE331" w:rsidR="004954B9" w:rsidRDefault="004954B9">
      <w:pPr>
        <w:rPr>
          <w:b/>
          <w:bCs/>
        </w:rPr>
      </w:pPr>
    </w:p>
    <w:p w14:paraId="4FD32A73" w14:textId="77777777" w:rsidR="00791DA3" w:rsidRDefault="00791DA3">
      <w:pPr>
        <w:rPr>
          <w:b/>
          <w:bCs/>
        </w:rPr>
      </w:pPr>
      <w:r>
        <w:rPr>
          <w:b/>
          <w:bCs/>
        </w:rPr>
        <w:br w:type="page"/>
      </w:r>
    </w:p>
    <w:p w14:paraId="1F2810F2" w14:textId="1B420C00" w:rsidR="004954B9" w:rsidRDefault="004954B9" w:rsidP="004954B9">
      <w:pPr>
        <w:rPr>
          <w:b/>
          <w:bCs/>
        </w:rPr>
      </w:pPr>
      <w:r>
        <w:rPr>
          <w:b/>
          <w:bCs/>
        </w:rPr>
        <w:lastRenderedPageBreak/>
        <w:t xml:space="preserve">Section A3: </w:t>
      </w:r>
      <w:r w:rsidR="00A23ECC">
        <w:rPr>
          <w:b/>
          <w:bCs/>
        </w:rPr>
        <w:t>Estimating affordability</w:t>
      </w:r>
      <w:r w:rsidR="00086A24">
        <w:rPr>
          <w:b/>
          <w:bCs/>
        </w:rPr>
        <w:t xml:space="preserve"> and financial burden</w:t>
      </w:r>
    </w:p>
    <w:p w14:paraId="7D2EA59A" w14:textId="77777777" w:rsidR="00124DFB" w:rsidRPr="00791DA3" w:rsidRDefault="00124DFB" w:rsidP="004954B9">
      <w:pPr>
        <w:rPr>
          <w:u w:val="single"/>
        </w:rPr>
      </w:pPr>
    </w:p>
    <w:p w14:paraId="6D284F8F" w14:textId="42C0AF61" w:rsidR="00791DA3" w:rsidRDefault="00791DA3" w:rsidP="00791DA3">
      <w:r w:rsidRPr="00E02F1B">
        <w:t>Recognizing the inherent difficulties in measuring affordability, the World Health Organization (WHO) and Health Action International (HAI) had come up with an alternate method by employing and comparing wage level of the lowest paid unskilled employee in a government setting to prices of key medicines</w:t>
      </w:r>
      <w:r w:rsidRPr="00E02F1B">
        <w:rPr>
          <w:rStyle w:val="EndnoteReference"/>
          <w:rFonts w:ascii="Times New Roman" w:hAnsi="Times New Roman" w:cs="Times New Roman"/>
          <w:sz w:val="22"/>
          <w:szCs w:val="22"/>
        </w:rPr>
        <w:endnoteReference w:id="14"/>
      </w:r>
      <w:r w:rsidRPr="00E02F1B">
        <w:t>. Several evidences using this approach have demonstrated the unaffordability of medicines in the past</w:t>
      </w:r>
      <w:r w:rsidRPr="00E02F1B">
        <w:rPr>
          <w:rStyle w:val="EndnoteReference"/>
          <w:rFonts w:ascii="Times New Roman" w:hAnsi="Times New Roman" w:cs="Times New Roman"/>
          <w:sz w:val="22"/>
          <w:szCs w:val="22"/>
        </w:rPr>
        <w:endnoteReference w:id="15"/>
      </w:r>
      <w:r w:rsidRPr="00E02F1B">
        <w:t xml:space="preserve"> </w:t>
      </w:r>
      <w:r w:rsidRPr="00E02F1B">
        <w:rPr>
          <w:rStyle w:val="EndnoteReference"/>
          <w:rFonts w:ascii="Times New Roman" w:hAnsi="Times New Roman" w:cs="Times New Roman"/>
          <w:sz w:val="22"/>
          <w:szCs w:val="22"/>
        </w:rPr>
        <w:endnoteReference w:id="16"/>
      </w:r>
      <w:r w:rsidRPr="00E02F1B">
        <w:t xml:space="preserve"> </w:t>
      </w:r>
      <w:r w:rsidRPr="00E02F1B">
        <w:rPr>
          <w:rStyle w:val="EndnoteReference"/>
          <w:rFonts w:ascii="Times New Roman" w:hAnsi="Times New Roman" w:cs="Times New Roman"/>
          <w:sz w:val="22"/>
          <w:szCs w:val="22"/>
        </w:rPr>
        <w:endnoteReference w:id="17"/>
      </w:r>
      <w:r w:rsidRPr="00E02F1B">
        <w:t xml:space="preserve"> </w:t>
      </w:r>
      <w:r w:rsidRPr="00E02F1B">
        <w:rPr>
          <w:rStyle w:val="EndnoteReference"/>
          <w:rFonts w:ascii="Times New Roman" w:hAnsi="Times New Roman" w:cs="Times New Roman"/>
          <w:sz w:val="22"/>
          <w:szCs w:val="22"/>
        </w:rPr>
        <w:endnoteReference w:id="18"/>
      </w:r>
      <w:r w:rsidRPr="00E02F1B">
        <w:t xml:space="preserve"> </w:t>
      </w:r>
      <w:r w:rsidRPr="00E02F1B">
        <w:rPr>
          <w:rStyle w:val="EndnoteReference"/>
          <w:rFonts w:ascii="Times New Roman" w:hAnsi="Times New Roman" w:cs="Times New Roman"/>
          <w:sz w:val="22"/>
          <w:szCs w:val="22"/>
        </w:rPr>
        <w:endnoteReference w:id="19"/>
      </w:r>
      <w:r w:rsidRPr="00E02F1B">
        <w:t xml:space="preserve">. This paper employs the technique by comparing </w:t>
      </w:r>
      <w:r w:rsidR="00061942" w:rsidRPr="00E02F1B">
        <w:t>C</w:t>
      </w:r>
      <w:r w:rsidR="00061942">
        <w:t>OVID</w:t>
      </w:r>
      <w:r w:rsidRPr="00E02F1B">
        <w:t>-19 treatment cost incurred by households with that of wages and salaries of three set of households as defined by the Government of India, namely: casual worker, regular employees and self-employed</w:t>
      </w:r>
      <w:r w:rsidRPr="00E02F1B">
        <w:rPr>
          <w:rStyle w:val="EndnoteReference"/>
          <w:rFonts w:ascii="Times New Roman" w:hAnsi="Times New Roman" w:cs="Times New Roman"/>
          <w:sz w:val="22"/>
          <w:szCs w:val="22"/>
        </w:rPr>
        <w:endnoteReference w:id="20"/>
      </w:r>
      <w:r w:rsidRPr="00E02F1B">
        <w:t>.</w:t>
      </w:r>
    </w:p>
    <w:p w14:paraId="616E79C8" w14:textId="77777777" w:rsidR="00976F60" w:rsidRPr="00E02F1B" w:rsidRDefault="00976F60" w:rsidP="00791DA3"/>
    <w:p w14:paraId="3E811038" w14:textId="52068F34" w:rsidR="00791DA3" w:rsidRDefault="00005471" w:rsidP="00791DA3">
      <w:r>
        <w:t xml:space="preserve">Table A3.1 describes the equations used in the estimation. </w:t>
      </w:r>
      <w:r w:rsidR="00791DA3" w:rsidRPr="00E02F1B">
        <w:t>Affordability is assessed based on C</w:t>
      </w:r>
      <w:r w:rsidR="00791DA3">
        <w:t>OVID</w:t>
      </w:r>
      <w:r w:rsidR="00791DA3" w:rsidRPr="00E02F1B">
        <w:t xml:space="preserve">-19 costs per episode compared to the standard of living of households involving various categories of workers, aggregated at the household level. The average </w:t>
      </w:r>
      <w:r w:rsidR="002E6C94">
        <w:t xml:space="preserve">annual </w:t>
      </w:r>
      <w:r w:rsidR="00791DA3" w:rsidRPr="00E02F1B">
        <w:t>wage of a casual worker, regular employee</w:t>
      </w:r>
      <w:r w:rsidR="002E6C94">
        <w:t>,</w:t>
      </w:r>
      <w:r w:rsidR="00791DA3" w:rsidRPr="00E02F1B">
        <w:t xml:space="preserve"> and self-employed is compared to </w:t>
      </w:r>
      <w:r w:rsidR="002E6C94">
        <w:t>average unit</w:t>
      </w:r>
      <w:r w:rsidR="002E6C94" w:rsidRPr="00E02F1B">
        <w:t xml:space="preserve"> </w:t>
      </w:r>
      <w:r w:rsidR="00791DA3" w:rsidRPr="00E02F1B">
        <w:t>cost</w:t>
      </w:r>
      <w:r w:rsidR="002E6C94">
        <w:t xml:space="preserve"> per episode of needed COVID-19 care</w:t>
      </w:r>
      <w:r w:rsidR="00791DA3" w:rsidRPr="00E02F1B">
        <w:t xml:space="preserve">. For instance, we estimated the number of </w:t>
      </w:r>
      <w:r w:rsidR="002E6C94">
        <w:t xml:space="preserve">equivalent </w:t>
      </w:r>
      <w:r w:rsidR="00791DA3" w:rsidRPr="00E02F1B">
        <w:t xml:space="preserve">days of wage/salaries required to meet the cost of paying </w:t>
      </w:r>
      <w:r w:rsidR="002E6C94" w:rsidRPr="00E02F1B">
        <w:t>C</w:t>
      </w:r>
      <w:r w:rsidR="002E6C94">
        <w:t>OVID</w:t>
      </w:r>
      <w:r w:rsidR="00791DA3" w:rsidRPr="00E02F1B">
        <w:t xml:space="preserve">-19 </w:t>
      </w:r>
      <w:r w:rsidR="002E6C94">
        <w:t>service as stated in equations 1 and 2 below</w:t>
      </w:r>
      <w:r w:rsidR="00791DA3" w:rsidRPr="00E02F1B">
        <w:t xml:space="preserve">. For a casual worker to get a RT-PCR conducted or treatment required with ICU with/without ventilator, annual wages are obtained by multiplying the weekly wage 48 times to estimate how much he/she earns annually to pay for the Covid-19 treatment. Similar approach was followed for salaried class of workers and self-employed employers. </w:t>
      </w:r>
    </w:p>
    <w:p w14:paraId="2ABE26E1" w14:textId="712AC8B4" w:rsidR="00976F60" w:rsidRDefault="00976F60" w:rsidP="00791DA3"/>
    <w:p w14:paraId="11628C04" w14:textId="74CD324E" w:rsidR="00005471" w:rsidRPr="00BB6A85" w:rsidRDefault="00005471" w:rsidP="00791DA3">
      <w:pPr>
        <w:rPr>
          <w:b/>
          <w:bCs/>
        </w:rPr>
      </w:pPr>
      <w:r w:rsidRPr="00BB6A85">
        <w:rPr>
          <w:b/>
          <w:bCs/>
        </w:rPr>
        <w:t xml:space="preserve">Table A3.1 Equations used to estimate affordability </w:t>
      </w:r>
    </w:p>
    <w:tbl>
      <w:tblPr>
        <w:tblStyle w:val="TableGrid"/>
        <w:tblW w:w="9625" w:type="dxa"/>
        <w:tblLook w:val="04A0" w:firstRow="1" w:lastRow="0" w:firstColumn="1" w:lastColumn="0" w:noHBand="0" w:noVBand="1"/>
      </w:tblPr>
      <w:tblGrid>
        <w:gridCol w:w="2668"/>
        <w:gridCol w:w="6957"/>
        <w:tblGridChange w:id="0">
          <w:tblGrid>
            <w:gridCol w:w="2668"/>
            <w:gridCol w:w="6957"/>
          </w:tblGrid>
        </w:tblGridChange>
      </w:tblGrid>
      <w:tr w:rsidR="002E6C94" w:rsidRPr="00BB6A85" w14:paraId="31F841B9" w14:textId="77777777" w:rsidTr="00BB6A85">
        <w:tc>
          <w:tcPr>
            <w:tcW w:w="2965" w:type="dxa"/>
          </w:tcPr>
          <w:p w14:paraId="03C66B6B" w14:textId="3A04FF80" w:rsidR="002E6C94" w:rsidRPr="00BB6A85" w:rsidRDefault="002E6C94" w:rsidP="00791DA3">
            <w:pPr>
              <w:rPr>
                <w:b/>
                <w:bCs/>
              </w:rPr>
            </w:pPr>
            <w:r w:rsidRPr="00BB6A85">
              <w:rPr>
                <w:rFonts w:eastAsiaTheme="minorHAnsi"/>
                <w:b/>
                <w:bCs/>
                <w:lang w:val="en-US"/>
              </w:rPr>
              <w:t>Estimate</w:t>
            </w:r>
          </w:p>
        </w:tc>
        <w:tc>
          <w:tcPr>
            <w:tcW w:w="6660" w:type="dxa"/>
          </w:tcPr>
          <w:p w14:paraId="6E139ECB" w14:textId="615BA1E9" w:rsidR="002E6C94" w:rsidRPr="00BB6A85" w:rsidRDefault="002E6C94" w:rsidP="00791DA3">
            <w:pPr>
              <w:rPr>
                <w:b/>
                <w:bCs/>
              </w:rPr>
            </w:pPr>
            <w:r w:rsidRPr="00BB6A85">
              <w:rPr>
                <w:b/>
                <w:bCs/>
              </w:rPr>
              <w:t>Equation</w:t>
            </w:r>
          </w:p>
        </w:tc>
      </w:tr>
      <w:tr w:rsidR="002E6C94" w14:paraId="575E077A" w14:textId="77777777" w:rsidTr="00BB6A85">
        <w:tc>
          <w:tcPr>
            <w:tcW w:w="2965" w:type="dxa"/>
          </w:tcPr>
          <w:p w14:paraId="1BFE35AC" w14:textId="3C2664E6" w:rsidR="002E6C94" w:rsidRDefault="002E6C94" w:rsidP="00791DA3">
            <w:r>
              <w:t>Average daily wage</w:t>
            </w:r>
          </w:p>
        </w:tc>
        <w:tc>
          <w:tcPr>
            <w:tcW w:w="6660" w:type="dxa"/>
          </w:tcPr>
          <w:p w14:paraId="025DBB57" w14:textId="22DA8EE3" w:rsidR="002E6C94" w:rsidRDefault="002E6C94" w:rsidP="00791DA3">
            <m:oMathPara>
              <m:oMath>
                <m:sSub>
                  <m:sSubPr>
                    <m:ctrlPr>
                      <w:rPr>
                        <w:rFonts w:ascii="Cambria Math" w:eastAsiaTheme="minorHAnsi" w:hAnsi="Cambria Math"/>
                        <w:i/>
                        <w:lang w:val="en-US"/>
                      </w:rPr>
                    </m:ctrlPr>
                  </m:sSubPr>
                  <m:e>
                    <m:r>
                      <w:rPr>
                        <w:rFonts w:ascii="Cambria Math" w:hAnsi="Cambria Math"/>
                      </w:rPr>
                      <m:t>Average daily wage</m:t>
                    </m:r>
                  </m:e>
                  <m:sub>
                    <m:r>
                      <w:rPr>
                        <w:rFonts w:ascii="Cambria Math" w:hAnsi="Cambria Math"/>
                      </w:rPr>
                      <m:t>j</m:t>
                    </m:r>
                  </m:sub>
                </m:sSub>
                <m:r>
                  <w:rPr>
                    <w:rFonts w:ascii="Cambria Math" w:hAnsi="Cambria Math"/>
                  </w:rPr>
                  <m:t>=</m:t>
                </m:r>
                <m:f>
                  <m:fPr>
                    <m:ctrlPr>
                      <w:rPr>
                        <w:rFonts w:ascii="Cambria Math" w:eastAsiaTheme="minorHAnsi" w:hAnsi="Cambria Math"/>
                        <w:i/>
                        <w:lang w:val="en-US"/>
                      </w:rPr>
                    </m:ctrlPr>
                  </m:fPr>
                  <m:num>
                    <m:r>
                      <w:rPr>
                        <w:rFonts w:ascii="Cambria Math" w:hAnsi="Cambria Math"/>
                      </w:rPr>
                      <m:t>i</m:t>
                    </m:r>
                  </m:num>
                  <m:den>
                    <m:r>
                      <w:rPr>
                        <w:rFonts w:ascii="Cambria Math" w:hAnsi="Cambria Math"/>
                      </w:rPr>
                      <m:t>n</m:t>
                    </m:r>
                  </m:den>
                </m:f>
                <m:nary>
                  <m:naryPr>
                    <m:chr m:val="∑"/>
                    <m:limLoc m:val="undOvr"/>
                    <m:ctrlPr>
                      <w:rPr>
                        <w:rFonts w:ascii="Cambria Math" w:eastAsiaTheme="minorHAnsi" w:hAnsi="Cambria Math"/>
                        <w:i/>
                        <w:lang w:val="en-US"/>
                      </w:rPr>
                    </m:ctrlPr>
                  </m:naryPr>
                  <m:sub>
                    <m:r>
                      <w:rPr>
                        <w:rFonts w:ascii="Cambria Math" w:hAnsi="Cambria Math"/>
                      </w:rPr>
                      <m:t>1</m:t>
                    </m:r>
                  </m:sub>
                  <m:sup>
                    <m:r>
                      <w:rPr>
                        <w:rFonts w:ascii="Cambria Math" w:hAnsi="Cambria Math"/>
                      </w:rPr>
                      <m:t>n</m:t>
                    </m:r>
                  </m:sup>
                  <m:e>
                    <m:f>
                      <m:fPr>
                        <m:type m:val="skw"/>
                        <m:ctrlPr>
                          <w:rPr>
                            <w:rFonts w:ascii="Cambria Math" w:eastAsiaTheme="minorHAnsi" w:hAnsi="Cambria Math"/>
                            <w:i/>
                            <w:lang w:val="en-US"/>
                          </w:rPr>
                        </m:ctrlPr>
                      </m:fPr>
                      <m:num>
                        <m:sSub>
                          <m:sSubPr>
                            <m:ctrlPr>
                              <w:rPr>
                                <w:rFonts w:ascii="Cambria Math" w:eastAsiaTheme="minorHAnsi" w:hAnsi="Cambria Math"/>
                                <w:i/>
                                <w:lang w:val="en-US"/>
                              </w:rPr>
                            </m:ctrlPr>
                          </m:sSubPr>
                          <m:e>
                            <m:r>
                              <w:rPr>
                                <w:rFonts w:ascii="Cambria Math" w:hAnsi="Cambria Math"/>
                              </w:rPr>
                              <m:t>Income during period</m:t>
                            </m:r>
                          </m:e>
                          <m:sub>
                            <m:r>
                              <w:rPr>
                                <w:rFonts w:ascii="Cambria Math" w:hAnsi="Cambria Math"/>
                              </w:rPr>
                              <m:t>i</m:t>
                            </m:r>
                          </m:sub>
                        </m:sSub>
                      </m:num>
                      <m:den>
                        <m:sSub>
                          <m:sSubPr>
                            <m:ctrlPr>
                              <w:rPr>
                                <w:rFonts w:ascii="Cambria Math" w:eastAsiaTheme="minorHAnsi" w:hAnsi="Cambria Math"/>
                                <w:i/>
                                <w:lang w:val="en-US"/>
                              </w:rPr>
                            </m:ctrlPr>
                          </m:sSubPr>
                          <m:e>
                            <m:r>
                              <w:rPr>
                                <w:rFonts w:ascii="Cambria Math" w:hAnsi="Cambria Math"/>
                              </w:rPr>
                              <m:t>Numer of work days in period</m:t>
                            </m:r>
                          </m:e>
                          <m:sub>
                            <m:r>
                              <w:rPr>
                                <w:rFonts w:ascii="Cambria Math" w:hAnsi="Cambria Math"/>
                              </w:rPr>
                              <m:t>i</m:t>
                            </m:r>
                          </m:sub>
                        </m:sSub>
                      </m:den>
                    </m:f>
                    <m:r>
                      <w:rPr>
                        <w:rFonts w:ascii="Cambria Math" w:hAnsi="Cambria Math"/>
                      </w:rPr>
                      <m:t xml:space="preserve"> </m:t>
                    </m:r>
                  </m:e>
                </m:nary>
              </m:oMath>
            </m:oMathPara>
          </w:p>
        </w:tc>
      </w:tr>
      <w:tr w:rsidR="002E6C94" w14:paraId="149C194B" w14:textId="77777777" w:rsidTr="00BB6A85">
        <w:tc>
          <w:tcPr>
            <w:tcW w:w="2965" w:type="dxa"/>
          </w:tcPr>
          <w:p w14:paraId="4D51BA6C" w14:textId="1999D112" w:rsidR="002E6C94" w:rsidRDefault="002E6C94" w:rsidP="00791DA3">
            <w:r>
              <w:t>Affordability (in number of equivalent day-wages)</w:t>
            </w:r>
          </w:p>
        </w:tc>
        <w:tc>
          <w:tcPr>
            <w:tcW w:w="6660" w:type="dxa"/>
          </w:tcPr>
          <w:p w14:paraId="536998AD" w14:textId="7B093076" w:rsidR="002E6C94" w:rsidRDefault="002E6C94" w:rsidP="00791DA3">
            <m:oMathPara>
              <m:oMath>
                <m:sSub>
                  <m:sSubPr>
                    <m:ctrlPr>
                      <w:rPr>
                        <w:rFonts w:ascii="Cambria Math" w:eastAsiaTheme="minorHAnsi" w:hAnsi="Cambria Math"/>
                        <w:i/>
                        <w:lang w:val="en-US"/>
                      </w:rPr>
                    </m:ctrlPr>
                  </m:sSubPr>
                  <m:e>
                    <m:r>
                      <w:rPr>
                        <w:rFonts w:ascii="Cambria Math" w:hAnsi="Cambria Math"/>
                      </w:rPr>
                      <m:t>Number of days wages to afford service</m:t>
                    </m:r>
                  </m:e>
                  <m:sub>
                    <m:r>
                      <w:rPr>
                        <w:rFonts w:ascii="Cambria Math" w:hAnsi="Cambria Math"/>
                      </w:rPr>
                      <m:t>j</m:t>
                    </m:r>
                  </m:sub>
                </m:sSub>
                <m:r>
                  <w:rPr>
                    <w:rFonts w:ascii="Cambria Math" w:hAnsi="Cambria Math"/>
                  </w:rPr>
                  <m:t xml:space="preserve">= </m:t>
                </m:r>
                <m:f>
                  <m:fPr>
                    <m:ctrlPr>
                      <w:rPr>
                        <w:rFonts w:ascii="Cambria Math" w:eastAsiaTheme="minorHAnsi" w:hAnsi="Cambria Math"/>
                        <w:i/>
                        <w:lang w:val="en-US"/>
                      </w:rPr>
                    </m:ctrlPr>
                  </m:fPr>
                  <m:num>
                    <m:r>
                      <w:rPr>
                        <w:rFonts w:ascii="Cambria Math" w:hAnsi="Cambria Math"/>
                      </w:rPr>
                      <m:t>Average unit cost of service</m:t>
                    </m:r>
                  </m:num>
                  <m:den>
                    <m:sSub>
                      <m:sSubPr>
                        <m:ctrlPr>
                          <w:rPr>
                            <w:rFonts w:ascii="Cambria Math" w:eastAsiaTheme="minorHAnsi" w:hAnsi="Cambria Math"/>
                            <w:i/>
                            <w:lang w:val="en-US"/>
                          </w:rPr>
                        </m:ctrlPr>
                      </m:sSubPr>
                      <m:e>
                        <m:r>
                          <w:rPr>
                            <w:rFonts w:ascii="Cambria Math" w:hAnsi="Cambria Math"/>
                          </w:rPr>
                          <m:t>Average daily wage</m:t>
                        </m:r>
                      </m:e>
                      <m:sub>
                        <m:r>
                          <w:rPr>
                            <w:rFonts w:ascii="Cambria Math" w:hAnsi="Cambria Math"/>
                          </w:rPr>
                          <m:t>j</m:t>
                        </m:r>
                      </m:sub>
                    </m:sSub>
                  </m:den>
                </m:f>
              </m:oMath>
            </m:oMathPara>
          </w:p>
        </w:tc>
      </w:tr>
      <w:tr w:rsidR="002E6C94" w14:paraId="71699828" w14:textId="77777777" w:rsidTr="00BB6A85">
        <w:tc>
          <w:tcPr>
            <w:tcW w:w="2965" w:type="dxa"/>
          </w:tcPr>
          <w:p w14:paraId="4383147C" w14:textId="2031D475" w:rsidR="002E6C94" w:rsidRDefault="002E6C94" w:rsidP="00791DA3">
            <w:r>
              <w:t>Affordability</w:t>
            </w:r>
            <w:r w:rsidR="00005471">
              <w:t xml:space="preserve"> (yes/no) based on annual income</w:t>
            </w:r>
          </w:p>
        </w:tc>
        <w:tc>
          <w:tcPr>
            <w:tcW w:w="6660" w:type="dxa"/>
          </w:tcPr>
          <w:p w14:paraId="16B5A268" w14:textId="502FBA7B" w:rsidR="002E6C94" w:rsidRDefault="00005471" w:rsidP="00791DA3">
            <m:oMathPara>
              <m:oMath>
                <m:sSub>
                  <m:sSubPr>
                    <m:ctrlPr>
                      <w:rPr>
                        <w:rFonts w:ascii="Cambria Math" w:hAnsi="Cambria Math"/>
                        <w:i/>
                      </w:rPr>
                    </m:ctrlPr>
                  </m:sSubPr>
                  <m:e>
                    <m:r>
                      <w:rPr>
                        <w:rFonts w:ascii="Cambria Math" w:hAnsi="Cambria Math"/>
                      </w:rPr>
                      <m:t>Affordability of COVID19 service</m:t>
                    </m:r>
                  </m:e>
                  <m:sub>
                    <m:r>
                      <w:rPr>
                        <w:rFonts w:ascii="Cambria Math" w:hAnsi="Cambria Math"/>
                      </w:rPr>
                      <m:t>x</m:t>
                    </m:r>
                  </m:sub>
                </m:sSub>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yes</m:t>
                        </m:r>
                        <m:r>
                          <w:rPr>
                            <w:rFonts w:ascii="Cambria Math" w:hAnsi="Cambria Math"/>
                          </w:rPr>
                          <m:t>,  &amp;</m:t>
                        </m:r>
                        <m:sSub>
                          <m:sSubPr>
                            <m:ctrlPr>
                              <w:rPr>
                                <w:rFonts w:ascii="Cambria Math" w:hAnsi="Cambria Math"/>
                                <w:i/>
                              </w:rPr>
                            </m:ctrlPr>
                          </m:sSubPr>
                          <m:e>
                            <m:r>
                              <w:rPr>
                                <w:rFonts w:ascii="Cambria Math" w:hAnsi="Cambria Math"/>
                              </w:rPr>
                              <m:t>Average unit cost of service</m:t>
                            </m:r>
                          </m:e>
                          <m:sub>
                            <m:r>
                              <w:rPr>
                                <w:rFonts w:ascii="Cambria Math" w:hAnsi="Cambria Math"/>
                              </w:rPr>
                              <m:t>x</m:t>
                            </m:r>
                          </m:sub>
                        </m:sSub>
                        <m:r>
                          <w:rPr>
                            <w:rFonts w:ascii="Cambria Math" w:hAnsi="Cambria Math"/>
                          </w:rPr>
                          <m:t>&lt;</m:t>
                        </m:r>
                        <m:r>
                          <w:rPr>
                            <w:rFonts w:ascii="Cambria Math" w:hAnsi="Cambria Math"/>
                          </w:rPr>
                          <m:t xml:space="preserve"> </m:t>
                        </m:r>
                        <m:sSub>
                          <m:sSubPr>
                            <m:ctrlPr>
                              <w:rPr>
                                <w:rFonts w:ascii="Cambria Math" w:hAnsi="Cambria Math"/>
                                <w:i/>
                              </w:rPr>
                            </m:ctrlPr>
                          </m:sSubPr>
                          <m:e>
                            <m:r>
                              <w:rPr>
                                <w:rFonts w:ascii="Cambria Math" w:hAnsi="Cambria Math"/>
                              </w:rPr>
                              <m:t>Annual income</m:t>
                            </m:r>
                          </m:e>
                          <m:sub>
                            <m:r>
                              <w:rPr>
                                <w:rFonts w:ascii="Cambria Math" w:hAnsi="Cambria Math"/>
                              </w:rPr>
                              <m:t>i</m:t>
                            </m:r>
                          </m:sub>
                        </m:sSub>
                      </m:e>
                      <m:e>
                        <m:r>
                          <w:rPr>
                            <w:rFonts w:ascii="Cambria Math" w:hAnsi="Cambria Math"/>
                          </w:rPr>
                          <m:t>no</m:t>
                        </m:r>
                        <m:r>
                          <w:rPr>
                            <w:rFonts w:ascii="Cambria Math" w:hAnsi="Cambria Math"/>
                          </w:rPr>
                          <m:t>,  &amp;</m:t>
                        </m:r>
                        <m:sSub>
                          <m:sSubPr>
                            <m:ctrlPr>
                              <w:rPr>
                                <w:rFonts w:ascii="Cambria Math" w:hAnsi="Cambria Math"/>
                                <w:i/>
                              </w:rPr>
                            </m:ctrlPr>
                          </m:sSubPr>
                          <m:e>
                            <m:r>
                              <w:rPr>
                                <w:rFonts w:ascii="Cambria Math" w:hAnsi="Cambria Math"/>
                              </w:rPr>
                              <m:t>Average unit cost of service</m:t>
                            </m:r>
                          </m:e>
                          <m:sub>
                            <m:r>
                              <w:rPr>
                                <w:rFonts w:ascii="Cambria Math" w:hAnsi="Cambria Math"/>
                              </w:rPr>
                              <m:t>x</m:t>
                            </m:r>
                          </m:sub>
                        </m:sSub>
                        <m:r>
                          <w:rPr>
                            <w:rFonts w:ascii="Cambria Math" w:hAnsi="Cambria Math"/>
                          </w:rPr>
                          <m:t>≥</m:t>
                        </m:r>
                        <m:sSub>
                          <m:sSubPr>
                            <m:ctrlPr>
                              <w:rPr>
                                <w:rFonts w:ascii="Cambria Math" w:hAnsi="Cambria Math"/>
                                <w:i/>
                              </w:rPr>
                            </m:ctrlPr>
                          </m:sSubPr>
                          <m:e>
                            <m:r>
                              <w:rPr>
                                <w:rFonts w:ascii="Cambria Math" w:hAnsi="Cambria Math"/>
                              </w:rPr>
                              <m:t>Annual income</m:t>
                            </m:r>
                          </m:e>
                          <m:sub>
                            <m:r>
                              <w:rPr>
                                <w:rFonts w:ascii="Cambria Math" w:hAnsi="Cambria Math"/>
                              </w:rPr>
                              <m:t>i</m:t>
                            </m:r>
                          </m:sub>
                        </m:sSub>
                      </m:e>
                    </m:eqArr>
                    <m:r>
                      <w:rPr>
                        <w:rFonts w:ascii="Cambria Math" w:hAnsi="Cambria Math"/>
                      </w:rPr>
                      <m:t xml:space="preserve">  </m:t>
                    </m:r>
                  </m:e>
                </m:d>
              </m:oMath>
            </m:oMathPara>
          </w:p>
        </w:tc>
      </w:tr>
      <w:tr w:rsidR="00005471" w14:paraId="29E62FAB" w14:textId="77777777" w:rsidTr="00005471">
        <w:tc>
          <w:tcPr>
            <w:tcW w:w="2965" w:type="dxa"/>
          </w:tcPr>
          <w:p w14:paraId="1878573D" w14:textId="12C79258" w:rsidR="00005471" w:rsidRDefault="00005471" w:rsidP="00791DA3">
            <w:r>
              <w:t>Notes:</w:t>
            </w:r>
          </w:p>
        </w:tc>
        <w:tc>
          <w:tcPr>
            <w:tcW w:w="6660" w:type="dxa"/>
          </w:tcPr>
          <w:p w14:paraId="273670D3" w14:textId="29A48914" w:rsidR="00005471" w:rsidRDefault="00005471" w:rsidP="00791DA3">
            <w:pPr>
              <w:rPr>
                <w:rFonts w:ascii="Calibri" w:hAnsi="Calibri" w:cs="Times New Roman"/>
              </w:rPr>
            </w:pPr>
            <w:proofErr w:type="spellStart"/>
            <w:r w:rsidRPr="00BB6A85">
              <w:rPr>
                <w:rFonts w:ascii="Calibri" w:hAnsi="Calibri" w:cs="Times New Roman"/>
                <w:i/>
                <w:iCs/>
              </w:rPr>
              <w:t>i</w:t>
            </w:r>
            <w:proofErr w:type="spellEnd"/>
            <w:r>
              <w:rPr>
                <w:rFonts w:ascii="Calibri" w:hAnsi="Calibri" w:cs="Times New Roman"/>
              </w:rPr>
              <w:t xml:space="preserve"> represents individuals, </w:t>
            </w:r>
            <w:r w:rsidRPr="00BB6A85">
              <w:rPr>
                <w:rFonts w:ascii="Calibri" w:hAnsi="Calibri" w:cs="Times New Roman"/>
                <w:i/>
                <w:iCs/>
              </w:rPr>
              <w:t>j</w:t>
            </w:r>
            <w:r>
              <w:rPr>
                <w:rFonts w:ascii="Calibri" w:hAnsi="Calibri" w:cs="Times New Roman"/>
              </w:rPr>
              <w:t xml:space="preserve"> represents occupational group (</w:t>
            </w:r>
            <w:r w:rsidRPr="00E02F1B">
              <w:t>casual worker, regular employees</w:t>
            </w:r>
            <w:r>
              <w:t>,</w:t>
            </w:r>
            <w:r w:rsidRPr="00E02F1B">
              <w:t xml:space="preserve"> self-employed</w:t>
            </w:r>
            <w:r>
              <w:rPr>
                <w:rFonts w:ascii="Calibri" w:hAnsi="Calibri" w:cs="Times New Roman"/>
              </w:rPr>
              <w:t xml:space="preserve">), and </w:t>
            </w:r>
            <w:r w:rsidRPr="00BB6A85">
              <w:rPr>
                <w:rFonts w:ascii="Calibri" w:hAnsi="Calibri" w:cs="Times New Roman"/>
                <w:i/>
                <w:iCs/>
              </w:rPr>
              <w:t>n</w:t>
            </w:r>
            <w:r>
              <w:rPr>
                <w:rFonts w:ascii="Calibri" w:hAnsi="Calibri" w:cs="Times New Roman"/>
              </w:rPr>
              <w:t xml:space="preserve"> represents the total number of individuals in occupational group </w:t>
            </w:r>
            <w:r w:rsidRPr="00BB6A85">
              <w:rPr>
                <w:rFonts w:ascii="Calibri" w:hAnsi="Calibri" w:cs="Times New Roman"/>
                <w:i/>
                <w:iCs/>
              </w:rPr>
              <w:t>j</w:t>
            </w:r>
            <w:r>
              <w:rPr>
                <w:rFonts w:ascii="Calibri" w:hAnsi="Calibri" w:cs="Times New Roman"/>
              </w:rPr>
              <w:t xml:space="preserve">. </w:t>
            </w:r>
          </w:p>
          <w:p w14:paraId="1AC80683" w14:textId="77777777" w:rsidR="00005471" w:rsidRDefault="00005471" w:rsidP="00791DA3">
            <w:pPr>
              <w:rPr>
                <w:rFonts w:ascii="Calibri" w:hAnsi="Calibri" w:cs="Times New Roman"/>
              </w:rPr>
            </w:pPr>
          </w:p>
          <w:p w14:paraId="5BB7813F" w14:textId="5A8B9EBC" w:rsidR="00005471" w:rsidRPr="00FF738E" w:rsidRDefault="00005471" w:rsidP="00791DA3">
            <w:pPr>
              <w:rPr>
                <w:rFonts w:ascii="Calibri" w:hAnsi="Calibri" w:cs="Times New Roman"/>
              </w:rPr>
            </w:pPr>
            <w:r w:rsidRPr="00BB6A85">
              <w:rPr>
                <w:rFonts w:ascii="Calibri" w:hAnsi="Calibri" w:cs="Times New Roman"/>
                <w:i/>
                <w:iCs/>
              </w:rPr>
              <w:t>x</w:t>
            </w:r>
            <w:r>
              <w:rPr>
                <w:rFonts w:ascii="Calibri" w:hAnsi="Calibri" w:cs="Times New Roman"/>
              </w:rPr>
              <w:t xml:space="preserve"> represents</w:t>
            </w:r>
            <w:r>
              <w:rPr>
                <w:rFonts w:ascii="Calibri" w:hAnsi="Calibri" w:cs="Times New Roman"/>
              </w:rPr>
              <w:t xml:space="preserve"> the index</w:t>
            </w:r>
            <w:r>
              <w:rPr>
                <w:rFonts w:ascii="Calibri" w:hAnsi="Calibri" w:cs="Times New Roman"/>
              </w:rPr>
              <w:t xml:space="preserve"> COVID-19 service</w:t>
            </w:r>
            <w:r>
              <w:rPr>
                <w:rFonts w:ascii="Calibri" w:hAnsi="Calibri" w:cs="Times New Roman"/>
              </w:rPr>
              <w:t xml:space="preserve">. i.e., COVID-19 testing, home isolation, hospital isolation, or ICU admission. </w:t>
            </w:r>
          </w:p>
        </w:tc>
      </w:tr>
    </w:tbl>
    <w:p w14:paraId="2E3E55D6" w14:textId="203F4512" w:rsidR="00976F60" w:rsidRPr="00737752" w:rsidRDefault="00976F60" w:rsidP="00791DA3">
      <w:pPr>
        <w:rPr>
          <w:rFonts w:eastAsiaTheme="minorEastAsia"/>
        </w:rPr>
      </w:pPr>
    </w:p>
    <w:p w14:paraId="6C6AC2F7" w14:textId="56C668BA" w:rsidR="00737752" w:rsidRDefault="00737752" w:rsidP="00791DA3">
      <w:pPr>
        <w:rPr>
          <w:rFonts w:eastAsiaTheme="minorEastAsia"/>
        </w:rPr>
      </w:pPr>
    </w:p>
    <w:p w14:paraId="14AC9019" w14:textId="34B729EB" w:rsidR="00737752" w:rsidRPr="00737752" w:rsidRDefault="00737752" w:rsidP="00791DA3">
      <w:pPr>
        <w:rPr>
          <w:rFonts w:eastAsiaTheme="minorEastAsia"/>
        </w:rPr>
      </w:pPr>
    </w:p>
    <w:p w14:paraId="1C6D23FA" w14:textId="2209EE8F" w:rsidR="00737752" w:rsidRDefault="00737752" w:rsidP="00791DA3">
      <w:pPr>
        <w:rPr>
          <w:rFonts w:eastAsiaTheme="minorEastAsia"/>
        </w:rPr>
      </w:pPr>
    </w:p>
    <w:p w14:paraId="7211BB63" w14:textId="3D784AAA" w:rsidR="00737752" w:rsidRDefault="00737752" w:rsidP="00791DA3"/>
    <w:p w14:paraId="649DBB13" w14:textId="77777777" w:rsidR="00976F60" w:rsidRPr="00E02F1B" w:rsidRDefault="00976F60" w:rsidP="00791DA3"/>
    <w:p w14:paraId="52F94BAE" w14:textId="292376F1" w:rsidR="00791DA3" w:rsidRPr="00E02F1B" w:rsidRDefault="00791DA3" w:rsidP="00791DA3">
      <w:r w:rsidRPr="00E02F1B">
        <w:t xml:space="preserve">The data for casual workers, salaried earners, self-employed, and their wages/salaries/earnings were obtained for the year 2018 (April to June), by extracting data from unit level records of the National Sample Survey </w:t>
      </w:r>
      <w:r w:rsidR="004A2A39" w:rsidRPr="00E02F1B">
        <w:t>Organization</w:t>
      </w:r>
      <w:r w:rsidRPr="00E02F1B">
        <w:t xml:space="preserve"> (NSSO). The wage/salary data was further adjusted for inflation (wholesale price index), to convert to the current year 2020. The survey provided several indicators, including number of days worked by wage earners/salaried/self-employed, and the wages/salaries they earned per day and monthly. Per day wage for casual </w:t>
      </w:r>
      <w:r w:rsidR="004A2A39" w:rsidRPr="00E02F1B">
        <w:t>laborer’s</w:t>
      </w:r>
      <w:r w:rsidRPr="00E02F1B">
        <w:t xml:space="preserve"> were converted into one month and annual wage by multiplying the number of days worked. Salaries and earnings of salaried employees and self-employed respectively were transformed from monthly to annual. This was conducted for all major states in India.</w:t>
      </w:r>
    </w:p>
    <w:p w14:paraId="298F13E0" w14:textId="77777777" w:rsidR="00791DA3" w:rsidRDefault="00791DA3">
      <w:pPr>
        <w:rPr>
          <w:b/>
          <w:bCs/>
        </w:rPr>
      </w:pPr>
      <w:r>
        <w:rPr>
          <w:b/>
          <w:bCs/>
        </w:rPr>
        <w:br w:type="page"/>
      </w:r>
    </w:p>
    <w:p w14:paraId="23793029" w14:textId="5D8A9BFD" w:rsidR="004954B9" w:rsidRDefault="004954B9" w:rsidP="004954B9">
      <w:pPr>
        <w:rPr>
          <w:b/>
          <w:bCs/>
        </w:rPr>
      </w:pPr>
      <w:r>
        <w:rPr>
          <w:b/>
          <w:bCs/>
        </w:rPr>
        <w:lastRenderedPageBreak/>
        <w:t xml:space="preserve">Section A4: </w:t>
      </w:r>
      <w:r w:rsidR="009A1966">
        <w:rPr>
          <w:b/>
          <w:bCs/>
        </w:rPr>
        <w:t>Estimating total costs of COVID-19 testing and treatment</w:t>
      </w:r>
    </w:p>
    <w:p w14:paraId="1F9AA7DB" w14:textId="43B4E3E6" w:rsidR="00DF4706" w:rsidRDefault="00791DA3" w:rsidP="00791DA3">
      <w:r w:rsidRPr="00E02F1B">
        <w:t xml:space="preserve">Total financial resources required to meet the cost of providing testing and treatment is based on the number of cases reported multiplied by the mean cost of testing and treatment. The total number of </w:t>
      </w:r>
      <w:r w:rsidR="00DF4706" w:rsidRPr="00E02F1B">
        <w:t>C</w:t>
      </w:r>
      <w:r w:rsidR="00DF4706">
        <w:t>OVID-</w:t>
      </w:r>
      <w:r w:rsidR="00DF4706" w:rsidRPr="00E02F1B">
        <w:t xml:space="preserve">19 </w:t>
      </w:r>
      <w:r w:rsidRPr="00E02F1B">
        <w:t>cases for the year April 2020</w:t>
      </w:r>
      <w:r w:rsidR="00DF4706">
        <w:t xml:space="preserve"> to </w:t>
      </w:r>
      <w:r w:rsidRPr="00E02F1B">
        <w:t xml:space="preserve">March 2021 for India were derived from the actual number of daily </w:t>
      </w:r>
      <w:r w:rsidR="00DF4706" w:rsidRPr="00E02F1B">
        <w:t>C</w:t>
      </w:r>
      <w:r w:rsidR="00DF4706">
        <w:t>OVID-</w:t>
      </w:r>
      <w:r w:rsidR="00DF4706" w:rsidRPr="00E02F1B">
        <w:t xml:space="preserve">19 </w:t>
      </w:r>
      <w:r w:rsidRPr="00E02F1B">
        <w:t xml:space="preserve">cases reported by MOHFW (for three quarters - April to December 2020) while the projection </w:t>
      </w:r>
      <w:r w:rsidR="00DF4706">
        <w:t>was</w:t>
      </w:r>
      <w:r w:rsidR="00DF4706" w:rsidRPr="00E02F1B">
        <w:t xml:space="preserve"> </w:t>
      </w:r>
      <w:r w:rsidRPr="00E02F1B">
        <w:t xml:space="preserve">based on </w:t>
      </w:r>
      <w:r w:rsidR="00DF4706">
        <w:t>the</w:t>
      </w:r>
      <w:r w:rsidR="00DF4706" w:rsidRPr="00E02F1B">
        <w:t xml:space="preserve"> </w:t>
      </w:r>
      <w:r w:rsidRPr="00E02F1B">
        <w:t xml:space="preserve">assumption that the expected number of cases in the next quarter </w:t>
      </w:r>
      <w:r w:rsidR="00DF4706">
        <w:t>will</w:t>
      </w:r>
      <w:r w:rsidR="00DF4706" w:rsidRPr="00E02F1B">
        <w:t xml:space="preserve"> </w:t>
      </w:r>
      <w:r w:rsidRPr="00E02F1B">
        <w:t xml:space="preserve">be in </w:t>
      </w:r>
      <w:r w:rsidR="00DF4706">
        <w:t xml:space="preserve">the </w:t>
      </w:r>
      <w:r w:rsidRPr="00E02F1B">
        <w:t xml:space="preserve">range of </w:t>
      </w:r>
      <w:r w:rsidR="00DF4706">
        <w:t>+/-</w:t>
      </w:r>
      <w:r w:rsidRPr="00E02F1B">
        <w:t xml:space="preserve"> 10% of the previous quarter. </w:t>
      </w:r>
    </w:p>
    <w:p w14:paraId="53585794" w14:textId="77777777" w:rsidR="00DF4706" w:rsidRDefault="00DF4706" w:rsidP="00791DA3"/>
    <w:p w14:paraId="73105E6F" w14:textId="5FD6F13D" w:rsidR="00791DA3" w:rsidRPr="00E02F1B" w:rsidRDefault="00DF4706" w:rsidP="00791DA3">
      <w:r>
        <w:t>T</w:t>
      </w:r>
      <w:r w:rsidRPr="00E02F1B">
        <w:t xml:space="preserve">he </w:t>
      </w:r>
      <w:r w:rsidR="00791DA3" w:rsidRPr="00E02F1B">
        <w:t xml:space="preserve">estimated number of the diagnostic </w:t>
      </w:r>
      <w:r w:rsidRPr="00E02F1B">
        <w:t>tes</w:t>
      </w:r>
      <w:r>
        <w:t>ts</w:t>
      </w:r>
      <w:r w:rsidRPr="00E02F1B">
        <w:t xml:space="preserve"> </w:t>
      </w:r>
      <w:r w:rsidR="00791DA3" w:rsidRPr="00E02F1B">
        <w:t xml:space="preserve">conducted during the same </w:t>
      </w:r>
      <w:r>
        <w:t>period</w:t>
      </w:r>
      <w:r w:rsidRPr="00E02F1B">
        <w:t xml:space="preserve"> </w:t>
      </w:r>
      <w:r w:rsidR="00D849E2" w:rsidRPr="00E02F1B">
        <w:t>was</w:t>
      </w:r>
      <w:r w:rsidR="00791DA3" w:rsidRPr="00E02F1B">
        <w:t xml:space="preserve"> based on </w:t>
      </w:r>
      <w:r w:rsidR="00D849E2">
        <w:t xml:space="preserve">a </w:t>
      </w:r>
      <w:r w:rsidR="00791DA3" w:rsidRPr="00E02F1B">
        <w:t>similar principle i.e.</w:t>
      </w:r>
      <w:r w:rsidR="00791DA3">
        <w:t>,</w:t>
      </w:r>
      <w:r w:rsidR="00791DA3" w:rsidRPr="00E02F1B">
        <w:t xml:space="preserve"> actual number of tests conducted during April 2020 to December 2020 while expected number for the last quarter </w:t>
      </w:r>
      <w:r w:rsidR="00D849E2">
        <w:t xml:space="preserve">was assumed </w:t>
      </w:r>
      <w:r w:rsidR="00791DA3" w:rsidRPr="00E02F1B">
        <w:t xml:space="preserve">to be in range of </w:t>
      </w:r>
      <w:r w:rsidR="00D849E2">
        <w:t>+/-</w:t>
      </w:r>
      <w:r w:rsidR="00791DA3" w:rsidRPr="00E02F1B">
        <w:t xml:space="preserve"> 10% of the previous quarter. All relevant </w:t>
      </w:r>
      <w:r w:rsidR="00D849E2">
        <w:t xml:space="preserve">COVID-19 burden </w:t>
      </w:r>
      <w:r w:rsidR="00791DA3" w:rsidRPr="00E02F1B">
        <w:t xml:space="preserve">data </w:t>
      </w:r>
      <w:r w:rsidR="00D849E2" w:rsidRPr="00E02F1B">
        <w:t>w</w:t>
      </w:r>
      <w:r w:rsidR="00D849E2">
        <w:t>ere</w:t>
      </w:r>
      <w:r w:rsidR="00D849E2" w:rsidRPr="00E02F1B">
        <w:t xml:space="preserve"> </w:t>
      </w:r>
      <w:r w:rsidR="00D849E2">
        <w:t>obtained</w:t>
      </w:r>
      <w:r w:rsidR="00D849E2" w:rsidRPr="00E02F1B">
        <w:t xml:space="preserve"> </w:t>
      </w:r>
      <w:r w:rsidR="00791DA3" w:rsidRPr="00E02F1B">
        <w:t xml:space="preserve">from </w:t>
      </w:r>
      <w:r w:rsidR="00D849E2">
        <w:t>the</w:t>
      </w:r>
      <w:r w:rsidR="00D849E2" w:rsidRPr="00E02F1B">
        <w:t xml:space="preserve"> </w:t>
      </w:r>
      <w:r w:rsidR="00791DA3" w:rsidRPr="00E02F1B">
        <w:t xml:space="preserve">online </w:t>
      </w:r>
      <w:r w:rsidR="00D849E2" w:rsidRPr="00D849E2">
        <w:t>Coronavirus Pandemic (COVID-19)</w:t>
      </w:r>
      <w:r w:rsidR="00D849E2">
        <w:t xml:space="preserve"> tracker available at </w:t>
      </w:r>
      <w:r w:rsidR="00D849E2" w:rsidRPr="00D849E2">
        <w:t>OurWorldInData.org</w:t>
      </w:r>
      <w:r w:rsidR="00791DA3" w:rsidRPr="00E02F1B">
        <w:t>.</w:t>
      </w:r>
      <w:r w:rsidR="00791DA3" w:rsidRPr="00E02F1B">
        <w:rPr>
          <w:rStyle w:val="EndnoteReference"/>
          <w:rFonts w:ascii="Times New Roman" w:hAnsi="Times New Roman" w:cs="Times New Roman"/>
          <w:sz w:val="22"/>
          <w:szCs w:val="22"/>
        </w:rPr>
        <w:endnoteReference w:id="21"/>
      </w:r>
      <w:r w:rsidR="00791DA3" w:rsidRPr="00E02F1B">
        <w:t xml:space="preserve"> Furthermore, the expected number of </w:t>
      </w:r>
      <w:r w:rsidR="00D849E2" w:rsidRPr="00E02F1B">
        <w:t>hospitalizatio</w:t>
      </w:r>
      <w:r w:rsidR="00D849E2">
        <w:t>ns</w:t>
      </w:r>
      <w:r w:rsidR="00D849E2" w:rsidRPr="00E02F1B">
        <w:t xml:space="preserve"> </w:t>
      </w:r>
      <w:r w:rsidR="00791DA3" w:rsidRPr="00E02F1B">
        <w:t xml:space="preserve">because of severe disease and ICU hospitalization (with or without mechanical ventilation) because of very severe disease were estimated at 14% and 2% respectively, of the total COVID-19 positive cases based on latest estimates published by </w:t>
      </w:r>
      <w:r w:rsidR="00D849E2">
        <w:t>the US Centers for Disease Control and Prevention (</w:t>
      </w:r>
      <w:r w:rsidR="00791DA3" w:rsidRPr="00E02F1B">
        <w:t>CDC</w:t>
      </w:r>
      <w:r w:rsidR="00D849E2">
        <w:t>)</w:t>
      </w:r>
      <w:r w:rsidR="00791DA3" w:rsidRPr="00E02F1B">
        <w:t xml:space="preserve"> on December</w:t>
      </w:r>
      <w:r w:rsidR="00D849E2">
        <w:t xml:space="preserve"> 8,</w:t>
      </w:r>
      <w:r w:rsidR="00791DA3" w:rsidRPr="00E02F1B">
        <w:t xml:space="preserve"> 2020.</w:t>
      </w:r>
      <w:r w:rsidR="00791DA3" w:rsidRPr="00E02F1B">
        <w:rPr>
          <w:rStyle w:val="EndnoteReference"/>
          <w:rFonts w:ascii="Times New Roman" w:hAnsi="Times New Roman" w:cs="Times New Roman"/>
          <w:sz w:val="22"/>
          <w:szCs w:val="22"/>
        </w:rPr>
        <w:endnoteReference w:id="22"/>
      </w:r>
      <w:r w:rsidR="00791DA3" w:rsidRPr="00E02F1B">
        <w:t xml:space="preserve"> The number of cases treated in public and private facilities </w:t>
      </w:r>
      <w:r w:rsidR="00D849E2">
        <w:t>was</w:t>
      </w:r>
      <w:r w:rsidR="00D849E2" w:rsidRPr="00E02F1B">
        <w:t xml:space="preserve"> </w:t>
      </w:r>
      <w:r w:rsidR="00791DA3" w:rsidRPr="00E02F1B">
        <w:t>based on household utilization pattern</w:t>
      </w:r>
      <w:r w:rsidR="008D1FBD">
        <w:t>s</w:t>
      </w:r>
      <w:r w:rsidR="00791DA3" w:rsidRPr="00E02F1B">
        <w:t xml:space="preserve"> of public and private facilities in the latest national health survey (NSSO) 2017-18. Whereas, the number of cases tested in public and private facilities </w:t>
      </w:r>
      <w:r w:rsidR="008D1FBD">
        <w:t>was</w:t>
      </w:r>
      <w:r w:rsidR="008D1FBD" w:rsidRPr="00E02F1B">
        <w:t xml:space="preserve"> </w:t>
      </w:r>
      <w:r w:rsidR="00791DA3" w:rsidRPr="00E02F1B">
        <w:t xml:space="preserve">predicated on the share of respective testing facilities. </w:t>
      </w:r>
    </w:p>
    <w:p w14:paraId="1A0095A2" w14:textId="45EDCFEC" w:rsidR="004954B9" w:rsidRDefault="004954B9">
      <w:pPr>
        <w:rPr>
          <w:b/>
          <w:bCs/>
        </w:rPr>
      </w:pPr>
    </w:p>
    <w:p w14:paraId="4F4E74EA" w14:textId="0FE8093B" w:rsidR="00791DA3" w:rsidRDefault="00791DA3">
      <w:pPr>
        <w:rPr>
          <w:b/>
          <w:bCs/>
        </w:rPr>
      </w:pPr>
    </w:p>
    <w:p w14:paraId="28446474" w14:textId="33716FE6" w:rsidR="00791DA3" w:rsidRPr="00E02F1B" w:rsidRDefault="00791DA3" w:rsidP="00791DA3">
      <w:r>
        <w:rPr>
          <w:b/>
          <w:bCs/>
        </w:rPr>
        <w:t xml:space="preserve">Section A5: </w:t>
      </w:r>
      <w:r w:rsidRPr="00E02F1B">
        <w:rPr>
          <w:b/>
        </w:rPr>
        <w:t>Data sources</w:t>
      </w:r>
    </w:p>
    <w:p w14:paraId="32EFDCFF" w14:textId="77777777" w:rsidR="00D849E2" w:rsidRDefault="00D849E2" w:rsidP="00791DA3">
      <w:pPr>
        <w:rPr>
          <w:u w:val="single"/>
        </w:rPr>
      </w:pPr>
      <w:r w:rsidRPr="00BB6A85">
        <w:rPr>
          <w:u w:val="single"/>
        </w:rPr>
        <w:t xml:space="preserve">Cost estimation: </w:t>
      </w:r>
    </w:p>
    <w:p w14:paraId="31B49011" w14:textId="50E316D5" w:rsidR="00D849E2" w:rsidRDefault="00D849E2" w:rsidP="00791DA3">
      <w:r>
        <w:t xml:space="preserve">Data used to compute cost estimates were obtained </w:t>
      </w:r>
      <w:r w:rsidRPr="00E02F1B">
        <w:t xml:space="preserve">directly obtained from government directives from </w:t>
      </w:r>
      <w:r>
        <w:t>eight</w:t>
      </w:r>
      <w:r w:rsidRPr="00E02F1B">
        <w:t xml:space="preserve"> states (Andhra Pradesh, Uttar Pradesh, Haryana, Tamil </w:t>
      </w:r>
      <w:r>
        <w:t>N</w:t>
      </w:r>
      <w:r w:rsidRPr="00E02F1B">
        <w:t>adu, Karnataka, Maharashtra, Punjab, Delhi) including some states providing detailed cost break-down</w:t>
      </w:r>
      <w:r>
        <w:t xml:space="preserve">. They include: </w:t>
      </w:r>
    </w:p>
    <w:p w14:paraId="7C73DB01" w14:textId="76E6B438" w:rsidR="00D849E2" w:rsidRDefault="00D849E2" w:rsidP="00D849E2">
      <w:pPr>
        <w:pStyle w:val="ListParagraph"/>
        <w:numPr>
          <w:ilvl w:val="0"/>
          <w:numId w:val="7"/>
        </w:numPr>
      </w:pPr>
      <w:r>
        <w:t>P</w:t>
      </w:r>
      <w:r w:rsidR="00791DA3" w:rsidRPr="00E02F1B">
        <w:t xml:space="preserve">ackage rates approved by the government </w:t>
      </w:r>
      <w:r>
        <w:t xml:space="preserve">for </w:t>
      </w:r>
      <w:r w:rsidR="00791DA3" w:rsidRPr="00E02F1B">
        <w:t xml:space="preserve">public and private hospitals with private insurance coverage, or government-funded insurance </w:t>
      </w:r>
    </w:p>
    <w:p w14:paraId="62CE8EA1" w14:textId="1511DF49" w:rsidR="00791DA3" w:rsidRPr="00E02F1B" w:rsidRDefault="00D849E2" w:rsidP="00BB6A85">
      <w:pPr>
        <w:pStyle w:val="ListParagraph"/>
        <w:numPr>
          <w:ilvl w:val="0"/>
          <w:numId w:val="7"/>
        </w:numPr>
      </w:pPr>
      <w:r>
        <w:t>G</w:t>
      </w:r>
      <w:r w:rsidR="00791DA3" w:rsidRPr="00E02F1B">
        <w:t xml:space="preserve">overnment capped prices for facility quarantine, ICU bed with oxygen support, ICU bed with ventilator support. Package rates were directly obtained from government directives from </w:t>
      </w:r>
      <w:r>
        <w:t>eight</w:t>
      </w:r>
      <w:r w:rsidRPr="00E02F1B">
        <w:t xml:space="preserve"> </w:t>
      </w:r>
      <w:r w:rsidR="00791DA3" w:rsidRPr="00E02F1B">
        <w:t xml:space="preserve">states (Andhra Pradesh, Uttar Pradesh, Haryana, Tamil </w:t>
      </w:r>
      <w:r w:rsidR="00791DA3">
        <w:t>N</w:t>
      </w:r>
      <w:r w:rsidR="00791DA3" w:rsidRPr="00E02F1B">
        <w:t xml:space="preserve">adu, Karnataka, Maharashtra, Punjab, Delhi) including some states providing detailed cost break-downs. </w:t>
      </w:r>
    </w:p>
    <w:p w14:paraId="4E5209ED" w14:textId="77777777" w:rsidR="00D849E2" w:rsidRDefault="00D849E2" w:rsidP="00791DA3"/>
    <w:p w14:paraId="64C3CF9A" w14:textId="77777777" w:rsidR="00D849E2" w:rsidRDefault="00791DA3" w:rsidP="00791DA3">
      <w:r w:rsidRPr="00BB6A85">
        <w:rPr>
          <w:u w:val="single"/>
        </w:rPr>
        <w:t>Affordability indicators</w:t>
      </w:r>
      <w:r w:rsidR="00D849E2" w:rsidRPr="00BB6A85">
        <w:rPr>
          <w:u w:val="single"/>
        </w:rPr>
        <w:t>:</w:t>
      </w:r>
      <w:r w:rsidRPr="00E02F1B">
        <w:t xml:space="preserve"> </w:t>
      </w:r>
    </w:p>
    <w:p w14:paraId="10357070" w14:textId="1176EDDB" w:rsidR="00D849E2" w:rsidRPr="00E02F1B" w:rsidRDefault="00D849E2" w:rsidP="00BB6A85">
      <w:pPr>
        <w:pStyle w:val="ListParagraph"/>
        <w:numPr>
          <w:ilvl w:val="0"/>
          <w:numId w:val="8"/>
        </w:numPr>
      </w:pPr>
      <w:r>
        <w:t>Data on</w:t>
      </w:r>
      <w:r w:rsidR="00791DA3" w:rsidRPr="00E02F1B">
        <w:t xml:space="preserve"> wage/salaries involving three employment categories (casual workers, salaried employees and self-employed) were obtained from the recent survey involving Periodic Labor Force Survey (PLFS) conducted during 2017-18, National Sample Survey Organization (NSSO), Ministry of Statistics and Program Implementation, Government of India. Wage and number of days of work activity were extracted from unit level records of NSSO. </w:t>
      </w:r>
      <w:r>
        <w:t>W</w:t>
      </w:r>
      <w:r w:rsidR="00791DA3" w:rsidRPr="00E02F1B">
        <w:t>age and work activities relate to the quarter April-June, 2018.</w:t>
      </w:r>
    </w:p>
    <w:p w14:paraId="7CA175EA" w14:textId="14D6781D" w:rsidR="00791DA3" w:rsidRPr="00E02F1B" w:rsidRDefault="00791DA3" w:rsidP="00BB6A85">
      <w:pPr>
        <w:pStyle w:val="ListParagraph"/>
        <w:numPr>
          <w:ilvl w:val="0"/>
          <w:numId w:val="8"/>
        </w:numPr>
      </w:pPr>
      <w:r w:rsidRPr="00E02F1B">
        <w:lastRenderedPageBreak/>
        <w:t xml:space="preserve">Annual expenditure involving three employment categories (casual workers, salaried employees and self-employed) were obtained from the recent survey involving Social Consumption: Health conducted during 2017-18, National Sample Survey </w:t>
      </w:r>
      <w:r w:rsidR="004A2A39" w:rsidRPr="00E02F1B">
        <w:t>Organization</w:t>
      </w:r>
      <w:r w:rsidRPr="00E02F1B">
        <w:t xml:space="preserve"> (NSSO), Ministry of Statistics and Program Implementation, Government of India. </w:t>
      </w:r>
    </w:p>
    <w:p w14:paraId="53B6D634" w14:textId="77777777" w:rsidR="00791DA3" w:rsidRPr="004954B9" w:rsidRDefault="00791DA3">
      <w:pPr>
        <w:rPr>
          <w:b/>
          <w:bCs/>
        </w:rPr>
      </w:pPr>
    </w:p>
    <w:sectPr w:rsidR="00791DA3" w:rsidRPr="004954B9" w:rsidSect="00750D9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52739A" w14:textId="77777777" w:rsidR="00F0592E" w:rsidRDefault="00F0592E" w:rsidP="001F4CFF">
      <w:r>
        <w:separator/>
      </w:r>
    </w:p>
  </w:endnote>
  <w:endnote w:type="continuationSeparator" w:id="0">
    <w:p w14:paraId="62C70C27" w14:textId="77777777" w:rsidR="00F0592E" w:rsidRDefault="00F0592E" w:rsidP="001F4CFF">
      <w:r>
        <w:continuationSeparator/>
      </w:r>
    </w:p>
  </w:endnote>
  <w:endnote w:id="1">
    <w:p w14:paraId="3FB96FCB"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Parliament of India, 2020: ‘Report No. 123 on the Outbreak of Pandemic COVID-19 and its Management,’ (</w:t>
      </w:r>
      <w:hyperlink r:id="rId1" w:history="1">
        <w:r w:rsidRPr="0070512C">
          <w:rPr>
            <w:rStyle w:val="Hyperlink"/>
            <w:rFonts w:ascii="Times New Roman" w:hAnsi="Times New Roman" w:cs="Times New Roman"/>
            <w:sz w:val="20"/>
            <w:szCs w:val="20"/>
          </w:rPr>
          <w:t>https://rajyasabha.nic.in/rsnew/Committee_site/Committee_File/ReportFile/14/142/123_2020_11_18.pdf</w:t>
        </w:r>
      </w:hyperlink>
      <w:r w:rsidRPr="0070512C">
        <w:rPr>
          <w:sz w:val="20"/>
          <w:szCs w:val="20"/>
        </w:rPr>
        <w:t>)</w:t>
      </w:r>
    </w:p>
  </w:endnote>
  <w:endnote w:id="2">
    <w:p w14:paraId="48029763"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w:t>
      </w:r>
      <w:hyperlink r:id="rId2" w:history="1">
        <w:r w:rsidRPr="0070512C">
          <w:rPr>
            <w:rStyle w:val="Hyperlink"/>
            <w:rFonts w:ascii="Times New Roman" w:hAnsi="Times New Roman" w:cs="Times New Roman"/>
            <w:sz w:val="20"/>
            <w:szCs w:val="20"/>
          </w:rPr>
          <w:t>https://www.icmr.gov.in</w:t>
        </w:r>
      </w:hyperlink>
    </w:p>
  </w:endnote>
  <w:endnote w:id="3">
    <w:p w14:paraId="2676863C"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w:t>
      </w:r>
      <w:hyperlink r:id="rId3" w:history="1">
        <w:r w:rsidRPr="0070512C">
          <w:rPr>
            <w:rStyle w:val="Hyperlink"/>
            <w:rFonts w:ascii="Times New Roman" w:hAnsi="Times New Roman" w:cs="Times New Roman"/>
            <w:sz w:val="20"/>
            <w:szCs w:val="20"/>
          </w:rPr>
          <w:t>https://www.icmr.gov.in/pdf/covid/labs/COVID_Testing_Labs_10122020.pdf</w:t>
        </w:r>
      </w:hyperlink>
    </w:p>
  </w:endnote>
  <w:endnote w:id="4">
    <w:p w14:paraId="2C087A66"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w:t>
      </w:r>
      <w:hyperlink r:id="rId4" w:history="1">
        <w:r w:rsidRPr="0070512C">
          <w:rPr>
            <w:rStyle w:val="Hyperlink"/>
            <w:rFonts w:ascii="Times New Roman" w:hAnsi="Times New Roman" w:cs="Times New Roman"/>
            <w:sz w:val="20"/>
            <w:szCs w:val="20"/>
          </w:rPr>
          <w:t>https://www.icmr.gov.in/pdf/covid/labs/COVID_Testing_Labs_10122020.pdf</w:t>
        </w:r>
      </w:hyperlink>
    </w:p>
  </w:endnote>
  <w:endnote w:id="5">
    <w:p w14:paraId="5C4C6349"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MOHFW, May 2020: ‘Guideline for RT-PCR based pooled sampling for migrants/returnees from abroad/green zones’ (</w:t>
      </w:r>
      <w:hyperlink r:id="rId5" w:history="1">
        <w:r w:rsidRPr="0070512C">
          <w:rPr>
            <w:rStyle w:val="Hyperlink"/>
            <w:rFonts w:ascii="Times New Roman" w:hAnsi="Times New Roman" w:cs="Times New Roman"/>
            <w:sz w:val="20"/>
            <w:szCs w:val="20"/>
          </w:rPr>
          <w:t>https://www.mohfw.gov.in/pdf/GuidelineforrtPCRbasedpooledsamplingFinal.pdf</w:t>
        </w:r>
      </w:hyperlink>
      <w:r w:rsidRPr="0070512C">
        <w:rPr>
          <w:sz w:val="20"/>
          <w:szCs w:val="20"/>
        </w:rPr>
        <w:t xml:space="preserve">)  </w:t>
      </w:r>
    </w:p>
  </w:endnote>
  <w:endnote w:id="6">
    <w:p w14:paraId="7989C540"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MOHFW, April 2020: ‘Guidance document on appropriate management of suspect/confirmed cases of COVID-19’ (https://www.mohfw.gov.in/pdf/FinalGuidanceonMangaementofCovidcasesversion2.pdf) </w:t>
      </w:r>
    </w:p>
  </w:endnote>
  <w:endnote w:id="7">
    <w:p w14:paraId="3561315F"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MOHFW, July 2020: ‘Revised guidelines for Home Isolation of very mild/pre-symptomatic/asymptomatic COVID-19 cases.’  </w:t>
      </w:r>
      <w:r w:rsidRPr="0070512C">
        <w:rPr>
          <w:bCs/>
          <w:sz w:val="20"/>
          <w:szCs w:val="20"/>
        </w:rPr>
        <w:t>(</w:t>
      </w:r>
      <w:hyperlink r:id="rId6" w:history="1">
        <w:r w:rsidRPr="0070512C">
          <w:rPr>
            <w:rStyle w:val="Hyperlink"/>
            <w:rFonts w:ascii="Times New Roman" w:hAnsi="Times New Roman" w:cs="Times New Roman"/>
            <w:sz w:val="20"/>
            <w:szCs w:val="20"/>
          </w:rPr>
          <w:t>https://www.mohfw.gov.in/pdf/RevisedHomeIsolationGuidelines.pdf</w:t>
        </w:r>
      </w:hyperlink>
      <w:r w:rsidRPr="0070512C">
        <w:rPr>
          <w:bCs/>
          <w:sz w:val="20"/>
          <w:szCs w:val="20"/>
        </w:rPr>
        <w:t>).</w:t>
      </w:r>
    </w:p>
  </w:endnote>
  <w:endnote w:id="8">
    <w:p w14:paraId="6CAFCC92" w14:textId="77777777" w:rsidR="002E6C94" w:rsidRPr="0070512C" w:rsidRDefault="002E6C94" w:rsidP="00791DA3">
      <w:pPr>
        <w:rPr>
          <w:color w:val="212121"/>
          <w:sz w:val="20"/>
          <w:szCs w:val="20"/>
        </w:rPr>
      </w:pPr>
      <w:r w:rsidRPr="0070512C">
        <w:rPr>
          <w:rStyle w:val="EndnoteReference"/>
          <w:rFonts w:ascii="Times New Roman" w:hAnsi="Times New Roman" w:cs="Times New Roman"/>
          <w:sz w:val="20"/>
          <w:szCs w:val="20"/>
        </w:rPr>
        <w:endnoteRef/>
      </w:r>
      <w:r w:rsidRPr="0070512C">
        <w:rPr>
          <w:sz w:val="20"/>
          <w:szCs w:val="20"/>
        </w:rPr>
        <w:t xml:space="preserve"> Mint, May 6, 2020: ‘</w:t>
      </w:r>
      <w:r w:rsidRPr="0070512C">
        <w:rPr>
          <w:color w:val="212121"/>
          <w:sz w:val="20"/>
          <w:szCs w:val="20"/>
        </w:rPr>
        <w:t xml:space="preserve">Self-isolation for Covid-19 is impossible for 40% of Indian families’ </w:t>
      </w:r>
    </w:p>
  </w:endnote>
  <w:endnote w:id="9">
    <w:p w14:paraId="5D97D8E8" w14:textId="77777777" w:rsidR="002E6C94" w:rsidRPr="0070512C" w:rsidRDefault="002E6C94" w:rsidP="007A57B7">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ibid, ii.</w:t>
      </w:r>
    </w:p>
  </w:endnote>
  <w:endnote w:id="10">
    <w:p w14:paraId="25691ED0" w14:textId="77777777" w:rsidR="002E6C94" w:rsidRPr="0070512C" w:rsidRDefault="002E6C94" w:rsidP="007A57B7">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Department of Health and Family Welfare (2020), Tamil Nadu Health Systems Project – COVID 19 – Inclusion of New Packages for treatment and testing of COVID 19 for beneficiaries under CMCHIS/General Public in empaneled private hospitals and labs – Payment to the private hospitals – Fixation of ceiling rates – Order Issued; G.O. (</w:t>
      </w:r>
      <w:proofErr w:type="spellStart"/>
      <w:r w:rsidRPr="0070512C">
        <w:rPr>
          <w:sz w:val="20"/>
          <w:szCs w:val="20"/>
        </w:rPr>
        <w:t>Ms</w:t>
      </w:r>
      <w:proofErr w:type="spellEnd"/>
      <w:r w:rsidRPr="0070512C">
        <w:rPr>
          <w:sz w:val="20"/>
          <w:szCs w:val="20"/>
        </w:rPr>
        <w:t xml:space="preserve">). No. 240, dated 05.06.2020, Government of Tamil Nadu </w:t>
      </w:r>
    </w:p>
  </w:endnote>
  <w:endnote w:id="11">
    <w:p w14:paraId="4CCFE5EE" w14:textId="77777777" w:rsidR="002E6C94" w:rsidRPr="0070512C" w:rsidRDefault="002E6C94" w:rsidP="007A57B7">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Department of Health and Family Welfare (2020), Inclusion of certain procedures under Dr. YSR </w:t>
      </w:r>
      <w:proofErr w:type="spellStart"/>
      <w:r w:rsidRPr="0070512C">
        <w:rPr>
          <w:sz w:val="20"/>
          <w:szCs w:val="20"/>
        </w:rPr>
        <w:t>Aarogyasri</w:t>
      </w:r>
      <w:proofErr w:type="spellEnd"/>
      <w:r w:rsidRPr="0070512C">
        <w:rPr>
          <w:sz w:val="20"/>
          <w:szCs w:val="20"/>
        </w:rPr>
        <w:t xml:space="preserve"> Scheme to treat the cases of Suspected and Confirmed positive COVID – 19 cases – Orders – Issued; G.O. Ms. No. 77, dated 08.07.2020, Government of Andhra Pradesh </w:t>
      </w:r>
    </w:p>
  </w:endnote>
  <w:endnote w:id="12">
    <w:p w14:paraId="5EB4C987" w14:textId="77777777" w:rsidR="002E6C94" w:rsidRPr="0070512C" w:rsidRDefault="002E6C94" w:rsidP="007A57B7">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Department of Health and Family Welfare (2020), Treatment in private hospitals for COVID – 19 cases – Orders – Issued; G.O. No. 3PM(COVID)/2020/9047-9097, dated 25.06.2020, Government of Haryana</w:t>
      </w:r>
    </w:p>
  </w:endnote>
  <w:endnote w:id="13">
    <w:p w14:paraId="58A439BA" w14:textId="77777777" w:rsidR="002E6C94" w:rsidRPr="0070512C" w:rsidRDefault="002E6C94" w:rsidP="007A57B7">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Department of Health and Family Welfare (2020), Treatment in private hospitals for COVID – 19 cases – Orders – Issued; G.O. No. HFW 228 ACS 2020, dated 23.06.2020, Government of Karnataka</w:t>
      </w:r>
    </w:p>
  </w:endnote>
  <w:endnote w:id="14">
    <w:p w14:paraId="63A3C413"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LM </w:t>
      </w:r>
      <w:proofErr w:type="spellStart"/>
      <w:r w:rsidRPr="0070512C">
        <w:rPr>
          <w:sz w:val="20"/>
          <w:szCs w:val="20"/>
        </w:rPr>
        <w:t>Niens</w:t>
      </w:r>
      <w:proofErr w:type="spellEnd"/>
      <w:r w:rsidRPr="0070512C">
        <w:rPr>
          <w:sz w:val="20"/>
          <w:szCs w:val="20"/>
        </w:rPr>
        <w:t xml:space="preserve">, E Van de Poel, A Cameron, M Ewen, R Laing and WBF Brouwer (2012), Practical measurement of affordability: an application to medicines”, Bulletin of the World Health </w:t>
      </w:r>
      <w:proofErr w:type="spellStart"/>
      <w:r w:rsidRPr="0070512C">
        <w:rPr>
          <w:sz w:val="20"/>
          <w:szCs w:val="20"/>
        </w:rPr>
        <w:t>Organisation</w:t>
      </w:r>
      <w:proofErr w:type="spellEnd"/>
      <w:r w:rsidRPr="0070512C">
        <w:rPr>
          <w:sz w:val="20"/>
          <w:szCs w:val="20"/>
        </w:rPr>
        <w:t>, 2012, 90; 219-227.doi:10.2471/BLT.10.084087</w:t>
      </w:r>
    </w:p>
  </w:endnote>
  <w:endnote w:id="15">
    <w:p w14:paraId="1CA5F56E" w14:textId="77777777" w:rsidR="002E6C94" w:rsidRPr="0070512C" w:rsidRDefault="002E6C94" w:rsidP="00791DA3">
      <w:pPr>
        <w:rPr>
          <w:color w:val="000000"/>
          <w:sz w:val="20"/>
          <w:szCs w:val="20"/>
        </w:rPr>
      </w:pPr>
      <w:r w:rsidRPr="0070512C">
        <w:rPr>
          <w:rStyle w:val="EndnoteReference"/>
          <w:rFonts w:ascii="Times New Roman" w:hAnsi="Times New Roman" w:cs="Times New Roman"/>
          <w:sz w:val="20"/>
          <w:szCs w:val="20"/>
        </w:rPr>
        <w:endnoteRef/>
      </w:r>
      <w:r w:rsidRPr="0070512C">
        <w:rPr>
          <w:sz w:val="20"/>
          <w:szCs w:val="20"/>
        </w:rPr>
        <w:t xml:space="preserve"> </w:t>
      </w:r>
      <w:r w:rsidRPr="0070512C">
        <w:rPr>
          <w:color w:val="000000"/>
          <w:sz w:val="20"/>
          <w:szCs w:val="20"/>
        </w:rPr>
        <w:t xml:space="preserve">World Health Organization, Health Action International. Measuring medicine prices, availability, afford- ability and price components. 2nd ed. Geneva: World Health Organization; 2008. </w:t>
      </w:r>
      <w:r w:rsidRPr="0070512C">
        <w:rPr>
          <w:rFonts w:ascii="MS Mincho" w:eastAsia="MS Mincho" w:hAnsi="MS Mincho" w:cs="MS Mincho"/>
          <w:color w:val="000000"/>
          <w:sz w:val="20"/>
          <w:szCs w:val="20"/>
        </w:rPr>
        <w:t> </w:t>
      </w:r>
    </w:p>
  </w:endnote>
  <w:endnote w:id="16">
    <w:p w14:paraId="25C53F59"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w:t>
      </w:r>
      <w:r w:rsidRPr="0070512C">
        <w:rPr>
          <w:color w:val="000000"/>
          <w:sz w:val="20"/>
          <w:szCs w:val="20"/>
        </w:rPr>
        <w:t xml:space="preserve">Cameron A, Ewen M, Ross-Degnan D, Ball D, Laing R. Medicine prices, availability, and affordability in 36 developing and middle-income countries: a secondary analysis. Lancet. 2009; 373:240–249. </w:t>
      </w:r>
      <w:proofErr w:type="spellStart"/>
      <w:r w:rsidRPr="0070512C">
        <w:rPr>
          <w:color w:val="000000"/>
          <w:sz w:val="20"/>
          <w:szCs w:val="20"/>
        </w:rPr>
        <w:t>doi</w:t>
      </w:r>
      <w:proofErr w:type="spellEnd"/>
      <w:r w:rsidRPr="0070512C">
        <w:rPr>
          <w:color w:val="000000"/>
          <w:sz w:val="20"/>
          <w:szCs w:val="20"/>
        </w:rPr>
        <w:t xml:space="preserve">: </w:t>
      </w:r>
      <w:r w:rsidRPr="0070512C">
        <w:rPr>
          <w:color w:val="203FF8"/>
          <w:sz w:val="20"/>
          <w:szCs w:val="20"/>
        </w:rPr>
        <w:t xml:space="preserve">10.1016/S0140-6736(08)61762-6 </w:t>
      </w:r>
      <w:r w:rsidRPr="0070512C">
        <w:rPr>
          <w:color w:val="000000"/>
          <w:sz w:val="20"/>
          <w:szCs w:val="20"/>
        </w:rPr>
        <w:t xml:space="preserve">PMID: </w:t>
      </w:r>
      <w:r w:rsidRPr="0070512C">
        <w:rPr>
          <w:color w:val="203FF8"/>
          <w:sz w:val="20"/>
          <w:szCs w:val="20"/>
        </w:rPr>
        <w:t>19042012</w:t>
      </w:r>
    </w:p>
  </w:endnote>
  <w:endnote w:id="17">
    <w:p w14:paraId="1B1C10A0"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Iyengar S, Tay-Teo K, Vogler S, Beyer P, </w:t>
      </w:r>
      <w:proofErr w:type="spellStart"/>
      <w:r w:rsidRPr="0070512C">
        <w:rPr>
          <w:sz w:val="20"/>
          <w:szCs w:val="20"/>
        </w:rPr>
        <w:t>Wiktor</w:t>
      </w:r>
      <w:proofErr w:type="spellEnd"/>
      <w:r w:rsidRPr="0070512C">
        <w:rPr>
          <w:sz w:val="20"/>
          <w:szCs w:val="20"/>
        </w:rPr>
        <w:t xml:space="preserve"> S, de </w:t>
      </w:r>
      <w:proofErr w:type="spellStart"/>
      <w:r w:rsidRPr="0070512C">
        <w:rPr>
          <w:sz w:val="20"/>
          <w:szCs w:val="20"/>
        </w:rPr>
        <w:t>Joncheere</w:t>
      </w:r>
      <w:proofErr w:type="spellEnd"/>
      <w:r w:rsidRPr="0070512C">
        <w:rPr>
          <w:sz w:val="20"/>
          <w:szCs w:val="20"/>
        </w:rPr>
        <w:t xml:space="preserve"> K, et.al (2016) Prices, Costs, and Affordability of New Medicines for Hepatitis C in 30 Countries: An Economic Analysis. </w:t>
      </w:r>
      <w:proofErr w:type="spellStart"/>
      <w:r w:rsidRPr="0070512C">
        <w:rPr>
          <w:sz w:val="20"/>
          <w:szCs w:val="20"/>
        </w:rPr>
        <w:t>PLoS</w:t>
      </w:r>
      <w:proofErr w:type="spellEnd"/>
      <w:r w:rsidRPr="0070512C">
        <w:rPr>
          <w:sz w:val="20"/>
          <w:szCs w:val="20"/>
        </w:rPr>
        <w:t xml:space="preserve"> Med, 13 (5</w:t>
      </w:r>
      <w:proofErr w:type="gramStart"/>
      <w:r w:rsidRPr="0070512C">
        <w:rPr>
          <w:sz w:val="20"/>
          <w:szCs w:val="20"/>
        </w:rPr>
        <w:t>):e</w:t>
      </w:r>
      <w:proofErr w:type="gramEnd"/>
      <w:r w:rsidRPr="0070512C">
        <w:rPr>
          <w:sz w:val="20"/>
          <w:szCs w:val="20"/>
        </w:rPr>
        <w:t>1002032. Doi: 10.1371/journal.pmed.1002032</w:t>
      </w:r>
    </w:p>
  </w:endnote>
  <w:endnote w:id="18">
    <w:p w14:paraId="1EB6950E"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w:t>
      </w:r>
      <w:proofErr w:type="spellStart"/>
      <w:r w:rsidRPr="0070512C">
        <w:rPr>
          <w:sz w:val="20"/>
          <w:szCs w:val="20"/>
        </w:rPr>
        <w:t>Faruqui</w:t>
      </w:r>
      <w:proofErr w:type="spellEnd"/>
      <w:r w:rsidRPr="0070512C">
        <w:rPr>
          <w:sz w:val="20"/>
          <w:szCs w:val="20"/>
        </w:rPr>
        <w:t xml:space="preserve"> N, </w:t>
      </w:r>
      <w:proofErr w:type="spellStart"/>
      <w:r w:rsidRPr="0070512C">
        <w:rPr>
          <w:sz w:val="20"/>
          <w:szCs w:val="20"/>
        </w:rPr>
        <w:t>Martiniuk</w:t>
      </w:r>
      <w:proofErr w:type="spellEnd"/>
      <w:r w:rsidRPr="0070512C">
        <w:rPr>
          <w:sz w:val="20"/>
          <w:szCs w:val="20"/>
        </w:rPr>
        <w:t xml:space="preserve"> A, Sharma A, et al. Evaluating access to essential medicines for treating childhood cancers: a medicines availability, price and affordability study in New Delhi, India. BMJ Global Health, 2019, </w:t>
      </w:r>
      <w:proofErr w:type="gramStart"/>
      <w:r w:rsidRPr="0070512C">
        <w:rPr>
          <w:sz w:val="20"/>
          <w:szCs w:val="20"/>
        </w:rPr>
        <w:t>4:e</w:t>
      </w:r>
      <w:proofErr w:type="gramEnd"/>
      <w:r w:rsidRPr="0070512C">
        <w:rPr>
          <w:sz w:val="20"/>
          <w:szCs w:val="20"/>
        </w:rPr>
        <w:t>001379. Doi:10.1136/bmjgh-2018-001379</w:t>
      </w:r>
    </w:p>
  </w:endnote>
  <w:endnote w:id="19">
    <w:p w14:paraId="5D810623"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w:t>
      </w:r>
      <w:proofErr w:type="spellStart"/>
      <w:r w:rsidRPr="0070512C">
        <w:rPr>
          <w:sz w:val="20"/>
          <w:szCs w:val="20"/>
        </w:rPr>
        <w:t>Rashidian</w:t>
      </w:r>
      <w:proofErr w:type="spellEnd"/>
      <w:r w:rsidRPr="0070512C">
        <w:rPr>
          <w:sz w:val="20"/>
          <w:szCs w:val="20"/>
        </w:rPr>
        <w:t xml:space="preserve"> A, </w:t>
      </w:r>
      <w:proofErr w:type="spellStart"/>
      <w:r w:rsidRPr="0070512C">
        <w:rPr>
          <w:sz w:val="20"/>
          <w:szCs w:val="20"/>
        </w:rPr>
        <w:t>Gholami</w:t>
      </w:r>
      <w:proofErr w:type="spellEnd"/>
      <w:r w:rsidRPr="0070512C">
        <w:rPr>
          <w:sz w:val="20"/>
          <w:szCs w:val="20"/>
        </w:rPr>
        <w:t xml:space="preserve"> K. Low utilization of diabetes medicines in Iran, despite their affordability (2000-2012): a time-series and benchmarking study. BMJ Open, 2014, </w:t>
      </w:r>
      <w:proofErr w:type="gramStart"/>
      <w:r w:rsidRPr="0070512C">
        <w:rPr>
          <w:sz w:val="20"/>
          <w:szCs w:val="20"/>
        </w:rPr>
        <w:t>4:e005859.doi</w:t>
      </w:r>
      <w:proofErr w:type="gramEnd"/>
      <w:r w:rsidRPr="0070512C">
        <w:rPr>
          <w:sz w:val="20"/>
          <w:szCs w:val="20"/>
        </w:rPr>
        <w:t>:10.1136/bmjopen-2014-005859</w:t>
      </w:r>
    </w:p>
  </w:endnote>
  <w:endnote w:id="20">
    <w:p w14:paraId="39D55491"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National Sample Survey </w:t>
      </w:r>
      <w:proofErr w:type="spellStart"/>
      <w:r w:rsidRPr="0070512C">
        <w:rPr>
          <w:sz w:val="20"/>
          <w:szCs w:val="20"/>
        </w:rPr>
        <w:t>Organisation</w:t>
      </w:r>
      <w:proofErr w:type="spellEnd"/>
      <w:r w:rsidRPr="0070512C">
        <w:rPr>
          <w:sz w:val="20"/>
          <w:szCs w:val="20"/>
        </w:rPr>
        <w:t xml:space="preserve"> (2019), Periodic </w:t>
      </w:r>
      <w:proofErr w:type="spellStart"/>
      <w:r w:rsidRPr="0070512C">
        <w:rPr>
          <w:sz w:val="20"/>
          <w:szCs w:val="20"/>
        </w:rPr>
        <w:t>Labour</w:t>
      </w:r>
      <w:proofErr w:type="spellEnd"/>
      <w:r w:rsidRPr="0070512C">
        <w:rPr>
          <w:sz w:val="20"/>
          <w:szCs w:val="20"/>
        </w:rPr>
        <w:t xml:space="preserve"> Force Survey (PLFS), Annual Report, July 2017-June 2018, Ministry of Statistics and </w:t>
      </w:r>
      <w:proofErr w:type="spellStart"/>
      <w:r w:rsidRPr="0070512C">
        <w:rPr>
          <w:sz w:val="20"/>
          <w:szCs w:val="20"/>
        </w:rPr>
        <w:t>Programme</w:t>
      </w:r>
      <w:proofErr w:type="spellEnd"/>
      <w:r w:rsidRPr="0070512C">
        <w:rPr>
          <w:sz w:val="20"/>
          <w:szCs w:val="20"/>
        </w:rPr>
        <w:t xml:space="preserve"> Implementation, National </w:t>
      </w:r>
      <w:proofErr w:type="spellStart"/>
      <w:r w:rsidRPr="0070512C">
        <w:rPr>
          <w:sz w:val="20"/>
          <w:szCs w:val="20"/>
        </w:rPr>
        <w:t>Statisical</w:t>
      </w:r>
      <w:proofErr w:type="spellEnd"/>
      <w:r w:rsidRPr="0070512C">
        <w:rPr>
          <w:sz w:val="20"/>
          <w:szCs w:val="20"/>
        </w:rPr>
        <w:t xml:space="preserve"> Office, Government of India. </w:t>
      </w:r>
    </w:p>
  </w:endnote>
  <w:endnote w:id="21">
    <w:p w14:paraId="5603AE4D"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Max </w:t>
      </w:r>
      <w:proofErr w:type="spellStart"/>
      <w:r w:rsidRPr="0070512C">
        <w:rPr>
          <w:sz w:val="20"/>
          <w:szCs w:val="20"/>
        </w:rPr>
        <w:t>Roser</w:t>
      </w:r>
      <w:proofErr w:type="spellEnd"/>
      <w:r w:rsidRPr="0070512C">
        <w:rPr>
          <w:sz w:val="20"/>
          <w:szCs w:val="20"/>
        </w:rPr>
        <w:t xml:space="preserve">, Hannah Ritchie, Esteban Ortiz-Ospina and Joe </w:t>
      </w:r>
      <w:proofErr w:type="spellStart"/>
      <w:r w:rsidRPr="0070512C">
        <w:rPr>
          <w:sz w:val="20"/>
          <w:szCs w:val="20"/>
        </w:rPr>
        <w:t>Hasell</w:t>
      </w:r>
      <w:proofErr w:type="spellEnd"/>
      <w:r w:rsidRPr="0070512C">
        <w:rPr>
          <w:sz w:val="20"/>
          <w:szCs w:val="20"/>
        </w:rPr>
        <w:t xml:space="preserve"> (2020) - "Coronavirus Pandemic (COVID-19)". Published online at OurWorldInData.org. Retrieved from: 'https://ourworldindata.org/coronavirus' [Online Resource]</w:t>
      </w:r>
    </w:p>
  </w:endnote>
  <w:endnote w:id="22">
    <w:p w14:paraId="6642A20D" w14:textId="77777777" w:rsidR="002E6C94" w:rsidRPr="0070512C" w:rsidRDefault="002E6C94" w:rsidP="00791DA3">
      <w:pPr>
        <w:rPr>
          <w:sz w:val="20"/>
          <w:szCs w:val="20"/>
        </w:rPr>
      </w:pPr>
      <w:r w:rsidRPr="0070512C">
        <w:rPr>
          <w:rStyle w:val="EndnoteReference"/>
          <w:rFonts w:ascii="Times New Roman" w:hAnsi="Times New Roman" w:cs="Times New Roman"/>
          <w:sz w:val="20"/>
          <w:szCs w:val="20"/>
        </w:rPr>
        <w:endnoteRef/>
      </w:r>
      <w:r w:rsidRPr="0070512C">
        <w:rPr>
          <w:sz w:val="20"/>
          <w:szCs w:val="20"/>
        </w:rPr>
        <w:t xml:space="preserve"> Stokes EK, Zambrano LD, Anderson KN, et al. Coronavirus Disease 2019 Case Surveillance — United States, January 22–May 30, 2020. MMWR </w:t>
      </w:r>
      <w:proofErr w:type="spellStart"/>
      <w:r w:rsidRPr="0070512C">
        <w:rPr>
          <w:sz w:val="20"/>
          <w:szCs w:val="20"/>
        </w:rPr>
        <w:t>Morb</w:t>
      </w:r>
      <w:proofErr w:type="spellEnd"/>
      <w:r w:rsidRPr="0070512C">
        <w:rPr>
          <w:sz w:val="20"/>
          <w:szCs w:val="20"/>
        </w:rPr>
        <w:t xml:space="preserve"> Mortal </w:t>
      </w:r>
      <w:proofErr w:type="spellStart"/>
      <w:r w:rsidRPr="0070512C">
        <w:rPr>
          <w:sz w:val="20"/>
          <w:szCs w:val="20"/>
        </w:rPr>
        <w:t>Wkly</w:t>
      </w:r>
      <w:proofErr w:type="spellEnd"/>
      <w:r w:rsidRPr="0070512C">
        <w:rPr>
          <w:sz w:val="20"/>
          <w:szCs w:val="20"/>
        </w:rPr>
        <w:t xml:space="preserve"> Rep </w:t>
      </w:r>
      <w:proofErr w:type="gramStart"/>
      <w:r w:rsidRPr="0070512C">
        <w:rPr>
          <w:sz w:val="20"/>
          <w:szCs w:val="20"/>
        </w:rPr>
        <w:t>2020;69:759</w:t>
      </w:r>
      <w:proofErr w:type="gramEnd"/>
      <w:r w:rsidRPr="0070512C">
        <w:rPr>
          <w:sz w:val="20"/>
          <w:szCs w:val="20"/>
        </w:rPr>
        <w:t>–765. DOI: http://dx.doi.org/10.15585/mmwr.mm6924e2</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064785" w14:textId="77777777" w:rsidR="00F0592E" w:rsidRDefault="00F0592E" w:rsidP="001F4CFF">
      <w:r>
        <w:separator/>
      </w:r>
    </w:p>
  </w:footnote>
  <w:footnote w:type="continuationSeparator" w:id="0">
    <w:p w14:paraId="120AA4FD" w14:textId="77777777" w:rsidR="00F0592E" w:rsidRDefault="00F0592E" w:rsidP="001F4C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AE0BFE"/>
    <w:multiLevelType w:val="hybridMultilevel"/>
    <w:tmpl w:val="F3C445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991BE2"/>
    <w:multiLevelType w:val="multilevel"/>
    <w:tmpl w:val="DD8CE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5F60A3"/>
    <w:multiLevelType w:val="hybridMultilevel"/>
    <w:tmpl w:val="9628E5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7F7910"/>
    <w:multiLevelType w:val="multilevel"/>
    <w:tmpl w:val="6FC8D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F53CFC"/>
    <w:multiLevelType w:val="hybridMultilevel"/>
    <w:tmpl w:val="352C4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55360B"/>
    <w:multiLevelType w:val="multilevel"/>
    <w:tmpl w:val="0302C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9E7378"/>
    <w:multiLevelType w:val="hybridMultilevel"/>
    <w:tmpl w:val="592A005C"/>
    <w:lvl w:ilvl="0" w:tplc="C2BE7BD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FF2FD4"/>
    <w:multiLevelType w:val="hybridMultilevel"/>
    <w:tmpl w:val="62303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5"/>
  </w:num>
  <w:num w:numId="5">
    <w:abstractNumId w:val="7"/>
  </w:num>
  <w:num w:numId="6">
    <w:abstractNumId w:val="6"/>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7"/>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CFF"/>
    <w:rsid w:val="000000D8"/>
    <w:rsid w:val="00000762"/>
    <w:rsid w:val="00003C83"/>
    <w:rsid w:val="00005471"/>
    <w:rsid w:val="00010FA9"/>
    <w:rsid w:val="00017032"/>
    <w:rsid w:val="00061942"/>
    <w:rsid w:val="000705E7"/>
    <w:rsid w:val="00086A24"/>
    <w:rsid w:val="000965D3"/>
    <w:rsid w:val="001005DB"/>
    <w:rsid w:val="00124DFB"/>
    <w:rsid w:val="0013308B"/>
    <w:rsid w:val="00174CD2"/>
    <w:rsid w:val="00184CF3"/>
    <w:rsid w:val="00192667"/>
    <w:rsid w:val="001A4832"/>
    <w:rsid w:val="001B089B"/>
    <w:rsid w:val="001B3980"/>
    <w:rsid w:val="001B4296"/>
    <w:rsid w:val="001F4CFF"/>
    <w:rsid w:val="00205501"/>
    <w:rsid w:val="00210330"/>
    <w:rsid w:val="00213BA9"/>
    <w:rsid w:val="00221BC4"/>
    <w:rsid w:val="002324A9"/>
    <w:rsid w:val="00271C58"/>
    <w:rsid w:val="00297189"/>
    <w:rsid w:val="002C0141"/>
    <w:rsid w:val="002D249A"/>
    <w:rsid w:val="002E6C94"/>
    <w:rsid w:val="002F158B"/>
    <w:rsid w:val="002F7081"/>
    <w:rsid w:val="003058EC"/>
    <w:rsid w:val="00314AEC"/>
    <w:rsid w:val="00331927"/>
    <w:rsid w:val="003502EC"/>
    <w:rsid w:val="00366DB2"/>
    <w:rsid w:val="003A0828"/>
    <w:rsid w:val="003C0D03"/>
    <w:rsid w:val="003D532F"/>
    <w:rsid w:val="003E0929"/>
    <w:rsid w:val="004209E0"/>
    <w:rsid w:val="004409C8"/>
    <w:rsid w:val="00473378"/>
    <w:rsid w:val="004954B9"/>
    <w:rsid w:val="004A2A39"/>
    <w:rsid w:val="004C7BDF"/>
    <w:rsid w:val="004D0166"/>
    <w:rsid w:val="004F12BB"/>
    <w:rsid w:val="00543EB7"/>
    <w:rsid w:val="00555126"/>
    <w:rsid w:val="005A5B76"/>
    <w:rsid w:val="005C006D"/>
    <w:rsid w:val="005C69FD"/>
    <w:rsid w:val="005D5AB8"/>
    <w:rsid w:val="00642ACC"/>
    <w:rsid w:val="00651350"/>
    <w:rsid w:val="00686F5C"/>
    <w:rsid w:val="00694F94"/>
    <w:rsid w:val="006B1AA6"/>
    <w:rsid w:val="006D0BE6"/>
    <w:rsid w:val="00725307"/>
    <w:rsid w:val="0073242F"/>
    <w:rsid w:val="00737752"/>
    <w:rsid w:val="00750D91"/>
    <w:rsid w:val="00752386"/>
    <w:rsid w:val="0077015B"/>
    <w:rsid w:val="0078641F"/>
    <w:rsid w:val="007905C3"/>
    <w:rsid w:val="00791DA3"/>
    <w:rsid w:val="0079526E"/>
    <w:rsid w:val="007A57B7"/>
    <w:rsid w:val="007B7D09"/>
    <w:rsid w:val="00810032"/>
    <w:rsid w:val="00813E3D"/>
    <w:rsid w:val="008271FA"/>
    <w:rsid w:val="008A182D"/>
    <w:rsid w:val="008B4AE0"/>
    <w:rsid w:val="008B750F"/>
    <w:rsid w:val="008D1FBD"/>
    <w:rsid w:val="008E1EF7"/>
    <w:rsid w:val="008E6A20"/>
    <w:rsid w:val="00914667"/>
    <w:rsid w:val="009224D0"/>
    <w:rsid w:val="00941F45"/>
    <w:rsid w:val="00950833"/>
    <w:rsid w:val="009538C4"/>
    <w:rsid w:val="00965A27"/>
    <w:rsid w:val="00972D45"/>
    <w:rsid w:val="0097406D"/>
    <w:rsid w:val="00976F60"/>
    <w:rsid w:val="009A1966"/>
    <w:rsid w:val="009B22AD"/>
    <w:rsid w:val="009F6FAE"/>
    <w:rsid w:val="00A02049"/>
    <w:rsid w:val="00A23ECC"/>
    <w:rsid w:val="00A26C92"/>
    <w:rsid w:val="00A315B0"/>
    <w:rsid w:val="00A411C1"/>
    <w:rsid w:val="00A42193"/>
    <w:rsid w:val="00A44AA4"/>
    <w:rsid w:val="00A52225"/>
    <w:rsid w:val="00A82F01"/>
    <w:rsid w:val="00A8531B"/>
    <w:rsid w:val="00A85891"/>
    <w:rsid w:val="00AA75FC"/>
    <w:rsid w:val="00AC73B5"/>
    <w:rsid w:val="00B34AD2"/>
    <w:rsid w:val="00B77DFA"/>
    <w:rsid w:val="00B82F0C"/>
    <w:rsid w:val="00B8491E"/>
    <w:rsid w:val="00B9487C"/>
    <w:rsid w:val="00B94F18"/>
    <w:rsid w:val="00BA3680"/>
    <w:rsid w:val="00BB6A85"/>
    <w:rsid w:val="00BC7F7D"/>
    <w:rsid w:val="00BF6074"/>
    <w:rsid w:val="00C04560"/>
    <w:rsid w:val="00C110E3"/>
    <w:rsid w:val="00C131EE"/>
    <w:rsid w:val="00C43DE9"/>
    <w:rsid w:val="00C90BB2"/>
    <w:rsid w:val="00CA2295"/>
    <w:rsid w:val="00CA2677"/>
    <w:rsid w:val="00CB4BAA"/>
    <w:rsid w:val="00CB721C"/>
    <w:rsid w:val="00D1791A"/>
    <w:rsid w:val="00D464C8"/>
    <w:rsid w:val="00D70D6A"/>
    <w:rsid w:val="00D71D3B"/>
    <w:rsid w:val="00D849E2"/>
    <w:rsid w:val="00D91AD3"/>
    <w:rsid w:val="00DD0356"/>
    <w:rsid w:val="00DF4706"/>
    <w:rsid w:val="00E07235"/>
    <w:rsid w:val="00E33A6D"/>
    <w:rsid w:val="00E44A96"/>
    <w:rsid w:val="00E47950"/>
    <w:rsid w:val="00E566DC"/>
    <w:rsid w:val="00E6248D"/>
    <w:rsid w:val="00E7397E"/>
    <w:rsid w:val="00E80571"/>
    <w:rsid w:val="00E81CB4"/>
    <w:rsid w:val="00E853C3"/>
    <w:rsid w:val="00E876DE"/>
    <w:rsid w:val="00E93F95"/>
    <w:rsid w:val="00E9714B"/>
    <w:rsid w:val="00EB5E27"/>
    <w:rsid w:val="00EF000C"/>
    <w:rsid w:val="00EF1EB5"/>
    <w:rsid w:val="00F0592E"/>
    <w:rsid w:val="00F200E9"/>
    <w:rsid w:val="00F22562"/>
    <w:rsid w:val="00F26FBA"/>
    <w:rsid w:val="00F46EBE"/>
    <w:rsid w:val="00F65A38"/>
    <w:rsid w:val="00F66955"/>
    <w:rsid w:val="00F669A7"/>
    <w:rsid w:val="00F72962"/>
    <w:rsid w:val="00F76D42"/>
    <w:rsid w:val="00F77551"/>
    <w:rsid w:val="00F80682"/>
    <w:rsid w:val="00F81B5C"/>
    <w:rsid w:val="00F918C0"/>
    <w:rsid w:val="00F97818"/>
    <w:rsid w:val="00FE3AA3"/>
    <w:rsid w:val="00FE4690"/>
    <w:rsid w:val="00FF4070"/>
    <w:rsid w:val="00FF6B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248864"/>
  <w15:chartTrackingRefBased/>
  <w15:docId w15:val="{C545CD7F-6D96-5947-A8A8-B5401CB70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CFF"/>
  </w:style>
  <w:style w:type="paragraph" w:styleId="Heading4">
    <w:name w:val="heading 4"/>
    <w:basedOn w:val="Normal"/>
    <w:link w:val="Heading4Char"/>
    <w:uiPriority w:val="9"/>
    <w:qFormat/>
    <w:rsid w:val="001F4CFF"/>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1F4CFF"/>
    <w:rPr>
      <w:rFonts w:ascii="Times New Roman" w:eastAsia="Times New Roman" w:hAnsi="Times New Roman" w:cs="Times New Roman"/>
      <w:b/>
      <w:bCs/>
    </w:rPr>
  </w:style>
  <w:style w:type="paragraph" w:styleId="ListParagraph">
    <w:name w:val="List Paragraph"/>
    <w:basedOn w:val="Normal"/>
    <w:uiPriority w:val="34"/>
    <w:qFormat/>
    <w:rsid w:val="001F4CFF"/>
    <w:pPr>
      <w:ind w:left="720"/>
      <w:contextualSpacing/>
    </w:pPr>
  </w:style>
  <w:style w:type="character" w:styleId="CommentReference">
    <w:name w:val="annotation reference"/>
    <w:basedOn w:val="DefaultParagraphFont"/>
    <w:uiPriority w:val="99"/>
    <w:semiHidden/>
    <w:unhideWhenUsed/>
    <w:rsid w:val="001F4CFF"/>
    <w:rPr>
      <w:sz w:val="16"/>
      <w:szCs w:val="16"/>
    </w:rPr>
  </w:style>
  <w:style w:type="paragraph" w:styleId="CommentText">
    <w:name w:val="annotation text"/>
    <w:basedOn w:val="Normal"/>
    <w:link w:val="CommentTextChar"/>
    <w:uiPriority w:val="99"/>
    <w:unhideWhenUsed/>
    <w:rsid w:val="001F4CFF"/>
    <w:rPr>
      <w:sz w:val="20"/>
      <w:szCs w:val="20"/>
    </w:rPr>
  </w:style>
  <w:style w:type="character" w:customStyle="1" w:styleId="CommentTextChar">
    <w:name w:val="Comment Text Char"/>
    <w:basedOn w:val="DefaultParagraphFont"/>
    <w:link w:val="CommentText"/>
    <w:uiPriority w:val="99"/>
    <w:rsid w:val="001F4CFF"/>
    <w:rPr>
      <w:sz w:val="20"/>
      <w:szCs w:val="20"/>
    </w:rPr>
  </w:style>
  <w:style w:type="character" w:styleId="EndnoteReference">
    <w:name w:val="endnote reference"/>
    <w:basedOn w:val="DefaultParagraphFont"/>
    <w:uiPriority w:val="99"/>
    <w:unhideWhenUsed/>
    <w:rsid w:val="001F4CFF"/>
    <w:rPr>
      <w:vertAlign w:val="superscript"/>
    </w:rPr>
  </w:style>
  <w:style w:type="character" w:styleId="Hyperlink">
    <w:name w:val="Hyperlink"/>
    <w:basedOn w:val="DefaultParagraphFont"/>
    <w:uiPriority w:val="99"/>
    <w:unhideWhenUsed/>
    <w:rsid w:val="001F4CFF"/>
    <w:rPr>
      <w:color w:val="0000FF"/>
      <w:u w:val="single"/>
    </w:rPr>
  </w:style>
  <w:style w:type="paragraph" w:styleId="BalloonText">
    <w:name w:val="Balloon Text"/>
    <w:basedOn w:val="Normal"/>
    <w:link w:val="BalloonTextChar"/>
    <w:uiPriority w:val="99"/>
    <w:semiHidden/>
    <w:unhideWhenUsed/>
    <w:rsid w:val="001F4CF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F4CFF"/>
    <w:rPr>
      <w:rFonts w:ascii="Times New Roman" w:hAnsi="Times New Roman" w:cs="Times New Roman"/>
      <w:sz w:val="18"/>
      <w:szCs w:val="18"/>
    </w:rPr>
  </w:style>
  <w:style w:type="table" w:styleId="TableGrid">
    <w:name w:val="Table Grid"/>
    <w:basedOn w:val="TableNormal"/>
    <w:uiPriority w:val="59"/>
    <w:rsid w:val="00791DA3"/>
    <w:rPr>
      <w:rFonts w:eastAsia="SimSu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4A2A39"/>
    <w:rPr>
      <w:b/>
      <w:bCs/>
    </w:rPr>
  </w:style>
  <w:style w:type="character" w:customStyle="1" w:styleId="CommentSubjectChar">
    <w:name w:val="Comment Subject Char"/>
    <w:basedOn w:val="CommentTextChar"/>
    <w:link w:val="CommentSubject"/>
    <w:uiPriority w:val="99"/>
    <w:semiHidden/>
    <w:rsid w:val="004A2A39"/>
    <w:rPr>
      <w:b/>
      <w:bCs/>
      <w:sz w:val="20"/>
      <w:szCs w:val="20"/>
    </w:rPr>
  </w:style>
  <w:style w:type="character" w:styleId="FollowedHyperlink">
    <w:name w:val="FollowedHyperlink"/>
    <w:basedOn w:val="DefaultParagraphFont"/>
    <w:uiPriority w:val="99"/>
    <w:semiHidden/>
    <w:unhideWhenUsed/>
    <w:rsid w:val="00C131EE"/>
    <w:rPr>
      <w:color w:val="954F72" w:themeColor="followedHyperlink"/>
      <w:u w:val="single"/>
    </w:rPr>
  </w:style>
  <w:style w:type="character" w:styleId="PlaceholderText">
    <w:name w:val="Placeholder Text"/>
    <w:basedOn w:val="DefaultParagraphFont"/>
    <w:uiPriority w:val="99"/>
    <w:semiHidden/>
    <w:rsid w:val="0073775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endnotes.xml.rels><?xml version="1.0" encoding="UTF-8" standalone="yes"?>
<Relationships xmlns="http://schemas.openxmlformats.org/package/2006/relationships"><Relationship Id="rId3" Type="http://schemas.openxmlformats.org/officeDocument/2006/relationships/hyperlink" Target="https://www.icmr.gov.in/pdf/covid/labs/COVID_Testing_Labs_10122020.pdf" TargetMode="External"/><Relationship Id="rId2" Type="http://schemas.openxmlformats.org/officeDocument/2006/relationships/hyperlink" Target="https://www.icmr.gov.in" TargetMode="External"/><Relationship Id="rId1" Type="http://schemas.openxmlformats.org/officeDocument/2006/relationships/hyperlink" Target="https://rajyasabha.nic.in/rsnew/Committee_site/Committee_File/ReportFile/14/142/123_2020_11_18.pdf" TargetMode="External"/><Relationship Id="rId6" Type="http://schemas.openxmlformats.org/officeDocument/2006/relationships/hyperlink" Target="https://www.mohfw.gov.in/pdf/RevisedHomeIsolationGuidelines.pdf" TargetMode="External"/><Relationship Id="rId5" Type="http://schemas.openxmlformats.org/officeDocument/2006/relationships/hyperlink" Target="https://www.mohfw.gov.in/pdf/GuidelineforrtPCRbasedpooledsamplingFinal.pdf" TargetMode="External"/><Relationship Id="rId4" Type="http://schemas.openxmlformats.org/officeDocument/2006/relationships/hyperlink" Target="https://www.icmr.gov.in/pdf/covid/labs/COVID_Testing_Labs_1012202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2268</Words>
  <Characters>12931</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Osondu Ogbuoji</dc:creator>
  <cp:keywords/>
  <dc:description/>
  <cp:lastModifiedBy>Osondu Ogbuoji</cp:lastModifiedBy>
  <cp:revision>3</cp:revision>
  <dcterms:created xsi:type="dcterms:W3CDTF">2021-01-15T00:27:00Z</dcterms:created>
  <dcterms:modified xsi:type="dcterms:W3CDTF">2021-01-15T00:27:00Z</dcterms:modified>
</cp:coreProperties>
</file>