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480" w:lineRule="auto"/>
        <w:ind w:left="856" w:hanging="431"/>
        <w:jc w:val="both"/>
        <w:rPr>
          <w:rFonts w:ascii="Times New Roman" w:cs="Times New Roman" w:eastAsia="Times New Roman" w:hAnsi="Times New Roman"/>
          <w:b w:val="1"/>
          <w:color w:val="000000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40"/>
          <w:szCs w:val="40"/>
          <w:rtl w:val="0"/>
        </w:rPr>
        <w:t xml:space="preserve">Supplementary Material</w:t>
      </w:r>
    </w:p>
    <w:p w:rsidR="00000000" w:rsidDel="00000000" w:rsidP="00000000" w:rsidRDefault="00000000" w:rsidRPr="00000000" w14:paraId="00000002">
      <w:pPr>
        <w:keepNext w:val="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480" w:lineRule="auto"/>
        <w:jc w:val="both"/>
        <w:rPr>
          <w:rFonts w:ascii="Times New Roman" w:cs="Times New Roman" w:eastAsia="Times New Roman" w:hAnsi="Times New Roman"/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Table S1 - Summary of demographics and clinical data.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Significant group differences are shown in bold (p&lt;0.05). Numbers represent mean ± standard deviation (or percentage). *Data available for 16 patients; ** Data available for 15 patients; BP = Blood Pressure; sSVD=Sporadic Small Vessel Disease.</w:t>
      </w:r>
    </w:p>
    <w:tbl>
      <w:tblPr>
        <w:tblStyle w:val="Table1"/>
        <w:tblW w:w="9322.0" w:type="dxa"/>
        <w:jc w:val="left"/>
        <w:tblInd w:w="0.0" w:type="dxa"/>
        <w:tblLayout w:type="fixed"/>
        <w:tblLook w:val="0600"/>
      </w:tblPr>
      <w:tblGrid>
        <w:gridCol w:w="2977"/>
        <w:gridCol w:w="1815"/>
        <w:gridCol w:w="1515"/>
        <w:gridCol w:w="1170"/>
        <w:gridCol w:w="1845"/>
        <w:tblGridChange w:id="0">
          <w:tblGrid>
            <w:gridCol w:w="2977"/>
            <w:gridCol w:w="1815"/>
            <w:gridCol w:w="1515"/>
            <w:gridCol w:w="1170"/>
            <w:gridCol w:w="1845"/>
          </w:tblGrid>
        </w:tblGridChange>
      </w:tblGrid>
      <w:tr>
        <w:trPr>
          <w:trHeight w:val="300" w:hRule="atLeast"/>
        </w:trPr>
        <w:tc>
          <w:tcPr>
            <w:vMerge w:val="restart"/>
            <w:tcBorders>
              <w:top w:color="000000" w:space="0" w:sz="12" w:val="single"/>
              <w:bottom w:color="000000" w:space="0" w:sz="12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widowControl w:val="0"/>
              <w:spacing w:after="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2" w:val="single"/>
              <w:bottom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SVD (N=17)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bottom w:color="000000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Healthy controls </w:t>
            </w:r>
          </w:p>
          <w:p w:rsidR="00000000" w:rsidDel="00000000" w:rsidP="00000000" w:rsidRDefault="00000000" w:rsidRPr="00000000" w14:paraId="00000007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(N = 12)</w:t>
            </w:r>
          </w:p>
        </w:tc>
        <w:tc>
          <w:tcPr>
            <w:vMerge w:val="restart"/>
            <w:tcBorders>
              <w:top w:color="000000" w:space="0" w:sz="12" w:val="single"/>
              <w:bottom w:color="000000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Group comparison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top w:color="000000" w:space="0" w:sz="12" w:val="single"/>
              <w:bottom w:color="000000" w:space="0" w:sz="12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CADASIL</w:t>
            </w:r>
          </w:p>
          <w:p w:rsidR="00000000" w:rsidDel="00000000" w:rsidP="00000000" w:rsidRDefault="00000000" w:rsidRPr="00000000" w14:paraId="0000000B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(N=6)</w:t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sSVD</w:t>
            </w:r>
          </w:p>
          <w:p w:rsidR="00000000" w:rsidDel="00000000" w:rsidP="00000000" w:rsidRDefault="00000000" w:rsidRPr="00000000" w14:paraId="0000000D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(N = 11)</w:t>
            </w:r>
          </w:p>
        </w:tc>
        <w:tc>
          <w:tcPr>
            <w:vMerge w:val="continue"/>
            <w:tcBorders>
              <w:top w:color="000000" w:space="0" w:sz="12" w:val="single"/>
              <w:bottom w:color="000000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bottom w:color="000000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Merge w:val="restart"/>
            <w:tcBorders>
              <w:top w:color="000000" w:space="0" w:sz="12" w:val="single"/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Age (years)</w:t>
            </w:r>
          </w:p>
        </w:tc>
        <w:tc>
          <w:tcPr>
            <w:gridSpan w:val="2"/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50 ± 9</w:t>
            </w:r>
          </w:p>
        </w:tc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52 ± 6</w:t>
            </w:r>
          </w:p>
        </w:tc>
        <w:tc>
          <w:tcPr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 = 0.70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top w:color="000000" w:space="0" w:sz="12" w:val="single"/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47 ± 11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52 ± 7</w:t>
            </w:r>
          </w:p>
        </w:tc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 = 0.44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Sex (% Female)</w:t>
            </w:r>
          </w:p>
        </w:tc>
        <w:tc>
          <w:tcPr>
            <w:gridSpan w:val="2"/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 (77)</w:t>
            </w:r>
          </w:p>
        </w:tc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 (50)</w:t>
            </w:r>
          </w:p>
        </w:tc>
        <w:tc>
          <w:tcPr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 = 0.14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 (67)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 (82)</w:t>
            </w:r>
          </w:p>
        </w:tc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 = 0.28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Education (years)</w:t>
            </w:r>
          </w:p>
        </w:tc>
        <w:tc>
          <w:tcPr>
            <w:gridSpan w:val="2"/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 ± 6</w:t>
            </w:r>
          </w:p>
        </w:tc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17 ± 4</w:t>
            </w:r>
          </w:p>
        </w:tc>
        <w:tc>
          <w:tcPr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 &lt; 0.001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 ± 6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11 ± 5</w:t>
            </w:r>
          </w:p>
        </w:tc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 = 0.72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Hypertension (%)*</w:t>
            </w:r>
          </w:p>
        </w:tc>
        <w:tc>
          <w:tcPr>
            <w:gridSpan w:val="2"/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10 (62)</w:t>
            </w:r>
          </w:p>
        </w:tc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 (20)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 (82)</w:t>
            </w:r>
          </w:p>
        </w:tc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 = 0.02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Systolic BP (mmHg)**</w:t>
            </w:r>
          </w:p>
        </w:tc>
        <w:tc>
          <w:tcPr>
            <w:gridSpan w:val="2"/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134 ± 20</w:t>
            </w:r>
          </w:p>
        </w:tc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135 ± 22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133 ± 21</w:t>
            </w:r>
          </w:p>
        </w:tc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 = 0.92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Diastolic BP (mmHg)**</w:t>
            </w:r>
          </w:p>
        </w:tc>
        <w:tc>
          <w:tcPr>
            <w:gridSpan w:val="2"/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79 ± 14</w:t>
            </w:r>
          </w:p>
        </w:tc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79 ± 12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78 ± 16</w:t>
            </w:r>
          </w:p>
        </w:tc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 = 0.97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Diabetes Mellitus (%)*</w:t>
            </w:r>
          </w:p>
        </w:tc>
        <w:tc>
          <w:tcPr>
            <w:gridSpan w:val="2"/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 (6)</w:t>
            </w:r>
          </w:p>
        </w:tc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 (9)</w:t>
            </w:r>
          </w:p>
        </w:tc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 = 0.49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after="0" w:line="276" w:lineRule="auto"/>
              <w:ind w:right="-46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Hypercholesterolaemia (%)*</w:t>
            </w:r>
          </w:p>
        </w:tc>
        <w:tc>
          <w:tcPr>
            <w:gridSpan w:val="2"/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 (56)</w:t>
            </w:r>
          </w:p>
        </w:tc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 (12)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 (41)</w:t>
            </w:r>
          </w:p>
        </w:tc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 = 0.38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Previous Stroke (%)*</w:t>
            </w:r>
          </w:p>
        </w:tc>
        <w:tc>
          <w:tcPr>
            <w:gridSpan w:val="2"/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 (25)</w:t>
            </w:r>
          </w:p>
        </w:tc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 (12)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 (12)</w:t>
            </w:r>
          </w:p>
        </w:tc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 = 0.35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Smoker (%)*</w:t>
            </w:r>
          </w:p>
        </w:tc>
        <w:tc>
          <w:tcPr>
            <w:gridSpan w:val="2"/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 (31)</w:t>
            </w:r>
          </w:p>
        </w:tc>
        <w:tc>
          <w:tcPr>
            <w:vMerge w:val="restart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 (6)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 (24)</w:t>
            </w:r>
          </w:p>
        </w:tc>
        <w:tc>
          <w:tcPr>
            <w:vMerge w:val="continue"/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 = 0.51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Merge w:val="restart"/>
            <w:tcBorders>
              <w:bottom w:color="000000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History of depression (%)*</w:t>
            </w:r>
          </w:p>
        </w:tc>
        <w:tc>
          <w:tcPr>
            <w:gridSpan w:val="2"/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 (50)</w:t>
            </w:r>
          </w:p>
        </w:tc>
        <w:tc>
          <w:tcPr>
            <w:vMerge w:val="restart"/>
            <w:tcBorders>
              <w:bottom w:color="000000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trHeight w:val="300" w:hRule="atLeast"/>
        </w:trPr>
        <w:tc>
          <w:tcPr>
            <w:vMerge w:val="continue"/>
            <w:tcBorders>
              <w:bottom w:color="000000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 (12)</w:t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 (35)</w:t>
            </w:r>
          </w:p>
        </w:tc>
        <w:tc>
          <w:tcPr>
            <w:vMerge w:val="continue"/>
            <w:tcBorders>
              <w:bottom w:color="000000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after="0" w:line="276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 = 0.59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gridSpan w:val="5"/>
            <w:tcBorders>
              <w:top w:color="000000" w:space="0" w:sz="12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after="0" w:line="276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†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Comparison between CADASIL and sSVD groups.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spacing w:after="0" w:line="480" w:lineRule="auto"/>
        <w:ind w:firstLine="72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1"/>
        <w:widowControl w:val="0"/>
        <w:spacing w:after="0" w:before="240" w:line="480" w:lineRule="auto"/>
        <w:jc w:val="both"/>
        <w:rPr>
          <w:rFonts w:ascii="Times New Roman" w:cs="Times New Roman" w:eastAsia="Times New Roman" w:hAnsi="Times New Roman"/>
          <w:b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Table S2 – Composite scores used for evaluation of executive function and processing speed: individual tests used to obtain the composite scores. </w:t>
      </w:r>
    </w:p>
    <w:tbl>
      <w:tblPr>
        <w:tblStyle w:val="Table2"/>
        <w:tblW w:w="9345.0" w:type="dxa"/>
        <w:jc w:val="left"/>
        <w:tblInd w:w="0.0" w:type="dxa"/>
        <w:tblLayout w:type="fixed"/>
        <w:tblLook w:val="0400"/>
      </w:tblPr>
      <w:tblGrid>
        <w:gridCol w:w="1485"/>
        <w:gridCol w:w="2385"/>
        <w:gridCol w:w="2970"/>
        <w:gridCol w:w="2505"/>
        <w:tblGridChange w:id="0">
          <w:tblGrid>
            <w:gridCol w:w="1485"/>
            <w:gridCol w:w="2385"/>
            <w:gridCol w:w="2970"/>
            <w:gridCol w:w="2505"/>
          </w:tblGrid>
        </w:tblGridChange>
      </w:tblGrid>
      <w:tr>
        <w:trPr>
          <w:trHeight w:val="300" w:hRule="atLeast"/>
        </w:trPr>
        <w:tc>
          <w:tcPr>
            <w:tcBorders>
              <w:top w:color="000000" w:space="0" w:sz="12" w:val="single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Cognitive Index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Neuropsychological Test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Measures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Composite Score</w:t>
            </w:r>
          </w:p>
        </w:tc>
      </w:tr>
      <w:tr>
        <w:trPr>
          <w:trHeight w:val="300" w:hRule="atLeast"/>
        </w:trPr>
        <w:tc>
          <w:tcPr>
            <w:vMerge w:val="restart"/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Executive Function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A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Stroop (Fernandes, 2013)</w:t>
            </w:r>
          </w:p>
        </w:tc>
        <w:tc>
          <w:tcPr>
            <w:tcBorders>
              <w:top w:color="000000" w:space="0" w:sz="12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Total Interference Score </w:t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Stroop+TMTB-A=</w:t>
            </w:r>
          </w:p>
          <w:p w:rsidR="00000000" w:rsidDel="00000000" w:rsidP="00000000" w:rsidRDefault="00000000" w:rsidRPr="00000000" w14:paraId="0000008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Average of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z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-scores</w:t>
            </w:r>
          </w:p>
        </w:tc>
      </w:tr>
      <w:tr>
        <w:trPr>
          <w:trHeight w:val="720" w:hRule="atLeast"/>
        </w:trPr>
        <w:tc>
          <w:tcPr>
            <w:vMerge w:val="continue"/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Trail Making Test (Cavaco et al., 2013)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Part B-A - Time to complete</w:t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Processing Speed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Trail Making Test (Cavaco et al., 2013)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4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Part B - Time to complete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TMTA+TMTB=</w:t>
            </w:r>
          </w:p>
          <w:p w:rsidR="00000000" w:rsidDel="00000000" w:rsidP="00000000" w:rsidRDefault="00000000" w:rsidRPr="00000000" w14:paraId="0000009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Average of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z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-scores</w:t>
            </w:r>
          </w:p>
        </w:tc>
      </w:tr>
      <w:tr>
        <w:trPr>
          <w:trHeight w:val="420" w:hRule="atLeast"/>
        </w:trPr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9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Part A - Time to complete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12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B">
      <w:pPr>
        <w:rPr>
          <w:rFonts w:ascii="Times New Roman" w:cs="Times New Roman" w:eastAsia="Times New Roman" w:hAnsi="Times New Roman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Figure S1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Illustrative examples of FA histograms from all subjects obtained using the different masks: TBSS (left) and NAWM (right);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and demonstrating the histogram-based metrics (median and peak width).</w:t>
      </w:r>
    </w:p>
    <w:p w:rsidR="00000000" w:rsidDel="00000000" w:rsidP="00000000" w:rsidRDefault="00000000" w:rsidRPr="00000000" w14:paraId="0000009D">
      <w:pPr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/>
        <w:drawing>
          <wp:inline distB="0" distT="0" distL="0" distR="0">
            <wp:extent cx="5495925" cy="3667125"/>
            <wp:effectExtent b="0" l="0" r="0" t="0"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3667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Figure S2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Illustrative examples of MD histograms from all subjects obtained using the different masks: TBSS (left) and NAWM (right);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and demonstrating the histogram-based metrics (median and peak width).</w:t>
      </w:r>
    </w:p>
    <w:p w:rsidR="00000000" w:rsidDel="00000000" w:rsidP="00000000" w:rsidRDefault="00000000" w:rsidRPr="00000000" w14:paraId="0000009F">
      <w:pPr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/>
        <w:drawing>
          <wp:inline distB="0" distT="0" distL="0" distR="0">
            <wp:extent cx="5962650" cy="3411220"/>
            <wp:effectExtent b="0" l="0" r="0" t="0"/>
            <wp:docPr id="9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62650" cy="34112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1"/>
        <w:widowControl w:val="0"/>
        <w:spacing w:after="0" w:before="240" w:line="48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Figure S3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Illustrative examples of scatter plots showing the relationship between one DTI metric and both cognitive domains.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In this example, the relation between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MD peak width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for both masks: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TBSS and NAWM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; executive function (upper panel) and processing speed (lower panel) are displayed. The correlation coefficients (r), uncorrected p-values and 95% confidence interval (gray area) are reported.</w:t>
      </w:r>
    </w:p>
    <w:p w:rsidR="00000000" w:rsidDel="00000000" w:rsidP="00000000" w:rsidRDefault="00000000" w:rsidRPr="00000000" w14:paraId="000000A1">
      <w:pPr>
        <w:keepNext w:val="1"/>
        <w:widowControl w:val="0"/>
        <w:spacing w:after="0" w:before="240" w:line="48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/>
        <w:drawing>
          <wp:inline distB="0" distT="0" distL="0" distR="0">
            <wp:extent cx="5486400" cy="4067175"/>
            <wp:effectExtent b="0" l="0" r="0" t="0"/>
            <wp:docPr id="8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67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Times New Roman" w:cs="Times New Roman" w:eastAsia="Times New Roman" w:hAnsi="Times New Roman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1"/>
        <w:widowControl w:val="0"/>
        <w:spacing w:after="0" w:before="240" w:line="48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Figure S4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Illustrative examples of scatter plots showing the relationship between one DTI metric and both cognitive domains.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In this example, the relation between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MD peak height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for both masks: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TBSS and NAWM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; executive function (upper panel) and processing speed (lower panel) are displayed. The correlation coefficients (r), uncorrected p-values and 95% confidence interval (gray area) are reported.</w:t>
      </w:r>
    </w:p>
    <w:p w:rsidR="00000000" w:rsidDel="00000000" w:rsidP="00000000" w:rsidRDefault="00000000" w:rsidRPr="00000000" w14:paraId="000000A4">
      <w:pPr>
        <w:keepNext w:val="1"/>
        <w:widowControl w:val="0"/>
        <w:spacing w:after="0" w:before="240" w:line="48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/>
        <w:drawing>
          <wp:inline distB="0" distT="0" distL="0" distR="0">
            <wp:extent cx="5486400" cy="3895725"/>
            <wp:effectExtent b="0" l="0" r="0" t="0"/>
            <wp:docPr id="1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957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11" w:type="default"/>
      <w:headerReference r:id="rId12" w:type="first"/>
      <w:footerReference r:id="rId13" w:type="default"/>
      <w:pgSz w:h="15900" w:w="12280" w:orient="portrait"/>
      <w:pgMar w:bottom="1445" w:top="1445" w:left="1445" w:right="1445" w:header="720" w:footer="720"/>
      <w:pgNumType w:start="38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  <w:font w:name="Cambr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7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pos="0"/>
        <w:tab w:val="right" w:pos="9356"/>
      </w:tabs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  <w:rtl w:val="0"/>
      </w:rPr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"/>
      <w:lvlJc w:val="left"/>
      <w:pPr>
        <w:ind w:left="858" w:hanging="432.00000000000006"/>
      </w:pPr>
      <w:rPr/>
    </w:lvl>
    <w:lvl w:ilvl="1">
      <w:start w:val="1"/>
      <w:numFmt w:val="decimal"/>
      <w:lvlText w:val="%1.%2"/>
      <w:lvlJc w:val="left"/>
      <w:pPr>
        <w:ind w:left="1002" w:hanging="576"/>
      </w:pPr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32"/>
        <w:szCs w:val="32"/>
        <w:u w:val="none"/>
        <w:vertAlign w:val="baseline"/>
      </w:rPr>
    </w:lvl>
    <w:lvl w:ilvl="2">
      <w:start w:val="1"/>
      <w:numFmt w:val="decimal"/>
      <w:lvlText w:val="%1.%2.%3"/>
      <w:lvlJc w:val="left"/>
      <w:pPr>
        <w:ind w:left="1146" w:hanging="720"/>
      </w:pPr>
      <w:rPr/>
    </w:lvl>
    <w:lvl w:ilvl="3">
      <w:start w:val="1"/>
      <w:numFmt w:val="decimal"/>
      <w:lvlText w:val="%1.%2.%3.%4"/>
      <w:lvlJc w:val="left"/>
      <w:pPr>
        <w:ind w:left="1290" w:hanging="864"/>
      </w:pPr>
      <w:rPr/>
    </w:lvl>
    <w:lvl w:ilvl="4">
      <w:start w:val="1"/>
      <w:numFmt w:val="decimal"/>
      <w:lvlText w:val="%1.%2.%3.%4.%5"/>
      <w:lvlJc w:val="left"/>
      <w:pPr>
        <w:ind w:left="1434" w:hanging="1007"/>
      </w:pPr>
      <w:rPr/>
    </w:lvl>
    <w:lvl w:ilvl="5">
      <w:start w:val="1"/>
      <w:numFmt w:val="decimal"/>
      <w:lvlText w:val="%1.%2.%3.%4.%5.%6"/>
      <w:lvlJc w:val="left"/>
      <w:pPr>
        <w:ind w:left="1578" w:hanging="1152"/>
      </w:pPr>
      <w:rPr/>
    </w:lvl>
    <w:lvl w:ilvl="6">
      <w:start w:val="1"/>
      <w:numFmt w:val="decimal"/>
      <w:lvlText w:val="%1.%2.%3.%4.%5.%6.%7"/>
      <w:lvlJc w:val="left"/>
      <w:pPr>
        <w:ind w:left="1722" w:hanging="1296"/>
      </w:pPr>
      <w:rPr/>
    </w:lvl>
    <w:lvl w:ilvl="7">
      <w:start w:val="1"/>
      <w:numFmt w:val="decimal"/>
      <w:lvlText w:val="%1.%2.%3.%4.%5.%6.%7.%8"/>
      <w:lvlJc w:val="left"/>
      <w:pPr>
        <w:ind w:left="1866" w:hanging="1440"/>
      </w:pPr>
      <w:rPr/>
    </w:lvl>
    <w:lvl w:ilvl="8">
      <w:start w:val="1"/>
      <w:numFmt w:val="decimal"/>
      <w:lvlText w:val="%1.%2.%3.%4.%5.%6.%7.%8.%9"/>
      <w:lvlJc w:val="left"/>
      <w:pPr>
        <w:ind w:left="2010" w:hanging="1584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A65DCD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LineNumber">
    <w:name w:val="line number"/>
    <w:basedOn w:val="DefaultParagraphFont"/>
    <w:uiPriority w:val="99"/>
    <w:semiHidden w:val="1"/>
    <w:unhideWhenUsed w:val="1"/>
    <w:rsid w:val="00466A1F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7477A8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7477A8"/>
    <w:rPr>
      <w:rFonts w:ascii="Segoe UI" w:cs="Segoe UI" w:hAnsi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 w:val="1"/>
    <w:rsid w:val="001A4E3D"/>
    <w:pPr>
      <w:tabs>
        <w:tab w:val="center" w:pos="4419"/>
        <w:tab w:val="right" w:pos="8838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1A4E3D"/>
  </w:style>
  <w:style w:type="paragraph" w:styleId="Footer">
    <w:name w:val="footer"/>
    <w:basedOn w:val="Normal"/>
    <w:link w:val="FooterChar"/>
    <w:uiPriority w:val="99"/>
    <w:unhideWhenUsed w:val="1"/>
    <w:rsid w:val="001A4E3D"/>
    <w:pPr>
      <w:tabs>
        <w:tab w:val="center" w:pos="4419"/>
        <w:tab w:val="right" w:pos="8838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1A4E3D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0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0B68AA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0B68A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0B68AA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0B68AA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2.xml"/><Relationship Id="rId10" Type="http://schemas.openxmlformats.org/officeDocument/2006/relationships/image" Target="media/image2.png"/><Relationship Id="rId13" Type="http://schemas.openxmlformats.org/officeDocument/2006/relationships/footer" Target="footer1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VLyFQf1cB0TJhTNfwvWBFwT33tQ==">AMUW2mUcFDRHzdzaxZnZQPG+O4GwaQGhrdu6cdDsajffpsJnAXGww6WF+i77xUU21C9kDL+Okn3WhAJqou4L7PhHrRFRvjqXn809WcHiMlJ2epOWx+yMxn8dwyWeOEB73ioILjRFXkSlRVRlQvCkipzj8HiERh7Kg3hAkjlusT9gwo0Fv3Y+V4vEzji9b1YOG+EIFRYXlEbNSkmm+NbvbL5vQmtLyZIClg==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2020-08-07T13:43:00Z</dcterms:created>
  <dc:creator>Ana Fouto</dc:creator>
</cp:coreProperties>
</file>