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75A6DE5">
      <w:pPr>
        <w:adjustRightInd w:val="0"/>
        <w:snapToGrid w:val="0"/>
        <w:spacing w:line="360" w:lineRule="auto"/>
        <w:rPr>
          <w:rFonts w:ascii="Times New Roman" w:hAnsi="Times New Roman" w:cs="Times New Roman"/>
          <w:b/>
          <w:bCs/>
          <w:color w:val="000000" w:themeColor="text1"/>
          <w:sz w:val="24"/>
          <w:szCs w:val="24"/>
          <w14:textFill>
            <w14:solidFill>
              <w14:schemeClr w14:val="tx1"/>
            </w14:solidFill>
          </w14:textFill>
        </w:rPr>
      </w:pPr>
      <w:r>
        <w:rPr>
          <w:rFonts w:ascii="Times New Roman" w:hAnsi="Times New Roman" w:cs="Times New Roman"/>
          <w:b/>
          <w:bCs/>
          <w:color w:val="000000" w:themeColor="text1"/>
          <w:sz w:val="24"/>
          <w:szCs w:val="24"/>
          <w14:textFill>
            <w14:solidFill>
              <w14:schemeClr w14:val="tx1"/>
            </w14:solidFill>
          </w14:textFill>
        </w:rPr>
        <w:t xml:space="preserve">Supplementary materials </w:t>
      </w:r>
    </w:p>
    <w:p w14:paraId="3FF04FCB">
      <w:pPr>
        <w:rPr>
          <w:rFonts w:ascii="Times New Roman" w:hAnsi="Times New Roman" w:cs="Times New Roman"/>
          <w:sz w:val="24"/>
          <w:szCs w:val="24"/>
          <w:lang w:val="pt-BR"/>
        </w:rPr>
      </w:pPr>
    </w:p>
    <w:p w14:paraId="4712621E">
      <w:pPr>
        <w:spacing w:line="360" w:lineRule="auto"/>
        <w:rPr>
          <w:rFonts w:hint="eastAsia" w:ascii="Times New Roman" w:hAnsi="Times New Roman" w:cs="Times New Roman"/>
          <w:b/>
          <w:bCs/>
          <w:sz w:val="24"/>
          <w:szCs w:val="24"/>
          <w:lang w:val="pt-BR"/>
        </w:rPr>
      </w:pPr>
      <w:r>
        <w:rPr>
          <w:rFonts w:hint="eastAsia" w:ascii="Times New Roman" w:hAnsi="Times New Roman" w:cs="Times New Roman"/>
          <w:b/>
          <w:bCs/>
          <w:sz w:val="24"/>
          <w:szCs w:val="24"/>
          <w:lang w:val="pt-BR"/>
        </w:rPr>
        <w:t>Supplementary I</w:t>
      </w:r>
    </w:p>
    <w:p w14:paraId="66353811">
      <w:pPr>
        <w:spacing w:line="360" w:lineRule="auto"/>
        <w:jc w:val="both"/>
        <w:rPr>
          <w:rFonts w:hint="eastAsia" w:ascii="Times New Roman" w:hAnsi="Times New Roman" w:cs="Times New Roman"/>
          <w:b/>
          <w:bCs/>
          <w:sz w:val="24"/>
          <w:szCs w:val="24"/>
          <w:lang w:val="pt-BR"/>
        </w:rPr>
      </w:pPr>
      <w:r>
        <w:rPr>
          <w:rFonts w:hint="default" w:ascii="Times New Roman" w:hAnsi="Times New Roman" w:cs="Times New Roman"/>
          <w:b/>
          <w:bCs/>
          <w:sz w:val="24"/>
          <w:szCs w:val="24"/>
          <w:highlight w:val="none"/>
          <w:lang w:eastAsia="zh-CN"/>
        </w:rPr>
        <w:t xml:space="preserve">Olink </w:t>
      </w:r>
      <w:r>
        <w:rPr>
          <w:rFonts w:hint="eastAsia" w:ascii="Times New Roman" w:hAnsi="Times New Roman" w:cs="Times New Roman"/>
          <w:b/>
          <w:bCs/>
          <w:sz w:val="24"/>
          <w:szCs w:val="24"/>
          <w:highlight w:val="none"/>
          <w:lang w:val="en-US" w:eastAsia="zh-CN"/>
        </w:rPr>
        <w:t>P</w:t>
      </w:r>
      <w:r>
        <w:rPr>
          <w:rFonts w:hint="default" w:ascii="Times New Roman" w:hAnsi="Times New Roman" w:cs="Times New Roman"/>
          <w:b/>
          <w:bCs/>
          <w:sz w:val="24"/>
          <w:szCs w:val="24"/>
          <w:highlight w:val="none"/>
          <w:lang w:eastAsia="zh-CN"/>
        </w:rPr>
        <w:t xml:space="preserve">roximity </w:t>
      </w:r>
      <w:r>
        <w:rPr>
          <w:rFonts w:hint="eastAsia" w:ascii="Times New Roman" w:hAnsi="Times New Roman" w:cs="Times New Roman"/>
          <w:b/>
          <w:bCs/>
          <w:sz w:val="24"/>
          <w:szCs w:val="24"/>
          <w:highlight w:val="none"/>
          <w:lang w:val="en-US" w:eastAsia="zh-CN"/>
        </w:rPr>
        <w:t>E</w:t>
      </w:r>
      <w:r>
        <w:rPr>
          <w:rFonts w:hint="default" w:ascii="Times New Roman" w:hAnsi="Times New Roman" w:cs="Times New Roman"/>
          <w:b/>
          <w:bCs/>
          <w:sz w:val="24"/>
          <w:szCs w:val="24"/>
          <w:highlight w:val="none"/>
          <w:lang w:eastAsia="zh-CN"/>
        </w:rPr>
        <w:t xml:space="preserve">xtension </w:t>
      </w:r>
      <w:r>
        <w:rPr>
          <w:rFonts w:hint="eastAsia" w:ascii="Times New Roman" w:hAnsi="Times New Roman" w:cs="Times New Roman"/>
          <w:b/>
          <w:bCs/>
          <w:sz w:val="24"/>
          <w:szCs w:val="24"/>
          <w:highlight w:val="none"/>
          <w:lang w:val="en-US" w:eastAsia="zh-CN"/>
        </w:rPr>
        <w:t>A</w:t>
      </w:r>
      <w:r>
        <w:rPr>
          <w:rFonts w:hint="default" w:ascii="Times New Roman" w:hAnsi="Times New Roman" w:cs="Times New Roman"/>
          <w:b/>
          <w:bCs/>
          <w:sz w:val="24"/>
          <w:szCs w:val="24"/>
          <w:highlight w:val="none"/>
          <w:lang w:eastAsia="zh-CN"/>
        </w:rPr>
        <w:t>ssay</w:t>
      </w:r>
    </w:p>
    <w:p w14:paraId="6F118E55">
      <w:pPr>
        <w:spacing w:line="360" w:lineRule="auto"/>
        <w:rPr>
          <w:rFonts w:hint="eastAsia" w:ascii="Times New Roman" w:hAnsi="Times New Roman" w:cs="Times New Roman"/>
          <w:sz w:val="24"/>
          <w:szCs w:val="24"/>
          <w:lang w:val="pt-BR"/>
        </w:rPr>
      </w:pPr>
      <w:r>
        <w:rPr>
          <w:rFonts w:hint="eastAsia" w:ascii="Times New Roman" w:hAnsi="Times New Roman" w:cs="Times New Roman"/>
          <w:sz w:val="24"/>
          <w:szCs w:val="24"/>
          <w:lang w:val="pt-BR"/>
        </w:rPr>
        <w:t>Olink panels can be used for a wide range of sample matrices, but this document will focus on blood samples. Plasma separation from blood is obtained by centrifugation: Collect whole blood into the commercial anticoagulant treatment collection tube (treated with EDTA, citric acid or heparin); Centrifuge in a refrigerated centrifuge (2-8℃) at 1000-2000 x g for 10 minutes to remove cells from plasma; The plasma was immediately transferred to a clean tube and stored at -80℃. One microliter of plasma was used as input material for experimental detection.</w:t>
      </w:r>
    </w:p>
    <w:p w14:paraId="27406AE6">
      <w:pPr>
        <w:spacing w:line="360" w:lineRule="auto"/>
        <w:rPr>
          <w:rFonts w:hint="eastAsia" w:ascii="Times New Roman" w:hAnsi="Times New Roman" w:cs="Times New Roman"/>
          <w:sz w:val="24"/>
          <w:szCs w:val="24"/>
          <w:lang w:val="pt-BR"/>
        </w:rPr>
      </w:pPr>
      <w:r>
        <w:rPr>
          <w:rFonts w:hint="eastAsia" w:ascii="Times New Roman" w:hAnsi="Times New Roman" w:cs="Times New Roman"/>
          <w:sz w:val="24"/>
          <w:szCs w:val="24"/>
          <w:lang w:val="pt-BR"/>
        </w:rPr>
        <w:t>Assay (PEA) in the Olink platform (https://www.olink.com), where different antibody types were validated to ensure reproducible quantififications of the analyte in biological samples. This method is based on a matched pair of antibodies linked to unique oligonucleotides binds to the respective protein target, and DNA amplicon can be subsequently quantifified by quantitative real-time PCR.In the incubation phase, the 92 antibody pairs, labelled with DNA oligonucleotides, bind to their respective protein in the samples, and this will take 16-22 hours.In the extension and amplifification phase, oligonucleotides that are brought into proximity hybridize, and are extended using a DNA polymerase. This newly created piece of DNA barcode is amplified by PCR. Finally, the amount of each DNA barcode is quantified by microfluidic qPCR. The microfluidic qPCR was quantified by Olink® Signature Q100 and the data was read out by Olink® NPX Signature software.</w:t>
      </w:r>
    </w:p>
    <w:p w14:paraId="141777BF">
      <w:pPr>
        <w:shd w:val="clear"/>
        <w:rPr>
          <w:rFonts w:hint="default" w:ascii="Times New Roman" w:hAnsi="Times New Roman" w:cs="Times New Roman"/>
          <w:b/>
          <w:bCs/>
          <w:sz w:val="24"/>
          <w:szCs w:val="24"/>
          <w:highlight w:val="none"/>
          <w:lang w:val="pt-BR" w:eastAsia="zh-CN"/>
        </w:rPr>
      </w:pPr>
    </w:p>
    <w:p w14:paraId="28AB8C0E">
      <w:pPr>
        <w:rPr>
          <w:rFonts w:ascii="Times New Roman" w:hAnsi="Times New Roman" w:cs="Times New Roman"/>
          <w:sz w:val="24"/>
          <w:szCs w:val="24"/>
          <w:lang w:val="pt-BR"/>
        </w:rPr>
      </w:pPr>
    </w:p>
    <w:p w14:paraId="62EFDED6">
      <w:pPr>
        <w:spacing w:line="360" w:lineRule="auto"/>
        <w:rPr>
          <w:rFonts w:hint="default" w:ascii="Times New Roman" w:hAnsi="Times New Roman" w:cs="Times New Roman" w:eastAsiaTheme="minorEastAsia"/>
          <w:sz w:val="24"/>
          <w:szCs w:val="24"/>
          <w:lang w:val="en-US" w:eastAsia="zh-CN"/>
        </w:rPr>
      </w:pPr>
      <w:r>
        <w:rPr>
          <w:rFonts w:hint="eastAsia" w:ascii="Times New Roman" w:hAnsi="Times New Roman" w:cs="Times New Roman"/>
          <w:b/>
          <w:bCs/>
          <w:sz w:val="24"/>
          <w:szCs w:val="24"/>
          <w:lang w:val="pt-BR"/>
        </w:rPr>
        <w:t xml:space="preserve">Supplementary </w:t>
      </w:r>
      <w:r>
        <w:rPr>
          <w:rFonts w:hint="eastAsia" w:ascii="Times New Roman" w:hAnsi="Times New Roman" w:cs="Times New Roman"/>
          <w:b/>
          <w:bCs/>
          <w:sz w:val="24"/>
          <w:szCs w:val="24"/>
          <w:lang w:val="en-US" w:eastAsia="zh-CN"/>
        </w:rPr>
        <w:t>II</w:t>
      </w:r>
    </w:p>
    <w:p w14:paraId="4507F447">
      <w:pPr>
        <w:spacing w:line="360" w:lineRule="auto"/>
        <w:rPr>
          <w:rFonts w:ascii="Times New Roman" w:hAnsi="Times New Roman" w:cs="Times New Roman"/>
          <w:b/>
          <w:bCs/>
          <w:sz w:val="24"/>
          <w:szCs w:val="24"/>
        </w:rPr>
      </w:pPr>
      <w:r>
        <w:rPr>
          <w:rFonts w:ascii="Times New Roman" w:hAnsi="Times New Roman" w:cs="Times New Roman"/>
          <w:b/>
          <w:bCs/>
          <w:sz w:val="24"/>
          <w:szCs w:val="24"/>
        </w:rPr>
        <w:t>MRI image acquisition</w:t>
      </w:r>
    </w:p>
    <w:p w14:paraId="3107DD4E">
      <w:pPr>
        <w:spacing w:line="360" w:lineRule="auto"/>
        <w:rPr>
          <w:rFonts w:ascii="Times New Roman" w:hAnsi="Times New Roman" w:cs="Times New Roman"/>
          <w:sz w:val="24"/>
          <w:szCs w:val="24"/>
          <w:lang w:val="pt-BR"/>
        </w:rPr>
      </w:pPr>
      <w:r>
        <w:rPr>
          <w:rFonts w:ascii="Times New Roman" w:hAnsi="Times New Roman" w:cs="Times New Roman"/>
          <w:sz w:val="24"/>
          <w:szCs w:val="24"/>
          <w:lang w:val="pt-BR"/>
        </w:rPr>
        <w:t xml:space="preserve">The DCE-MRI images from TCIA were performed using the 1.5T MRI scanner (Avanto, Siemens Medical Solutions, Erlangen, Germany; Optima MR360; GE Healthcare, America). The DCE-MRI protocol comprised one plain scan followed by four enhanced axial image acquisitions. Next, Gd-DTPA was injected into the patients at a rate of 2mL/s and a dose of 0.2mL/kg body weight using an MRI compatible power injector. </w:t>
      </w:r>
      <w:r>
        <w:rPr>
          <w:rFonts w:hint="eastAsia" w:ascii="Times New Roman" w:hAnsi="Times New Roman" w:cs="Times New Roman"/>
          <w:sz w:val="24"/>
          <w:szCs w:val="24"/>
          <w:lang w:val="pt-BR"/>
        </w:rPr>
        <w:t xml:space="preserve"> </w:t>
      </w:r>
    </w:p>
    <w:p w14:paraId="7A7A6DB5">
      <w:pPr>
        <w:spacing w:line="480" w:lineRule="auto"/>
        <w:rPr>
          <w:rFonts w:ascii="Times New Roman" w:hAnsi="Times New Roman" w:cs="Times New Roman"/>
          <w:sz w:val="24"/>
          <w:szCs w:val="24"/>
        </w:rPr>
      </w:pPr>
      <w:r>
        <w:rPr>
          <w:rFonts w:ascii="Times New Roman" w:hAnsi="Times New Roman" w:cs="Times New Roman"/>
          <w:sz w:val="24"/>
          <w:szCs w:val="24"/>
        </w:rPr>
        <w:t>Table S1. MRI scanning parameters</w:t>
      </w:r>
    </w:p>
    <w:tbl>
      <w:tblPr>
        <w:tblStyle w:val="7"/>
        <w:tblW w:w="5341" w:type="pct"/>
        <w:tblInd w:w="-56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019"/>
        <w:gridCol w:w="1891"/>
        <w:gridCol w:w="1018"/>
        <w:gridCol w:w="1018"/>
        <w:gridCol w:w="1166"/>
        <w:gridCol w:w="1309"/>
        <w:gridCol w:w="874"/>
        <w:gridCol w:w="809"/>
      </w:tblGrid>
      <w:tr w14:paraId="50759A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559" w:type="pct"/>
            <w:tcBorders>
              <w:top w:val="single" w:color="auto" w:sz="12" w:space="0"/>
              <w:bottom w:val="nil"/>
            </w:tcBorders>
            <w:vAlign w:val="center"/>
          </w:tcPr>
          <w:p w14:paraId="45CFA95F">
            <w:pPr>
              <w:jc w:val="center"/>
              <w:rPr>
                <w:rFonts w:ascii="Times New Roman" w:hAnsi="Times New Roman" w:cs="Times New Roman"/>
                <w:b/>
                <w:sz w:val="16"/>
                <w:szCs w:val="20"/>
              </w:rPr>
            </w:pPr>
            <w:r>
              <w:rPr>
                <w:rFonts w:ascii="Times New Roman" w:hAnsi="Times New Roman" w:cs="Times New Roman"/>
                <w:b/>
                <w:sz w:val="16"/>
                <w:szCs w:val="20"/>
              </w:rPr>
              <w:t>Hospital</w:t>
            </w:r>
          </w:p>
        </w:tc>
        <w:tc>
          <w:tcPr>
            <w:tcW w:w="1038" w:type="pct"/>
            <w:tcBorders>
              <w:top w:val="single" w:color="auto" w:sz="12" w:space="0"/>
              <w:bottom w:val="nil"/>
            </w:tcBorders>
            <w:vAlign w:val="center"/>
          </w:tcPr>
          <w:p w14:paraId="4AA17BA6">
            <w:pPr>
              <w:jc w:val="center"/>
              <w:rPr>
                <w:rFonts w:ascii="Times New Roman" w:hAnsi="Times New Roman" w:cs="Times New Roman"/>
                <w:b/>
                <w:sz w:val="16"/>
                <w:szCs w:val="20"/>
              </w:rPr>
            </w:pPr>
            <w:r>
              <w:rPr>
                <w:rFonts w:ascii="Times New Roman" w:hAnsi="Times New Roman" w:cs="Times New Roman"/>
                <w:b/>
                <w:sz w:val="16"/>
                <w:szCs w:val="20"/>
              </w:rPr>
              <w:t>Scanner</w:t>
            </w:r>
          </w:p>
        </w:tc>
        <w:tc>
          <w:tcPr>
            <w:tcW w:w="559" w:type="pct"/>
            <w:tcBorders>
              <w:top w:val="single" w:color="auto" w:sz="12" w:space="0"/>
              <w:bottom w:val="nil"/>
            </w:tcBorders>
            <w:vAlign w:val="center"/>
          </w:tcPr>
          <w:p w14:paraId="30117CDA">
            <w:pPr>
              <w:jc w:val="center"/>
              <w:rPr>
                <w:rFonts w:ascii="Times New Roman" w:hAnsi="Times New Roman" w:cs="Times New Roman"/>
                <w:b/>
                <w:sz w:val="16"/>
                <w:szCs w:val="20"/>
              </w:rPr>
            </w:pPr>
            <w:r>
              <w:rPr>
                <w:rFonts w:ascii="Times New Roman" w:hAnsi="Times New Roman" w:cs="Times New Roman"/>
                <w:b/>
                <w:sz w:val="16"/>
                <w:szCs w:val="20"/>
              </w:rPr>
              <w:t>Sequence</w:t>
            </w:r>
          </w:p>
        </w:tc>
        <w:tc>
          <w:tcPr>
            <w:tcW w:w="559" w:type="pct"/>
            <w:tcBorders>
              <w:top w:val="single" w:color="auto" w:sz="12" w:space="0"/>
              <w:bottom w:val="nil"/>
            </w:tcBorders>
            <w:vAlign w:val="center"/>
          </w:tcPr>
          <w:p w14:paraId="29EF801A">
            <w:pPr>
              <w:jc w:val="center"/>
              <w:rPr>
                <w:rFonts w:ascii="Times New Roman" w:hAnsi="Times New Roman" w:cs="Times New Roman"/>
                <w:b/>
                <w:sz w:val="16"/>
                <w:szCs w:val="20"/>
              </w:rPr>
            </w:pPr>
            <w:r>
              <w:rPr>
                <w:rFonts w:ascii="Times New Roman" w:hAnsi="Times New Roman" w:cs="Times New Roman"/>
                <w:b/>
                <w:sz w:val="16"/>
                <w:szCs w:val="20"/>
              </w:rPr>
              <w:t>TR/TE (msec)</w:t>
            </w:r>
          </w:p>
        </w:tc>
        <w:tc>
          <w:tcPr>
            <w:tcW w:w="640" w:type="pct"/>
            <w:tcBorders>
              <w:top w:val="single" w:color="auto" w:sz="12" w:space="0"/>
              <w:bottom w:val="nil"/>
            </w:tcBorders>
            <w:vAlign w:val="center"/>
          </w:tcPr>
          <w:p w14:paraId="6412352B">
            <w:pPr>
              <w:jc w:val="center"/>
              <w:rPr>
                <w:rFonts w:ascii="Times New Roman" w:hAnsi="Times New Roman" w:cs="Times New Roman"/>
                <w:b/>
                <w:sz w:val="16"/>
                <w:szCs w:val="20"/>
              </w:rPr>
            </w:pPr>
            <w:r>
              <w:rPr>
                <w:rFonts w:ascii="Times New Roman" w:hAnsi="Times New Roman" w:cs="Times New Roman"/>
                <w:b/>
                <w:sz w:val="16"/>
                <w:szCs w:val="20"/>
              </w:rPr>
              <w:t>Acquisition</w:t>
            </w:r>
          </w:p>
          <w:p w14:paraId="298E96A7">
            <w:pPr>
              <w:jc w:val="center"/>
              <w:rPr>
                <w:rFonts w:ascii="Times New Roman" w:hAnsi="Times New Roman" w:cs="Times New Roman"/>
                <w:b/>
                <w:sz w:val="16"/>
                <w:szCs w:val="20"/>
              </w:rPr>
            </w:pPr>
            <w:r>
              <w:rPr>
                <w:rFonts w:ascii="Times New Roman" w:hAnsi="Times New Roman" w:cs="Times New Roman"/>
                <w:b/>
                <w:sz w:val="16"/>
                <w:szCs w:val="20"/>
              </w:rPr>
              <w:t>Matrix</w:t>
            </w:r>
          </w:p>
        </w:tc>
        <w:tc>
          <w:tcPr>
            <w:tcW w:w="718" w:type="pct"/>
            <w:tcBorders>
              <w:top w:val="single" w:color="auto" w:sz="12" w:space="0"/>
              <w:bottom w:val="nil"/>
            </w:tcBorders>
            <w:vAlign w:val="center"/>
          </w:tcPr>
          <w:p w14:paraId="117EC57C">
            <w:pPr>
              <w:jc w:val="center"/>
              <w:rPr>
                <w:rFonts w:ascii="Times New Roman" w:hAnsi="Times New Roman" w:cs="Times New Roman"/>
                <w:b/>
                <w:sz w:val="15"/>
                <w:szCs w:val="20"/>
              </w:rPr>
            </w:pPr>
            <w:r>
              <w:rPr>
                <w:rFonts w:ascii="Times New Roman" w:hAnsi="Times New Roman" w:cs="Times New Roman"/>
                <w:b/>
                <w:sz w:val="15"/>
                <w:szCs w:val="20"/>
              </w:rPr>
              <w:t>Slice Thickness</w:t>
            </w:r>
          </w:p>
          <w:p w14:paraId="476ADF38">
            <w:pPr>
              <w:jc w:val="center"/>
              <w:rPr>
                <w:rFonts w:ascii="Times New Roman" w:hAnsi="Times New Roman" w:cs="Times New Roman"/>
                <w:b/>
                <w:sz w:val="16"/>
                <w:szCs w:val="20"/>
              </w:rPr>
            </w:pPr>
            <w:r>
              <w:rPr>
                <w:rFonts w:ascii="Times New Roman" w:hAnsi="Times New Roman" w:cs="Times New Roman"/>
                <w:b/>
                <w:sz w:val="15"/>
                <w:szCs w:val="20"/>
              </w:rPr>
              <w:t>(mm)</w:t>
            </w:r>
          </w:p>
        </w:tc>
        <w:tc>
          <w:tcPr>
            <w:tcW w:w="480" w:type="pct"/>
            <w:tcBorders>
              <w:top w:val="single" w:color="auto" w:sz="12" w:space="0"/>
              <w:bottom w:val="nil"/>
            </w:tcBorders>
            <w:vAlign w:val="center"/>
          </w:tcPr>
          <w:p w14:paraId="6A023185">
            <w:pPr>
              <w:jc w:val="center"/>
              <w:rPr>
                <w:rFonts w:ascii="Times New Roman" w:hAnsi="Times New Roman" w:cs="Times New Roman"/>
                <w:b/>
                <w:sz w:val="15"/>
                <w:szCs w:val="20"/>
              </w:rPr>
            </w:pPr>
            <w:r>
              <w:rPr>
                <w:rFonts w:ascii="Times New Roman" w:hAnsi="Times New Roman" w:cs="Times New Roman"/>
                <w:b/>
                <w:sz w:val="15"/>
                <w:szCs w:val="20"/>
              </w:rPr>
              <w:t>Slice Gap</w:t>
            </w:r>
          </w:p>
          <w:p w14:paraId="7132B4C6">
            <w:pPr>
              <w:jc w:val="center"/>
              <w:rPr>
                <w:rFonts w:ascii="Times New Roman" w:hAnsi="Times New Roman" w:cs="Times New Roman"/>
                <w:b/>
                <w:sz w:val="16"/>
                <w:szCs w:val="20"/>
              </w:rPr>
            </w:pPr>
            <w:r>
              <w:rPr>
                <w:rFonts w:ascii="Times New Roman" w:hAnsi="Times New Roman" w:cs="Times New Roman"/>
                <w:b/>
                <w:sz w:val="15"/>
                <w:szCs w:val="20"/>
              </w:rPr>
              <w:t>(mm)</w:t>
            </w:r>
          </w:p>
        </w:tc>
        <w:tc>
          <w:tcPr>
            <w:tcW w:w="444" w:type="pct"/>
            <w:tcBorders>
              <w:top w:val="single" w:color="auto" w:sz="12" w:space="0"/>
              <w:bottom w:val="nil"/>
            </w:tcBorders>
            <w:vAlign w:val="center"/>
          </w:tcPr>
          <w:p w14:paraId="6794BF23">
            <w:pPr>
              <w:jc w:val="center"/>
              <w:rPr>
                <w:rFonts w:ascii="Times New Roman" w:hAnsi="Times New Roman" w:cs="Times New Roman"/>
                <w:b/>
                <w:sz w:val="16"/>
                <w:szCs w:val="20"/>
              </w:rPr>
            </w:pPr>
            <w:r>
              <w:rPr>
                <w:rFonts w:ascii="Times New Roman" w:hAnsi="Times New Roman" w:cs="Times New Roman"/>
                <w:b/>
                <w:sz w:val="16"/>
                <w:szCs w:val="20"/>
              </w:rPr>
              <w:t>Flip Angle</w:t>
            </w:r>
          </w:p>
        </w:tc>
      </w:tr>
      <w:tr w14:paraId="113867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559" w:type="pct"/>
            <w:vMerge w:val="restart"/>
            <w:tcBorders>
              <w:top w:val="nil"/>
              <w:left w:val="nil"/>
            </w:tcBorders>
            <w:shd w:val="clear" w:color="auto" w:fill="FFFFFF" w:themeFill="background1"/>
            <w:vAlign w:val="center"/>
          </w:tcPr>
          <w:p w14:paraId="1F0FCB62">
            <w:pPr>
              <w:jc w:val="center"/>
              <w:rPr>
                <w:rFonts w:ascii="Times New Roman" w:hAnsi="Times New Roman" w:cs="Times New Roman"/>
                <w:b/>
                <w:sz w:val="16"/>
                <w:szCs w:val="20"/>
              </w:rPr>
            </w:pPr>
            <w:r>
              <w:rPr>
                <w:rFonts w:hint="eastAsia" w:ascii="Times New Roman" w:hAnsi="Times New Roman" w:cs="Times New Roman"/>
                <w:b/>
                <w:sz w:val="16"/>
                <w:szCs w:val="20"/>
              </w:rPr>
              <w:t>TCIA</w:t>
            </w:r>
          </w:p>
        </w:tc>
        <w:tc>
          <w:tcPr>
            <w:tcW w:w="1038" w:type="pct"/>
            <w:tcBorders>
              <w:top w:val="nil"/>
            </w:tcBorders>
            <w:shd w:val="clear" w:color="auto" w:fill="FFFFFF" w:themeFill="background1"/>
            <w:vAlign w:val="center"/>
          </w:tcPr>
          <w:p w14:paraId="3BFA2394">
            <w:pPr>
              <w:spacing w:line="276" w:lineRule="auto"/>
              <w:jc w:val="center"/>
              <w:rPr>
                <w:rFonts w:ascii="Times New Roman" w:hAnsi="Times New Roman" w:cs="Times New Roman"/>
                <w:sz w:val="16"/>
                <w:szCs w:val="20"/>
              </w:rPr>
            </w:pPr>
            <w:r>
              <w:rPr>
                <w:rFonts w:ascii="Times New Roman" w:hAnsi="Times New Roman" w:cs="Times New Roman"/>
                <w:sz w:val="16"/>
                <w:szCs w:val="20"/>
              </w:rPr>
              <w:t>Siemens (Avanto)</w:t>
            </w:r>
          </w:p>
        </w:tc>
        <w:tc>
          <w:tcPr>
            <w:tcW w:w="559" w:type="pct"/>
            <w:tcBorders>
              <w:top w:val="nil"/>
            </w:tcBorders>
            <w:shd w:val="clear" w:color="auto" w:fill="FFFFFF" w:themeFill="background1"/>
            <w:vAlign w:val="center"/>
          </w:tcPr>
          <w:p w14:paraId="0633A85B">
            <w:pPr>
              <w:spacing w:line="276" w:lineRule="auto"/>
              <w:jc w:val="center"/>
              <w:rPr>
                <w:rFonts w:ascii="Times New Roman" w:hAnsi="Times New Roman" w:cs="Times New Roman"/>
                <w:sz w:val="16"/>
                <w:szCs w:val="20"/>
              </w:rPr>
            </w:pPr>
            <w:r>
              <w:rPr>
                <w:rFonts w:ascii="Times New Roman" w:hAnsi="Times New Roman" w:cs="Times New Roman"/>
                <w:sz w:val="16"/>
                <w:szCs w:val="20"/>
              </w:rPr>
              <w:t>T1+C</w:t>
            </w:r>
          </w:p>
        </w:tc>
        <w:tc>
          <w:tcPr>
            <w:tcW w:w="559" w:type="pct"/>
            <w:tcBorders>
              <w:top w:val="nil"/>
            </w:tcBorders>
            <w:shd w:val="clear" w:color="auto" w:fill="FFFFFF" w:themeFill="background1"/>
            <w:vAlign w:val="center"/>
          </w:tcPr>
          <w:p w14:paraId="06CE5865">
            <w:pPr>
              <w:spacing w:line="276" w:lineRule="auto"/>
              <w:jc w:val="center"/>
              <w:rPr>
                <w:rFonts w:ascii="Times New Roman" w:hAnsi="Times New Roman" w:cs="Times New Roman"/>
                <w:sz w:val="16"/>
                <w:szCs w:val="20"/>
              </w:rPr>
            </w:pPr>
            <w:r>
              <w:rPr>
                <w:rFonts w:hint="eastAsia" w:ascii="Times New Roman" w:hAnsi="Times New Roman" w:cs="Times New Roman"/>
                <w:sz w:val="16"/>
                <w:szCs w:val="20"/>
              </w:rPr>
              <w:t>1</w:t>
            </w:r>
            <w:r>
              <w:rPr>
                <w:rFonts w:ascii="Times New Roman" w:hAnsi="Times New Roman" w:cs="Times New Roman"/>
                <w:sz w:val="16"/>
                <w:szCs w:val="20"/>
              </w:rPr>
              <w:t>.11-1.38/3.87-4.54</w:t>
            </w:r>
          </w:p>
        </w:tc>
        <w:tc>
          <w:tcPr>
            <w:tcW w:w="640" w:type="pct"/>
            <w:tcBorders>
              <w:top w:val="nil"/>
            </w:tcBorders>
            <w:shd w:val="clear" w:color="auto" w:fill="FFFFFF" w:themeFill="background1"/>
            <w:vAlign w:val="center"/>
          </w:tcPr>
          <w:p w14:paraId="3521CA0C">
            <w:pPr>
              <w:spacing w:line="276" w:lineRule="auto"/>
              <w:jc w:val="center"/>
              <w:rPr>
                <w:rFonts w:ascii="Times New Roman" w:hAnsi="Times New Roman" w:cs="Times New Roman"/>
                <w:sz w:val="16"/>
                <w:szCs w:val="20"/>
              </w:rPr>
            </w:pPr>
            <w:r>
              <w:rPr>
                <w:rFonts w:hint="eastAsia" w:ascii="Times New Roman" w:hAnsi="Times New Roman" w:cs="Times New Roman"/>
                <w:sz w:val="16"/>
                <w:szCs w:val="20"/>
              </w:rPr>
              <w:t>(</w:t>
            </w:r>
            <w:r>
              <w:rPr>
                <w:rFonts w:ascii="Times New Roman" w:hAnsi="Times New Roman" w:cs="Times New Roman"/>
                <w:sz w:val="16"/>
                <w:szCs w:val="20"/>
              </w:rPr>
              <w:t>384-448)/(269-336)</w:t>
            </w:r>
          </w:p>
        </w:tc>
        <w:tc>
          <w:tcPr>
            <w:tcW w:w="718" w:type="pct"/>
            <w:tcBorders>
              <w:top w:val="nil"/>
            </w:tcBorders>
            <w:shd w:val="clear" w:color="auto" w:fill="FFFFFF" w:themeFill="background1"/>
            <w:vAlign w:val="center"/>
          </w:tcPr>
          <w:p w14:paraId="6C510067">
            <w:pPr>
              <w:spacing w:line="276" w:lineRule="auto"/>
              <w:jc w:val="center"/>
              <w:rPr>
                <w:rFonts w:ascii="Times New Roman" w:hAnsi="Times New Roman" w:cs="Times New Roman"/>
                <w:sz w:val="16"/>
                <w:szCs w:val="20"/>
              </w:rPr>
            </w:pPr>
            <w:r>
              <w:rPr>
                <w:rFonts w:hint="eastAsia" w:ascii="Times New Roman" w:hAnsi="Times New Roman" w:cs="Times New Roman"/>
                <w:sz w:val="16"/>
                <w:szCs w:val="20"/>
              </w:rPr>
              <w:t>0</w:t>
            </w:r>
            <w:r>
              <w:rPr>
                <w:rFonts w:ascii="Times New Roman" w:hAnsi="Times New Roman" w:cs="Times New Roman"/>
                <w:sz w:val="16"/>
                <w:szCs w:val="20"/>
              </w:rPr>
              <w:t>.9-2</w:t>
            </w:r>
          </w:p>
        </w:tc>
        <w:tc>
          <w:tcPr>
            <w:tcW w:w="480" w:type="pct"/>
            <w:tcBorders>
              <w:top w:val="nil"/>
            </w:tcBorders>
            <w:shd w:val="clear" w:color="auto" w:fill="FFFFFF" w:themeFill="background1"/>
            <w:vAlign w:val="center"/>
          </w:tcPr>
          <w:p w14:paraId="7A896BA5">
            <w:pPr>
              <w:spacing w:line="276" w:lineRule="auto"/>
              <w:jc w:val="center"/>
              <w:rPr>
                <w:rFonts w:ascii="Times New Roman" w:hAnsi="Times New Roman" w:cs="Times New Roman"/>
                <w:sz w:val="16"/>
                <w:szCs w:val="20"/>
              </w:rPr>
            </w:pPr>
            <w:r>
              <w:rPr>
                <w:rFonts w:hint="eastAsia" w:ascii="Times New Roman" w:hAnsi="Times New Roman" w:cs="Times New Roman"/>
                <w:sz w:val="16"/>
                <w:szCs w:val="20"/>
              </w:rPr>
              <w:t>N</w:t>
            </w:r>
            <w:r>
              <w:rPr>
                <w:rFonts w:ascii="Times New Roman" w:hAnsi="Times New Roman" w:cs="Times New Roman"/>
                <w:sz w:val="16"/>
                <w:szCs w:val="20"/>
              </w:rPr>
              <w:t>A</w:t>
            </w:r>
          </w:p>
        </w:tc>
        <w:tc>
          <w:tcPr>
            <w:tcW w:w="444" w:type="pct"/>
            <w:tcBorders>
              <w:top w:val="nil"/>
              <w:right w:val="nil"/>
            </w:tcBorders>
            <w:shd w:val="clear" w:color="auto" w:fill="FFFFFF" w:themeFill="background1"/>
            <w:vAlign w:val="center"/>
          </w:tcPr>
          <w:p w14:paraId="04F39F71">
            <w:pPr>
              <w:spacing w:line="276" w:lineRule="auto"/>
              <w:jc w:val="center"/>
              <w:rPr>
                <w:rFonts w:ascii="Times New Roman" w:hAnsi="Times New Roman" w:cs="Times New Roman"/>
                <w:sz w:val="16"/>
                <w:szCs w:val="20"/>
              </w:rPr>
            </w:pPr>
            <w:r>
              <w:rPr>
                <w:rFonts w:hint="eastAsia" w:ascii="Times New Roman" w:hAnsi="Times New Roman" w:cs="Times New Roman"/>
                <w:sz w:val="16"/>
                <w:szCs w:val="20"/>
              </w:rPr>
              <w:t>1</w:t>
            </w:r>
            <w:r>
              <w:rPr>
                <w:rFonts w:ascii="Times New Roman" w:hAnsi="Times New Roman" w:cs="Times New Roman"/>
                <w:sz w:val="16"/>
                <w:szCs w:val="20"/>
              </w:rPr>
              <w:t>0</w:t>
            </w:r>
          </w:p>
        </w:tc>
      </w:tr>
      <w:tr w14:paraId="158745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559" w:type="pct"/>
            <w:vMerge w:val="continue"/>
            <w:tcBorders>
              <w:left w:val="nil"/>
              <w:bottom w:val="single" w:color="auto" w:sz="12" w:space="0"/>
            </w:tcBorders>
            <w:shd w:val="clear" w:color="auto" w:fill="FFFFFF" w:themeFill="background1"/>
            <w:vAlign w:val="center"/>
          </w:tcPr>
          <w:p w14:paraId="7C004722">
            <w:pPr>
              <w:jc w:val="center"/>
              <w:rPr>
                <w:rFonts w:ascii="Times New Roman" w:hAnsi="Times New Roman" w:cs="Times New Roman"/>
                <w:b/>
                <w:sz w:val="16"/>
                <w:szCs w:val="20"/>
              </w:rPr>
            </w:pPr>
          </w:p>
        </w:tc>
        <w:tc>
          <w:tcPr>
            <w:tcW w:w="1038" w:type="pct"/>
            <w:tcBorders>
              <w:bottom w:val="single" w:color="auto" w:sz="12" w:space="0"/>
            </w:tcBorders>
            <w:shd w:val="clear" w:color="auto" w:fill="FFFFFF" w:themeFill="background1"/>
            <w:vAlign w:val="center"/>
          </w:tcPr>
          <w:p w14:paraId="6200FFFF">
            <w:pPr>
              <w:jc w:val="center"/>
              <w:rPr>
                <w:rFonts w:ascii="Times New Roman" w:hAnsi="Times New Roman" w:cs="Times New Roman"/>
                <w:sz w:val="16"/>
                <w:szCs w:val="20"/>
              </w:rPr>
            </w:pPr>
            <w:r>
              <w:rPr>
                <w:rFonts w:ascii="Times New Roman" w:hAnsi="Times New Roman" w:cs="Times New Roman"/>
                <w:sz w:val="16"/>
                <w:szCs w:val="20"/>
              </w:rPr>
              <w:t>GE</w:t>
            </w:r>
          </w:p>
          <w:p w14:paraId="31B5DCA9">
            <w:pPr>
              <w:jc w:val="center"/>
              <w:rPr>
                <w:rFonts w:ascii="Times New Roman" w:hAnsi="Times New Roman" w:cs="Times New Roman"/>
                <w:sz w:val="16"/>
                <w:szCs w:val="20"/>
              </w:rPr>
            </w:pPr>
            <w:r>
              <w:rPr>
                <w:rFonts w:ascii="Times New Roman" w:hAnsi="Times New Roman" w:cs="Times New Roman"/>
                <w:sz w:val="16"/>
                <w:szCs w:val="20"/>
              </w:rPr>
              <w:t>(Optima MR360)</w:t>
            </w:r>
          </w:p>
        </w:tc>
        <w:tc>
          <w:tcPr>
            <w:tcW w:w="559" w:type="pct"/>
            <w:tcBorders>
              <w:bottom w:val="single" w:color="auto" w:sz="12" w:space="0"/>
            </w:tcBorders>
            <w:shd w:val="clear" w:color="auto" w:fill="FFFFFF" w:themeFill="background1"/>
            <w:vAlign w:val="center"/>
          </w:tcPr>
          <w:p w14:paraId="28DF1C3C">
            <w:pPr>
              <w:spacing w:line="276" w:lineRule="auto"/>
              <w:jc w:val="center"/>
              <w:rPr>
                <w:rFonts w:ascii="Times New Roman" w:hAnsi="Times New Roman" w:cs="Times New Roman"/>
                <w:sz w:val="16"/>
                <w:szCs w:val="20"/>
              </w:rPr>
            </w:pPr>
            <w:r>
              <w:rPr>
                <w:rFonts w:ascii="Times New Roman" w:hAnsi="Times New Roman" w:cs="Times New Roman"/>
                <w:sz w:val="16"/>
                <w:szCs w:val="20"/>
              </w:rPr>
              <w:t>T1+C</w:t>
            </w:r>
          </w:p>
        </w:tc>
        <w:tc>
          <w:tcPr>
            <w:tcW w:w="559" w:type="pct"/>
            <w:tcBorders>
              <w:bottom w:val="single" w:color="auto" w:sz="12" w:space="0"/>
            </w:tcBorders>
            <w:shd w:val="clear" w:color="auto" w:fill="FFFFFF" w:themeFill="background1"/>
            <w:vAlign w:val="center"/>
          </w:tcPr>
          <w:p w14:paraId="124ADF4C">
            <w:pPr>
              <w:spacing w:line="276" w:lineRule="auto"/>
              <w:jc w:val="center"/>
              <w:rPr>
                <w:rFonts w:ascii="Times New Roman" w:hAnsi="Times New Roman" w:cs="Times New Roman"/>
                <w:sz w:val="16"/>
                <w:szCs w:val="20"/>
              </w:rPr>
            </w:pPr>
            <w:r>
              <w:rPr>
                <w:rFonts w:ascii="Times New Roman" w:hAnsi="Times New Roman" w:cs="Times New Roman"/>
                <w:sz w:val="16"/>
                <w:szCs w:val="20"/>
              </w:rPr>
              <w:t>2.31-4.2/4.82-7.77</w:t>
            </w:r>
          </w:p>
        </w:tc>
        <w:tc>
          <w:tcPr>
            <w:tcW w:w="640" w:type="pct"/>
            <w:tcBorders>
              <w:bottom w:val="single" w:color="auto" w:sz="12" w:space="0"/>
            </w:tcBorders>
            <w:shd w:val="clear" w:color="auto" w:fill="FFFFFF" w:themeFill="background1"/>
            <w:vAlign w:val="center"/>
          </w:tcPr>
          <w:p w14:paraId="5D65349C">
            <w:pPr>
              <w:spacing w:line="276" w:lineRule="auto"/>
              <w:jc w:val="center"/>
              <w:rPr>
                <w:rFonts w:ascii="Times New Roman" w:hAnsi="Times New Roman" w:cs="Times New Roman"/>
                <w:sz w:val="16"/>
                <w:szCs w:val="20"/>
              </w:rPr>
            </w:pPr>
            <w:r>
              <w:rPr>
                <w:rFonts w:hint="eastAsia" w:ascii="Times New Roman" w:hAnsi="Times New Roman" w:cs="Times New Roman"/>
                <w:sz w:val="16"/>
                <w:szCs w:val="20"/>
              </w:rPr>
              <w:t>2</w:t>
            </w:r>
            <w:r>
              <w:rPr>
                <w:rFonts w:ascii="Times New Roman" w:hAnsi="Times New Roman" w:cs="Times New Roman"/>
                <w:sz w:val="16"/>
                <w:szCs w:val="20"/>
              </w:rPr>
              <w:t>56-360/192-350</w:t>
            </w:r>
          </w:p>
        </w:tc>
        <w:tc>
          <w:tcPr>
            <w:tcW w:w="718" w:type="pct"/>
            <w:tcBorders>
              <w:bottom w:val="single" w:color="auto" w:sz="12" w:space="0"/>
            </w:tcBorders>
            <w:shd w:val="clear" w:color="auto" w:fill="FFFFFF" w:themeFill="background1"/>
            <w:vAlign w:val="center"/>
          </w:tcPr>
          <w:p w14:paraId="0EA021E3">
            <w:pPr>
              <w:spacing w:line="276" w:lineRule="auto"/>
              <w:jc w:val="center"/>
              <w:rPr>
                <w:rFonts w:ascii="Times New Roman" w:hAnsi="Times New Roman" w:cs="Times New Roman"/>
                <w:sz w:val="16"/>
                <w:szCs w:val="20"/>
              </w:rPr>
            </w:pPr>
            <w:r>
              <w:rPr>
                <w:rFonts w:hint="eastAsia" w:ascii="Times New Roman" w:hAnsi="Times New Roman" w:cs="Times New Roman"/>
                <w:sz w:val="16"/>
                <w:szCs w:val="20"/>
              </w:rPr>
              <w:t>2</w:t>
            </w:r>
            <w:r>
              <w:rPr>
                <w:rFonts w:ascii="Times New Roman" w:hAnsi="Times New Roman" w:cs="Times New Roman"/>
                <w:sz w:val="16"/>
                <w:szCs w:val="20"/>
              </w:rPr>
              <w:t>-3.2</w:t>
            </w:r>
          </w:p>
        </w:tc>
        <w:tc>
          <w:tcPr>
            <w:tcW w:w="480" w:type="pct"/>
            <w:tcBorders>
              <w:bottom w:val="single" w:color="auto" w:sz="12" w:space="0"/>
            </w:tcBorders>
            <w:shd w:val="clear" w:color="auto" w:fill="FFFFFF" w:themeFill="background1"/>
            <w:vAlign w:val="center"/>
          </w:tcPr>
          <w:p w14:paraId="3040B371">
            <w:pPr>
              <w:spacing w:line="276" w:lineRule="auto"/>
              <w:jc w:val="center"/>
              <w:rPr>
                <w:rFonts w:ascii="Times New Roman" w:hAnsi="Times New Roman" w:cs="Times New Roman"/>
                <w:sz w:val="16"/>
                <w:szCs w:val="20"/>
              </w:rPr>
            </w:pPr>
            <w:r>
              <w:rPr>
                <w:rFonts w:hint="eastAsia" w:ascii="Times New Roman" w:hAnsi="Times New Roman" w:cs="Times New Roman"/>
                <w:sz w:val="16"/>
                <w:szCs w:val="20"/>
              </w:rPr>
              <w:t>N</w:t>
            </w:r>
            <w:r>
              <w:rPr>
                <w:rFonts w:ascii="Times New Roman" w:hAnsi="Times New Roman" w:cs="Times New Roman"/>
                <w:sz w:val="16"/>
                <w:szCs w:val="20"/>
              </w:rPr>
              <w:t>A</w:t>
            </w:r>
          </w:p>
        </w:tc>
        <w:tc>
          <w:tcPr>
            <w:tcW w:w="444" w:type="pct"/>
            <w:tcBorders>
              <w:bottom w:val="single" w:color="auto" w:sz="12" w:space="0"/>
              <w:right w:val="nil"/>
            </w:tcBorders>
            <w:shd w:val="clear" w:color="auto" w:fill="FFFFFF" w:themeFill="background1"/>
            <w:vAlign w:val="center"/>
          </w:tcPr>
          <w:p w14:paraId="3D30D5CF">
            <w:pPr>
              <w:spacing w:line="276" w:lineRule="auto"/>
              <w:jc w:val="center"/>
              <w:rPr>
                <w:rFonts w:ascii="Times New Roman" w:hAnsi="Times New Roman" w:cs="Times New Roman"/>
                <w:sz w:val="16"/>
                <w:szCs w:val="20"/>
              </w:rPr>
            </w:pPr>
            <w:r>
              <w:rPr>
                <w:rFonts w:hint="eastAsia" w:ascii="Times New Roman" w:hAnsi="Times New Roman" w:cs="Times New Roman"/>
                <w:sz w:val="16"/>
                <w:szCs w:val="20"/>
              </w:rPr>
              <w:t>1</w:t>
            </w:r>
            <w:r>
              <w:rPr>
                <w:rFonts w:ascii="Times New Roman" w:hAnsi="Times New Roman" w:cs="Times New Roman"/>
                <w:sz w:val="16"/>
                <w:szCs w:val="20"/>
              </w:rPr>
              <w:t>0</w:t>
            </w:r>
          </w:p>
        </w:tc>
      </w:tr>
    </w:tbl>
    <w:p w14:paraId="0209A5C3">
      <w:pPr>
        <w:spacing w:line="360" w:lineRule="auto"/>
        <w:rPr>
          <w:rFonts w:ascii="Times New Roman" w:hAnsi="Times New Roman" w:cs="Times New Roman"/>
          <w:sz w:val="18"/>
          <w:szCs w:val="18"/>
        </w:rPr>
      </w:pPr>
      <w:r>
        <w:rPr>
          <w:rFonts w:ascii="Times New Roman" w:hAnsi="Times New Roman" w:cs="Times New Roman"/>
          <w:sz w:val="18"/>
          <w:szCs w:val="18"/>
        </w:rPr>
        <w:t>TR = repetition time; TE = echo time; T2WI = T2 weighted imaging; T1+C, contrast-enhanced T1-weighted imaging.</w:t>
      </w:r>
    </w:p>
    <w:p w14:paraId="1358BBBC">
      <w:pPr>
        <w:spacing w:line="360" w:lineRule="auto"/>
        <w:rPr>
          <w:rFonts w:ascii="Times New Roman" w:hAnsi="Times New Roman" w:cs="Times New Roman"/>
          <w:sz w:val="18"/>
          <w:szCs w:val="18"/>
        </w:rPr>
      </w:pPr>
      <w:bookmarkStart w:id="0" w:name="_GoBack"/>
      <w:bookmarkEnd w:id="0"/>
    </w:p>
    <w:p w14:paraId="43B76981">
      <w:pPr>
        <w:spacing w:line="360" w:lineRule="auto"/>
        <w:rPr>
          <w:rFonts w:ascii="Times New Roman" w:hAnsi="Times New Roman" w:cs="Times New Roman"/>
          <w:sz w:val="18"/>
          <w:szCs w:val="18"/>
        </w:rPr>
      </w:pPr>
    </w:p>
    <w:p w14:paraId="67F49FFE">
      <w:pPr>
        <w:spacing w:line="360" w:lineRule="auto"/>
        <w:rPr>
          <w:rFonts w:ascii="Times New Roman" w:hAnsi="Times New Roman" w:cs="Times New Roman"/>
          <w:sz w:val="18"/>
          <w:szCs w:val="18"/>
        </w:rPr>
      </w:pPr>
    </w:p>
    <w:p w14:paraId="614D796A">
      <w:pPr>
        <w:spacing w:line="360" w:lineRule="auto"/>
        <w:rPr>
          <w:rFonts w:ascii="Times New Roman" w:hAnsi="Times New Roman" w:cs="Times New Roman"/>
          <w:sz w:val="18"/>
          <w:szCs w:val="18"/>
        </w:rPr>
      </w:pPr>
    </w:p>
    <w:p w14:paraId="1B8C679D">
      <w:pPr>
        <w:spacing w:line="360" w:lineRule="auto"/>
        <w:rPr>
          <w:rFonts w:ascii="Times New Roman" w:hAnsi="Times New Roman" w:cs="Times New Roman"/>
          <w:sz w:val="18"/>
          <w:szCs w:val="18"/>
        </w:rPr>
      </w:pPr>
    </w:p>
    <w:p w14:paraId="1CAFD765">
      <w:pPr>
        <w:spacing w:line="360" w:lineRule="auto"/>
        <w:rPr>
          <w:rFonts w:ascii="Times New Roman" w:hAnsi="Times New Roman" w:cs="Times New Roman"/>
          <w:sz w:val="18"/>
          <w:szCs w:val="18"/>
        </w:rPr>
      </w:pPr>
    </w:p>
    <w:p w14:paraId="2B384B5B">
      <w:pPr>
        <w:spacing w:line="360" w:lineRule="auto"/>
        <w:rPr>
          <w:rFonts w:ascii="Times New Roman" w:hAnsi="Times New Roman" w:cs="Times New Roman"/>
          <w:sz w:val="18"/>
          <w:szCs w:val="18"/>
        </w:rPr>
      </w:pPr>
    </w:p>
    <w:p w14:paraId="65664F6D">
      <w:pPr>
        <w:spacing w:line="360" w:lineRule="auto"/>
        <w:rPr>
          <w:rFonts w:ascii="Times New Roman" w:hAnsi="Times New Roman" w:cs="Times New Roman"/>
          <w:sz w:val="18"/>
          <w:szCs w:val="18"/>
        </w:rPr>
      </w:pPr>
    </w:p>
    <w:p w14:paraId="709EEFD9">
      <w:pPr>
        <w:spacing w:line="360" w:lineRule="auto"/>
        <w:rPr>
          <w:rFonts w:ascii="Times New Roman" w:hAnsi="Times New Roman" w:cs="Times New Roman"/>
          <w:sz w:val="18"/>
          <w:szCs w:val="18"/>
        </w:rPr>
      </w:pPr>
    </w:p>
    <w:p w14:paraId="6D451283">
      <w:pPr>
        <w:rPr>
          <w:rFonts w:ascii="Times New Roman" w:hAnsi="Times New Roman" w:cs="Times New Roman"/>
          <w:lang w:val="pt-BR"/>
        </w:rPr>
      </w:pPr>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hideSpellingErrors/>
  <w:hideGrammaticalErrors/>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NDAxsDA0tjAyMjczsTRW0lEKTi0uzszPAykwNKsFANlw+A4tAAAA"/>
  </w:docVars>
  <w:rsids>
    <w:rsidRoot w:val="00315EDE"/>
    <w:rsid w:val="000E2D72"/>
    <w:rsid w:val="000F5277"/>
    <w:rsid w:val="000F62A5"/>
    <w:rsid w:val="001003BE"/>
    <w:rsid w:val="00154FD6"/>
    <w:rsid w:val="00171B7D"/>
    <w:rsid w:val="001B4C26"/>
    <w:rsid w:val="001D3CB1"/>
    <w:rsid w:val="001F635F"/>
    <w:rsid w:val="00235121"/>
    <w:rsid w:val="00242B4E"/>
    <w:rsid w:val="00263537"/>
    <w:rsid w:val="002A4B52"/>
    <w:rsid w:val="002B0FA7"/>
    <w:rsid w:val="002F5977"/>
    <w:rsid w:val="0030031C"/>
    <w:rsid w:val="003069AA"/>
    <w:rsid w:val="00315EDE"/>
    <w:rsid w:val="003543E8"/>
    <w:rsid w:val="003A1A8F"/>
    <w:rsid w:val="003B633A"/>
    <w:rsid w:val="003F67D7"/>
    <w:rsid w:val="00427661"/>
    <w:rsid w:val="0044615E"/>
    <w:rsid w:val="00470D8A"/>
    <w:rsid w:val="004A1D6A"/>
    <w:rsid w:val="004C09EA"/>
    <w:rsid w:val="004D40D2"/>
    <w:rsid w:val="004D697F"/>
    <w:rsid w:val="004E7CC7"/>
    <w:rsid w:val="005207D2"/>
    <w:rsid w:val="005366FF"/>
    <w:rsid w:val="00537BB6"/>
    <w:rsid w:val="00544572"/>
    <w:rsid w:val="005501C4"/>
    <w:rsid w:val="005520EA"/>
    <w:rsid w:val="005919A3"/>
    <w:rsid w:val="005B6676"/>
    <w:rsid w:val="005D2390"/>
    <w:rsid w:val="005D6407"/>
    <w:rsid w:val="00617FD5"/>
    <w:rsid w:val="006572E7"/>
    <w:rsid w:val="00685445"/>
    <w:rsid w:val="006A240A"/>
    <w:rsid w:val="006B1EA4"/>
    <w:rsid w:val="006B28B6"/>
    <w:rsid w:val="006E7715"/>
    <w:rsid w:val="00760720"/>
    <w:rsid w:val="007C45C9"/>
    <w:rsid w:val="007F1202"/>
    <w:rsid w:val="00827097"/>
    <w:rsid w:val="00846EF8"/>
    <w:rsid w:val="008B4843"/>
    <w:rsid w:val="008D0612"/>
    <w:rsid w:val="008F2A18"/>
    <w:rsid w:val="00923960"/>
    <w:rsid w:val="009C47CD"/>
    <w:rsid w:val="009D324C"/>
    <w:rsid w:val="009E2725"/>
    <w:rsid w:val="009F11D4"/>
    <w:rsid w:val="00A031DF"/>
    <w:rsid w:val="00A17CCD"/>
    <w:rsid w:val="00AA3ACE"/>
    <w:rsid w:val="00AA7689"/>
    <w:rsid w:val="00BA5A09"/>
    <w:rsid w:val="00C06560"/>
    <w:rsid w:val="00CB77AA"/>
    <w:rsid w:val="00CC29E4"/>
    <w:rsid w:val="00CC6161"/>
    <w:rsid w:val="00CF3F88"/>
    <w:rsid w:val="00D23BA6"/>
    <w:rsid w:val="00D24BD7"/>
    <w:rsid w:val="00D31BEF"/>
    <w:rsid w:val="00E833F8"/>
    <w:rsid w:val="00E90F10"/>
    <w:rsid w:val="00EA0883"/>
    <w:rsid w:val="00F05F44"/>
    <w:rsid w:val="00F20B6F"/>
    <w:rsid w:val="00F34979"/>
    <w:rsid w:val="00FB028B"/>
    <w:rsid w:val="1E0427A3"/>
    <w:rsid w:val="328A7373"/>
    <w:rsid w:val="3A880B7C"/>
    <w:rsid w:val="5E453881"/>
    <w:rsid w:val="6B143EFC"/>
    <w:rsid w:val="7DC07AD3"/>
    <w:rsid w:val="7F565A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2"/>
    <w:qFormat/>
    <w:uiPriority w:val="0"/>
    <w:pPr>
      <w:jc w:val="left"/>
    </w:pPr>
    <w:rPr>
      <w:rFonts w:ascii="Times New Roman" w:hAnsi="Times New Roman" w:eastAsia="宋体" w:cs="Times New Roman"/>
      <w:szCs w:val="24"/>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annotation subject"/>
    <w:basedOn w:val="2"/>
    <w:next w:val="2"/>
    <w:link w:val="13"/>
    <w:semiHidden/>
    <w:unhideWhenUsed/>
    <w:qFormat/>
    <w:uiPriority w:val="99"/>
    <w:rPr>
      <w:rFonts w:asciiTheme="minorHAnsi" w:hAnsiTheme="minorHAnsi" w:eastAsiaTheme="minorEastAsia" w:cstheme="minorBidi"/>
      <w:b/>
      <w:bCs/>
      <w:szCs w:val="22"/>
    </w:rPr>
  </w:style>
  <w:style w:type="table" w:styleId="7">
    <w:name w:val="Table Grid"/>
    <w:basedOn w:val="6"/>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annotation reference"/>
    <w:qFormat/>
    <w:uiPriority w:val="99"/>
    <w:rPr>
      <w:sz w:val="21"/>
      <w:szCs w:val="21"/>
    </w:rPr>
  </w:style>
  <w:style w:type="character" w:customStyle="1" w:styleId="10">
    <w:name w:val="页眉 字符"/>
    <w:basedOn w:val="8"/>
    <w:link w:val="4"/>
    <w:qFormat/>
    <w:uiPriority w:val="99"/>
    <w:rPr>
      <w:sz w:val="18"/>
      <w:szCs w:val="18"/>
    </w:rPr>
  </w:style>
  <w:style w:type="character" w:customStyle="1" w:styleId="11">
    <w:name w:val="页脚 字符"/>
    <w:basedOn w:val="8"/>
    <w:link w:val="3"/>
    <w:qFormat/>
    <w:uiPriority w:val="99"/>
    <w:rPr>
      <w:sz w:val="18"/>
      <w:szCs w:val="18"/>
    </w:rPr>
  </w:style>
  <w:style w:type="character" w:customStyle="1" w:styleId="12">
    <w:name w:val="批注文字 字符"/>
    <w:basedOn w:val="8"/>
    <w:link w:val="2"/>
    <w:qFormat/>
    <w:uiPriority w:val="0"/>
    <w:rPr>
      <w:rFonts w:ascii="Times New Roman" w:hAnsi="Times New Roman" w:eastAsia="宋体" w:cs="Times New Roman"/>
      <w:szCs w:val="24"/>
    </w:rPr>
  </w:style>
  <w:style w:type="character" w:customStyle="1" w:styleId="13">
    <w:name w:val="批注主题 字符"/>
    <w:basedOn w:val="12"/>
    <w:link w:val="5"/>
    <w:semiHidden/>
    <w:qFormat/>
    <w:uiPriority w:val="99"/>
    <w:rPr>
      <w:rFonts w:ascii="Times New Roman" w:hAnsi="Times New Roman" w:eastAsia="宋体" w:cs="Times New Roman"/>
      <w:b/>
      <w:bCs/>
      <w:szCs w:val="24"/>
    </w:rPr>
  </w:style>
  <w:style w:type="paragraph" w:customStyle="1" w:styleId="14">
    <w:name w:val="Revision"/>
    <w:hidden/>
    <w:semiHidden/>
    <w:qFormat/>
    <w:uiPriority w:val="99"/>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363</Words>
  <Characters>2069</Characters>
  <Lines>39</Lines>
  <Paragraphs>11</Paragraphs>
  <TotalTime>0</TotalTime>
  <ScaleCrop>false</ScaleCrop>
  <LinksUpToDate>false</LinksUpToDate>
  <CharactersWithSpaces>2394</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2022-10-16T15:35:00Z</dcterms:created>
  <dc:creator>洪 敏萍</dc:creator>
  <cp:lastModifiedBy>洪</cp:lastModifiedBy>
  <dcterms:modified xsi:type="dcterms:W3CDTF">2025-05-10T12:42:16Z</dcterms:modified>
  <cp:revision>50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eyJoZGlkIjoiODQ0NzQ0NzA2MmM0Y2FmM2IxNjc4YTQ4ZGMyNGExOGIiLCJ1c2VySWQiOiIzOTMxMTE2MjIifQ==</vt:lpwstr>
  </property>
  <property fmtid="{D5CDD505-2E9C-101B-9397-08002B2CF9AE}" pid="3" name="KSOProductBuildVer">
    <vt:lpwstr>2052-12.1.0.20784</vt:lpwstr>
  </property>
  <property fmtid="{D5CDD505-2E9C-101B-9397-08002B2CF9AE}" pid="4" name="ICV">
    <vt:lpwstr>E178B674CC924D8CA3A8E1B290143B99_12</vt:lpwstr>
  </property>
</Properties>
</file>