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A846" w14:textId="3A3BAC31" w:rsidR="00775192" w:rsidRPr="001E5FCA" w:rsidRDefault="00D04AAF" w:rsidP="00D04AAF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t xml:space="preserve">Online </w:t>
      </w:r>
      <w:r w:rsidR="008E6FAA" w:rsidRPr="001E5FCA">
        <w:rPr>
          <w:rFonts w:ascii="Times New Roman" w:hAnsi="Times New Roman" w:cs="Times New Roman"/>
          <w:b/>
          <w:bCs/>
          <w:sz w:val="24"/>
        </w:rPr>
        <w:t>R</w:t>
      </w:r>
      <w:r w:rsidRPr="001E5FCA">
        <w:rPr>
          <w:rFonts w:ascii="Times New Roman" w:hAnsi="Times New Roman" w:cs="Times New Roman"/>
          <w:b/>
          <w:bCs/>
          <w:sz w:val="24"/>
        </w:rPr>
        <w:t>esource 1</w:t>
      </w:r>
    </w:p>
    <w:p w14:paraId="4CF2A6A2" w14:textId="1E49B955" w:rsidR="00D04AAF" w:rsidRPr="00415937" w:rsidRDefault="00D04AAF" w:rsidP="00415937">
      <w:pPr>
        <w:pStyle w:val="a9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415937">
        <w:rPr>
          <w:rFonts w:ascii="Times New Roman" w:hAnsi="Times New Roman" w:cs="Times New Roman"/>
          <w:sz w:val="22"/>
          <w:szCs w:val="22"/>
        </w:rPr>
        <w:t xml:space="preserve">Journal: </w:t>
      </w:r>
      <w:r w:rsidRPr="00415937">
        <w:rPr>
          <w:rFonts w:ascii="Times New Roman" w:hAnsi="Times New Roman" w:cs="Times New Roman"/>
          <w:i/>
          <w:iCs/>
          <w:sz w:val="22"/>
          <w:szCs w:val="22"/>
        </w:rPr>
        <w:t>Molecular Biology Reports</w:t>
      </w:r>
    </w:p>
    <w:p w14:paraId="7E45C478" w14:textId="0D57AA14" w:rsidR="00D04AAF" w:rsidRPr="00415937" w:rsidRDefault="00D04AAF" w:rsidP="00415937">
      <w:pPr>
        <w:pStyle w:val="a9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415937">
        <w:rPr>
          <w:rFonts w:ascii="Times New Roman" w:hAnsi="Times New Roman" w:cs="Times New Roman"/>
          <w:sz w:val="22"/>
          <w:szCs w:val="22"/>
        </w:rPr>
        <w:t xml:space="preserve">Title: </w:t>
      </w:r>
      <w:r w:rsidR="00BD234F" w:rsidRPr="00415937">
        <w:rPr>
          <w:rFonts w:ascii="Times New Roman" w:hAnsi="Times New Roman" w:cs="Times New Roman"/>
          <w:sz w:val="22"/>
          <w:szCs w:val="22"/>
        </w:rPr>
        <w:t>M</w:t>
      </w:r>
      <w:r w:rsidRPr="00415937">
        <w:rPr>
          <w:rFonts w:ascii="Times New Roman" w:hAnsi="Times New Roman" w:cs="Times New Roman"/>
          <w:sz w:val="22"/>
          <w:szCs w:val="22"/>
        </w:rPr>
        <w:t xml:space="preserve">icrosatellite DNA markers for paternity identification in the hermaphroditic barnacle </w:t>
      </w:r>
      <w:r w:rsidRPr="00415937">
        <w:rPr>
          <w:rFonts w:ascii="Times New Roman" w:hAnsi="Times New Roman" w:cs="Times New Roman"/>
          <w:i/>
          <w:iCs/>
          <w:sz w:val="22"/>
          <w:szCs w:val="22"/>
        </w:rPr>
        <w:t xml:space="preserve">Chthamalus challengeri </w:t>
      </w:r>
      <w:r w:rsidRPr="00415937">
        <w:rPr>
          <w:rFonts w:ascii="Times New Roman" w:hAnsi="Times New Roman" w:cs="Times New Roman"/>
          <w:sz w:val="22"/>
          <w:szCs w:val="22"/>
        </w:rPr>
        <w:t>Hoek</w:t>
      </w:r>
    </w:p>
    <w:p w14:paraId="01A7C812" w14:textId="77247D94" w:rsidR="00D04AAF" w:rsidRPr="00415937" w:rsidRDefault="00D04AAF" w:rsidP="00415937">
      <w:pPr>
        <w:pStyle w:val="a9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415937">
        <w:rPr>
          <w:rFonts w:ascii="Times New Roman" w:hAnsi="Times New Roman" w:cs="Times New Roman"/>
          <w:sz w:val="22"/>
          <w:szCs w:val="22"/>
        </w:rPr>
        <w:t>Authors: Masami M. Tamechika, Yoichi Yusa, Shingo Akita, Masashi Sekino</w:t>
      </w:r>
    </w:p>
    <w:p w14:paraId="531EB7F2" w14:textId="4DF29F6F" w:rsidR="00D04AAF" w:rsidRPr="00415937" w:rsidRDefault="00D04AAF" w:rsidP="00415937">
      <w:pPr>
        <w:pStyle w:val="a9"/>
        <w:numPr>
          <w:ilvl w:val="0"/>
          <w:numId w:val="1"/>
        </w:numPr>
        <w:pBdr>
          <w:bottom w:val="single" w:sz="6" w:space="1" w:color="auto"/>
        </w:pBdr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415937">
        <w:rPr>
          <w:rFonts w:ascii="Times New Roman" w:hAnsi="Times New Roman" w:cs="Times New Roman"/>
          <w:sz w:val="22"/>
          <w:szCs w:val="22"/>
        </w:rPr>
        <w:t>Corresponding author: Masami M. Tamechika (email: tamechi555@gmail.com), Graduate School of Fisheries Sciences, Hokkaido University.</w:t>
      </w:r>
    </w:p>
    <w:p w14:paraId="66B009C9" w14:textId="66D65EEF" w:rsidR="00BD234F" w:rsidRPr="001E5FCA" w:rsidRDefault="00BD234F" w:rsidP="00BD234F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t>Tailed-primer PCR protocol (touchdown PCR)</w:t>
      </w:r>
    </w:p>
    <w:p w14:paraId="55F014A4" w14:textId="0B4C536F" w:rsidR="00BD234F" w:rsidRPr="001E5FCA" w:rsidRDefault="00BD234F" w:rsidP="00BD234F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The following PCR conditions were based on </w:t>
      </w:r>
      <w:r w:rsidR="001E5FCA">
        <w:rPr>
          <w:rFonts w:ascii="Times New Roman" w:hAnsi="Times New Roman" w:cs="Times New Roman"/>
          <w:sz w:val="24"/>
        </w:rPr>
        <w:t xml:space="preserve">the work of </w:t>
      </w:r>
      <w:r w:rsidRPr="001E5FCA">
        <w:rPr>
          <w:rFonts w:ascii="Times New Roman" w:hAnsi="Times New Roman" w:cs="Times New Roman"/>
          <w:sz w:val="24"/>
        </w:rPr>
        <w:t>Kobayashi et al. (2020)</w:t>
      </w:r>
      <w:r w:rsidR="003A6E93">
        <w:rPr>
          <w:rFonts w:ascii="Times New Roman" w:hAnsi="Times New Roman" w:cs="Times New Roman"/>
          <w:sz w:val="24"/>
        </w:rPr>
        <w:t xml:space="preserve">, with modifications including halving the volumes of the DNA solution and reaction mixture, </w:t>
      </w:r>
      <w:r w:rsidR="008450AA">
        <w:rPr>
          <w:rFonts w:ascii="Times New Roman" w:hAnsi="Times New Roman" w:cs="Times New Roman"/>
          <w:sz w:val="24"/>
        </w:rPr>
        <w:t>reducing</w:t>
      </w:r>
      <w:r w:rsidR="003A6E93">
        <w:rPr>
          <w:rFonts w:ascii="Times New Roman" w:hAnsi="Times New Roman" w:cs="Times New Roman"/>
          <w:sz w:val="24"/>
        </w:rPr>
        <w:t xml:space="preserve"> the concentration of the DNA solution from 10 </w:t>
      </w:r>
      <w:r w:rsidR="003A6E93" w:rsidRPr="001E5FCA">
        <w:rPr>
          <w:rFonts w:ascii="Times New Roman" w:hAnsi="Times New Roman" w:cs="Times New Roman"/>
          <w:sz w:val="24"/>
        </w:rPr>
        <w:t>ng/</w:t>
      </w:r>
      <w:proofErr w:type="spellStart"/>
      <w:r w:rsidR="003A6E93" w:rsidRPr="001E5FCA">
        <w:rPr>
          <w:rFonts w:ascii="Times New Roman" w:hAnsi="Times New Roman" w:cs="Times New Roman"/>
          <w:sz w:val="24"/>
        </w:rPr>
        <w:t>μL</w:t>
      </w:r>
      <w:proofErr w:type="spellEnd"/>
      <w:r w:rsidR="003A6E93">
        <w:rPr>
          <w:rFonts w:ascii="Times New Roman" w:hAnsi="Times New Roman" w:cs="Times New Roman"/>
          <w:sz w:val="24"/>
        </w:rPr>
        <w:t xml:space="preserve"> to 5 </w:t>
      </w:r>
      <w:r w:rsidR="003A6E93" w:rsidRPr="001E5FCA">
        <w:rPr>
          <w:rFonts w:ascii="Times New Roman" w:hAnsi="Times New Roman" w:cs="Times New Roman"/>
          <w:sz w:val="24"/>
        </w:rPr>
        <w:t>ng/</w:t>
      </w:r>
      <w:proofErr w:type="spellStart"/>
      <w:r w:rsidR="003A6E93" w:rsidRPr="001E5FCA">
        <w:rPr>
          <w:rFonts w:ascii="Times New Roman" w:hAnsi="Times New Roman" w:cs="Times New Roman"/>
          <w:sz w:val="24"/>
        </w:rPr>
        <w:t>μL</w:t>
      </w:r>
      <w:proofErr w:type="spellEnd"/>
      <w:r w:rsidR="003A6E93">
        <w:rPr>
          <w:rFonts w:ascii="Times New Roman" w:hAnsi="Times New Roman" w:cs="Times New Roman"/>
          <w:sz w:val="24"/>
        </w:rPr>
        <w:t>,</w:t>
      </w:r>
      <w:r w:rsidR="008450AA">
        <w:rPr>
          <w:rFonts w:ascii="Times New Roman" w:hAnsi="Times New Roman" w:cs="Times New Roman"/>
          <w:sz w:val="24"/>
        </w:rPr>
        <w:t xml:space="preserve"> </w:t>
      </w:r>
      <w:r w:rsidR="003A6E93">
        <w:rPr>
          <w:rFonts w:ascii="Times New Roman" w:hAnsi="Times New Roman" w:cs="Times New Roman"/>
          <w:sz w:val="24"/>
        </w:rPr>
        <w:t xml:space="preserve">and adjusting the </w:t>
      </w:r>
      <w:r w:rsidR="003A6E93">
        <w:rPr>
          <w:rFonts w:ascii="Times New Roman" w:hAnsi="Times New Roman" w:cs="Times New Roman" w:hint="eastAsia"/>
          <w:sz w:val="24"/>
        </w:rPr>
        <w:t>n</w:t>
      </w:r>
      <w:r w:rsidR="003A6E93">
        <w:rPr>
          <w:rFonts w:ascii="Times New Roman" w:hAnsi="Times New Roman" w:cs="Times New Roman"/>
          <w:sz w:val="24"/>
        </w:rPr>
        <w:t>umber of PCR cycles accordingly</w:t>
      </w:r>
      <w:r w:rsidRPr="001E5FCA">
        <w:rPr>
          <w:rFonts w:ascii="Times New Roman" w:hAnsi="Times New Roman" w:cs="Times New Roman"/>
          <w:sz w:val="24"/>
        </w:rPr>
        <w:t>.</w:t>
      </w:r>
    </w:p>
    <w:p w14:paraId="28D3F6CE" w14:textId="77777777" w:rsidR="00BD234F" w:rsidRPr="001E5FCA" w:rsidRDefault="00BD234F" w:rsidP="006B6CBE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01856238" w14:textId="63F22568" w:rsidR="006B6CBE" w:rsidRPr="001E5FCA" w:rsidRDefault="006B6CBE" w:rsidP="006B6CBE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t xml:space="preserve">Reaction mixture with </w:t>
      </w:r>
      <w:r w:rsidR="006B1FD5" w:rsidRPr="001E5FCA">
        <w:rPr>
          <w:rFonts w:ascii="Times New Roman" w:hAnsi="Times New Roman" w:cs="Times New Roman"/>
          <w:b/>
          <w:bCs/>
          <w:sz w:val="24"/>
        </w:rPr>
        <w:t>tailed</w:t>
      </w:r>
      <w:r w:rsidR="00846047" w:rsidRPr="001E5FCA">
        <w:rPr>
          <w:rFonts w:ascii="Times New Roman" w:hAnsi="Times New Roman" w:cs="Times New Roman"/>
          <w:b/>
          <w:bCs/>
          <w:sz w:val="24"/>
        </w:rPr>
        <w:t xml:space="preserve"> </w:t>
      </w:r>
      <w:r w:rsidRPr="001E5FCA">
        <w:rPr>
          <w:rFonts w:ascii="Times New Roman" w:hAnsi="Times New Roman" w:cs="Times New Roman"/>
          <w:b/>
          <w:bCs/>
          <w:sz w:val="24"/>
        </w:rPr>
        <w:t xml:space="preserve">primer (7.5 </w:t>
      </w:r>
      <w:proofErr w:type="spellStart"/>
      <w:r w:rsidRPr="001E5FCA">
        <w:rPr>
          <w:rFonts w:ascii="Times New Roman" w:hAnsi="Times New Roman" w:cs="Times New Roman"/>
          <w:b/>
          <w:bCs/>
          <w:sz w:val="24"/>
        </w:rPr>
        <w:t>μ</w:t>
      </w:r>
      <w:r w:rsidR="00846047" w:rsidRPr="001E5FCA">
        <w:rPr>
          <w:rFonts w:ascii="Times New Roman" w:hAnsi="Times New Roman" w:cs="Times New Roman"/>
          <w:b/>
          <w:bCs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b/>
          <w:bCs/>
          <w:sz w:val="24"/>
        </w:rPr>
        <w:t>)</w:t>
      </w:r>
    </w:p>
    <w:p w14:paraId="006A10F1" w14:textId="2A25FFFB" w:rsidR="006B6CBE" w:rsidRPr="001E5FCA" w:rsidRDefault="006B6CBE" w:rsidP="006B6CBE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10×</w:t>
      </w:r>
      <w:r w:rsidR="001E5FCA">
        <w:rPr>
          <w:rFonts w:ascii="Times New Roman" w:hAnsi="Times New Roman" w:cs="Times New Roman"/>
          <w:sz w:val="24"/>
        </w:rPr>
        <w:t xml:space="preserve"> </w:t>
      </w:r>
      <w:r w:rsidRPr="001E5FCA">
        <w:rPr>
          <w:rFonts w:ascii="Times New Roman" w:hAnsi="Times New Roman" w:cs="Times New Roman"/>
          <w:sz w:val="24"/>
        </w:rPr>
        <w:t>PCR buffer containing 15 mM MgCl</w:t>
      </w:r>
      <w:r w:rsidRPr="001E5FCA">
        <w:rPr>
          <w:rFonts w:ascii="Times New Roman" w:hAnsi="Times New Roman" w:cs="Times New Roman"/>
          <w:sz w:val="24"/>
          <w:vertAlign w:val="subscript"/>
        </w:rPr>
        <w:t>2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0.75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0018A5C0" w14:textId="0EDA1288" w:rsidR="006B6CBE" w:rsidRPr="001E5FCA" w:rsidRDefault="006B6CBE" w:rsidP="006B6CBE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2 mM dNTPs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0.75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4C9B7311" w14:textId="79420C84" w:rsidR="006B6CBE" w:rsidRPr="001E5FCA" w:rsidRDefault="006B6CBE" w:rsidP="006B6CBE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HEX-labeled KS primer (5 </w:t>
      </w:r>
      <w:proofErr w:type="spellStart"/>
      <w:r w:rsidRPr="001E5FCA">
        <w:rPr>
          <w:rFonts w:ascii="Times New Roman" w:hAnsi="Times New Roman" w:cs="Times New Roman"/>
          <w:sz w:val="24"/>
        </w:rPr>
        <w:t>pmol</w:t>
      </w:r>
      <w:proofErr w:type="spellEnd"/>
      <w:r w:rsidRPr="001E5FCA">
        <w:rPr>
          <w:rFonts w:ascii="Times New Roman" w:hAnsi="Times New Roman" w:cs="Times New Roman"/>
          <w:sz w:val="24"/>
        </w:rPr>
        <w:t>/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sz w:val="24"/>
        </w:rPr>
        <w:t>)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0.25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029A40FC" w14:textId="368451FE" w:rsidR="006B6CBE" w:rsidRPr="001E5FCA" w:rsidRDefault="006B6CBE" w:rsidP="006B6CBE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KS-tailed </w:t>
      </w:r>
      <w:proofErr w:type="spellStart"/>
      <w:r w:rsidRPr="001E5FCA">
        <w:rPr>
          <w:rFonts w:ascii="Times New Roman" w:hAnsi="Times New Roman" w:cs="Times New Roman"/>
          <w:sz w:val="24"/>
        </w:rPr>
        <w:t>fwd</w:t>
      </w:r>
      <w:proofErr w:type="spellEnd"/>
      <w:r w:rsidRPr="001E5FCA">
        <w:rPr>
          <w:rFonts w:ascii="Times New Roman" w:hAnsi="Times New Roman" w:cs="Times New Roman"/>
          <w:sz w:val="24"/>
        </w:rPr>
        <w:t xml:space="preserve"> primer (1 </w:t>
      </w:r>
      <w:proofErr w:type="spellStart"/>
      <w:r w:rsidRPr="001E5FCA">
        <w:rPr>
          <w:rFonts w:ascii="Times New Roman" w:hAnsi="Times New Roman" w:cs="Times New Roman"/>
          <w:sz w:val="24"/>
        </w:rPr>
        <w:t>pmol</w:t>
      </w:r>
      <w:proofErr w:type="spellEnd"/>
      <w:r w:rsidRPr="001E5FCA">
        <w:rPr>
          <w:rFonts w:ascii="Times New Roman" w:hAnsi="Times New Roman" w:cs="Times New Roman"/>
          <w:sz w:val="24"/>
        </w:rPr>
        <w:t>/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sz w:val="24"/>
        </w:rPr>
        <w:t xml:space="preserve">) 0.25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0.13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72BBBCCA" w14:textId="1042BE9F" w:rsidR="006B6CBE" w:rsidRPr="001E5FCA" w:rsidRDefault="006B6CBE" w:rsidP="006B6CBE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PIG-tailed rev primer (5 </w:t>
      </w:r>
      <w:proofErr w:type="spellStart"/>
      <w:r w:rsidRPr="001E5FCA">
        <w:rPr>
          <w:rFonts w:ascii="Times New Roman" w:hAnsi="Times New Roman" w:cs="Times New Roman"/>
          <w:sz w:val="24"/>
        </w:rPr>
        <w:t>pmol</w:t>
      </w:r>
      <w:proofErr w:type="spellEnd"/>
      <w:r w:rsidRPr="001E5FCA">
        <w:rPr>
          <w:rFonts w:ascii="Times New Roman" w:hAnsi="Times New Roman" w:cs="Times New Roman"/>
          <w:sz w:val="24"/>
        </w:rPr>
        <w:t>/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sz w:val="24"/>
        </w:rPr>
        <w:t xml:space="preserve">) 0.5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0.25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274688E6" w14:textId="6402A4A5" w:rsidR="006B6CBE" w:rsidRPr="001E5FCA" w:rsidRDefault="006B6CBE" w:rsidP="006B6CBE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Taq polymerase (5 units/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sz w:val="24"/>
        </w:rPr>
        <w:t>)</w:t>
      </w:r>
      <w:r w:rsidR="001E5FCA">
        <w:rPr>
          <w:rFonts w:ascii="Times New Roman" w:hAnsi="Times New Roman" w:cs="Times New Roman"/>
          <w:sz w:val="24"/>
          <w:vertAlign w:val="superscript"/>
        </w:rPr>
        <w:t>1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0.05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57FE9F2B" w14:textId="54733125" w:rsidR="006B6CBE" w:rsidRPr="001E5FCA" w:rsidRDefault="006B6CBE" w:rsidP="006B6CBE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ddH</w:t>
      </w:r>
      <w:r w:rsidRPr="001E5FCA">
        <w:rPr>
          <w:rFonts w:ascii="Times New Roman" w:hAnsi="Times New Roman" w:cs="Times New Roman"/>
          <w:sz w:val="24"/>
          <w:vertAlign w:val="subscript"/>
        </w:rPr>
        <w:t>2</w:t>
      </w:r>
      <w:r w:rsidRPr="001E5FCA">
        <w:rPr>
          <w:rFonts w:ascii="Times New Roman" w:hAnsi="Times New Roman" w:cs="Times New Roman"/>
          <w:sz w:val="24"/>
        </w:rPr>
        <w:t>O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4.82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5E2D16A0" w14:textId="1737253E" w:rsidR="006B6CBE" w:rsidRPr="001E5FCA" w:rsidRDefault="006B6CBE" w:rsidP="006B6CBE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DNA solution (</w:t>
      </w:r>
      <w:r w:rsidR="00255EED" w:rsidRPr="001E5FCA">
        <w:rPr>
          <w:rFonts w:ascii="Times New Roman" w:hAnsi="Times New Roman" w:cs="Times New Roman"/>
          <w:sz w:val="24"/>
        </w:rPr>
        <w:t>5</w:t>
      </w:r>
      <w:r w:rsidRPr="001E5FCA">
        <w:rPr>
          <w:rFonts w:ascii="Times New Roman" w:hAnsi="Times New Roman" w:cs="Times New Roman"/>
          <w:sz w:val="24"/>
        </w:rPr>
        <w:t xml:space="preserve"> ng/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sz w:val="24"/>
        </w:rPr>
        <w:t>)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0.50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846047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4EBD8C60" w14:textId="399C6BDA" w:rsidR="006B6CBE" w:rsidRPr="001E5FCA" w:rsidRDefault="001E5FCA" w:rsidP="00312152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1</w:t>
      </w:r>
      <w:r w:rsidR="006B6CBE" w:rsidRPr="001E5FCA">
        <w:rPr>
          <w:rFonts w:ascii="Times New Roman" w:hAnsi="Times New Roman" w:cs="Times New Roman"/>
          <w:sz w:val="24"/>
        </w:rPr>
        <w:t>AmpliTaq Gold DNA polymerase (Applied Biosystems, Thermo Fisher Scientific)</w:t>
      </w:r>
    </w:p>
    <w:p w14:paraId="364F1437" w14:textId="77777777" w:rsidR="006B6CBE" w:rsidRPr="001E5FCA" w:rsidRDefault="006B6CBE" w:rsidP="00312152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66C0DE0E" w14:textId="490D5477" w:rsidR="0033657F" w:rsidRPr="001E5FCA" w:rsidRDefault="00375957" w:rsidP="00312152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t>PCR cycling (</w:t>
      </w:r>
      <w:r w:rsidR="00724D47" w:rsidRPr="001E5FCA">
        <w:rPr>
          <w:rFonts w:ascii="Times New Roman" w:hAnsi="Times New Roman" w:cs="Times New Roman"/>
          <w:b/>
          <w:bCs/>
          <w:sz w:val="24"/>
        </w:rPr>
        <w:t>t</w:t>
      </w:r>
      <w:r w:rsidRPr="001E5FCA">
        <w:rPr>
          <w:rFonts w:ascii="Times New Roman" w:hAnsi="Times New Roman" w:cs="Times New Roman"/>
          <w:b/>
          <w:bCs/>
          <w:sz w:val="24"/>
        </w:rPr>
        <w:t>ouchdown PCR)</w:t>
      </w:r>
    </w:p>
    <w:p w14:paraId="3445D685" w14:textId="1F6E3E16" w:rsidR="0033657F" w:rsidRPr="001E5FCA" w:rsidRDefault="0033657F" w:rsidP="0033657F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94 </w:t>
      </w:r>
      <w:r w:rsidR="00CF4F86" w:rsidRPr="001E5FCA">
        <w:rPr>
          <w:rFonts w:ascii="Times New Roman" w:hAnsi="Times New Roman" w:cs="Times New Roman"/>
          <w:sz w:val="24"/>
        </w:rPr>
        <w:t>°C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>11.5 min</w:t>
      </w:r>
      <w:r w:rsidR="00A24BCD" w:rsidRPr="001E5FCA">
        <w:rPr>
          <w:rFonts w:ascii="Times New Roman" w:hAnsi="Times New Roman" w:cs="Times New Roman"/>
          <w:sz w:val="24"/>
        </w:rPr>
        <w:t xml:space="preserve"> (preheating)</w:t>
      </w:r>
    </w:p>
    <w:p w14:paraId="76437BF6" w14:textId="4A0A06C4" w:rsidR="0033657F" w:rsidRPr="001E5FCA" w:rsidRDefault="0033657F" w:rsidP="00B07546">
      <w:pPr>
        <w:spacing w:line="240" w:lineRule="exact"/>
        <w:rPr>
          <w:rFonts w:ascii="Times New Roman" w:hAnsi="Times New Roman" w:cs="Times New Roman"/>
          <w:sz w:val="24"/>
        </w:rPr>
      </w:pPr>
    </w:p>
    <w:p w14:paraId="15F78FCB" w14:textId="77777777" w:rsidR="0033657F" w:rsidRPr="001E5FCA" w:rsidRDefault="0033657F" w:rsidP="0033657F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t>10 cycles of:</w:t>
      </w:r>
    </w:p>
    <w:p w14:paraId="55542926" w14:textId="0DBC5E5B" w:rsidR="0033657F" w:rsidRPr="001E5FCA" w:rsidRDefault="0033657F" w:rsidP="0033657F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94 </w:t>
      </w:r>
      <w:r w:rsidR="00CF4F86" w:rsidRPr="001E5FCA">
        <w:rPr>
          <w:rFonts w:ascii="Times New Roman" w:hAnsi="Times New Roman" w:cs="Times New Roman"/>
          <w:sz w:val="24"/>
        </w:rPr>
        <w:t>°C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>20 s</w:t>
      </w:r>
    </w:p>
    <w:p w14:paraId="18BB7ECF" w14:textId="56BFDC97" w:rsidR="0033657F" w:rsidRPr="001E5FCA" w:rsidRDefault="0033657F" w:rsidP="0033657F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65 </w:t>
      </w:r>
      <w:r w:rsidR="00CF4F86" w:rsidRPr="001E5FCA">
        <w:rPr>
          <w:rFonts w:ascii="Times New Roman" w:hAnsi="Times New Roman" w:cs="Times New Roman"/>
          <w:sz w:val="24"/>
        </w:rPr>
        <w:t>°C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>30 s (dec</w:t>
      </w:r>
      <w:r w:rsidR="00CF4F86" w:rsidRPr="001E5FCA">
        <w:rPr>
          <w:rFonts w:ascii="Times New Roman" w:hAnsi="Times New Roman" w:cs="Times New Roman"/>
          <w:sz w:val="24"/>
        </w:rPr>
        <w:t>r</w:t>
      </w:r>
      <w:r w:rsidRPr="001E5FCA">
        <w:rPr>
          <w:rFonts w:ascii="Times New Roman" w:hAnsi="Times New Roman" w:cs="Times New Roman"/>
          <w:sz w:val="24"/>
        </w:rPr>
        <w:t>ease 1</w:t>
      </w:r>
      <w:r w:rsidR="00F751CD" w:rsidRPr="001E5FCA">
        <w:rPr>
          <w:rFonts w:ascii="Times New Roman" w:hAnsi="Times New Roman" w:cs="Times New Roman"/>
          <w:sz w:val="24"/>
        </w:rPr>
        <w:t xml:space="preserve"> </w:t>
      </w:r>
      <w:r w:rsidRPr="001E5FCA">
        <w:rPr>
          <w:rFonts w:ascii="Times New Roman" w:hAnsi="Times New Roman" w:cs="Times New Roman"/>
          <w:sz w:val="24"/>
        </w:rPr>
        <w:t>°C every cycle)</w:t>
      </w:r>
    </w:p>
    <w:p w14:paraId="6BFC832B" w14:textId="197E6F04" w:rsidR="0033657F" w:rsidRPr="001E5FCA" w:rsidRDefault="0033657F" w:rsidP="0033657F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72 </w:t>
      </w:r>
      <w:r w:rsidR="00CF4F86" w:rsidRPr="001E5FCA">
        <w:rPr>
          <w:rFonts w:ascii="Times New Roman" w:hAnsi="Times New Roman" w:cs="Times New Roman"/>
          <w:sz w:val="24"/>
        </w:rPr>
        <w:t>°C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>1 min</w:t>
      </w:r>
    </w:p>
    <w:p w14:paraId="0C6494F1" w14:textId="77777777" w:rsidR="00B07546" w:rsidRPr="001E5FCA" w:rsidRDefault="00B07546" w:rsidP="00B07546">
      <w:pPr>
        <w:spacing w:line="240" w:lineRule="exact"/>
        <w:rPr>
          <w:rFonts w:ascii="Times New Roman" w:hAnsi="Times New Roman" w:cs="Times New Roman"/>
          <w:sz w:val="24"/>
        </w:rPr>
      </w:pPr>
    </w:p>
    <w:p w14:paraId="452D8D25" w14:textId="153A8280" w:rsidR="0033657F" w:rsidRPr="001E5FCA" w:rsidRDefault="00A24BCD" w:rsidP="0033657F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t>X</w:t>
      </w:r>
      <w:r w:rsidR="0033657F" w:rsidRPr="001E5FCA">
        <w:rPr>
          <w:rFonts w:ascii="Times New Roman" w:hAnsi="Times New Roman" w:cs="Times New Roman"/>
          <w:b/>
          <w:bCs/>
          <w:sz w:val="24"/>
        </w:rPr>
        <w:t xml:space="preserve"> cycles</w:t>
      </w:r>
      <w:r w:rsidR="001E5FCA" w:rsidRPr="001E5FCA">
        <w:rPr>
          <w:rFonts w:ascii="Times New Roman" w:hAnsi="Times New Roman" w:cs="Times New Roman"/>
          <w:b/>
          <w:bCs/>
          <w:sz w:val="24"/>
          <w:vertAlign w:val="superscript"/>
        </w:rPr>
        <w:t>2</w:t>
      </w:r>
      <w:r w:rsidR="0033657F" w:rsidRPr="001E5FCA">
        <w:rPr>
          <w:rFonts w:ascii="Times New Roman" w:hAnsi="Times New Roman" w:cs="Times New Roman"/>
          <w:b/>
          <w:bCs/>
          <w:sz w:val="24"/>
        </w:rPr>
        <w:t xml:space="preserve"> of:</w:t>
      </w:r>
    </w:p>
    <w:p w14:paraId="7F8CA924" w14:textId="0AD525FB" w:rsidR="0033657F" w:rsidRPr="001E5FCA" w:rsidRDefault="0033657F" w:rsidP="0033657F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94 </w:t>
      </w:r>
      <w:r w:rsidR="00CF4F86" w:rsidRPr="001E5FCA">
        <w:rPr>
          <w:rFonts w:ascii="Times New Roman" w:hAnsi="Times New Roman" w:cs="Times New Roman"/>
          <w:sz w:val="24"/>
        </w:rPr>
        <w:t>°C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>20 s</w:t>
      </w:r>
    </w:p>
    <w:p w14:paraId="5241CF13" w14:textId="6D150C46" w:rsidR="0033657F" w:rsidRPr="001E5FCA" w:rsidRDefault="0033657F" w:rsidP="0033657F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55 </w:t>
      </w:r>
      <w:r w:rsidR="00CF4F86" w:rsidRPr="001E5FCA">
        <w:rPr>
          <w:rFonts w:ascii="Times New Roman" w:hAnsi="Times New Roman" w:cs="Times New Roman"/>
          <w:sz w:val="24"/>
        </w:rPr>
        <w:t>°C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>30 s</w:t>
      </w:r>
    </w:p>
    <w:p w14:paraId="41B1F5A0" w14:textId="5B84BE9E" w:rsidR="0033657F" w:rsidRPr="001E5FCA" w:rsidRDefault="0033657F" w:rsidP="0033657F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lastRenderedPageBreak/>
        <w:t xml:space="preserve">72 </w:t>
      </w:r>
      <w:r w:rsidR="00CF4F86" w:rsidRPr="001E5FCA">
        <w:rPr>
          <w:rFonts w:ascii="Times New Roman" w:hAnsi="Times New Roman" w:cs="Times New Roman"/>
          <w:sz w:val="24"/>
        </w:rPr>
        <w:t>°C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>1.5 min</w:t>
      </w:r>
    </w:p>
    <w:p w14:paraId="09B29302" w14:textId="77777777" w:rsidR="00B07546" w:rsidRPr="001E5FCA" w:rsidRDefault="00B07546" w:rsidP="00B07546">
      <w:pPr>
        <w:spacing w:line="240" w:lineRule="exact"/>
        <w:rPr>
          <w:rFonts w:ascii="Times New Roman" w:hAnsi="Times New Roman" w:cs="Times New Roman"/>
          <w:b/>
          <w:bCs/>
          <w:sz w:val="24"/>
        </w:rPr>
      </w:pPr>
    </w:p>
    <w:p w14:paraId="49218B53" w14:textId="650E9870" w:rsidR="00BD0A59" w:rsidRPr="001E5FCA" w:rsidRDefault="00BD0A59" w:rsidP="0033657F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1E5FCA">
        <w:rPr>
          <w:rFonts w:ascii="Times New Roman" w:hAnsi="Times New Roman" w:cs="Times New Roman"/>
          <w:b/>
          <w:bCs/>
          <w:color w:val="000000" w:themeColor="text1"/>
          <w:sz w:val="24"/>
        </w:rPr>
        <w:t>Final elongation:</w:t>
      </w:r>
    </w:p>
    <w:p w14:paraId="0486FC5D" w14:textId="0E91AC1C" w:rsidR="0033657F" w:rsidRPr="001E5FCA" w:rsidRDefault="0033657F" w:rsidP="005A1F19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72 </w:t>
      </w:r>
      <w:r w:rsidR="00CF4F86" w:rsidRPr="001E5FCA">
        <w:rPr>
          <w:rFonts w:ascii="Times New Roman" w:hAnsi="Times New Roman" w:cs="Times New Roman"/>
          <w:sz w:val="24"/>
        </w:rPr>
        <w:t>°C</w:t>
      </w:r>
      <w:r w:rsidR="00B07546" w:rsidRPr="001E5FCA">
        <w:rPr>
          <w:rFonts w:ascii="Times New Roman" w:hAnsi="Times New Roman" w:cs="Times New Roman"/>
          <w:sz w:val="24"/>
        </w:rPr>
        <w:tab/>
      </w:r>
      <w:r w:rsidR="00B07546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>30 min</w:t>
      </w:r>
    </w:p>
    <w:p w14:paraId="093CD7D2" w14:textId="77777777" w:rsidR="00BD0A59" w:rsidRPr="001E5FCA" w:rsidRDefault="00BD0A59" w:rsidP="005A1F19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70139E26" w14:textId="2730E2BB" w:rsidR="00792A60" w:rsidRPr="001E5FCA" w:rsidRDefault="001E5FCA" w:rsidP="005A1F19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W</w:t>
      </w:r>
      <w:r w:rsidR="00A24BCD" w:rsidRPr="001E5FCA">
        <w:rPr>
          <w:rFonts w:ascii="Times New Roman" w:hAnsi="Times New Roman" w:cs="Times New Roman"/>
          <w:sz w:val="24"/>
        </w:rPr>
        <w:t xml:space="preserve">e </w:t>
      </w:r>
      <w:r w:rsidR="00BD0A59" w:rsidRPr="001E5FCA">
        <w:rPr>
          <w:rFonts w:ascii="Times New Roman" w:hAnsi="Times New Roman" w:cs="Times New Roman"/>
          <w:sz w:val="24"/>
        </w:rPr>
        <w:t xml:space="preserve">changed </w:t>
      </w:r>
      <w:r w:rsidR="00A24BCD" w:rsidRPr="001E5FCA">
        <w:rPr>
          <w:rFonts w:ascii="Times New Roman" w:hAnsi="Times New Roman" w:cs="Times New Roman"/>
          <w:sz w:val="24"/>
        </w:rPr>
        <w:t xml:space="preserve">the number of </w:t>
      </w:r>
      <w:r w:rsidR="00792A60" w:rsidRPr="001E5FCA">
        <w:rPr>
          <w:rFonts w:ascii="Times New Roman" w:hAnsi="Times New Roman" w:cs="Times New Roman"/>
          <w:sz w:val="24"/>
        </w:rPr>
        <w:t xml:space="preserve">PCR </w:t>
      </w:r>
      <w:r w:rsidR="00A24BCD" w:rsidRPr="001E5FCA">
        <w:rPr>
          <w:rFonts w:ascii="Times New Roman" w:hAnsi="Times New Roman" w:cs="Times New Roman"/>
          <w:sz w:val="24"/>
        </w:rPr>
        <w:t>cycles depending on the marker</w:t>
      </w:r>
      <w:r w:rsidR="00792A60" w:rsidRPr="001E5FCA">
        <w:rPr>
          <w:rFonts w:ascii="Times New Roman" w:hAnsi="Times New Roman" w:cs="Times New Roman"/>
          <w:sz w:val="24"/>
        </w:rPr>
        <w:t xml:space="preserve">: </w:t>
      </w:r>
      <w:r w:rsidR="00792A60" w:rsidRPr="001E5FCA">
        <w:rPr>
          <w:rFonts w:ascii="Times New Roman" w:eastAsia="Yu Gothic" w:hAnsi="Times New Roman" w:cs="Times New Roman"/>
          <w:kern w:val="0"/>
          <w:sz w:val="24"/>
          <w14:ligatures w14:val="none"/>
        </w:rPr>
        <w:t>Cch3-28</w:t>
      </w:r>
      <w:r w:rsidR="00792A60" w:rsidRPr="001E5FCA">
        <w:rPr>
          <w:rFonts w:ascii="Times New Roman" w:hAnsi="Times New Roman" w:cs="Times New Roman"/>
          <w:sz w:val="24"/>
        </w:rPr>
        <w:t xml:space="preserve"> (30 cycles)</w:t>
      </w:r>
      <w:r w:rsidR="00B83F5B" w:rsidRPr="001E5FCA">
        <w:rPr>
          <w:rFonts w:ascii="Times New Roman" w:hAnsi="Times New Roman" w:cs="Times New Roman"/>
          <w:sz w:val="24"/>
        </w:rPr>
        <w:t>;</w:t>
      </w:r>
      <w:r w:rsidR="00792A60" w:rsidRPr="001E5FCA">
        <w:rPr>
          <w:rFonts w:ascii="Times New Roman" w:hAnsi="Times New Roman" w:cs="Times New Roman"/>
          <w:sz w:val="24"/>
        </w:rPr>
        <w:t xml:space="preserve"> </w:t>
      </w:r>
      <w:r w:rsidR="00792A60" w:rsidRPr="001E5FCA">
        <w:rPr>
          <w:rFonts w:ascii="Times New Roman" w:eastAsia="Yu Gothic" w:hAnsi="Times New Roman" w:cs="Times New Roman"/>
          <w:kern w:val="0"/>
          <w:sz w:val="24"/>
          <w14:ligatures w14:val="none"/>
        </w:rPr>
        <w:t>Cch3-31</w:t>
      </w:r>
      <w:r w:rsidR="00E100E7" w:rsidRPr="001E5FCA">
        <w:rPr>
          <w:rFonts w:ascii="Times New Roman" w:eastAsia="Yu Gothic" w:hAnsi="Times New Roman" w:cs="Times New Roman"/>
          <w:kern w:val="0"/>
          <w:sz w:val="24"/>
          <w14:ligatures w14:val="none"/>
        </w:rPr>
        <w:t>, Cch3-33, and Cch4-11</w:t>
      </w:r>
      <w:r w:rsidR="00792A60" w:rsidRPr="001E5FCA">
        <w:rPr>
          <w:rFonts w:ascii="Times New Roman" w:hAnsi="Times New Roman" w:cs="Times New Roman"/>
          <w:sz w:val="24"/>
        </w:rPr>
        <w:t xml:space="preserve"> (2</w:t>
      </w:r>
      <w:r w:rsidR="00E100E7" w:rsidRPr="001E5FCA">
        <w:rPr>
          <w:rFonts w:ascii="Times New Roman" w:hAnsi="Times New Roman" w:cs="Times New Roman"/>
          <w:sz w:val="24"/>
        </w:rPr>
        <w:t>3</w:t>
      </w:r>
      <w:r w:rsidR="00792A60" w:rsidRPr="001E5FCA">
        <w:rPr>
          <w:rFonts w:ascii="Times New Roman" w:hAnsi="Times New Roman" w:cs="Times New Roman"/>
          <w:sz w:val="24"/>
        </w:rPr>
        <w:t>)</w:t>
      </w:r>
      <w:r w:rsidR="00B83F5B" w:rsidRPr="001E5FCA">
        <w:rPr>
          <w:rFonts w:ascii="Times New Roman" w:hAnsi="Times New Roman" w:cs="Times New Roman"/>
          <w:sz w:val="24"/>
        </w:rPr>
        <w:t>;</w:t>
      </w:r>
      <w:r w:rsidR="00792A60" w:rsidRPr="001E5FCA">
        <w:rPr>
          <w:rFonts w:ascii="Times New Roman" w:hAnsi="Times New Roman" w:cs="Times New Roman"/>
          <w:sz w:val="24"/>
        </w:rPr>
        <w:t xml:space="preserve"> </w:t>
      </w:r>
      <w:r w:rsidR="00792A60" w:rsidRPr="001E5FCA">
        <w:rPr>
          <w:rFonts w:ascii="Times New Roman" w:eastAsia="Yu Gothic" w:hAnsi="Times New Roman" w:cs="Times New Roman"/>
          <w:kern w:val="0"/>
          <w:sz w:val="24"/>
          <w14:ligatures w14:val="none"/>
        </w:rPr>
        <w:t>Cch4-3</w:t>
      </w:r>
      <w:r w:rsidR="00E100E7" w:rsidRPr="001E5FCA">
        <w:rPr>
          <w:rFonts w:ascii="Times New Roman" w:eastAsia="Yu Gothic" w:hAnsi="Times New Roman" w:cs="Times New Roman"/>
          <w:kern w:val="0"/>
          <w:sz w:val="24"/>
          <w14:ligatures w14:val="none"/>
        </w:rPr>
        <w:t xml:space="preserve"> </w:t>
      </w:r>
      <w:r w:rsidR="00792A60" w:rsidRPr="001E5FCA">
        <w:rPr>
          <w:rFonts w:ascii="Times New Roman" w:hAnsi="Times New Roman" w:cs="Times New Roman"/>
          <w:sz w:val="24"/>
        </w:rPr>
        <w:t>(</w:t>
      </w:r>
      <w:r w:rsidR="00E100E7" w:rsidRPr="001E5FCA">
        <w:rPr>
          <w:rFonts w:ascii="Times New Roman" w:hAnsi="Times New Roman" w:cs="Times New Roman"/>
          <w:sz w:val="24"/>
        </w:rPr>
        <w:t>18</w:t>
      </w:r>
      <w:r w:rsidR="00792A60" w:rsidRPr="001E5FCA">
        <w:rPr>
          <w:rFonts w:ascii="Times New Roman" w:hAnsi="Times New Roman" w:cs="Times New Roman"/>
          <w:sz w:val="24"/>
        </w:rPr>
        <w:t>)</w:t>
      </w:r>
      <w:r w:rsidR="00B83F5B" w:rsidRPr="001E5FCA">
        <w:rPr>
          <w:rFonts w:ascii="Times New Roman" w:hAnsi="Times New Roman" w:cs="Times New Roman"/>
          <w:sz w:val="24"/>
        </w:rPr>
        <w:t>;</w:t>
      </w:r>
      <w:r w:rsidR="00792A60" w:rsidRPr="001E5FCA">
        <w:rPr>
          <w:rFonts w:ascii="Times New Roman" w:hAnsi="Times New Roman" w:cs="Times New Roman"/>
          <w:sz w:val="24"/>
        </w:rPr>
        <w:t xml:space="preserve"> </w:t>
      </w:r>
      <w:r w:rsidR="00792A60" w:rsidRPr="001E5FCA">
        <w:rPr>
          <w:rFonts w:ascii="Times New Roman" w:eastAsia="Yu Gothic" w:hAnsi="Times New Roman" w:cs="Times New Roman"/>
          <w:kern w:val="0"/>
          <w:sz w:val="24"/>
          <w14:ligatures w14:val="none"/>
        </w:rPr>
        <w:t>Cch4-22</w:t>
      </w:r>
      <w:r w:rsidR="00792A60" w:rsidRPr="001E5FCA">
        <w:rPr>
          <w:rFonts w:ascii="Times New Roman" w:hAnsi="Times New Roman" w:cs="Times New Roman"/>
          <w:sz w:val="24"/>
        </w:rPr>
        <w:t xml:space="preserve"> (21)</w:t>
      </w:r>
      <w:r w:rsidR="00B83F5B" w:rsidRPr="001E5FCA">
        <w:rPr>
          <w:rFonts w:ascii="Times New Roman" w:hAnsi="Times New Roman" w:cs="Times New Roman"/>
          <w:sz w:val="24"/>
        </w:rPr>
        <w:t>;</w:t>
      </w:r>
      <w:r w:rsidR="00792A60" w:rsidRPr="001E5FCA">
        <w:rPr>
          <w:rFonts w:ascii="Times New Roman" w:hAnsi="Times New Roman" w:cs="Times New Roman"/>
          <w:sz w:val="24"/>
        </w:rPr>
        <w:t xml:space="preserve"> </w:t>
      </w:r>
      <w:r w:rsidR="00792A60" w:rsidRPr="001E5FCA">
        <w:rPr>
          <w:rFonts w:ascii="Times New Roman" w:eastAsia="Yu Gothic" w:hAnsi="Times New Roman" w:cs="Times New Roman"/>
          <w:kern w:val="0"/>
          <w:sz w:val="24"/>
          <w14:ligatures w14:val="none"/>
        </w:rPr>
        <w:t>Cch4-26</w:t>
      </w:r>
      <w:r w:rsidR="00B83F5B" w:rsidRPr="001E5FCA">
        <w:rPr>
          <w:rFonts w:ascii="Times New Roman" w:eastAsia="Yu Gothic" w:hAnsi="Times New Roman" w:cs="Times New Roman"/>
          <w:kern w:val="0"/>
          <w:sz w:val="24"/>
          <w14:ligatures w14:val="none"/>
        </w:rPr>
        <w:t xml:space="preserve"> </w:t>
      </w:r>
      <w:r w:rsidR="00E100E7" w:rsidRPr="001E5FCA">
        <w:rPr>
          <w:rFonts w:ascii="Times New Roman" w:eastAsia="Yu Gothic" w:hAnsi="Times New Roman" w:cs="Times New Roman"/>
          <w:kern w:val="0"/>
          <w:sz w:val="24"/>
          <w14:ligatures w14:val="none"/>
        </w:rPr>
        <w:t>and Cch5-5 (24)</w:t>
      </w:r>
      <w:r w:rsidR="00B83F5B" w:rsidRPr="001E5FCA">
        <w:rPr>
          <w:rFonts w:ascii="Times New Roman" w:hAnsi="Times New Roman" w:cs="Times New Roman"/>
          <w:sz w:val="24"/>
        </w:rPr>
        <w:t>;</w:t>
      </w:r>
      <w:r w:rsidR="00792A60" w:rsidRPr="001E5FCA">
        <w:rPr>
          <w:rFonts w:ascii="Times New Roman" w:hAnsi="Times New Roman" w:cs="Times New Roman"/>
          <w:sz w:val="24"/>
        </w:rPr>
        <w:t xml:space="preserve"> </w:t>
      </w:r>
      <w:r w:rsidR="00792A60" w:rsidRPr="001E5FCA">
        <w:rPr>
          <w:rFonts w:ascii="Times New Roman" w:eastAsia="Yu Gothic" w:hAnsi="Times New Roman" w:cs="Times New Roman"/>
          <w:kern w:val="0"/>
          <w:sz w:val="24"/>
          <w14:ligatures w14:val="none"/>
        </w:rPr>
        <w:t xml:space="preserve">Cch4-28 </w:t>
      </w:r>
      <w:r w:rsidR="00B83F5B" w:rsidRPr="001E5FCA">
        <w:rPr>
          <w:rFonts w:ascii="Times New Roman" w:eastAsia="Yu Gothic" w:hAnsi="Times New Roman" w:cs="Times New Roman"/>
          <w:kern w:val="0"/>
          <w:sz w:val="24"/>
          <w14:ligatures w14:val="none"/>
        </w:rPr>
        <w:t xml:space="preserve">and </w:t>
      </w:r>
      <w:r w:rsidR="00792A60" w:rsidRPr="001E5FCA">
        <w:rPr>
          <w:rFonts w:ascii="Times New Roman" w:eastAsia="Yu Gothic" w:hAnsi="Times New Roman" w:cs="Times New Roman"/>
          <w:kern w:val="0"/>
          <w:sz w:val="24"/>
          <w14:ligatures w14:val="none"/>
        </w:rPr>
        <w:t>Cch6-17</w:t>
      </w:r>
      <w:r w:rsidR="00792A60" w:rsidRPr="001E5FCA">
        <w:rPr>
          <w:rFonts w:ascii="Times New Roman" w:hAnsi="Times New Roman" w:cs="Times New Roman"/>
          <w:sz w:val="24"/>
        </w:rPr>
        <w:t xml:space="preserve"> (2</w:t>
      </w:r>
      <w:r w:rsidR="00E100E7" w:rsidRPr="001E5FCA">
        <w:rPr>
          <w:rFonts w:ascii="Times New Roman" w:hAnsi="Times New Roman" w:cs="Times New Roman"/>
          <w:sz w:val="24"/>
        </w:rPr>
        <w:t>0</w:t>
      </w:r>
      <w:r w:rsidR="00792A60" w:rsidRPr="001E5FCA">
        <w:rPr>
          <w:rFonts w:ascii="Times New Roman" w:hAnsi="Times New Roman" w:cs="Times New Roman"/>
          <w:sz w:val="24"/>
        </w:rPr>
        <w:t>)</w:t>
      </w:r>
      <w:r w:rsidR="00E100E7" w:rsidRPr="001E5FCA">
        <w:rPr>
          <w:rFonts w:ascii="Times New Roman" w:hAnsi="Times New Roman" w:cs="Times New Roman"/>
          <w:sz w:val="24"/>
        </w:rPr>
        <w:t xml:space="preserve">; </w:t>
      </w:r>
      <w:r w:rsidR="00E100E7" w:rsidRPr="001E5FCA">
        <w:rPr>
          <w:rFonts w:ascii="Times New Roman" w:eastAsia="Yu Gothic" w:hAnsi="Times New Roman" w:cs="Times New Roman"/>
          <w:kern w:val="0"/>
          <w:sz w:val="24"/>
          <w14:ligatures w14:val="none"/>
        </w:rPr>
        <w:t>Cch6-13 (22)</w:t>
      </w:r>
      <w:r w:rsidR="00792A60" w:rsidRPr="001E5FCA">
        <w:rPr>
          <w:rFonts w:ascii="Times New Roman" w:hAnsi="Times New Roman" w:cs="Times New Roman"/>
          <w:sz w:val="24"/>
        </w:rPr>
        <w:t>.</w:t>
      </w:r>
    </w:p>
    <w:p w14:paraId="4DF5D5B3" w14:textId="77777777" w:rsidR="0033657F" w:rsidRPr="001E5FCA" w:rsidRDefault="0033657F" w:rsidP="005A1F19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289FA7B7" w14:textId="15A58837" w:rsidR="00BD234F" w:rsidRPr="001E5FCA" w:rsidRDefault="00BD234F" w:rsidP="00792A60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t>Reference</w:t>
      </w:r>
    </w:p>
    <w:p w14:paraId="699213E2" w14:textId="5F4E5819" w:rsidR="00BD234F" w:rsidRPr="001E5FCA" w:rsidRDefault="00BD234F" w:rsidP="006B1FD5">
      <w:pPr>
        <w:widowControl/>
        <w:spacing w:line="276" w:lineRule="auto"/>
        <w:ind w:left="425" w:hangingChars="177" w:hanging="425"/>
        <w:rPr>
          <w:rFonts w:ascii="Times New Roman" w:hAnsi="Times New Roman" w:cs="Times New Roman"/>
          <w:kern w:val="0"/>
          <w:sz w:val="24"/>
          <w14:ligatures w14:val="none"/>
        </w:rPr>
      </w:pPr>
      <w:r w:rsidRPr="001E5FCA">
        <w:rPr>
          <w:rFonts w:ascii="Times New Roman" w:hAnsi="Times New Roman" w:cs="Times New Roman"/>
          <w:kern w:val="0"/>
          <w:sz w:val="24"/>
          <w14:ligatures w14:val="none"/>
        </w:rPr>
        <w:t xml:space="preserve">Kobayashi M, Yusa Y, Sekino M (2020) Microsatellite DNA markers applicable to paternity inference in the androdioecious gooseneck barnacle </w:t>
      </w:r>
      <w:r w:rsidRPr="001E5FCA"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 xml:space="preserve">Octolasmis warwickii </w:t>
      </w:r>
      <w:r w:rsidRPr="001E5FCA">
        <w:rPr>
          <w:rFonts w:ascii="Times New Roman" w:hAnsi="Times New Roman" w:cs="Times New Roman"/>
          <w:kern w:val="0"/>
          <w:sz w:val="24"/>
          <w14:ligatures w14:val="none"/>
        </w:rPr>
        <w:t xml:space="preserve">(Lepadiformes: Poecilasmatidae). Mol Biol Rep 47:4885–4890. </w:t>
      </w:r>
      <w:hyperlink r:id="rId8" w:history="1">
        <w:r w:rsidRPr="001E5FCA">
          <w:rPr>
            <w:rStyle w:val="ae"/>
            <w:rFonts w:ascii="Times New Roman" w:hAnsi="Times New Roman" w:cs="Times New Roman"/>
            <w:kern w:val="0"/>
            <w:sz w:val="24"/>
            <w14:ligatures w14:val="none"/>
          </w:rPr>
          <w:t>https://doi.org/10.1007/s11033-020-05473-9</w:t>
        </w:r>
      </w:hyperlink>
    </w:p>
    <w:p w14:paraId="4A7DC2C6" w14:textId="77777777" w:rsidR="005A1F19" w:rsidRPr="001E5FCA" w:rsidRDefault="005A1F19" w:rsidP="00792A60">
      <w:pPr>
        <w:widowControl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br w:type="page"/>
      </w:r>
    </w:p>
    <w:p w14:paraId="2BC1FD25" w14:textId="1976E47F" w:rsidR="00440F96" w:rsidRPr="001E5FCA" w:rsidRDefault="00440F96" w:rsidP="00440F96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lastRenderedPageBreak/>
        <w:t xml:space="preserve">Online </w:t>
      </w:r>
      <w:r w:rsidR="008E6FAA" w:rsidRPr="001E5FCA">
        <w:rPr>
          <w:rFonts w:ascii="Times New Roman" w:hAnsi="Times New Roman" w:cs="Times New Roman"/>
          <w:b/>
          <w:bCs/>
          <w:sz w:val="24"/>
        </w:rPr>
        <w:t>R</w:t>
      </w:r>
      <w:r w:rsidRPr="001E5FCA">
        <w:rPr>
          <w:rFonts w:ascii="Times New Roman" w:hAnsi="Times New Roman" w:cs="Times New Roman"/>
          <w:b/>
          <w:bCs/>
          <w:sz w:val="24"/>
        </w:rPr>
        <w:t>esource 2</w:t>
      </w:r>
    </w:p>
    <w:p w14:paraId="4C192BE3" w14:textId="01289756" w:rsidR="00440F96" w:rsidRPr="00415937" w:rsidRDefault="00440F96" w:rsidP="00415937">
      <w:pPr>
        <w:pStyle w:val="a9"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415937">
        <w:rPr>
          <w:rFonts w:ascii="Times New Roman" w:hAnsi="Times New Roman" w:cs="Times New Roman"/>
          <w:sz w:val="22"/>
          <w:szCs w:val="22"/>
        </w:rPr>
        <w:t xml:space="preserve">Journal: </w:t>
      </w:r>
      <w:r w:rsidRPr="00415937">
        <w:rPr>
          <w:rFonts w:ascii="Times New Roman" w:hAnsi="Times New Roman" w:cs="Times New Roman"/>
          <w:i/>
          <w:iCs/>
          <w:sz w:val="22"/>
          <w:szCs w:val="22"/>
        </w:rPr>
        <w:t>Molecular Biology Reports</w:t>
      </w:r>
    </w:p>
    <w:p w14:paraId="7CB58D2F" w14:textId="0D425E64" w:rsidR="00440F96" w:rsidRPr="00415937" w:rsidRDefault="00440F96" w:rsidP="00415937">
      <w:pPr>
        <w:pStyle w:val="a9"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415937">
        <w:rPr>
          <w:rFonts w:ascii="Times New Roman" w:hAnsi="Times New Roman" w:cs="Times New Roman"/>
          <w:sz w:val="22"/>
          <w:szCs w:val="22"/>
        </w:rPr>
        <w:t xml:space="preserve">Title: </w:t>
      </w:r>
      <w:r w:rsidR="00792A60" w:rsidRPr="00415937">
        <w:rPr>
          <w:rFonts w:ascii="Times New Roman" w:hAnsi="Times New Roman" w:cs="Times New Roman"/>
          <w:sz w:val="22"/>
          <w:szCs w:val="22"/>
        </w:rPr>
        <w:t>M</w:t>
      </w:r>
      <w:r w:rsidRPr="00415937">
        <w:rPr>
          <w:rFonts w:ascii="Times New Roman" w:hAnsi="Times New Roman" w:cs="Times New Roman"/>
          <w:sz w:val="22"/>
          <w:szCs w:val="22"/>
        </w:rPr>
        <w:t xml:space="preserve">icrosatellite DNA markers for paternity identification in the hermaphroditic barnacle </w:t>
      </w:r>
      <w:r w:rsidRPr="00415937">
        <w:rPr>
          <w:rFonts w:ascii="Times New Roman" w:hAnsi="Times New Roman" w:cs="Times New Roman"/>
          <w:i/>
          <w:iCs/>
          <w:sz w:val="22"/>
          <w:szCs w:val="22"/>
        </w:rPr>
        <w:t xml:space="preserve">Chthamalus challengeri </w:t>
      </w:r>
      <w:r w:rsidRPr="00415937">
        <w:rPr>
          <w:rFonts w:ascii="Times New Roman" w:hAnsi="Times New Roman" w:cs="Times New Roman"/>
          <w:sz w:val="22"/>
          <w:szCs w:val="22"/>
        </w:rPr>
        <w:t>Hoek</w:t>
      </w:r>
    </w:p>
    <w:p w14:paraId="5BF64F97" w14:textId="462BD2E2" w:rsidR="00440F96" w:rsidRPr="00415937" w:rsidRDefault="00440F96" w:rsidP="00415937">
      <w:pPr>
        <w:pStyle w:val="a9"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415937">
        <w:rPr>
          <w:rFonts w:ascii="Times New Roman" w:hAnsi="Times New Roman" w:cs="Times New Roman"/>
          <w:sz w:val="22"/>
          <w:szCs w:val="22"/>
        </w:rPr>
        <w:t>Authors: Masami M. Tamechika, Yoichi Yusa, Shingo Akita, Masashi Sekino</w:t>
      </w:r>
    </w:p>
    <w:p w14:paraId="135835F1" w14:textId="1A46020E" w:rsidR="00440F96" w:rsidRPr="00415937" w:rsidRDefault="00440F96" w:rsidP="00415937">
      <w:pPr>
        <w:pStyle w:val="a9"/>
        <w:numPr>
          <w:ilvl w:val="0"/>
          <w:numId w:val="2"/>
        </w:numPr>
        <w:pBdr>
          <w:bottom w:val="single" w:sz="6" w:space="1" w:color="auto"/>
        </w:pBdr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415937">
        <w:rPr>
          <w:rFonts w:ascii="Times New Roman" w:hAnsi="Times New Roman" w:cs="Times New Roman"/>
          <w:sz w:val="22"/>
          <w:szCs w:val="22"/>
        </w:rPr>
        <w:t>Corresponding author: Masami M. Tamechika (email: tamechi555@gmail.com), Graduate School of Fisheries Sciences, Hokkaido University.</w:t>
      </w:r>
    </w:p>
    <w:p w14:paraId="23591988" w14:textId="73750EDD" w:rsidR="006B1FD5" w:rsidRPr="001E5FCA" w:rsidRDefault="006B1FD5" w:rsidP="00792A60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t xml:space="preserve">PCR </w:t>
      </w:r>
      <w:r w:rsidR="001E5FCA">
        <w:rPr>
          <w:rFonts w:ascii="Times New Roman" w:hAnsi="Times New Roman" w:cs="Times New Roman"/>
          <w:b/>
          <w:bCs/>
          <w:sz w:val="24"/>
        </w:rPr>
        <w:t>p</w:t>
      </w:r>
      <w:r w:rsidRPr="001E5FCA">
        <w:rPr>
          <w:rFonts w:ascii="Times New Roman" w:hAnsi="Times New Roman" w:cs="Times New Roman"/>
          <w:b/>
          <w:bCs/>
          <w:sz w:val="24"/>
        </w:rPr>
        <w:t xml:space="preserve">rotocol with </w:t>
      </w:r>
      <w:r w:rsidR="00DF7800" w:rsidRPr="001E5FCA">
        <w:rPr>
          <w:rFonts w:ascii="Times New Roman" w:hAnsi="Times New Roman" w:cs="Times New Roman"/>
          <w:b/>
          <w:bCs/>
          <w:sz w:val="24"/>
        </w:rPr>
        <w:t xml:space="preserve">non-tailed </w:t>
      </w:r>
      <w:r w:rsidRPr="001E5FCA">
        <w:rPr>
          <w:rFonts w:ascii="Times New Roman" w:hAnsi="Times New Roman" w:cs="Times New Roman"/>
          <w:b/>
          <w:bCs/>
          <w:sz w:val="24"/>
        </w:rPr>
        <w:t>fluorescent-labeled forward primers (touchdown PCR)</w:t>
      </w:r>
    </w:p>
    <w:p w14:paraId="6EC023CE" w14:textId="180188EE" w:rsidR="008450AA" w:rsidRPr="008450AA" w:rsidRDefault="006B1FD5" w:rsidP="008450AA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PCR cycling</w:t>
      </w:r>
      <w:r w:rsidR="00545E44" w:rsidRPr="001E5FCA">
        <w:rPr>
          <w:rFonts w:ascii="Times New Roman" w:hAnsi="Times New Roman" w:cs="Times New Roman"/>
          <w:sz w:val="24"/>
        </w:rPr>
        <w:t xml:space="preserve"> </w:t>
      </w:r>
      <w:r w:rsidR="007C7294" w:rsidRPr="001E5FCA">
        <w:rPr>
          <w:rFonts w:ascii="Times New Roman" w:hAnsi="Times New Roman" w:cs="Times New Roman"/>
          <w:sz w:val="24"/>
        </w:rPr>
        <w:t xml:space="preserve">parameters </w:t>
      </w:r>
      <w:r w:rsidRPr="001E5FCA">
        <w:rPr>
          <w:rFonts w:ascii="Times New Roman" w:hAnsi="Times New Roman" w:cs="Times New Roman"/>
          <w:sz w:val="24"/>
        </w:rPr>
        <w:t xml:space="preserve">were </w:t>
      </w:r>
      <w:r w:rsidR="00545E44" w:rsidRPr="001E5FCA">
        <w:rPr>
          <w:rFonts w:ascii="Times New Roman" w:hAnsi="Times New Roman" w:cs="Times New Roman"/>
          <w:sz w:val="24"/>
        </w:rPr>
        <w:t xml:space="preserve">the </w:t>
      </w:r>
      <w:r w:rsidRPr="001E5FCA">
        <w:rPr>
          <w:rFonts w:ascii="Times New Roman" w:hAnsi="Times New Roman" w:cs="Times New Roman"/>
          <w:sz w:val="24"/>
        </w:rPr>
        <w:t xml:space="preserve">same </w:t>
      </w:r>
      <w:r w:rsidR="00545E44" w:rsidRPr="001E5FCA">
        <w:rPr>
          <w:rFonts w:ascii="Times New Roman" w:hAnsi="Times New Roman" w:cs="Times New Roman"/>
          <w:sz w:val="24"/>
        </w:rPr>
        <w:t xml:space="preserve">as those described in </w:t>
      </w:r>
      <w:r w:rsidRPr="001E5FCA">
        <w:rPr>
          <w:rFonts w:ascii="Times New Roman" w:hAnsi="Times New Roman" w:cs="Times New Roman"/>
          <w:sz w:val="24"/>
        </w:rPr>
        <w:t xml:space="preserve">Online </w:t>
      </w:r>
      <w:r w:rsidR="008E6FAA" w:rsidRPr="001E5FCA">
        <w:rPr>
          <w:rFonts w:ascii="Times New Roman" w:hAnsi="Times New Roman" w:cs="Times New Roman"/>
          <w:sz w:val="24"/>
        </w:rPr>
        <w:t>R</w:t>
      </w:r>
      <w:r w:rsidRPr="001E5FCA">
        <w:rPr>
          <w:rFonts w:ascii="Times New Roman" w:hAnsi="Times New Roman" w:cs="Times New Roman"/>
          <w:sz w:val="24"/>
        </w:rPr>
        <w:t>esource 1</w:t>
      </w:r>
      <w:r w:rsidR="00545E44" w:rsidRPr="001E5FCA">
        <w:rPr>
          <w:rFonts w:ascii="Times New Roman" w:hAnsi="Times New Roman" w:cs="Times New Roman"/>
          <w:sz w:val="24"/>
        </w:rPr>
        <w:t>.</w:t>
      </w:r>
      <w:r w:rsidRPr="001E5FCA">
        <w:rPr>
          <w:rFonts w:ascii="Times New Roman" w:hAnsi="Times New Roman" w:cs="Times New Roman"/>
          <w:sz w:val="24"/>
        </w:rPr>
        <w:t xml:space="preserve"> </w:t>
      </w:r>
      <w:r w:rsidR="00666D5E" w:rsidRPr="001E5FCA">
        <w:rPr>
          <w:rFonts w:ascii="Times New Roman" w:hAnsi="Times New Roman" w:cs="Times New Roman"/>
          <w:sz w:val="24"/>
        </w:rPr>
        <w:t xml:space="preserve">The </w:t>
      </w:r>
      <w:r w:rsidR="007C7294" w:rsidRPr="001E5FCA">
        <w:rPr>
          <w:rFonts w:ascii="Times New Roman" w:hAnsi="Times New Roman" w:cs="Times New Roman"/>
          <w:sz w:val="24"/>
        </w:rPr>
        <w:t xml:space="preserve">PCR mixture (below) was prepared </w:t>
      </w:r>
      <w:r w:rsidR="002F6FC8" w:rsidRPr="001E5FCA">
        <w:rPr>
          <w:rFonts w:ascii="Times New Roman" w:hAnsi="Times New Roman" w:cs="Times New Roman"/>
          <w:sz w:val="24"/>
        </w:rPr>
        <w:t xml:space="preserve">by </w:t>
      </w:r>
      <w:r w:rsidR="007C7294" w:rsidRPr="001E5FCA">
        <w:rPr>
          <w:rFonts w:ascii="Times New Roman" w:hAnsi="Times New Roman" w:cs="Times New Roman"/>
          <w:sz w:val="24"/>
        </w:rPr>
        <w:t xml:space="preserve">following </w:t>
      </w:r>
      <w:r w:rsidR="00545E44" w:rsidRPr="001E5FCA">
        <w:rPr>
          <w:rFonts w:ascii="Times New Roman" w:hAnsi="Times New Roman" w:cs="Times New Roman"/>
          <w:sz w:val="24"/>
        </w:rPr>
        <w:t xml:space="preserve">the protocol </w:t>
      </w:r>
      <w:r w:rsidR="00603429" w:rsidRPr="001E5FCA">
        <w:rPr>
          <w:rFonts w:ascii="Times New Roman" w:hAnsi="Times New Roman" w:cs="Times New Roman"/>
          <w:sz w:val="24"/>
        </w:rPr>
        <w:t xml:space="preserve">described </w:t>
      </w:r>
      <w:r w:rsidR="00545E44" w:rsidRPr="001E5FCA">
        <w:rPr>
          <w:rFonts w:ascii="Times New Roman" w:hAnsi="Times New Roman" w:cs="Times New Roman"/>
          <w:sz w:val="24"/>
        </w:rPr>
        <w:t>by Kobayashi et al. (2020)</w:t>
      </w:r>
      <w:r w:rsidR="008450AA">
        <w:rPr>
          <w:rFonts w:ascii="Times New Roman" w:hAnsi="Times New Roman" w:cs="Times New Roman"/>
          <w:sz w:val="24"/>
        </w:rPr>
        <w:t xml:space="preserve">, with modifications including halving the volumes of the DNA solution and reaction mixture, reducing the concentration of the DNA solution from 10 </w:t>
      </w:r>
      <w:r w:rsidR="008450AA" w:rsidRPr="001E5FCA">
        <w:rPr>
          <w:rFonts w:ascii="Times New Roman" w:hAnsi="Times New Roman" w:cs="Times New Roman"/>
          <w:sz w:val="24"/>
        </w:rPr>
        <w:t>ng/</w:t>
      </w:r>
      <w:proofErr w:type="spellStart"/>
      <w:r w:rsidR="008450AA" w:rsidRPr="001E5FCA">
        <w:rPr>
          <w:rFonts w:ascii="Times New Roman" w:hAnsi="Times New Roman" w:cs="Times New Roman"/>
          <w:sz w:val="24"/>
        </w:rPr>
        <w:t>μL</w:t>
      </w:r>
      <w:proofErr w:type="spellEnd"/>
      <w:r w:rsidR="008450AA">
        <w:rPr>
          <w:rFonts w:ascii="Times New Roman" w:hAnsi="Times New Roman" w:cs="Times New Roman"/>
          <w:sz w:val="24"/>
        </w:rPr>
        <w:t xml:space="preserve"> to 5 </w:t>
      </w:r>
      <w:r w:rsidR="008450AA" w:rsidRPr="001E5FCA">
        <w:rPr>
          <w:rFonts w:ascii="Times New Roman" w:hAnsi="Times New Roman" w:cs="Times New Roman"/>
          <w:sz w:val="24"/>
        </w:rPr>
        <w:t>ng/</w:t>
      </w:r>
      <w:proofErr w:type="spellStart"/>
      <w:r w:rsidR="008450AA" w:rsidRPr="001E5FCA">
        <w:rPr>
          <w:rFonts w:ascii="Times New Roman" w:hAnsi="Times New Roman" w:cs="Times New Roman"/>
          <w:sz w:val="24"/>
        </w:rPr>
        <w:t>μL</w:t>
      </w:r>
      <w:proofErr w:type="spellEnd"/>
      <w:r w:rsidR="008450AA" w:rsidRPr="001E5FCA">
        <w:rPr>
          <w:rFonts w:ascii="Times New Roman" w:hAnsi="Times New Roman" w:cs="Times New Roman"/>
          <w:sz w:val="24"/>
        </w:rPr>
        <w:t>.</w:t>
      </w:r>
    </w:p>
    <w:p w14:paraId="7DC44CB8" w14:textId="77777777" w:rsidR="008450AA" w:rsidRPr="008450AA" w:rsidRDefault="008450AA" w:rsidP="00440F96">
      <w:pPr>
        <w:spacing w:line="276" w:lineRule="auto"/>
        <w:rPr>
          <w:rFonts w:ascii="Times New Roman" w:hAnsi="Times New Roman" w:cs="Times New Roman"/>
          <w:sz w:val="24"/>
        </w:rPr>
      </w:pPr>
    </w:p>
    <w:p w14:paraId="625C62B3" w14:textId="77777777" w:rsidR="00545E44" w:rsidRPr="001E5FCA" w:rsidRDefault="00545E44" w:rsidP="00440F96">
      <w:pPr>
        <w:spacing w:line="276" w:lineRule="auto"/>
        <w:rPr>
          <w:rFonts w:ascii="Times New Roman" w:hAnsi="Times New Roman" w:cs="Times New Roman"/>
          <w:sz w:val="24"/>
        </w:rPr>
      </w:pPr>
    </w:p>
    <w:p w14:paraId="34638745" w14:textId="0C508D3E" w:rsidR="006B1FD5" w:rsidRPr="001E5FCA" w:rsidRDefault="006B1FD5" w:rsidP="00440F96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t>Reaction mixture with fluorescen</w:t>
      </w:r>
      <w:r w:rsidR="001E5FCA">
        <w:rPr>
          <w:rFonts w:ascii="Times New Roman" w:hAnsi="Times New Roman" w:cs="Times New Roman"/>
          <w:b/>
          <w:bCs/>
          <w:sz w:val="24"/>
        </w:rPr>
        <w:t>ce</w:t>
      </w:r>
      <w:r w:rsidRPr="001E5FCA">
        <w:rPr>
          <w:rFonts w:ascii="Times New Roman" w:hAnsi="Times New Roman" w:cs="Times New Roman"/>
          <w:b/>
          <w:bCs/>
          <w:sz w:val="24"/>
        </w:rPr>
        <w:t xml:space="preserve">-labeled forward primers (7.5 </w:t>
      </w:r>
      <w:proofErr w:type="spellStart"/>
      <w:r w:rsidRPr="001E5FCA">
        <w:rPr>
          <w:rFonts w:ascii="Times New Roman" w:hAnsi="Times New Roman" w:cs="Times New Roman"/>
          <w:b/>
          <w:bCs/>
          <w:sz w:val="24"/>
        </w:rPr>
        <w:t>μ</w:t>
      </w:r>
      <w:r w:rsidR="00F51DC0" w:rsidRPr="001E5FCA">
        <w:rPr>
          <w:rFonts w:ascii="Times New Roman" w:hAnsi="Times New Roman" w:cs="Times New Roman"/>
          <w:b/>
          <w:bCs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b/>
          <w:bCs/>
          <w:sz w:val="24"/>
        </w:rPr>
        <w:t>)</w:t>
      </w:r>
    </w:p>
    <w:p w14:paraId="7E10C59B" w14:textId="09472A57" w:rsidR="00440F96" w:rsidRPr="001E5FCA" w:rsidRDefault="00440F96" w:rsidP="00440F96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10×</w:t>
      </w:r>
      <w:r w:rsidR="001E5FCA">
        <w:rPr>
          <w:rFonts w:ascii="Times New Roman" w:hAnsi="Times New Roman" w:cs="Times New Roman"/>
          <w:sz w:val="24"/>
        </w:rPr>
        <w:t xml:space="preserve"> </w:t>
      </w:r>
      <w:r w:rsidRPr="001E5FCA">
        <w:rPr>
          <w:rFonts w:ascii="Times New Roman" w:hAnsi="Times New Roman" w:cs="Times New Roman"/>
          <w:sz w:val="24"/>
        </w:rPr>
        <w:t>PCR buffer containing 15 mM MgCl</w:t>
      </w:r>
      <w:r w:rsidRPr="001E5FCA">
        <w:rPr>
          <w:rFonts w:ascii="Times New Roman" w:hAnsi="Times New Roman" w:cs="Times New Roman"/>
          <w:sz w:val="24"/>
          <w:vertAlign w:val="subscript"/>
        </w:rPr>
        <w:t>2</w:t>
      </w:r>
      <w:r w:rsidR="006B1FD5" w:rsidRPr="001E5FCA">
        <w:rPr>
          <w:rFonts w:ascii="Times New Roman" w:hAnsi="Times New Roman" w:cs="Times New Roman"/>
          <w:sz w:val="24"/>
        </w:rPr>
        <w:tab/>
      </w:r>
      <w:r w:rsidR="006B1FD5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0.75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F51DC0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6479BA80" w14:textId="0A300288" w:rsidR="00440F96" w:rsidRPr="001E5FCA" w:rsidRDefault="00440F96" w:rsidP="00440F96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2 mM dNTPs</w:t>
      </w:r>
      <w:r w:rsidR="006B1FD5" w:rsidRPr="001E5FCA">
        <w:rPr>
          <w:rFonts w:ascii="Times New Roman" w:hAnsi="Times New Roman" w:cs="Times New Roman"/>
          <w:sz w:val="24"/>
        </w:rPr>
        <w:tab/>
      </w:r>
      <w:r w:rsidR="006B1FD5" w:rsidRPr="001E5FCA">
        <w:rPr>
          <w:rFonts w:ascii="Times New Roman" w:hAnsi="Times New Roman" w:cs="Times New Roman"/>
          <w:sz w:val="24"/>
        </w:rPr>
        <w:tab/>
      </w:r>
      <w:r w:rsidR="006B1FD5" w:rsidRPr="001E5FCA">
        <w:rPr>
          <w:rFonts w:ascii="Times New Roman" w:hAnsi="Times New Roman" w:cs="Times New Roman"/>
          <w:sz w:val="24"/>
        </w:rPr>
        <w:tab/>
      </w:r>
      <w:r w:rsidR="006B1FD5" w:rsidRPr="001E5FCA">
        <w:rPr>
          <w:rFonts w:ascii="Times New Roman" w:hAnsi="Times New Roman" w:cs="Times New Roman"/>
          <w:sz w:val="24"/>
        </w:rPr>
        <w:tab/>
      </w:r>
      <w:r w:rsidR="006B1FD5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0.75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F51DC0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2CF4AF9F" w14:textId="572E94B0" w:rsidR="00440F96" w:rsidRPr="001E5FCA" w:rsidRDefault="00E20824" w:rsidP="00440F96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Fluorescen</w:t>
      </w:r>
      <w:r w:rsidR="001E5FCA">
        <w:rPr>
          <w:rFonts w:ascii="Times New Roman" w:hAnsi="Times New Roman" w:cs="Times New Roman"/>
          <w:sz w:val="24"/>
        </w:rPr>
        <w:t>ce</w:t>
      </w:r>
      <w:r w:rsidRPr="001E5FCA">
        <w:rPr>
          <w:rFonts w:ascii="Times New Roman" w:hAnsi="Times New Roman" w:cs="Times New Roman"/>
          <w:sz w:val="24"/>
        </w:rPr>
        <w:t>-labeled</w:t>
      </w:r>
      <w:r w:rsidR="00440F96" w:rsidRPr="001E5F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0F96" w:rsidRPr="001E5FCA">
        <w:rPr>
          <w:rFonts w:ascii="Times New Roman" w:hAnsi="Times New Roman" w:cs="Times New Roman"/>
          <w:sz w:val="24"/>
        </w:rPr>
        <w:t>fwd</w:t>
      </w:r>
      <w:proofErr w:type="spellEnd"/>
      <w:r w:rsidR="00440F96" w:rsidRPr="001E5FCA">
        <w:rPr>
          <w:rFonts w:ascii="Times New Roman" w:hAnsi="Times New Roman" w:cs="Times New Roman"/>
          <w:sz w:val="24"/>
        </w:rPr>
        <w:t xml:space="preserve"> primer (</w:t>
      </w:r>
      <w:r w:rsidRPr="001E5FCA">
        <w:rPr>
          <w:rFonts w:ascii="Times New Roman" w:hAnsi="Times New Roman" w:cs="Times New Roman"/>
          <w:sz w:val="24"/>
        </w:rPr>
        <w:t>5</w:t>
      </w:r>
      <w:r w:rsidR="00440F96" w:rsidRPr="001E5F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40F96" w:rsidRPr="001E5FCA">
        <w:rPr>
          <w:rFonts w:ascii="Times New Roman" w:hAnsi="Times New Roman" w:cs="Times New Roman"/>
          <w:sz w:val="24"/>
        </w:rPr>
        <w:t>pmol</w:t>
      </w:r>
      <w:proofErr w:type="spellEnd"/>
      <w:r w:rsidR="00440F96" w:rsidRPr="001E5FCA">
        <w:rPr>
          <w:rFonts w:ascii="Times New Roman" w:hAnsi="Times New Roman" w:cs="Times New Roman"/>
          <w:sz w:val="24"/>
        </w:rPr>
        <w:t>/</w:t>
      </w:r>
      <w:proofErr w:type="spellStart"/>
      <w:r w:rsidR="00440F96" w:rsidRPr="001E5FCA">
        <w:rPr>
          <w:rFonts w:ascii="Times New Roman" w:hAnsi="Times New Roman" w:cs="Times New Roman"/>
          <w:sz w:val="24"/>
        </w:rPr>
        <w:t>μ</w:t>
      </w:r>
      <w:r w:rsidR="00455EC1" w:rsidRPr="001E5FCA">
        <w:rPr>
          <w:rFonts w:ascii="Times New Roman" w:hAnsi="Times New Roman" w:cs="Times New Roman"/>
          <w:sz w:val="24"/>
        </w:rPr>
        <w:t>L</w:t>
      </w:r>
      <w:proofErr w:type="spellEnd"/>
      <w:r w:rsidR="00440F96" w:rsidRPr="001E5FCA">
        <w:rPr>
          <w:rFonts w:ascii="Times New Roman" w:hAnsi="Times New Roman" w:cs="Times New Roman"/>
          <w:sz w:val="24"/>
        </w:rPr>
        <w:t>)</w:t>
      </w:r>
      <w:r w:rsidR="006B1FD5" w:rsidRPr="001E5FCA">
        <w:rPr>
          <w:rFonts w:ascii="Times New Roman" w:hAnsi="Times New Roman" w:cs="Times New Roman"/>
          <w:sz w:val="24"/>
        </w:rPr>
        <w:tab/>
      </w:r>
      <w:r w:rsidR="00440F96" w:rsidRPr="001E5FCA">
        <w:rPr>
          <w:rFonts w:ascii="Times New Roman" w:hAnsi="Times New Roman" w:cs="Times New Roman"/>
          <w:sz w:val="24"/>
        </w:rPr>
        <w:t xml:space="preserve">0.25 </w:t>
      </w:r>
      <w:proofErr w:type="spellStart"/>
      <w:r w:rsidR="00440F96" w:rsidRPr="001E5FCA">
        <w:rPr>
          <w:rFonts w:ascii="Times New Roman" w:hAnsi="Times New Roman" w:cs="Times New Roman"/>
          <w:sz w:val="24"/>
        </w:rPr>
        <w:t>μ</w:t>
      </w:r>
      <w:r w:rsidR="00F51DC0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4202288D" w14:textId="0CB3D89C" w:rsidR="00440F96" w:rsidRPr="001E5FCA" w:rsidRDefault="00440F96" w:rsidP="00440F96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PIG-tailed rev primer (5 </w:t>
      </w:r>
      <w:proofErr w:type="spellStart"/>
      <w:r w:rsidRPr="001E5FCA">
        <w:rPr>
          <w:rFonts w:ascii="Times New Roman" w:hAnsi="Times New Roman" w:cs="Times New Roman"/>
          <w:sz w:val="24"/>
        </w:rPr>
        <w:t>pmol</w:t>
      </w:r>
      <w:proofErr w:type="spellEnd"/>
      <w:r w:rsidRPr="001E5FCA">
        <w:rPr>
          <w:rFonts w:ascii="Times New Roman" w:hAnsi="Times New Roman" w:cs="Times New Roman"/>
          <w:sz w:val="24"/>
        </w:rPr>
        <w:t>/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455EC1" w:rsidRPr="001E5FCA">
        <w:rPr>
          <w:rFonts w:ascii="Times New Roman" w:hAnsi="Times New Roman" w:cs="Times New Roman"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sz w:val="24"/>
        </w:rPr>
        <w:t>)</w:t>
      </w:r>
      <w:r w:rsidR="006B1FD5" w:rsidRPr="001E5FCA">
        <w:rPr>
          <w:rFonts w:ascii="Times New Roman" w:hAnsi="Times New Roman" w:cs="Times New Roman"/>
          <w:sz w:val="24"/>
        </w:rPr>
        <w:tab/>
      </w:r>
      <w:r w:rsidR="006B1FD5" w:rsidRPr="001E5FCA">
        <w:rPr>
          <w:rFonts w:ascii="Times New Roman" w:hAnsi="Times New Roman" w:cs="Times New Roman"/>
          <w:sz w:val="24"/>
        </w:rPr>
        <w:tab/>
      </w:r>
      <w:r w:rsidR="006B1FD5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0.25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F51DC0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67DA6F21" w14:textId="063CD7F5" w:rsidR="00440F96" w:rsidRPr="001E5FCA" w:rsidRDefault="00440F96" w:rsidP="00440F96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Taq polymerase (5 units/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455EC1" w:rsidRPr="001E5FCA">
        <w:rPr>
          <w:rFonts w:ascii="Times New Roman" w:hAnsi="Times New Roman" w:cs="Times New Roman"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sz w:val="24"/>
        </w:rPr>
        <w:t>)</w:t>
      </w:r>
      <w:r w:rsidR="001E5FCA">
        <w:rPr>
          <w:rFonts w:ascii="Times New Roman" w:hAnsi="Times New Roman" w:cs="Times New Roman"/>
          <w:sz w:val="24"/>
          <w:vertAlign w:val="superscript"/>
        </w:rPr>
        <w:t>3</w:t>
      </w:r>
      <w:r w:rsidR="006B1FD5" w:rsidRPr="001E5FCA">
        <w:rPr>
          <w:rFonts w:ascii="Times New Roman" w:hAnsi="Times New Roman" w:cs="Times New Roman"/>
          <w:sz w:val="24"/>
        </w:rPr>
        <w:tab/>
      </w:r>
      <w:r w:rsidR="006B1FD5" w:rsidRPr="001E5FCA">
        <w:rPr>
          <w:rFonts w:ascii="Times New Roman" w:hAnsi="Times New Roman" w:cs="Times New Roman"/>
          <w:sz w:val="24"/>
        </w:rPr>
        <w:tab/>
      </w:r>
      <w:r w:rsidR="006B1FD5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0.05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F51DC0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3527B171" w14:textId="673584A7" w:rsidR="005659B2" w:rsidRPr="001E5FCA" w:rsidRDefault="005659B2" w:rsidP="00440F96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ddH</w:t>
      </w:r>
      <w:r w:rsidRPr="001E5FCA">
        <w:rPr>
          <w:rFonts w:ascii="Times New Roman" w:hAnsi="Times New Roman" w:cs="Times New Roman"/>
          <w:sz w:val="24"/>
          <w:vertAlign w:val="subscript"/>
        </w:rPr>
        <w:t>2</w:t>
      </w:r>
      <w:r w:rsidRPr="001E5FCA">
        <w:rPr>
          <w:rFonts w:ascii="Times New Roman" w:hAnsi="Times New Roman" w:cs="Times New Roman"/>
          <w:sz w:val="24"/>
        </w:rPr>
        <w:t>O</w:t>
      </w:r>
      <w:r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ab/>
        <w:t xml:space="preserve">4.95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F51DC0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36EE3D85" w14:textId="23249CA7" w:rsidR="00440F96" w:rsidRPr="001E5FCA" w:rsidRDefault="00440F96" w:rsidP="00440F96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DNA solution (</w:t>
      </w:r>
      <w:r w:rsidR="00255EED" w:rsidRPr="001E5FCA">
        <w:rPr>
          <w:rFonts w:ascii="Times New Roman" w:hAnsi="Times New Roman" w:cs="Times New Roman"/>
          <w:sz w:val="24"/>
        </w:rPr>
        <w:t>5</w:t>
      </w:r>
      <w:r w:rsidRPr="001E5FCA">
        <w:rPr>
          <w:rFonts w:ascii="Times New Roman" w:hAnsi="Times New Roman" w:cs="Times New Roman"/>
          <w:sz w:val="24"/>
        </w:rPr>
        <w:t xml:space="preserve"> ng/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133118" w:rsidRPr="001E5FCA">
        <w:rPr>
          <w:rFonts w:ascii="Times New Roman" w:hAnsi="Times New Roman" w:cs="Times New Roman"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sz w:val="24"/>
        </w:rPr>
        <w:t>)</w:t>
      </w:r>
      <w:r w:rsidR="006B1FD5" w:rsidRPr="001E5FCA">
        <w:rPr>
          <w:rFonts w:ascii="Times New Roman" w:hAnsi="Times New Roman" w:cs="Times New Roman"/>
          <w:sz w:val="24"/>
        </w:rPr>
        <w:tab/>
      </w:r>
      <w:r w:rsidR="006B1FD5" w:rsidRPr="001E5FCA">
        <w:rPr>
          <w:rFonts w:ascii="Times New Roman" w:hAnsi="Times New Roman" w:cs="Times New Roman"/>
          <w:sz w:val="24"/>
        </w:rPr>
        <w:tab/>
      </w:r>
      <w:r w:rsidR="006B1FD5" w:rsidRPr="001E5FCA">
        <w:rPr>
          <w:rFonts w:ascii="Times New Roman" w:hAnsi="Times New Roman" w:cs="Times New Roman"/>
          <w:sz w:val="24"/>
        </w:rPr>
        <w:tab/>
      </w:r>
      <w:r w:rsidR="006B1FD5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0.50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F51DC0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6CBAF4F9" w14:textId="4E9A7CC6" w:rsidR="00440F96" w:rsidRPr="001E5FCA" w:rsidRDefault="001E5FCA" w:rsidP="00440F96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3</w:t>
      </w:r>
      <w:r w:rsidR="00440F96" w:rsidRPr="001E5FCA">
        <w:rPr>
          <w:rFonts w:ascii="Times New Roman" w:hAnsi="Times New Roman" w:cs="Times New Roman"/>
          <w:sz w:val="24"/>
        </w:rPr>
        <w:t>AmpliTaq Gold DNA polymerase (Applied Biosystems, Thermo Fisher Scientific)</w:t>
      </w:r>
      <w:r w:rsidR="00440F96" w:rsidRPr="001E5FCA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664AF7A1" w14:textId="77777777" w:rsidR="00A24BCD" w:rsidRPr="001E5FCA" w:rsidRDefault="00A24BCD" w:rsidP="00440F96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331DDE91" w14:textId="0A677017" w:rsidR="00A24BCD" w:rsidRPr="001E5FCA" w:rsidRDefault="00A24BCD" w:rsidP="006B1FD5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t>Reference</w:t>
      </w:r>
    </w:p>
    <w:p w14:paraId="70D4E9E5" w14:textId="64FBBCFB" w:rsidR="00A24BCD" w:rsidRPr="001E5FCA" w:rsidRDefault="00A24BCD" w:rsidP="006B1FD5">
      <w:pPr>
        <w:widowControl/>
        <w:spacing w:line="276" w:lineRule="auto"/>
        <w:ind w:left="425" w:hangingChars="177" w:hanging="425"/>
        <w:rPr>
          <w:rFonts w:ascii="Times New Roman" w:hAnsi="Times New Roman" w:cs="Times New Roman"/>
          <w:kern w:val="0"/>
          <w:sz w:val="24"/>
          <w14:ligatures w14:val="none"/>
        </w:rPr>
      </w:pPr>
      <w:r w:rsidRPr="001E5FCA">
        <w:rPr>
          <w:rFonts w:ascii="Times New Roman" w:hAnsi="Times New Roman" w:cs="Times New Roman"/>
          <w:kern w:val="0"/>
          <w:sz w:val="24"/>
          <w14:ligatures w14:val="none"/>
        </w:rPr>
        <w:t xml:space="preserve">Kobayashi M, Yusa Y, Sekino M (2020) Microsatellite DNA markers applicable to paternity inference in the androdioecious gooseneck barnacle </w:t>
      </w:r>
      <w:r w:rsidRPr="001E5FCA"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 xml:space="preserve">Octolasmis warwickii </w:t>
      </w:r>
      <w:r w:rsidRPr="001E5FCA">
        <w:rPr>
          <w:rFonts w:ascii="Times New Roman" w:hAnsi="Times New Roman" w:cs="Times New Roman"/>
          <w:kern w:val="0"/>
          <w:sz w:val="24"/>
          <w14:ligatures w14:val="none"/>
        </w:rPr>
        <w:t xml:space="preserve">(Lepadiformes: Poecilasmatidae). Mol Biol Rep 47:4885–4890. </w:t>
      </w:r>
      <w:hyperlink r:id="rId9" w:history="1">
        <w:r w:rsidRPr="001E5FCA">
          <w:rPr>
            <w:rStyle w:val="ae"/>
            <w:rFonts w:ascii="Times New Roman" w:hAnsi="Times New Roman" w:cs="Times New Roman"/>
            <w:kern w:val="0"/>
            <w:sz w:val="24"/>
            <w14:ligatures w14:val="none"/>
          </w:rPr>
          <w:t>https://doi.org/10.1007/s11033-020-05473-9</w:t>
        </w:r>
      </w:hyperlink>
    </w:p>
    <w:p w14:paraId="1BB8E56F" w14:textId="3BAC1B9B" w:rsidR="00440F96" w:rsidRPr="001E5FCA" w:rsidRDefault="00440F96">
      <w:pPr>
        <w:widowControl/>
        <w:jc w:val="left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br w:type="page"/>
      </w:r>
    </w:p>
    <w:p w14:paraId="18C4F413" w14:textId="17B1840F" w:rsidR="005A1F19" w:rsidRPr="001E5FCA" w:rsidRDefault="005A1F19" w:rsidP="005A1F19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lastRenderedPageBreak/>
        <w:t xml:space="preserve">Online </w:t>
      </w:r>
      <w:r w:rsidR="00D903D9" w:rsidRPr="001E5FCA">
        <w:rPr>
          <w:rFonts w:ascii="Times New Roman" w:hAnsi="Times New Roman" w:cs="Times New Roman"/>
          <w:b/>
          <w:bCs/>
          <w:sz w:val="24"/>
        </w:rPr>
        <w:t>R</w:t>
      </w:r>
      <w:r w:rsidRPr="001E5FCA">
        <w:rPr>
          <w:rFonts w:ascii="Times New Roman" w:hAnsi="Times New Roman" w:cs="Times New Roman"/>
          <w:b/>
          <w:bCs/>
          <w:sz w:val="24"/>
        </w:rPr>
        <w:t xml:space="preserve">esource </w:t>
      </w:r>
      <w:r w:rsidR="00E20824" w:rsidRPr="001E5FCA">
        <w:rPr>
          <w:rFonts w:ascii="Times New Roman" w:hAnsi="Times New Roman" w:cs="Times New Roman"/>
          <w:b/>
          <w:bCs/>
          <w:sz w:val="24"/>
        </w:rPr>
        <w:t>3</w:t>
      </w:r>
    </w:p>
    <w:p w14:paraId="184B60B5" w14:textId="1023FBE8" w:rsidR="00DB0AD2" w:rsidRPr="00415937" w:rsidRDefault="00DB0AD2" w:rsidP="00415937">
      <w:pPr>
        <w:pStyle w:val="a9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415937">
        <w:rPr>
          <w:rFonts w:ascii="Times New Roman" w:hAnsi="Times New Roman" w:cs="Times New Roman"/>
          <w:sz w:val="22"/>
          <w:szCs w:val="22"/>
        </w:rPr>
        <w:t xml:space="preserve">Journal: </w:t>
      </w:r>
      <w:r w:rsidRPr="00415937">
        <w:rPr>
          <w:rFonts w:ascii="Times New Roman" w:hAnsi="Times New Roman" w:cs="Times New Roman"/>
          <w:i/>
          <w:iCs/>
          <w:sz w:val="22"/>
          <w:szCs w:val="22"/>
        </w:rPr>
        <w:t>Molecular Biology Reports</w:t>
      </w:r>
    </w:p>
    <w:p w14:paraId="1EC9CB49" w14:textId="4F83BF8F" w:rsidR="00DB0AD2" w:rsidRPr="00415937" w:rsidRDefault="00DB0AD2" w:rsidP="00415937">
      <w:pPr>
        <w:pStyle w:val="a9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415937">
        <w:rPr>
          <w:rFonts w:ascii="Times New Roman" w:hAnsi="Times New Roman" w:cs="Times New Roman"/>
          <w:sz w:val="22"/>
          <w:szCs w:val="22"/>
        </w:rPr>
        <w:t xml:space="preserve">Title: </w:t>
      </w:r>
      <w:r w:rsidR="00545E44" w:rsidRPr="00415937">
        <w:rPr>
          <w:rFonts w:ascii="Times New Roman" w:hAnsi="Times New Roman" w:cs="Times New Roman"/>
          <w:sz w:val="22"/>
          <w:szCs w:val="22"/>
        </w:rPr>
        <w:t>M</w:t>
      </w:r>
      <w:r w:rsidRPr="00415937">
        <w:rPr>
          <w:rFonts w:ascii="Times New Roman" w:hAnsi="Times New Roman" w:cs="Times New Roman"/>
          <w:sz w:val="22"/>
          <w:szCs w:val="22"/>
        </w:rPr>
        <w:t xml:space="preserve">icrosatellite DNA markers for paternity identification in the hermaphroditic barnacle </w:t>
      </w:r>
      <w:r w:rsidRPr="00415937">
        <w:rPr>
          <w:rFonts w:ascii="Times New Roman" w:hAnsi="Times New Roman" w:cs="Times New Roman"/>
          <w:i/>
          <w:iCs/>
          <w:sz w:val="22"/>
          <w:szCs w:val="22"/>
        </w:rPr>
        <w:t xml:space="preserve">Chthamalus challengeri </w:t>
      </w:r>
      <w:r w:rsidRPr="00415937">
        <w:rPr>
          <w:rFonts w:ascii="Times New Roman" w:hAnsi="Times New Roman" w:cs="Times New Roman"/>
          <w:sz w:val="22"/>
          <w:szCs w:val="22"/>
        </w:rPr>
        <w:t>Hoek</w:t>
      </w:r>
    </w:p>
    <w:p w14:paraId="3E886698" w14:textId="0C58A758" w:rsidR="00DB0AD2" w:rsidRPr="00415937" w:rsidRDefault="00DB0AD2" w:rsidP="00415937">
      <w:pPr>
        <w:pStyle w:val="a9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415937">
        <w:rPr>
          <w:rFonts w:ascii="Times New Roman" w:hAnsi="Times New Roman" w:cs="Times New Roman"/>
          <w:sz w:val="22"/>
          <w:szCs w:val="22"/>
        </w:rPr>
        <w:t>Authors: Masami M. Tamechika, Yoichi Yusa, Shingo Akita, Masashi Sekino</w:t>
      </w:r>
    </w:p>
    <w:p w14:paraId="11D49C1B" w14:textId="40189F01" w:rsidR="00DB0AD2" w:rsidRPr="00415937" w:rsidRDefault="00DB0AD2" w:rsidP="00415937">
      <w:pPr>
        <w:pStyle w:val="a9"/>
        <w:numPr>
          <w:ilvl w:val="0"/>
          <w:numId w:val="3"/>
        </w:numPr>
        <w:pBdr>
          <w:bottom w:val="single" w:sz="6" w:space="1" w:color="auto"/>
        </w:pBdr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415937">
        <w:rPr>
          <w:rFonts w:ascii="Times New Roman" w:hAnsi="Times New Roman" w:cs="Times New Roman"/>
          <w:sz w:val="22"/>
          <w:szCs w:val="22"/>
        </w:rPr>
        <w:t>Corresponding author: Masami M. Tamechika (email: tamechi555@gmail.com), Graduate School of Fisheries Sciences, Hokkaido University.</w:t>
      </w:r>
    </w:p>
    <w:p w14:paraId="1460108F" w14:textId="0B98C082" w:rsidR="001647B5" w:rsidRPr="001E5FCA" w:rsidRDefault="00D96404" w:rsidP="00DE232A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t>P</w:t>
      </w:r>
      <w:r w:rsidR="00DB0AD2" w:rsidRPr="001E5FCA">
        <w:rPr>
          <w:rFonts w:ascii="Times New Roman" w:hAnsi="Times New Roman" w:cs="Times New Roman"/>
          <w:b/>
          <w:bCs/>
          <w:sz w:val="24"/>
        </w:rPr>
        <w:t>CR condition</w:t>
      </w:r>
      <w:r w:rsidR="007C7294" w:rsidRPr="001E5FCA">
        <w:rPr>
          <w:rFonts w:ascii="Times New Roman" w:hAnsi="Times New Roman" w:cs="Times New Roman"/>
          <w:b/>
          <w:bCs/>
          <w:sz w:val="24"/>
        </w:rPr>
        <w:t>s</w:t>
      </w:r>
      <w:r w:rsidR="00DB0AD2" w:rsidRPr="001E5FCA">
        <w:rPr>
          <w:rFonts w:ascii="Times New Roman" w:hAnsi="Times New Roman" w:cs="Times New Roman"/>
          <w:b/>
          <w:bCs/>
          <w:sz w:val="24"/>
        </w:rPr>
        <w:t xml:space="preserve"> </w:t>
      </w:r>
      <w:r w:rsidR="00545E44" w:rsidRPr="001E5FCA">
        <w:rPr>
          <w:rFonts w:ascii="Times New Roman" w:hAnsi="Times New Roman" w:cs="Times New Roman"/>
          <w:b/>
          <w:bCs/>
          <w:sz w:val="24"/>
        </w:rPr>
        <w:t>for</w:t>
      </w:r>
      <w:r w:rsidR="00DB0AD2" w:rsidRPr="001E5FCA">
        <w:rPr>
          <w:rFonts w:ascii="Times New Roman" w:hAnsi="Times New Roman" w:cs="Times New Roman"/>
          <w:b/>
          <w:bCs/>
          <w:sz w:val="24"/>
        </w:rPr>
        <w:t xml:space="preserve"> multiplex panel</w:t>
      </w:r>
      <w:r w:rsidR="007C7294" w:rsidRPr="001E5FCA">
        <w:rPr>
          <w:rFonts w:ascii="Times New Roman" w:hAnsi="Times New Roman" w:cs="Times New Roman"/>
          <w:b/>
          <w:bCs/>
          <w:sz w:val="24"/>
        </w:rPr>
        <w:t>s</w:t>
      </w:r>
    </w:p>
    <w:p w14:paraId="5C725FC8" w14:textId="0C391679" w:rsidR="00B83F5B" w:rsidRPr="001E5FCA" w:rsidRDefault="001647B5" w:rsidP="00DE232A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The PCR cycling </w:t>
      </w:r>
      <w:r w:rsidR="007C7294" w:rsidRPr="001E5FCA">
        <w:rPr>
          <w:rFonts w:ascii="Times New Roman" w:hAnsi="Times New Roman" w:cs="Times New Roman"/>
          <w:sz w:val="24"/>
        </w:rPr>
        <w:t xml:space="preserve">parameters for multiplexing </w:t>
      </w:r>
      <w:r w:rsidRPr="001E5FCA">
        <w:rPr>
          <w:rFonts w:ascii="Times New Roman" w:hAnsi="Times New Roman" w:cs="Times New Roman"/>
          <w:sz w:val="24"/>
        </w:rPr>
        <w:t xml:space="preserve">were </w:t>
      </w:r>
      <w:r w:rsidR="00142A4A" w:rsidRPr="001E5FCA">
        <w:rPr>
          <w:rFonts w:ascii="Times New Roman" w:hAnsi="Times New Roman" w:cs="Times New Roman"/>
          <w:sz w:val="24"/>
        </w:rPr>
        <w:t xml:space="preserve">mostly </w:t>
      </w:r>
      <w:r w:rsidR="00B83F5B" w:rsidRPr="001E5FCA">
        <w:rPr>
          <w:rFonts w:ascii="Times New Roman" w:hAnsi="Times New Roman" w:cs="Times New Roman"/>
          <w:sz w:val="24"/>
        </w:rPr>
        <w:t>consistent with</w:t>
      </w:r>
      <w:r w:rsidRPr="001E5FCA">
        <w:rPr>
          <w:rFonts w:ascii="Times New Roman" w:hAnsi="Times New Roman" w:cs="Times New Roman"/>
          <w:sz w:val="24"/>
        </w:rPr>
        <w:t xml:space="preserve"> those described in Online </w:t>
      </w:r>
      <w:r w:rsidR="00D903D9" w:rsidRPr="001E5FCA">
        <w:rPr>
          <w:rFonts w:ascii="Times New Roman" w:hAnsi="Times New Roman" w:cs="Times New Roman"/>
          <w:sz w:val="24"/>
        </w:rPr>
        <w:t>R</w:t>
      </w:r>
      <w:r w:rsidRPr="001E5FCA">
        <w:rPr>
          <w:rFonts w:ascii="Times New Roman" w:hAnsi="Times New Roman" w:cs="Times New Roman"/>
          <w:sz w:val="24"/>
        </w:rPr>
        <w:t xml:space="preserve">esource 1. However, </w:t>
      </w:r>
      <w:r w:rsidR="009433A1" w:rsidRPr="001E5FCA">
        <w:rPr>
          <w:rFonts w:ascii="Times New Roman" w:hAnsi="Times New Roman" w:cs="Times New Roman"/>
          <w:sz w:val="24"/>
        </w:rPr>
        <w:t xml:space="preserve">we changed </w:t>
      </w:r>
      <w:r w:rsidRPr="001E5FCA">
        <w:rPr>
          <w:rFonts w:ascii="Times New Roman" w:hAnsi="Times New Roman" w:cs="Times New Roman"/>
          <w:sz w:val="24"/>
        </w:rPr>
        <w:t>the number of PCR cycles</w:t>
      </w:r>
      <w:r w:rsidR="00530C5D" w:rsidRPr="001E5FCA">
        <w:rPr>
          <w:rFonts w:ascii="Times New Roman" w:hAnsi="Times New Roman" w:cs="Times New Roman"/>
          <w:sz w:val="24"/>
        </w:rPr>
        <w:t xml:space="preserve"> of the step</w:t>
      </w:r>
      <w:r w:rsidRPr="001E5FCA">
        <w:rPr>
          <w:rFonts w:ascii="Times New Roman" w:hAnsi="Times New Roman" w:cs="Times New Roman"/>
          <w:sz w:val="24"/>
        </w:rPr>
        <w:t xml:space="preserve"> </w:t>
      </w:r>
      <w:r w:rsidR="00B83F5B" w:rsidRPr="001E5FCA">
        <w:rPr>
          <w:rFonts w:ascii="Times New Roman" w:hAnsi="Times New Roman" w:cs="Times New Roman"/>
          <w:sz w:val="24"/>
        </w:rPr>
        <w:t>marked</w:t>
      </w:r>
      <w:r w:rsidRPr="001E5FCA">
        <w:rPr>
          <w:rFonts w:ascii="Times New Roman" w:hAnsi="Times New Roman" w:cs="Times New Roman"/>
          <w:sz w:val="24"/>
        </w:rPr>
        <w:t xml:space="preserve"> with </w:t>
      </w:r>
      <w:r w:rsidR="00415937">
        <w:rPr>
          <w:rFonts w:ascii="Times New Roman" w:hAnsi="Times New Roman" w:cs="Times New Roman"/>
          <w:sz w:val="24"/>
        </w:rPr>
        <w:t xml:space="preserve">footnote </w:t>
      </w:r>
      <w:r w:rsidRPr="001E5FCA">
        <w:rPr>
          <w:rFonts w:ascii="Times New Roman" w:hAnsi="Times New Roman" w:cs="Times New Roman"/>
          <w:sz w:val="24"/>
        </w:rPr>
        <w:t>(</w:t>
      </w:r>
      <w:r w:rsidR="001E5FCA" w:rsidRPr="001E5FCA">
        <w:rPr>
          <w:rFonts w:ascii="Times New Roman" w:hAnsi="Times New Roman" w:cs="Times New Roman"/>
          <w:sz w:val="24"/>
          <w:vertAlign w:val="superscript"/>
        </w:rPr>
        <w:t>2</w:t>
      </w:r>
      <w:r w:rsidRPr="001E5FCA">
        <w:rPr>
          <w:rFonts w:ascii="Times New Roman" w:hAnsi="Times New Roman" w:cs="Times New Roman"/>
          <w:sz w:val="24"/>
        </w:rPr>
        <w:t xml:space="preserve">) in Online </w:t>
      </w:r>
      <w:r w:rsidR="00B33D6F" w:rsidRPr="001E5FCA">
        <w:rPr>
          <w:rFonts w:ascii="Times New Roman" w:hAnsi="Times New Roman" w:cs="Times New Roman"/>
          <w:sz w:val="24"/>
        </w:rPr>
        <w:t>R</w:t>
      </w:r>
      <w:r w:rsidRPr="001E5FCA">
        <w:rPr>
          <w:rFonts w:ascii="Times New Roman" w:hAnsi="Times New Roman" w:cs="Times New Roman"/>
          <w:sz w:val="24"/>
        </w:rPr>
        <w:t xml:space="preserve">esource 1 </w:t>
      </w:r>
      <w:r w:rsidR="009433A1" w:rsidRPr="001E5FCA">
        <w:rPr>
          <w:rFonts w:ascii="Times New Roman" w:hAnsi="Times New Roman" w:cs="Times New Roman"/>
          <w:sz w:val="24"/>
        </w:rPr>
        <w:t xml:space="preserve">depending on the multiplex panel (see the “Number of cycles” column in </w:t>
      </w:r>
      <w:r w:rsidR="00142A4A" w:rsidRPr="001E5FCA">
        <w:rPr>
          <w:rFonts w:ascii="Times New Roman" w:hAnsi="Times New Roman" w:cs="Times New Roman"/>
          <w:sz w:val="24"/>
        </w:rPr>
        <w:t xml:space="preserve">the </w:t>
      </w:r>
      <w:r w:rsidRPr="001E5FCA">
        <w:rPr>
          <w:rFonts w:ascii="Times New Roman" w:hAnsi="Times New Roman" w:cs="Times New Roman"/>
          <w:sz w:val="24"/>
        </w:rPr>
        <w:t>table below</w:t>
      </w:r>
      <w:r w:rsidR="009433A1" w:rsidRPr="001E5FCA">
        <w:rPr>
          <w:rFonts w:ascii="Times New Roman" w:hAnsi="Times New Roman" w:cs="Times New Roman"/>
          <w:sz w:val="24"/>
        </w:rPr>
        <w:t>)</w:t>
      </w:r>
      <w:r w:rsidRPr="001E5FCA">
        <w:rPr>
          <w:rFonts w:ascii="Times New Roman" w:hAnsi="Times New Roman" w:cs="Times New Roman"/>
          <w:sz w:val="24"/>
        </w:rPr>
        <w:t>.</w:t>
      </w:r>
      <w:r w:rsidR="00545E44" w:rsidRPr="001E5FCA">
        <w:rPr>
          <w:rFonts w:ascii="Times New Roman" w:hAnsi="Times New Roman" w:cs="Times New Roman"/>
          <w:sz w:val="24"/>
        </w:rPr>
        <w:t xml:space="preserve"> </w:t>
      </w:r>
      <w:r w:rsidR="00B33D6F" w:rsidRPr="001E5FCA">
        <w:rPr>
          <w:rFonts w:ascii="Times New Roman" w:hAnsi="Times New Roman" w:cs="Times New Roman"/>
          <w:sz w:val="24"/>
        </w:rPr>
        <w:t xml:space="preserve">The </w:t>
      </w:r>
      <w:r w:rsidR="009433A1" w:rsidRPr="001E5FCA">
        <w:rPr>
          <w:rFonts w:ascii="Times New Roman" w:hAnsi="Times New Roman" w:cs="Times New Roman"/>
          <w:sz w:val="24"/>
        </w:rPr>
        <w:t xml:space="preserve">PCR </w:t>
      </w:r>
      <w:r w:rsidR="00142A4A" w:rsidRPr="001E5FCA">
        <w:rPr>
          <w:rFonts w:ascii="Times New Roman" w:hAnsi="Times New Roman" w:cs="Times New Roman"/>
          <w:sz w:val="24"/>
        </w:rPr>
        <w:t xml:space="preserve">reaction </w:t>
      </w:r>
      <w:r w:rsidR="009433A1" w:rsidRPr="001E5FCA">
        <w:rPr>
          <w:rFonts w:ascii="Times New Roman" w:hAnsi="Times New Roman" w:cs="Times New Roman"/>
          <w:sz w:val="24"/>
        </w:rPr>
        <w:t xml:space="preserve">mixture was prepared essentially </w:t>
      </w:r>
      <w:r w:rsidR="001E5FCA">
        <w:rPr>
          <w:rFonts w:ascii="Times New Roman" w:hAnsi="Times New Roman" w:cs="Times New Roman"/>
          <w:sz w:val="24"/>
        </w:rPr>
        <w:t xml:space="preserve">by </w:t>
      </w:r>
      <w:r w:rsidR="009433A1" w:rsidRPr="001E5FCA">
        <w:rPr>
          <w:rFonts w:ascii="Times New Roman" w:hAnsi="Times New Roman" w:cs="Times New Roman"/>
          <w:sz w:val="24"/>
        </w:rPr>
        <w:t xml:space="preserve">following </w:t>
      </w:r>
      <w:r w:rsidR="001E5FCA">
        <w:rPr>
          <w:rFonts w:ascii="Times New Roman" w:hAnsi="Times New Roman" w:cs="Times New Roman"/>
          <w:sz w:val="24"/>
        </w:rPr>
        <w:t xml:space="preserve">the method of </w:t>
      </w:r>
      <w:r w:rsidR="00545E44" w:rsidRPr="001E5FCA">
        <w:rPr>
          <w:rFonts w:ascii="Times New Roman" w:hAnsi="Times New Roman" w:cs="Times New Roman"/>
          <w:sz w:val="24"/>
        </w:rPr>
        <w:t>Kobayashi et al. (2020)</w:t>
      </w:r>
      <w:r w:rsidR="008450AA">
        <w:rPr>
          <w:rFonts w:ascii="Times New Roman" w:hAnsi="Times New Roman" w:cs="Times New Roman"/>
          <w:sz w:val="24"/>
        </w:rPr>
        <w:t xml:space="preserve">, with modifications including halving the volumes of the DNA solution and reaction mixture, reducing the concentration of the DNA solution from 10 </w:t>
      </w:r>
      <w:r w:rsidR="008450AA" w:rsidRPr="001E5FCA">
        <w:rPr>
          <w:rFonts w:ascii="Times New Roman" w:hAnsi="Times New Roman" w:cs="Times New Roman"/>
          <w:sz w:val="24"/>
        </w:rPr>
        <w:t>ng/</w:t>
      </w:r>
      <w:proofErr w:type="spellStart"/>
      <w:r w:rsidR="008450AA" w:rsidRPr="001E5FCA">
        <w:rPr>
          <w:rFonts w:ascii="Times New Roman" w:hAnsi="Times New Roman" w:cs="Times New Roman"/>
          <w:sz w:val="24"/>
        </w:rPr>
        <w:t>μL</w:t>
      </w:r>
      <w:proofErr w:type="spellEnd"/>
      <w:r w:rsidR="008450AA">
        <w:rPr>
          <w:rFonts w:ascii="Times New Roman" w:hAnsi="Times New Roman" w:cs="Times New Roman"/>
          <w:sz w:val="24"/>
        </w:rPr>
        <w:t xml:space="preserve"> to 5 </w:t>
      </w:r>
      <w:r w:rsidR="008450AA" w:rsidRPr="001E5FCA">
        <w:rPr>
          <w:rFonts w:ascii="Times New Roman" w:hAnsi="Times New Roman" w:cs="Times New Roman"/>
          <w:sz w:val="24"/>
        </w:rPr>
        <w:t>ng/</w:t>
      </w:r>
      <w:proofErr w:type="spellStart"/>
      <w:r w:rsidR="008450AA" w:rsidRPr="001E5FCA">
        <w:rPr>
          <w:rFonts w:ascii="Times New Roman" w:hAnsi="Times New Roman" w:cs="Times New Roman"/>
          <w:sz w:val="24"/>
        </w:rPr>
        <w:t>μL</w:t>
      </w:r>
      <w:proofErr w:type="spellEnd"/>
      <w:r w:rsidR="00545E44" w:rsidRPr="001E5FCA">
        <w:rPr>
          <w:rFonts w:ascii="Times New Roman" w:hAnsi="Times New Roman" w:cs="Times New Roman"/>
          <w:sz w:val="24"/>
        </w:rPr>
        <w:t>.</w:t>
      </w:r>
    </w:p>
    <w:p w14:paraId="6A660CF6" w14:textId="77777777" w:rsidR="00545E44" w:rsidRPr="001E5FCA" w:rsidRDefault="00545E44" w:rsidP="00DE232A">
      <w:pPr>
        <w:spacing w:line="276" w:lineRule="auto"/>
        <w:rPr>
          <w:rFonts w:ascii="Times New Roman" w:hAnsi="Times New Roman" w:cs="Times New Roman" w:hint="eastAsia"/>
          <w:b/>
          <w:bCs/>
          <w:sz w:val="24"/>
        </w:rPr>
      </w:pPr>
    </w:p>
    <w:p w14:paraId="05D16A98" w14:textId="4219CD61" w:rsidR="00DB0AD2" w:rsidRPr="001E5FCA" w:rsidRDefault="00545E44" w:rsidP="00DE232A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t>R</w:t>
      </w:r>
      <w:r w:rsidR="00440F96" w:rsidRPr="001E5FCA">
        <w:rPr>
          <w:rFonts w:ascii="Times New Roman" w:hAnsi="Times New Roman" w:cs="Times New Roman"/>
          <w:b/>
          <w:bCs/>
          <w:sz w:val="24"/>
        </w:rPr>
        <w:t>eaction mixture</w:t>
      </w:r>
      <w:r w:rsidR="00DB0AD2" w:rsidRPr="001E5FCA">
        <w:rPr>
          <w:rFonts w:ascii="Times New Roman" w:hAnsi="Times New Roman" w:cs="Times New Roman"/>
          <w:b/>
          <w:bCs/>
          <w:sz w:val="24"/>
        </w:rPr>
        <w:t xml:space="preserve"> (7.5 </w:t>
      </w:r>
      <w:proofErr w:type="spellStart"/>
      <w:r w:rsidR="00DB0AD2" w:rsidRPr="001E5FCA">
        <w:rPr>
          <w:rFonts w:ascii="Times New Roman" w:hAnsi="Times New Roman" w:cs="Times New Roman"/>
          <w:b/>
          <w:bCs/>
          <w:sz w:val="24"/>
        </w:rPr>
        <w:t>μ</w:t>
      </w:r>
      <w:r w:rsidR="0097166D" w:rsidRPr="001E5FCA">
        <w:rPr>
          <w:rFonts w:ascii="Times New Roman" w:hAnsi="Times New Roman" w:cs="Times New Roman"/>
          <w:b/>
          <w:bCs/>
          <w:sz w:val="24"/>
        </w:rPr>
        <w:t>L</w:t>
      </w:r>
      <w:proofErr w:type="spellEnd"/>
      <w:r w:rsidR="00DB0AD2" w:rsidRPr="001E5FCA">
        <w:rPr>
          <w:rFonts w:ascii="Times New Roman" w:hAnsi="Times New Roman" w:cs="Times New Roman"/>
          <w:b/>
          <w:bCs/>
          <w:sz w:val="24"/>
        </w:rPr>
        <w:t>)</w:t>
      </w:r>
    </w:p>
    <w:p w14:paraId="1641F29E" w14:textId="72E8CEE3" w:rsidR="00E20824" w:rsidRPr="001E5FCA" w:rsidRDefault="00E20824" w:rsidP="00DE232A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10×</w:t>
      </w:r>
      <w:r w:rsidR="001E5FCA">
        <w:rPr>
          <w:rFonts w:ascii="Times New Roman" w:hAnsi="Times New Roman" w:cs="Times New Roman"/>
          <w:sz w:val="24"/>
        </w:rPr>
        <w:t xml:space="preserve"> </w:t>
      </w:r>
      <w:r w:rsidRPr="001E5FCA">
        <w:rPr>
          <w:rFonts w:ascii="Times New Roman" w:hAnsi="Times New Roman" w:cs="Times New Roman"/>
          <w:sz w:val="24"/>
        </w:rPr>
        <w:t>PCR buffer containing 15 mM MgCl</w:t>
      </w:r>
      <w:r w:rsidRPr="001E5FCA">
        <w:rPr>
          <w:rFonts w:ascii="Times New Roman" w:hAnsi="Times New Roman" w:cs="Times New Roman"/>
          <w:sz w:val="24"/>
          <w:vertAlign w:val="subscript"/>
        </w:rPr>
        <w:t>2</w:t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0.75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EC23C6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7B054E9E" w14:textId="6855D3B2" w:rsidR="00E20824" w:rsidRPr="001E5FCA" w:rsidRDefault="00E20824" w:rsidP="00DE232A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2 mM dNTPs</w:t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0.75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EC23C6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1C246549" w14:textId="3F80AB04" w:rsidR="00E20824" w:rsidRPr="001E5FCA" w:rsidRDefault="00E20824" w:rsidP="00DE232A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 xml:space="preserve">Each fwd and rev primer (5 </w:t>
      </w:r>
      <w:proofErr w:type="spellStart"/>
      <w:r w:rsidRPr="001E5FCA">
        <w:rPr>
          <w:rFonts w:ascii="Times New Roman" w:hAnsi="Times New Roman" w:cs="Times New Roman"/>
          <w:sz w:val="24"/>
        </w:rPr>
        <w:t>pmol</w:t>
      </w:r>
      <w:proofErr w:type="spellEnd"/>
      <w:r w:rsidRPr="001E5FCA">
        <w:rPr>
          <w:rFonts w:ascii="Times New Roman" w:hAnsi="Times New Roman" w:cs="Times New Roman"/>
          <w:sz w:val="24"/>
        </w:rPr>
        <w:t>/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EC23C6" w:rsidRPr="001E5FCA">
        <w:rPr>
          <w:rFonts w:ascii="Times New Roman" w:hAnsi="Times New Roman" w:cs="Times New Roman"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sz w:val="24"/>
        </w:rPr>
        <w:t>)</w:t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="001E5FCA">
        <w:rPr>
          <w:rFonts w:ascii="Times New Roman" w:hAnsi="Times New Roman" w:cs="Times New Roman"/>
          <w:sz w:val="24"/>
        </w:rPr>
        <w:t xml:space="preserve"> </w:t>
      </w:r>
      <w:r w:rsidR="00DE232A" w:rsidRPr="00045921">
        <w:rPr>
          <w:rFonts w:ascii="Times New Roman" w:hAnsi="Times New Roman" w:cs="Times New Roman"/>
          <w:i/>
          <w:iCs/>
          <w:sz w:val="24"/>
        </w:rPr>
        <w:t>X</w:t>
      </w:r>
      <w:r w:rsidRPr="001E5FCA">
        <w:rPr>
          <w:rFonts w:ascii="Times New Roman" w:hAnsi="Times New Roman" w:cs="Times New Roman"/>
          <w:sz w:val="24"/>
        </w:rPr>
        <w:t xml:space="preserve"> μ</w:t>
      </w:r>
      <w:r w:rsidR="00EC23C6" w:rsidRPr="001E5FCA">
        <w:rPr>
          <w:rFonts w:ascii="Times New Roman" w:hAnsi="Times New Roman" w:cs="Times New Roman"/>
          <w:sz w:val="24"/>
        </w:rPr>
        <w:t>L</w:t>
      </w:r>
      <w:r w:rsidR="001E5FCA" w:rsidRPr="001E5FCA">
        <w:rPr>
          <w:rFonts w:ascii="Times New Roman" w:hAnsi="Times New Roman" w:cs="Times New Roman"/>
          <w:sz w:val="24"/>
          <w:vertAlign w:val="superscript"/>
        </w:rPr>
        <w:t>5</w:t>
      </w:r>
    </w:p>
    <w:p w14:paraId="3B4E5C1D" w14:textId="5D3D16C5" w:rsidR="00E20824" w:rsidRPr="001E5FCA" w:rsidRDefault="00E20824" w:rsidP="00DE232A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Taq polymerase (5 units/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EC23C6" w:rsidRPr="001E5FCA">
        <w:rPr>
          <w:rFonts w:ascii="Times New Roman" w:hAnsi="Times New Roman" w:cs="Times New Roman"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sz w:val="24"/>
        </w:rPr>
        <w:t>)</w:t>
      </w:r>
      <w:r w:rsidR="001E5FCA">
        <w:rPr>
          <w:rFonts w:ascii="Times New Roman" w:hAnsi="Times New Roman" w:cs="Times New Roman"/>
          <w:sz w:val="24"/>
          <w:vertAlign w:val="superscript"/>
        </w:rPr>
        <w:t>4</w:t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0.05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EC23C6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4830A006" w14:textId="7B4AF666" w:rsidR="00E20824" w:rsidRPr="001E5FCA" w:rsidRDefault="00E20824" w:rsidP="00DE232A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DNA solution (</w:t>
      </w:r>
      <w:r w:rsidR="00255EED" w:rsidRPr="001E5FCA">
        <w:rPr>
          <w:rFonts w:ascii="Times New Roman" w:hAnsi="Times New Roman" w:cs="Times New Roman"/>
          <w:sz w:val="24"/>
        </w:rPr>
        <w:t>5</w:t>
      </w:r>
      <w:r w:rsidRPr="001E5FCA">
        <w:rPr>
          <w:rFonts w:ascii="Times New Roman" w:hAnsi="Times New Roman" w:cs="Times New Roman"/>
          <w:sz w:val="24"/>
        </w:rPr>
        <w:t xml:space="preserve"> ng/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EC23C6" w:rsidRPr="001E5FCA">
        <w:rPr>
          <w:rFonts w:ascii="Times New Roman" w:hAnsi="Times New Roman" w:cs="Times New Roman"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sz w:val="24"/>
        </w:rPr>
        <w:t>)</w:t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0.50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EC23C6" w:rsidRPr="001E5FCA">
        <w:rPr>
          <w:rFonts w:ascii="Times New Roman" w:hAnsi="Times New Roman" w:cs="Times New Roman"/>
          <w:sz w:val="24"/>
        </w:rPr>
        <w:t>L</w:t>
      </w:r>
      <w:proofErr w:type="spellEnd"/>
    </w:p>
    <w:p w14:paraId="0C77D7B5" w14:textId="05DBA490" w:rsidR="00E20824" w:rsidRPr="001E5FCA" w:rsidRDefault="00E20824" w:rsidP="00DE232A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</w:rPr>
        <w:t>ddH</w:t>
      </w:r>
      <w:r w:rsidRPr="001E5FCA">
        <w:rPr>
          <w:rFonts w:ascii="Times New Roman" w:hAnsi="Times New Roman" w:cs="Times New Roman"/>
          <w:sz w:val="24"/>
          <w:vertAlign w:val="subscript"/>
        </w:rPr>
        <w:t>2</w:t>
      </w:r>
      <w:r w:rsidRPr="001E5FCA">
        <w:rPr>
          <w:rFonts w:ascii="Times New Roman" w:hAnsi="Times New Roman" w:cs="Times New Roman"/>
          <w:sz w:val="24"/>
        </w:rPr>
        <w:t>O</w:t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="00545E44" w:rsidRPr="001E5FCA">
        <w:rPr>
          <w:rFonts w:ascii="Times New Roman" w:hAnsi="Times New Roman" w:cs="Times New Roman"/>
          <w:sz w:val="24"/>
        </w:rPr>
        <w:tab/>
      </w:r>
      <w:r w:rsidRPr="001E5FCA">
        <w:rPr>
          <w:rFonts w:ascii="Times New Roman" w:hAnsi="Times New Roman" w:cs="Times New Roman"/>
          <w:sz w:val="24"/>
        </w:rPr>
        <w:t xml:space="preserve">Adjust to the final volume (7.5 </w:t>
      </w:r>
      <w:proofErr w:type="spellStart"/>
      <w:r w:rsidRPr="001E5FCA">
        <w:rPr>
          <w:rFonts w:ascii="Times New Roman" w:hAnsi="Times New Roman" w:cs="Times New Roman"/>
          <w:sz w:val="24"/>
        </w:rPr>
        <w:t>μ</w:t>
      </w:r>
      <w:r w:rsidR="00F16D91" w:rsidRPr="001E5FCA">
        <w:rPr>
          <w:rFonts w:ascii="Times New Roman" w:hAnsi="Times New Roman" w:cs="Times New Roman"/>
          <w:sz w:val="24"/>
        </w:rPr>
        <w:t>L</w:t>
      </w:r>
      <w:proofErr w:type="spellEnd"/>
      <w:r w:rsidRPr="001E5FCA">
        <w:rPr>
          <w:rFonts w:ascii="Times New Roman" w:hAnsi="Times New Roman" w:cs="Times New Roman"/>
          <w:sz w:val="24"/>
        </w:rPr>
        <w:t>)</w:t>
      </w:r>
    </w:p>
    <w:p w14:paraId="2188E834" w14:textId="5644E561" w:rsidR="00DB0AD2" w:rsidRPr="001E5FCA" w:rsidRDefault="001E5FCA" w:rsidP="00DE232A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4</w:t>
      </w:r>
      <w:r w:rsidR="00DB0AD2" w:rsidRPr="001E5FCA">
        <w:rPr>
          <w:rFonts w:ascii="Times New Roman" w:hAnsi="Times New Roman" w:cs="Times New Roman"/>
          <w:sz w:val="24"/>
        </w:rPr>
        <w:t>AmpliTaq Gold DNA polymerase (Applied Biosystems, Thermo Fisher Scientific)</w:t>
      </w:r>
      <w:r w:rsidR="00DB0AD2" w:rsidRPr="001E5FCA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05DED91" w14:textId="77777777" w:rsidR="00EE74DE" w:rsidRPr="001E5FCA" w:rsidRDefault="00EE74DE" w:rsidP="00EE74DE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2A33A4E3" w14:textId="3D72B2BE" w:rsidR="00FC5BA2" w:rsidRPr="001E5FCA" w:rsidRDefault="001E5FCA" w:rsidP="00DE232A">
      <w:pPr>
        <w:spacing w:line="276" w:lineRule="auto"/>
        <w:rPr>
          <w:rFonts w:ascii="Times New Roman" w:hAnsi="Times New Roman" w:cs="Times New Roman"/>
          <w:sz w:val="24"/>
        </w:rPr>
      </w:pPr>
      <w:r w:rsidRPr="001E5FCA">
        <w:rPr>
          <w:rFonts w:ascii="Times New Roman" w:hAnsi="Times New Roman" w:cs="Times New Roman"/>
          <w:sz w:val="24"/>
          <w:vertAlign w:val="superscript"/>
        </w:rPr>
        <w:t>5</w:t>
      </w:r>
      <w:r w:rsidR="001647B5" w:rsidRPr="001E5FCA">
        <w:rPr>
          <w:rFonts w:ascii="Times New Roman" w:hAnsi="Times New Roman" w:cs="Times New Roman"/>
          <w:sz w:val="24"/>
        </w:rPr>
        <w:t xml:space="preserve">As </w:t>
      </w:r>
      <w:r w:rsidR="00DE232A" w:rsidRPr="001E5FCA">
        <w:rPr>
          <w:rFonts w:ascii="Times New Roman" w:hAnsi="Times New Roman" w:cs="Times New Roman"/>
          <w:sz w:val="24"/>
        </w:rPr>
        <w:t xml:space="preserve">shown in </w:t>
      </w:r>
      <w:r w:rsidR="001647B5" w:rsidRPr="001E5FCA">
        <w:rPr>
          <w:rFonts w:ascii="Times New Roman" w:hAnsi="Times New Roman" w:cs="Times New Roman"/>
          <w:sz w:val="24"/>
        </w:rPr>
        <w:t>the table</w:t>
      </w:r>
      <w:r w:rsidR="00DE232A" w:rsidRPr="001E5FCA">
        <w:rPr>
          <w:rFonts w:ascii="Times New Roman" w:hAnsi="Times New Roman" w:cs="Times New Roman"/>
          <w:sz w:val="24"/>
        </w:rPr>
        <w:t xml:space="preserve"> </w:t>
      </w:r>
      <w:r w:rsidR="001647B5" w:rsidRPr="001E5FCA">
        <w:rPr>
          <w:rFonts w:ascii="Times New Roman" w:hAnsi="Times New Roman" w:cs="Times New Roman"/>
          <w:sz w:val="24"/>
        </w:rPr>
        <w:t xml:space="preserve">below, </w:t>
      </w:r>
      <w:r w:rsidR="00DE232A" w:rsidRPr="001E5FCA">
        <w:rPr>
          <w:rFonts w:ascii="Times New Roman" w:hAnsi="Times New Roman" w:cs="Times New Roman"/>
          <w:sz w:val="24"/>
        </w:rPr>
        <w:t>the volume of primers</w:t>
      </w:r>
      <w:r w:rsidR="001647B5" w:rsidRPr="001E5FCA">
        <w:rPr>
          <w:rFonts w:ascii="Times New Roman" w:hAnsi="Times New Roman" w:cs="Times New Roman"/>
          <w:sz w:val="24"/>
        </w:rPr>
        <w:t xml:space="preserve"> varied depending on the marker</w:t>
      </w:r>
      <w:r w:rsidR="00142A4A" w:rsidRPr="001E5FCA">
        <w:rPr>
          <w:rFonts w:ascii="Times New Roman" w:hAnsi="Times New Roman" w:cs="Times New Roman"/>
          <w:sz w:val="24"/>
        </w:rPr>
        <w:t xml:space="preserve"> </w:t>
      </w:r>
      <w:r w:rsidR="00783EC9" w:rsidRPr="001E5FCA">
        <w:rPr>
          <w:rFonts w:ascii="Times New Roman" w:hAnsi="Times New Roman" w:cs="Times New Roman"/>
          <w:sz w:val="24"/>
        </w:rPr>
        <w:t>being used</w:t>
      </w:r>
      <w:r w:rsidR="001647B5" w:rsidRPr="001E5FCA">
        <w:rPr>
          <w:rFonts w:ascii="Times New Roman" w:hAnsi="Times New Roman" w:cs="Times New Roman"/>
          <w:sz w:val="24"/>
        </w:rPr>
        <w:t>.</w:t>
      </w:r>
      <w:r w:rsidR="009433A1" w:rsidRPr="001E5FCA">
        <w:rPr>
          <w:rFonts w:ascii="Times New Roman" w:hAnsi="Times New Roman" w:cs="Times New Roman"/>
          <w:sz w:val="24"/>
        </w:rPr>
        <w:t xml:space="preserve"> </w:t>
      </w:r>
      <w:r w:rsidR="008F12A3" w:rsidRPr="001E5FCA">
        <w:rPr>
          <w:rFonts w:ascii="Times New Roman" w:hAnsi="Times New Roman" w:cs="Times New Roman"/>
          <w:sz w:val="24"/>
        </w:rPr>
        <w:t>E</w:t>
      </w:r>
      <w:r w:rsidR="005C33BF" w:rsidRPr="001E5FCA">
        <w:rPr>
          <w:rFonts w:ascii="Times New Roman" w:hAnsi="Times New Roman" w:cs="Times New Roman"/>
          <w:sz w:val="24"/>
        </w:rPr>
        <w:t>ach forward primer was labeled with a fluorescent dye (NED, PET, or VIC)</w:t>
      </w:r>
      <w:r w:rsidR="009433A1" w:rsidRPr="001E5FCA">
        <w:rPr>
          <w:rFonts w:ascii="Times New Roman" w:hAnsi="Times New Roman" w:cs="Times New Roman"/>
          <w:sz w:val="24"/>
        </w:rPr>
        <w:t xml:space="preserve">. </w:t>
      </w:r>
    </w:p>
    <w:tbl>
      <w:tblPr>
        <w:tblW w:w="87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1876"/>
        <w:gridCol w:w="1860"/>
        <w:gridCol w:w="1084"/>
      </w:tblGrid>
      <w:tr w:rsidR="00FC5BA2" w:rsidRPr="001E5FCA" w14:paraId="61852B0B" w14:textId="77777777" w:rsidTr="00E100E7">
        <w:trPr>
          <w:trHeight w:val="581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8572A" w14:textId="22CDEABD" w:rsidR="00FC5BA2" w:rsidRPr="001E5FCA" w:rsidRDefault="001647B5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  <w:r w:rsidR="00FC5BA2"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ultiplex panel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4E8DC" w14:textId="721462E6" w:rsidR="00FC5BA2" w:rsidRPr="001E5FCA" w:rsidRDefault="001647B5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Marker name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60A7A" w14:textId="0AAC1589" w:rsidR="00FC5BA2" w:rsidRPr="001E5FCA" w:rsidRDefault="001647B5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Fluorescent d</w:t>
            </w:r>
            <w:r w:rsidR="00FC5BA2"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ye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CB9E5" w14:textId="74400121" w:rsidR="00FC5BA2" w:rsidRPr="001E5FCA" w:rsidRDefault="005C33BF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Volume</w:t>
            </w:r>
            <w:r w:rsidR="001647B5"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of </w:t>
            </w:r>
            <w:r w:rsidR="00FC5BA2"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primer</w:t>
            </w:r>
            <w:r w:rsidR="001647B5"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="00FC5BA2"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(µ</w:t>
            </w:r>
            <w:r w:rsidR="001D7814"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  <w:r w:rsidR="00FC5BA2"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45C49" w14:textId="3FCB5893" w:rsidR="00FC5BA2" w:rsidRPr="001E5FCA" w:rsidRDefault="001647B5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Number of c</w:t>
            </w:r>
            <w:r w:rsidR="00FC5BA2"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ycle</w:t>
            </w: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E100E7" w:rsidRPr="001E5FCA" w14:paraId="6CED442C" w14:textId="77777777" w:rsidTr="00E100E7">
        <w:trPr>
          <w:trHeight w:val="400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5A5DBE" w14:textId="17F9567E" w:rsidR="00E100E7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CAF2A6" w14:textId="7C2C96D2" w:rsidR="00E100E7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Cch3-28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CBC617" w14:textId="2A69824E" w:rsidR="00E100E7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6-FAM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7B1687" w14:textId="525FA574" w:rsidR="00E100E7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0.30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1C1F65" w14:textId="4C8210EA" w:rsidR="00E100E7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</w:tr>
      <w:tr w:rsidR="00E100E7" w:rsidRPr="001E5FCA" w14:paraId="080B128F" w14:textId="77777777" w:rsidTr="0085083F">
        <w:trPr>
          <w:trHeight w:val="400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DAB750" w14:textId="77777777" w:rsidR="00E100E7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B76DC7" w14:textId="43D6E4BA" w:rsidR="00E100E7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Cch4-26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FB2C7B" w14:textId="49E60073" w:rsidR="00E100E7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E64591" w14:textId="4C59976A" w:rsidR="00E100E7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0.16</w:t>
            </w:r>
          </w:p>
        </w:tc>
        <w:tc>
          <w:tcPr>
            <w:tcW w:w="108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07D88B" w14:textId="77777777" w:rsidR="00E100E7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C5BA2" w:rsidRPr="001E5FCA" w14:paraId="26B2FA03" w14:textId="77777777" w:rsidTr="00E100E7">
        <w:trPr>
          <w:trHeight w:val="400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CE18E" w14:textId="36FB8F68" w:rsidR="00FC5BA2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ED56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Cch3-31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DEFF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VIC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C5E9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E5D6E" w14:textId="2964E6A2" w:rsidR="00FC5BA2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FC5BA2" w:rsidRPr="001E5FCA" w14:paraId="36527851" w14:textId="77777777" w:rsidTr="001647B5">
        <w:trPr>
          <w:trHeight w:val="400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2E0FA5" w14:textId="77777777" w:rsidR="00FC5BA2" w:rsidRPr="001E5FCA" w:rsidRDefault="00FC5BA2" w:rsidP="00FC5BA2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AFC83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Cch4-3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62A0C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NED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7DCF6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</w:t>
            </w: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049199" w14:textId="77777777" w:rsidR="00FC5BA2" w:rsidRPr="001E5FCA" w:rsidRDefault="00FC5BA2" w:rsidP="00FC5BA2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C5BA2" w:rsidRPr="001E5FCA" w14:paraId="04CB3A4B" w14:textId="77777777" w:rsidTr="001647B5">
        <w:trPr>
          <w:trHeight w:val="400"/>
        </w:trPr>
        <w:tc>
          <w:tcPr>
            <w:tcW w:w="212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E9E2F" w14:textId="3F7F9CA9" w:rsidR="00FC5BA2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33FC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Cch3-33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2C42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8E0E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EA41F" w14:textId="101A689E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="00E100E7"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FC5BA2" w:rsidRPr="001E5FCA" w14:paraId="3B139691" w14:textId="77777777" w:rsidTr="001647B5">
        <w:trPr>
          <w:trHeight w:val="400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87FA7C" w14:textId="77777777" w:rsidR="00FC5BA2" w:rsidRPr="001E5FCA" w:rsidRDefault="00FC5BA2" w:rsidP="00FC5BA2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1131C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Cch4-11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6C528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NED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65AE9" w14:textId="19D5634A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  <w:r w:rsidR="00E100E7"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FA6C24" w14:textId="77777777" w:rsidR="00FC5BA2" w:rsidRPr="001E5FCA" w:rsidRDefault="00FC5BA2" w:rsidP="00FC5BA2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C5BA2" w:rsidRPr="001E5FCA" w14:paraId="4D98F230" w14:textId="77777777" w:rsidTr="001647B5">
        <w:trPr>
          <w:trHeight w:val="400"/>
        </w:trPr>
        <w:tc>
          <w:tcPr>
            <w:tcW w:w="212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40B52" w14:textId="198692E2" w:rsidR="00FC5BA2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300A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Cch4-22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D503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A4B7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9C50A" w14:textId="2D7BD425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="00E100E7"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FC5BA2" w:rsidRPr="001E5FCA" w14:paraId="407A8DF9" w14:textId="77777777" w:rsidTr="001647B5">
        <w:trPr>
          <w:trHeight w:val="400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90084E" w14:textId="77777777" w:rsidR="00FC5BA2" w:rsidRPr="001E5FCA" w:rsidRDefault="00FC5BA2" w:rsidP="00FC5BA2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959D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Cch4-28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9CDA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NED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117E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</w:t>
            </w: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80CE63" w14:textId="77777777" w:rsidR="00FC5BA2" w:rsidRPr="001E5FCA" w:rsidRDefault="00FC5BA2" w:rsidP="00FC5BA2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C5BA2" w:rsidRPr="001E5FCA" w14:paraId="185D4A34" w14:textId="77777777" w:rsidTr="001647B5">
        <w:trPr>
          <w:trHeight w:val="400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A55369" w14:textId="77777777" w:rsidR="00FC5BA2" w:rsidRPr="001E5FCA" w:rsidRDefault="00FC5BA2" w:rsidP="00FC5BA2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DC7B3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Cch6-13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2EEBA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D2119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</w:t>
            </w: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9B9985" w14:textId="77777777" w:rsidR="00FC5BA2" w:rsidRPr="001E5FCA" w:rsidRDefault="00FC5BA2" w:rsidP="00FC5BA2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C5BA2" w:rsidRPr="001E5FCA" w14:paraId="0AE7BA14" w14:textId="77777777" w:rsidTr="001647B5">
        <w:trPr>
          <w:trHeight w:val="400"/>
        </w:trPr>
        <w:tc>
          <w:tcPr>
            <w:tcW w:w="212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459EC" w14:textId="3933F559" w:rsidR="00FC5BA2" w:rsidRPr="001E5FCA" w:rsidRDefault="00E100E7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92F2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Cch5-5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0A15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9C01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473B4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FC5BA2" w:rsidRPr="001E5FCA" w14:paraId="2C45568B" w14:textId="77777777" w:rsidTr="001647B5">
        <w:trPr>
          <w:trHeight w:val="400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DA4F9A" w14:textId="77777777" w:rsidR="00FC5BA2" w:rsidRPr="001E5FCA" w:rsidRDefault="00FC5BA2" w:rsidP="00FC5BA2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CCBF2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Cch6-17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8C646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NED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B5096" w14:textId="77777777" w:rsidR="00FC5BA2" w:rsidRPr="001E5FCA" w:rsidRDefault="00FC5BA2" w:rsidP="00FC5BA2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5FCA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</w:t>
            </w: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4F4635" w14:textId="77777777" w:rsidR="00FC5BA2" w:rsidRPr="001E5FCA" w:rsidRDefault="00FC5BA2" w:rsidP="00FC5BA2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EEB0154" w14:textId="77777777" w:rsidR="001647B5" w:rsidRPr="001E5FCA" w:rsidRDefault="001647B5" w:rsidP="001647B5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 w14:paraId="789EE52E" w14:textId="3D43C81F" w:rsidR="001647B5" w:rsidRPr="001E5FCA" w:rsidRDefault="001647B5" w:rsidP="001647B5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1E5FCA">
        <w:rPr>
          <w:rFonts w:ascii="Times New Roman" w:hAnsi="Times New Roman" w:cs="Times New Roman"/>
          <w:b/>
          <w:bCs/>
          <w:sz w:val="24"/>
        </w:rPr>
        <w:t>Reference</w:t>
      </w:r>
    </w:p>
    <w:p w14:paraId="12DB76BF" w14:textId="417C818E" w:rsidR="0033657F" w:rsidRPr="001E5FCA" w:rsidRDefault="001647B5" w:rsidP="001647B5">
      <w:pPr>
        <w:widowControl/>
        <w:spacing w:line="276" w:lineRule="auto"/>
        <w:ind w:left="425" w:hangingChars="177" w:hanging="425"/>
        <w:rPr>
          <w:rFonts w:ascii="Times New Roman" w:hAnsi="Times New Roman" w:cs="Times New Roman"/>
          <w:kern w:val="0"/>
          <w:sz w:val="24"/>
          <w14:ligatures w14:val="none"/>
        </w:rPr>
      </w:pPr>
      <w:r w:rsidRPr="001E5FCA">
        <w:rPr>
          <w:rFonts w:ascii="Times New Roman" w:hAnsi="Times New Roman" w:cs="Times New Roman"/>
          <w:kern w:val="0"/>
          <w:sz w:val="24"/>
          <w14:ligatures w14:val="none"/>
        </w:rPr>
        <w:t xml:space="preserve">Kobayashi M, Yusa Y, Sekino M (2020) Microsatellite DNA markers applicable to paternity inference in the androdioecious gooseneck barnacle </w:t>
      </w:r>
      <w:r w:rsidRPr="001E5FCA"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 xml:space="preserve">Octolasmis warwickii </w:t>
      </w:r>
      <w:r w:rsidRPr="001E5FCA">
        <w:rPr>
          <w:rFonts w:ascii="Times New Roman" w:hAnsi="Times New Roman" w:cs="Times New Roman"/>
          <w:kern w:val="0"/>
          <w:sz w:val="24"/>
          <w14:ligatures w14:val="none"/>
        </w:rPr>
        <w:t xml:space="preserve">(Lepadiformes: Poecilasmatidae). Mol Biol Rep 47:4885–4890. </w:t>
      </w:r>
      <w:hyperlink r:id="rId10" w:history="1">
        <w:r w:rsidRPr="001E5FCA">
          <w:rPr>
            <w:rStyle w:val="ae"/>
            <w:rFonts w:ascii="Times New Roman" w:hAnsi="Times New Roman" w:cs="Times New Roman"/>
            <w:kern w:val="0"/>
            <w:sz w:val="24"/>
            <w14:ligatures w14:val="none"/>
          </w:rPr>
          <w:t>https://doi.org/10.1007/s11033-020-05473-9</w:t>
        </w:r>
      </w:hyperlink>
    </w:p>
    <w:sectPr w:rsidR="0033657F" w:rsidRPr="001E5FCA" w:rsidSect="00C959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3C5B" w14:textId="77777777" w:rsidR="00BC2283" w:rsidRDefault="00BC2283" w:rsidP="007C7294">
      <w:r>
        <w:separator/>
      </w:r>
    </w:p>
  </w:endnote>
  <w:endnote w:type="continuationSeparator" w:id="0">
    <w:p w14:paraId="17E8D5D0" w14:textId="77777777" w:rsidR="00BC2283" w:rsidRDefault="00BC2283" w:rsidP="007C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B79D" w14:textId="77777777" w:rsidR="00BC2283" w:rsidRDefault="00BC2283" w:rsidP="007C7294">
      <w:r>
        <w:separator/>
      </w:r>
    </w:p>
  </w:footnote>
  <w:footnote w:type="continuationSeparator" w:id="0">
    <w:p w14:paraId="1B9721A4" w14:textId="77777777" w:rsidR="00BC2283" w:rsidRDefault="00BC2283" w:rsidP="007C7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025CB"/>
    <w:multiLevelType w:val="hybridMultilevel"/>
    <w:tmpl w:val="3D5A0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4D533C"/>
    <w:multiLevelType w:val="hybridMultilevel"/>
    <w:tmpl w:val="ECD06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E9418D"/>
    <w:multiLevelType w:val="hybridMultilevel"/>
    <w:tmpl w:val="096E1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9810441">
    <w:abstractNumId w:val="2"/>
  </w:num>
  <w:num w:numId="2" w16cid:durableId="819419866">
    <w:abstractNumId w:val="0"/>
  </w:num>
  <w:num w:numId="3" w16cid:durableId="1193180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AF"/>
    <w:rsid w:val="00040332"/>
    <w:rsid w:val="00045921"/>
    <w:rsid w:val="0005703B"/>
    <w:rsid w:val="00061B0D"/>
    <w:rsid w:val="00082BBC"/>
    <w:rsid w:val="00096412"/>
    <w:rsid w:val="000A4F02"/>
    <w:rsid w:val="00133118"/>
    <w:rsid w:val="00142A4A"/>
    <w:rsid w:val="001647B5"/>
    <w:rsid w:val="00194CE7"/>
    <w:rsid w:val="001D49EB"/>
    <w:rsid w:val="001D7814"/>
    <w:rsid w:val="001E5FCA"/>
    <w:rsid w:val="001F6643"/>
    <w:rsid w:val="0022782B"/>
    <w:rsid w:val="00245DD3"/>
    <w:rsid w:val="00255EED"/>
    <w:rsid w:val="00292350"/>
    <w:rsid w:val="002F6FC8"/>
    <w:rsid w:val="00307818"/>
    <w:rsid w:val="00312152"/>
    <w:rsid w:val="0033657F"/>
    <w:rsid w:val="00370EE8"/>
    <w:rsid w:val="00375957"/>
    <w:rsid w:val="003761CB"/>
    <w:rsid w:val="003A6E93"/>
    <w:rsid w:val="003E4E4D"/>
    <w:rsid w:val="003F7EE7"/>
    <w:rsid w:val="00415937"/>
    <w:rsid w:val="00440F96"/>
    <w:rsid w:val="00442223"/>
    <w:rsid w:val="00455EC1"/>
    <w:rsid w:val="0045622F"/>
    <w:rsid w:val="004D58ED"/>
    <w:rsid w:val="00522ED2"/>
    <w:rsid w:val="005248D1"/>
    <w:rsid w:val="00530C5D"/>
    <w:rsid w:val="00545E44"/>
    <w:rsid w:val="005659B2"/>
    <w:rsid w:val="005A1F19"/>
    <w:rsid w:val="005A5C45"/>
    <w:rsid w:val="005B3E2F"/>
    <w:rsid w:val="005C33BF"/>
    <w:rsid w:val="00601000"/>
    <w:rsid w:val="00603429"/>
    <w:rsid w:val="00606D32"/>
    <w:rsid w:val="0062115D"/>
    <w:rsid w:val="00666D5E"/>
    <w:rsid w:val="006B1FD5"/>
    <w:rsid w:val="006B6CBE"/>
    <w:rsid w:val="00712FDD"/>
    <w:rsid w:val="00724D47"/>
    <w:rsid w:val="00736F43"/>
    <w:rsid w:val="00757049"/>
    <w:rsid w:val="00775192"/>
    <w:rsid w:val="00782CA9"/>
    <w:rsid w:val="00783EC9"/>
    <w:rsid w:val="00792A60"/>
    <w:rsid w:val="007C7294"/>
    <w:rsid w:val="007C7359"/>
    <w:rsid w:val="008160FD"/>
    <w:rsid w:val="0083475D"/>
    <w:rsid w:val="008450AA"/>
    <w:rsid w:val="00846047"/>
    <w:rsid w:val="00864D7E"/>
    <w:rsid w:val="00865938"/>
    <w:rsid w:val="00894B04"/>
    <w:rsid w:val="00894D69"/>
    <w:rsid w:val="008D301B"/>
    <w:rsid w:val="008E6FAA"/>
    <w:rsid w:val="008F12A3"/>
    <w:rsid w:val="00932236"/>
    <w:rsid w:val="00935659"/>
    <w:rsid w:val="009433A1"/>
    <w:rsid w:val="00967A01"/>
    <w:rsid w:val="0097166D"/>
    <w:rsid w:val="009A14BE"/>
    <w:rsid w:val="009A6211"/>
    <w:rsid w:val="009B6F15"/>
    <w:rsid w:val="009D17A4"/>
    <w:rsid w:val="00A24BCD"/>
    <w:rsid w:val="00A413C1"/>
    <w:rsid w:val="00A45498"/>
    <w:rsid w:val="00A87A33"/>
    <w:rsid w:val="00AA546C"/>
    <w:rsid w:val="00AD7582"/>
    <w:rsid w:val="00B07546"/>
    <w:rsid w:val="00B13C22"/>
    <w:rsid w:val="00B33D6F"/>
    <w:rsid w:val="00B34F4F"/>
    <w:rsid w:val="00B43CFB"/>
    <w:rsid w:val="00B679DE"/>
    <w:rsid w:val="00B83F5B"/>
    <w:rsid w:val="00BA3613"/>
    <w:rsid w:val="00BC2283"/>
    <w:rsid w:val="00BD0A59"/>
    <w:rsid w:val="00BD234F"/>
    <w:rsid w:val="00C30A05"/>
    <w:rsid w:val="00C3156D"/>
    <w:rsid w:val="00C55848"/>
    <w:rsid w:val="00C74E25"/>
    <w:rsid w:val="00C95996"/>
    <w:rsid w:val="00CA3BB5"/>
    <w:rsid w:val="00CD0001"/>
    <w:rsid w:val="00CF4F86"/>
    <w:rsid w:val="00D04AAF"/>
    <w:rsid w:val="00D10830"/>
    <w:rsid w:val="00D43687"/>
    <w:rsid w:val="00D602BE"/>
    <w:rsid w:val="00D903D9"/>
    <w:rsid w:val="00D96404"/>
    <w:rsid w:val="00DB0AD2"/>
    <w:rsid w:val="00DE232A"/>
    <w:rsid w:val="00DF66E1"/>
    <w:rsid w:val="00DF7800"/>
    <w:rsid w:val="00E100E7"/>
    <w:rsid w:val="00E20824"/>
    <w:rsid w:val="00E31BE7"/>
    <w:rsid w:val="00E46BCC"/>
    <w:rsid w:val="00E503FC"/>
    <w:rsid w:val="00E8110B"/>
    <w:rsid w:val="00E87379"/>
    <w:rsid w:val="00EA1F3B"/>
    <w:rsid w:val="00EB7B6E"/>
    <w:rsid w:val="00EC23C6"/>
    <w:rsid w:val="00EE74DE"/>
    <w:rsid w:val="00EF2CA7"/>
    <w:rsid w:val="00F036AD"/>
    <w:rsid w:val="00F16D91"/>
    <w:rsid w:val="00F51DC0"/>
    <w:rsid w:val="00F751CD"/>
    <w:rsid w:val="00F7579C"/>
    <w:rsid w:val="00FA2C96"/>
    <w:rsid w:val="00FC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7F4B4"/>
  <w15:chartTrackingRefBased/>
  <w15:docId w15:val="{1AE75991-2B39-6245-8E45-32E71CCB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A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A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A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A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A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A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A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A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A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A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4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A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A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A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A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A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A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A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AA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D234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234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234F"/>
  </w:style>
  <w:style w:type="character" w:styleId="ae">
    <w:name w:val="Hyperlink"/>
    <w:basedOn w:val="a0"/>
    <w:uiPriority w:val="99"/>
    <w:unhideWhenUsed/>
    <w:rsid w:val="00BD234F"/>
    <w:rPr>
      <w:color w:val="467886" w:themeColor="hyperlink"/>
      <w:u w:val="single"/>
    </w:rPr>
  </w:style>
  <w:style w:type="paragraph" w:styleId="af">
    <w:name w:val="Revision"/>
    <w:hidden/>
    <w:uiPriority w:val="99"/>
    <w:semiHidden/>
    <w:rsid w:val="00BD0A59"/>
  </w:style>
  <w:style w:type="paragraph" w:styleId="af0">
    <w:name w:val="header"/>
    <w:basedOn w:val="a"/>
    <w:link w:val="af1"/>
    <w:uiPriority w:val="99"/>
    <w:unhideWhenUsed/>
    <w:rsid w:val="007C729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C7294"/>
  </w:style>
  <w:style w:type="paragraph" w:styleId="af2">
    <w:name w:val="footer"/>
    <w:basedOn w:val="a"/>
    <w:link w:val="af3"/>
    <w:uiPriority w:val="99"/>
    <w:unhideWhenUsed/>
    <w:rsid w:val="007C729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C7294"/>
  </w:style>
  <w:style w:type="paragraph" w:styleId="af4">
    <w:name w:val="annotation subject"/>
    <w:basedOn w:val="ac"/>
    <w:next w:val="ac"/>
    <w:link w:val="af5"/>
    <w:uiPriority w:val="99"/>
    <w:semiHidden/>
    <w:unhideWhenUsed/>
    <w:rsid w:val="007C7294"/>
    <w:rPr>
      <w:b/>
      <w:bCs/>
    </w:rPr>
  </w:style>
  <w:style w:type="character" w:customStyle="1" w:styleId="af5">
    <w:name w:val="コメント内容 (文字)"/>
    <w:basedOn w:val="ad"/>
    <w:link w:val="af4"/>
    <w:uiPriority w:val="99"/>
    <w:semiHidden/>
    <w:rsid w:val="007C7294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1E5F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033-020-05473-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7/s11033-020-05473-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1033-020-05473-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F4D45D-036B-174E-A8DF-CDC04CB3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Masami Tamechika</dc:creator>
  <cp:keywords/>
  <dc:description/>
  <cp:lastModifiedBy>Masami Tamechika</cp:lastModifiedBy>
  <cp:revision>3</cp:revision>
  <dcterms:created xsi:type="dcterms:W3CDTF">2025-06-26T04:36:00Z</dcterms:created>
  <dcterms:modified xsi:type="dcterms:W3CDTF">2025-06-26T05:20:00Z</dcterms:modified>
</cp:coreProperties>
</file>