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337D1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 for</w:t>
      </w:r>
    </w:p>
    <w:p w14:paraId="29411C5A"/>
    <w:p w14:paraId="41E970DA">
      <w:pPr>
        <w:jc w:val="center"/>
        <w:rPr>
          <w:rFonts w:hint="default" w:ascii="Times New Roman" w:hAnsi="Times New Roman" w:cs="Times New Roman"/>
          <w:b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</w:rPr>
        <w:t>Camouflaged Nanorobots Target and Drive the Subcellular Organelle Crosstalk Pattern of Innate Immune Cells to Promote Neural Regeneration</w:t>
      </w:r>
    </w:p>
    <w:p w14:paraId="56E557E0">
      <w:pPr>
        <w:jc w:val="center"/>
        <w:rPr>
          <w:rFonts w:hint="eastAsia" w:eastAsia="宋体" w:cs="Times New Roman"/>
          <w:b w:val="0"/>
          <w:bCs/>
          <w:sz w:val="28"/>
          <w:szCs w:val="28"/>
          <w:lang w:val="en-US" w:eastAsia="zh-CN"/>
        </w:rPr>
      </w:pPr>
    </w:p>
    <w:p w14:paraId="4EFEE32A">
      <w:pPr>
        <w:jc w:val="center"/>
        <w:rPr>
          <w:rFonts w:hint="default" w:eastAsia="宋体" w:cs="Times New Roman"/>
          <w:b w:val="0"/>
          <w:bCs/>
          <w:i/>
          <w:iCs/>
          <w:sz w:val="24"/>
          <w:szCs w:val="24"/>
          <w:lang w:val="en-US" w:eastAsia="zh-CN"/>
        </w:rPr>
      </w:pPr>
      <w:r>
        <w:rPr>
          <w:rFonts w:hint="eastAsia" w:eastAsia="宋体" w:cs="Times New Roman"/>
          <w:b w:val="0"/>
          <w:bCs/>
          <w:sz w:val="24"/>
          <w:szCs w:val="24"/>
          <w:lang w:val="en-US" w:eastAsia="zh-CN"/>
        </w:rPr>
        <w:t xml:space="preserve">Qiangqiang Guo </w:t>
      </w:r>
      <w:r>
        <w:rPr>
          <w:rFonts w:hint="eastAsia" w:eastAsia="宋体" w:cs="Times New Roman"/>
          <w:b w:val="0"/>
          <w:bCs/>
          <w:i/>
          <w:iCs/>
          <w:sz w:val="24"/>
          <w:szCs w:val="24"/>
          <w:lang w:val="en-US" w:eastAsia="zh-CN"/>
        </w:rPr>
        <w:t>et al.</w:t>
      </w:r>
    </w:p>
    <w:p w14:paraId="339B31F7">
      <w:pPr>
        <w:jc w:val="center"/>
        <w:rPr>
          <w:sz w:val="28"/>
          <w:szCs w:val="28"/>
        </w:rPr>
      </w:pPr>
    </w:p>
    <w:p w14:paraId="050BA42C">
      <w:pPr>
        <w:pStyle w:val="143"/>
      </w:pPr>
      <w:r>
        <w:t>Corresponding authors</w:t>
      </w:r>
      <w:r>
        <w:rPr>
          <w:lang w:val="en-US" w:eastAsia="zh-CN"/>
        </w:rPr>
        <w:t xml:space="preserve">. Email: </w:t>
      </w:r>
      <w:r>
        <w:rPr>
          <w:rFonts w:hint="eastAsia"/>
          <w:lang w:val="en-US" w:eastAsia="zh-CN"/>
        </w:rPr>
        <w:t xml:space="preserve">Yong Gu, </w:t>
      </w:r>
      <w:r>
        <w:rPr>
          <w:rFonts w:hint="default"/>
          <w:lang w:val="en-US" w:eastAsia="zh-CN"/>
        </w:rPr>
        <w:t>guyongsuzhou@163.com;</w:t>
      </w:r>
      <w:r>
        <w:rPr>
          <w:rFonts w:hint="eastAsia"/>
          <w:lang w:val="en-US" w:eastAsia="zh-CN"/>
        </w:rPr>
        <w:t xml:space="preserve"> Xuesong Zhu,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"mailto:zhuxs@suda.edu.cn;"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2"/>
          <w:rFonts w:hint="eastAsia"/>
          <w:lang w:val="en-US" w:eastAsia="zh-CN"/>
        </w:rPr>
        <w:t>zhuxs@suda.edu.cn;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Liang Chen, </w:t>
      </w:r>
      <w:r>
        <w:rPr>
          <w:rFonts w:hint="default"/>
          <w:lang w:val="en-US" w:eastAsia="zh-CN"/>
        </w:rPr>
        <w:t>chenliang1972@sina.com</w:t>
      </w:r>
      <w:r>
        <w:rPr>
          <w:rFonts w:hint="eastAsia"/>
          <w:lang w:val="en-US" w:eastAsia="zh-CN"/>
        </w:rPr>
        <w:t xml:space="preserve">; Kun Xi, </w:t>
      </w:r>
      <w:r>
        <w:rPr>
          <w:lang w:val="en-US" w:eastAsia="zh-CN"/>
        </w:rPr>
        <w:t>sudaxk@163.com</w:t>
      </w:r>
    </w:p>
    <w:p w14:paraId="71939F02">
      <w:pPr>
        <w:jc w:val="left"/>
      </w:pPr>
    </w:p>
    <w:p w14:paraId="3A1047ED">
      <w:pPr>
        <w:jc w:val="left"/>
        <w:rPr>
          <w:szCs w:val="24"/>
        </w:rPr>
      </w:pPr>
    </w:p>
    <w:p w14:paraId="223EBBEB"/>
    <w:p w14:paraId="5BBBF32C">
      <w:pPr>
        <w:rPr>
          <w:b/>
        </w:rPr>
      </w:pPr>
    </w:p>
    <w:p w14:paraId="546CBFCA">
      <w:pPr>
        <w:rPr>
          <w:b/>
        </w:rPr>
      </w:pPr>
      <w:r>
        <w:rPr>
          <w:b/>
        </w:rPr>
        <w:t>This PDF file includes:</w:t>
      </w:r>
    </w:p>
    <w:p w14:paraId="6B069C4B"/>
    <w:p w14:paraId="601D5AC3">
      <w:pPr>
        <w:pStyle w:val="34"/>
        <w:kinsoku w:val="0"/>
        <w:autoSpaceDE w:val="0"/>
        <w:autoSpaceDN w:val="0"/>
        <w:adjustRightInd w:val="0"/>
        <w:snapToGrid w:val="0"/>
        <w:spacing w:before="70" w:after="0" w:line="190" w:lineRule="auto"/>
        <w:ind w:left="715"/>
        <w:jc w:val="left"/>
        <w:textAlignment w:val="baseline"/>
        <w:rPr>
          <w:rFonts w:hint="eastAsia" w:ascii="Times New Roman" w:hAnsi="Times New Roman" w:eastAsia="Times New Roman" w:cs="Times New Roman"/>
          <w:snapToGrid w:val="0"/>
          <w:color w:val="231F20"/>
          <w:spacing w:val="-3"/>
          <w:kern w:val="0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snapToGrid w:val="0"/>
          <w:color w:val="231F20"/>
          <w:spacing w:val="-3"/>
          <w:kern w:val="0"/>
          <w:szCs w:val="24"/>
        </w:rPr>
        <w:t>Figs. S1 to S1</w:t>
      </w:r>
      <w:r>
        <w:rPr>
          <w:rFonts w:hint="eastAsia" w:ascii="Times New Roman" w:hAnsi="Times New Roman" w:eastAsia="Times New Roman" w:cs="Times New Roman"/>
          <w:snapToGrid w:val="0"/>
          <w:color w:val="231F20"/>
          <w:spacing w:val="-3"/>
          <w:kern w:val="0"/>
          <w:szCs w:val="24"/>
          <w:lang w:val="en-US" w:eastAsia="zh-CN"/>
        </w:rPr>
        <w:t>8</w:t>
      </w:r>
    </w:p>
    <w:p w14:paraId="47033234">
      <w:pPr>
        <w:pStyle w:val="34"/>
        <w:kinsoku w:val="0"/>
        <w:autoSpaceDE w:val="0"/>
        <w:autoSpaceDN w:val="0"/>
        <w:adjustRightInd w:val="0"/>
        <w:snapToGrid w:val="0"/>
        <w:spacing w:before="70" w:after="0" w:line="190" w:lineRule="auto"/>
        <w:ind w:left="715"/>
        <w:jc w:val="left"/>
        <w:textAlignment w:val="baseline"/>
        <w:rPr>
          <w:rFonts w:ascii="Times New Roman" w:hAnsi="Times New Roman" w:eastAsia="Times New Roman" w:cs="Times New Roman"/>
          <w:snapToGrid w:val="0"/>
          <w:color w:val="231F20"/>
          <w:spacing w:val="-3"/>
          <w:kern w:val="0"/>
          <w:szCs w:val="24"/>
        </w:rPr>
      </w:pPr>
      <w:r>
        <w:rPr>
          <w:rFonts w:ascii="Times New Roman" w:hAnsi="Times New Roman" w:eastAsia="Times New Roman" w:cs="Times New Roman"/>
          <w:snapToGrid w:val="0"/>
          <w:color w:val="231F20"/>
          <w:spacing w:val="-3"/>
          <w:kern w:val="0"/>
          <w:szCs w:val="24"/>
        </w:rPr>
        <w:t>Table S1</w:t>
      </w:r>
    </w:p>
    <w:p w14:paraId="68691C5A"/>
    <w:p w14:paraId="23718CE0">
      <w:pPr>
        <w:ind w:left="720"/>
      </w:pPr>
      <w:r>
        <w:br w:type="textWrapping"/>
      </w:r>
    </w:p>
    <w:p w14:paraId="7F6E0C41">
      <w:pPr>
        <w:pStyle w:val="101"/>
      </w:pPr>
      <w:r>
        <w:br w:type="page"/>
      </w:r>
      <w:bookmarkStart w:id="0" w:name="Tables"/>
      <w:bookmarkEnd w:id="0"/>
      <w:bookmarkStart w:id="1" w:name="MaterialsMethods"/>
      <w:bookmarkEnd w:id="1"/>
    </w:p>
    <w:p w14:paraId="56F29DC2">
      <w:pPr>
        <w:pStyle w:val="103"/>
        <w:ind w:firstLine="0"/>
      </w:pPr>
    </w:p>
    <w:p w14:paraId="08DC9151">
      <w:pPr>
        <w:pStyle w:val="104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9720" cy="1647190"/>
            <wp:effectExtent l="0" t="0" r="5080" b="3810"/>
            <wp:docPr id="11" name="图片 11" descr="现象代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现象代谢"/>
                    <pic:cNvPicPr>
                      <a:picLocks noChangeAspect="1"/>
                    </pic:cNvPicPr>
                  </pic:nvPicPr>
                  <pic:blipFill>
                    <a:blip r:embed="rId6"/>
                    <a:srcRect l="19706" t="39816" r="21093" b="27959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7446">
      <w:pP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720" w:footer="720" w:gutter="0"/>
          <w:pgNumType w:start="1"/>
          <w:cols w:space="720" w:num="1"/>
          <w:docGrid w:linePitch="360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Supplementary Figure 1.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</w:rPr>
        <w:t>Heat map of differential metabolites in macrophages</w:t>
      </w:r>
      <w:r>
        <w:rPr>
          <w:rFonts w:hint="default" w:ascii="Times New Roman" w:hAnsi="Times New Roman" w:cs="Times New Roman"/>
          <w:b/>
          <w:bCs/>
          <w:szCs w:val="21"/>
          <w:lang w:val="en-US" w:eastAsia="zh-CN"/>
        </w:rPr>
        <w:t xml:space="preserve"> (n=4)</w:t>
      </w:r>
      <w:r>
        <w:rPr>
          <w:rFonts w:hint="eastAsia" w:cs="Times New Roman"/>
          <w:b/>
          <w:bCs/>
          <w:szCs w:val="21"/>
          <w:lang w:val="en-US" w:eastAsia="zh-CN"/>
        </w:rPr>
        <w:t>.</w:t>
      </w:r>
    </w:p>
    <w:p w14:paraId="63A6E801"/>
    <w:p w14:paraId="6F73A8CF">
      <w:pPr>
        <w:jc w:val="left"/>
      </w:pPr>
      <w:r>
        <w:drawing>
          <wp:inline distT="0" distB="0" distL="0" distR="0">
            <wp:extent cx="1696085" cy="1631950"/>
            <wp:effectExtent l="0" t="0" r="5715" b="635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7779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79F345">
      <w:pPr>
        <w:rPr>
          <w:rFonts w:hint="default" w:ascii="Times New Roman" w:hAnsi="Times New Roman" w:cs="Times New Roman"/>
          <w:b/>
          <w:bCs/>
          <w:szCs w:val="21"/>
        </w:rPr>
        <w:sectPr>
          <w:pgSz w:w="11906" w:h="16838"/>
          <w:pgMar w:top="1440" w:right="1440" w:bottom="1440" w:left="1440" w:header="720" w:footer="720" w:gutter="0"/>
          <w:pgNumType w:start="1"/>
          <w:cols w:space="720" w:num="1"/>
          <w:docGrid w:linePitch="360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The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EDS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of BP@D.</w:t>
      </w:r>
    </w:p>
    <w:p w14:paraId="6EBB8AD6">
      <w:pPr>
        <w:rPr>
          <w:rFonts w:ascii="Arial" w:hAnsi="Arial" w:cs="Arial"/>
          <w:szCs w:val="21"/>
        </w:rPr>
      </w:pPr>
    </w:p>
    <w:p w14:paraId="732BED26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2829560" cy="2923540"/>
            <wp:effectExtent l="0" t="0" r="2540" b="10160"/>
            <wp:docPr id="3" name="图片 3" descr="中性粒细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性粒细胞"/>
                    <pic:cNvPicPr>
                      <a:picLocks noChangeAspect="1"/>
                    </pic:cNvPicPr>
                  </pic:nvPicPr>
                  <pic:blipFill>
                    <a:blip r:embed="rId8"/>
                    <a:srcRect l="39862" t="24698" r="41527" b="41120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418F">
      <w:pPr>
        <w:rPr>
          <w:rFonts w:hint="default" w:ascii="Times New Roman" w:hAnsi="Times New Roman" w:cs="Times New Roman"/>
          <w:b/>
          <w:bCs/>
          <w:szCs w:val="21"/>
        </w:rPr>
        <w:sectPr>
          <w:pgSz w:w="11906" w:h="16838"/>
          <w:pgMar w:top="1440" w:right="1440" w:bottom="1440" w:left="1440" w:header="720" w:footer="720" w:gutter="0"/>
          <w:pgNumType w:start="1"/>
          <w:cols w:space="720" w:num="1"/>
          <w:docGrid w:linePitch="360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Dual-color flow cytometry for neutrophil identification.</w:t>
      </w:r>
    </w:p>
    <w:p w14:paraId="5C2C9D16">
      <w:pPr>
        <w:rPr>
          <w:rFonts w:hint="eastAsia" w:ascii="Arial" w:hAnsi="Arial" w:cs="Arial" w:eastAsiaTheme="minorEastAsia"/>
          <w:szCs w:val="21"/>
          <w:lang w:eastAsia="zh-CN"/>
        </w:rPr>
      </w:pPr>
      <w:r>
        <w:rPr>
          <w:rFonts w:hint="eastAsia" w:ascii="Arial" w:hAnsi="Arial" w:cs="Arial" w:eastAsiaTheme="minorEastAsia"/>
          <w:szCs w:val="21"/>
          <w:lang w:eastAsia="zh-CN"/>
        </w:rPr>
        <w:drawing>
          <wp:inline distT="0" distB="0" distL="114300" distR="114300">
            <wp:extent cx="2536190" cy="2423160"/>
            <wp:effectExtent l="0" t="0" r="3810" b="2540"/>
            <wp:docPr id="16" name="图片 16" descr="Zeta 电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Zeta 电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75DD">
      <w:pPr>
        <w:rPr>
          <w:rFonts w:hint="default" w:ascii="Arial" w:hAnsi="Arial" w:cs="Arial" w:eastAsiaTheme="minorEastAsia"/>
          <w:szCs w:val="21"/>
          <w:lang w:eastAsia="zh-CN"/>
        </w:rPr>
        <w:sectPr>
          <w:pgSz w:w="11906" w:h="16838"/>
          <w:pgMar w:top="1440" w:right="1440" w:bottom="1440" w:left="1440" w:header="720" w:footer="720" w:gutter="0"/>
          <w:pgNumType w:start="1"/>
          <w:cols w:space="720" w:num="1"/>
          <w:docGrid w:linePitch="360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The zeta potential of BP@D, NM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Cs w:val="21"/>
        </w:rPr>
        <w:t>, and BP@D/N (n=3)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.</w:t>
      </w:r>
    </w:p>
    <w:p w14:paraId="3DB99A09">
      <w:pPr>
        <w:rPr>
          <w:rFonts w:ascii="Arial" w:hAnsi="Arial" w:cs="Arial"/>
          <w:szCs w:val="21"/>
        </w:rPr>
      </w:pPr>
    </w:p>
    <w:p w14:paraId="03799006">
      <w:pPr>
        <w:rPr>
          <w:rFonts w:hint="eastAsia" w:ascii="Arial" w:hAnsi="Arial" w:eastAsia="宋体" w:cs="Arial"/>
          <w:szCs w:val="21"/>
          <w:lang w:eastAsia="zh-CN"/>
        </w:rPr>
      </w:pPr>
    </w:p>
    <w:p w14:paraId="4FAA8460">
      <w:pPr>
        <w:rPr>
          <w:rFonts w:hint="eastAsia" w:ascii="Arial" w:hAnsi="Arial" w:eastAsia="宋体" w:cs="Arial"/>
          <w:szCs w:val="21"/>
          <w:lang w:eastAsia="zh-CN"/>
        </w:rPr>
      </w:pPr>
      <w:r>
        <w:rPr>
          <w:rFonts w:hint="eastAsia" w:ascii="Arial" w:hAnsi="Arial" w:eastAsia="宋体" w:cs="Arial"/>
          <w:szCs w:val="21"/>
          <w:lang w:eastAsia="zh-CN"/>
        </w:rPr>
        <w:drawing>
          <wp:inline distT="0" distB="0" distL="114300" distR="114300">
            <wp:extent cx="5125720" cy="2277110"/>
            <wp:effectExtent l="0" t="0" r="0" b="0"/>
            <wp:docPr id="2" name="图片 2" descr="内质网和极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内质网和极化"/>
                    <pic:cNvPicPr>
                      <a:picLocks noChangeAspect="1"/>
                    </pic:cNvPicPr>
                  </pic:nvPicPr>
                  <pic:blipFill>
                    <a:blip r:embed="rId10"/>
                    <a:srcRect l="3847" t="15510" r="6663" b="13816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384F">
      <w:pPr>
        <w:rPr>
          <w:rFonts w:hint="default" w:ascii="Arial" w:hAnsi="Arial" w:cs="Arial"/>
          <w:szCs w:val="21"/>
        </w:rPr>
        <w:sectPr>
          <w:pgSz w:w="11906" w:h="16838"/>
          <w:pgMar w:top="1440" w:right="1440" w:bottom="1440" w:left="1440" w:header="720" w:footer="720" w:gutter="0"/>
          <w:pgNumType w:start="1"/>
          <w:cols w:space="720" w:num="1"/>
          <w:docGrid w:linePitch="360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 xml:space="preserve">Supplementary Figure </w:t>
      </w:r>
      <w:r>
        <w:rPr>
          <w:rFonts w:hint="eastAsia" w:eastAsia="宋体" w:cs="Times New Roman"/>
          <w:b/>
          <w:bCs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.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 xml:space="preserve"> </w:t>
      </w:r>
      <w:r>
        <w:rPr>
          <w:b/>
          <w:bCs/>
          <w:highlight w:val="none"/>
        </w:rPr>
        <w:t>C</w:t>
      </w:r>
      <w:r>
        <w:rPr>
          <w:b/>
          <w:bCs/>
        </w:rPr>
        <w:t xml:space="preserve">amouflaged nanorobots alleviate </w:t>
      </w:r>
      <w:r>
        <w:rPr>
          <w:rFonts w:hint="eastAsia"/>
          <w:b/>
          <w:bCs/>
        </w:rPr>
        <w:t>Oxidative stress</w:t>
      </w:r>
      <w:r>
        <w:rPr>
          <w:rFonts w:hint="eastAsia" w:eastAsia="宋体"/>
          <w:b/>
          <w:bCs/>
          <w:lang w:val="en-US" w:eastAsia="zh-CN"/>
        </w:rPr>
        <w:t xml:space="preserve"> and </w:t>
      </w:r>
      <w:r>
        <w:rPr>
          <w:b/>
          <w:bCs/>
        </w:rPr>
        <w:t>ERS in Mφ.</w:t>
      </w:r>
      <w:r>
        <w:rPr>
          <w:rFonts w:hint="eastAsia" w:eastAsia="宋体"/>
          <w:b/>
          <w:bCs/>
          <w:lang w:val="en-US" w:eastAsia="zh-CN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a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Semi-quantitative immunofluorescence of DCFH-DA</w:t>
      </w:r>
      <w:r>
        <w:rPr>
          <w:rFonts w:hint="eastAsia" w:eastAsia="宋体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szCs w:val="21"/>
        </w:rPr>
        <w:t xml:space="preserve"> Semi-quantitative immunofluorescence of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GRP78, ATF6, IRE1, PERK.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06E04C1E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2797810" cy="2389505"/>
            <wp:effectExtent l="0" t="0" r="8890" b="10795"/>
            <wp:docPr id="18" name="图片 18" descr="细胞内钙离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细胞内钙离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830F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Detection of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Ca</w:t>
      </w:r>
      <w:r>
        <w:rPr>
          <w:rFonts w:hint="eastAsia" w:eastAsia="宋体" w:cs="Times New Roman"/>
          <w:b/>
          <w:bCs/>
          <w:szCs w:val="21"/>
          <w:vertAlign w:val="superscript"/>
          <w:lang w:val="en-US" w:eastAsia="zh-CN"/>
        </w:rPr>
        <w:t>2+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in the cytoplasm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in </w:t>
      </w:r>
      <w:r>
        <w:rPr>
          <w:b/>
          <w:bCs/>
        </w:rPr>
        <w:t>Mφ.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 xml:space="preserve">Quantitative analysis of </w:t>
      </w:r>
      <w:r>
        <w:rPr>
          <w:rFonts w:hint="eastAsia" w:eastAsia="宋体" w:cs="Times New Roman"/>
          <w:szCs w:val="21"/>
          <w:lang w:val="en-US" w:eastAsia="zh-CN"/>
        </w:rPr>
        <w:t>Ca</w:t>
      </w:r>
      <w:r>
        <w:rPr>
          <w:rFonts w:hint="eastAsia" w:eastAsia="宋体" w:cs="Times New Roman"/>
          <w:szCs w:val="21"/>
          <w:vertAlign w:val="superscript"/>
          <w:lang w:val="en-US" w:eastAsia="zh-CN"/>
        </w:rPr>
        <w:t>2+</w:t>
      </w:r>
      <w:r>
        <w:rPr>
          <w:rFonts w:hint="default" w:ascii="Times New Roman" w:hAnsi="Times New Roman" w:cs="Times New Roman"/>
          <w:szCs w:val="21"/>
        </w:rPr>
        <w:t xml:space="preserve"> in </w:t>
      </w:r>
      <w:r>
        <w:rPr>
          <w:b w:val="0"/>
          <w:bCs w:val="0"/>
        </w:rPr>
        <w:t>Mφ</w:t>
      </w:r>
      <w:r>
        <w:rPr>
          <w:rFonts w:hint="default" w:ascii="Times New Roman" w:hAnsi="Times New Roman" w:cs="Times New Roman"/>
          <w:szCs w:val="21"/>
        </w:rPr>
        <w:t xml:space="preserve"> cytoplasm by flow cytometry.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23D2309D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2822575" cy="2395855"/>
            <wp:effectExtent l="0" t="0" r="9525" b="4445"/>
            <wp:docPr id="19" name="图片 19" descr="mP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PT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7072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.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szCs w:val="21"/>
        </w:rPr>
        <w:t>etection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of </w:t>
      </w:r>
      <w:r>
        <w:rPr>
          <w:rFonts w:hint="default" w:ascii="Times New Roman" w:hAnsi="Times New Roman" w:cs="Times New Roman"/>
          <w:b/>
          <w:bCs/>
          <w:szCs w:val="21"/>
        </w:rPr>
        <w:t>openness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of </w:t>
      </w:r>
      <w:r>
        <w:rPr>
          <w:rFonts w:hint="default" w:ascii="Times New Roman" w:hAnsi="Times New Roman" w:cs="Times New Roman"/>
          <w:b/>
          <w:bCs/>
          <w:szCs w:val="21"/>
        </w:rPr>
        <w:t>mPTP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Cs w:val="21"/>
        </w:rPr>
        <w:t xml:space="preserve">Immunofluorescence semi-quantification of </w:t>
      </w:r>
      <w:r>
        <w:rPr>
          <w:b w:val="0"/>
          <w:bCs w:val="0"/>
        </w:rPr>
        <w:t>Mφ</w:t>
      </w:r>
      <w:r>
        <w:rPr>
          <w:rFonts w:hint="default" w:ascii="Times New Roman" w:hAnsi="Times New Roman" w:cs="Times New Roman"/>
          <w:szCs w:val="21"/>
        </w:rPr>
        <w:t xml:space="preserve"> mitochondrial permeability transition pore (mPTPT).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1193351F">
      <w:pPr>
        <w:rPr>
          <w:rFonts w:hint="eastAsia" w:ascii="Arial" w:hAnsi="Arial" w:cs="Arial"/>
          <w:szCs w:val="21"/>
        </w:rPr>
      </w:pPr>
      <w:r>
        <w:rPr>
          <w:rFonts w:hint="eastAsia" w:ascii="Arial" w:hAnsi="Arial" w:cs="Arial"/>
          <w:szCs w:val="21"/>
        </w:rPr>
        <w:drawing>
          <wp:inline distT="0" distB="0" distL="114300" distR="114300">
            <wp:extent cx="5265420" cy="2961640"/>
            <wp:effectExtent l="0" t="0" r="5080" b="10160"/>
            <wp:docPr id="4" name="图片 4" descr="线粒体长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线粒体长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90B8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Mitochondrial morphology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in </w:t>
      </w:r>
      <w:r>
        <w:rPr>
          <w:b/>
          <w:bCs/>
        </w:rPr>
        <w:t>Mφ</w:t>
      </w:r>
      <w:r>
        <w:rPr>
          <w:rFonts w:hint="eastAsia" w:eastAsia="宋体"/>
          <w:b/>
          <w:bCs/>
          <w:lang w:val="en-US" w:eastAsia="zh-CN"/>
        </w:rPr>
        <w:t>.</w:t>
      </w:r>
      <w:r>
        <w:rPr>
          <w:rFonts w:hint="eastAsia" w:eastAsia="宋体"/>
          <w:b w:val="0"/>
          <w:bCs w:val="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 xml:space="preserve">Immunofluorescence and semi-quantification of </w:t>
      </w:r>
      <w:r>
        <w:rPr>
          <w:b w:val="0"/>
          <w:bCs w:val="0"/>
        </w:rPr>
        <w:t>Mφ</w:t>
      </w:r>
      <w:r>
        <w:rPr>
          <w:rFonts w:hint="default" w:ascii="Times New Roman" w:hAnsi="Times New Roman" w:cs="Times New Roman"/>
          <w:szCs w:val="21"/>
        </w:rPr>
        <w:t xml:space="preserve"> mitochondria.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40EA0183">
      <w:pPr>
        <w:rPr>
          <w:rFonts w:hint="eastAsia" w:ascii="Arial" w:hAnsi="Arial" w:cs="Arial"/>
          <w:szCs w:val="21"/>
        </w:rPr>
      </w:pPr>
      <w:r>
        <w:rPr>
          <w:rFonts w:hint="eastAsia" w:ascii="Arial" w:hAnsi="Arial" w:cs="Arial"/>
          <w:szCs w:val="21"/>
        </w:rPr>
        <w:drawing>
          <wp:inline distT="0" distB="0" distL="114300" distR="114300">
            <wp:extent cx="5265420" cy="2961640"/>
            <wp:effectExtent l="0" t="0" r="5080" b="10160"/>
            <wp:docPr id="6" name="图片 6" descr="J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C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AEB4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szCs w:val="21"/>
        </w:rPr>
        <w:t>etection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of </w:t>
      </w:r>
      <w:r>
        <w:rPr>
          <w:rFonts w:hint="default" w:ascii="Times New Roman" w:hAnsi="Times New Roman" w:cs="Times New Roman"/>
          <w:b/>
          <w:bCs/>
          <w:szCs w:val="21"/>
        </w:rPr>
        <w:t>Mitochondrial membrane potential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Cs w:val="21"/>
        </w:rPr>
        <w:t xml:space="preserve">Immunofluorescence and semi-quantification of mitochondrial membrane potential in </w:t>
      </w:r>
      <w:r>
        <w:rPr>
          <w:b w:val="0"/>
          <w:bCs w:val="0"/>
        </w:rPr>
        <w:t>Mφ</w:t>
      </w:r>
      <w:r>
        <w:rPr>
          <w:rFonts w:hint="default" w:ascii="Times New Roman" w:hAnsi="Times New Roman" w:cs="Times New Roman"/>
          <w:szCs w:val="21"/>
        </w:rPr>
        <w:t>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0372DB40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4625975" cy="1485900"/>
            <wp:effectExtent l="0" t="0" r="9525" b="0"/>
            <wp:docPr id="17" name="图片 17" descr="mitos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itosox"/>
                    <pic:cNvPicPr>
                      <a:picLocks noChangeAspect="1"/>
                    </pic:cNvPicPr>
                  </pic:nvPicPr>
                  <pic:blipFill>
                    <a:blip r:embed="rId15"/>
                    <a:srcRect l="14563" t="23981" r="21382" b="39442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0D60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Supplementary Figure 1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szCs w:val="21"/>
        </w:rPr>
        <w:t>etection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of </w:t>
      </w:r>
      <w:r>
        <w:rPr>
          <w:rFonts w:hint="default" w:ascii="Times New Roman" w:hAnsi="Times New Roman" w:cs="Times New Roman"/>
          <w:b/>
          <w:bCs/>
          <w:szCs w:val="21"/>
        </w:rPr>
        <w:t>Mitosox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Cs w:val="21"/>
        </w:rPr>
        <w:t xml:space="preserve">Flow cytometry histograms and Quantitative analysis of MitoSox in </w:t>
      </w:r>
      <w:r>
        <w:rPr>
          <w:b w:val="0"/>
          <w:bCs w:val="0"/>
        </w:rPr>
        <w:t>Mφ</w:t>
      </w:r>
      <w:r>
        <w:rPr>
          <w:rFonts w:hint="default" w:ascii="Times New Roman" w:hAnsi="Times New Roman" w:cs="Times New Roman"/>
          <w:szCs w:val="21"/>
        </w:rPr>
        <w:t>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19610854">
      <w:pPr>
        <w:rPr>
          <w:rFonts w:hint="eastAsia" w:ascii="Arial" w:hAnsi="Arial" w:eastAsia="宋体" w:cs="Arial"/>
          <w:szCs w:val="21"/>
          <w:lang w:eastAsia="zh-CN"/>
        </w:rPr>
      </w:pPr>
    </w:p>
    <w:p w14:paraId="442A0C1E">
      <w:pPr>
        <w:rPr>
          <w:rFonts w:hint="eastAsia" w:ascii="Arial" w:hAnsi="Arial" w:eastAsia="宋体" w:cs="Arial"/>
          <w:szCs w:val="21"/>
          <w:lang w:eastAsia="zh-CN"/>
        </w:rPr>
      </w:pPr>
      <w:r>
        <w:rPr>
          <w:rFonts w:hint="eastAsia" w:ascii="Arial" w:hAnsi="Arial" w:eastAsia="宋体" w:cs="Arial"/>
          <w:szCs w:val="21"/>
          <w:lang w:eastAsia="zh-CN"/>
        </w:rPr>
        <w:drawing>
          <wp:inline distT="0" distB="0" distL="114300" distR="114300">
            <wp:extent cx="5243195" cy="2436495"/>
            <wp:effectExtent l="0" t="0" r="0" b="0"/>
            <wp:docPr id="12" name="图片 12" descr="能量代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能量代谢"/>
                    <pic:cNvPicPr>
                      <a:picLocks noChangeAspect="1"/>
                    </pic:cNvPicPr>
                  </pic:nvPicPr>
                  <pic:blipFill>
                    <a:blip r:embed="rId16"/>
                    <a:srcRect l="5244" r="3215" b="2437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08E2">
      <w:pPr>
        <w:jc w:val="both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Supplementary Figure 1</w:t>
      </w:r>
      <w:r>
        <w:rPr>
          <w:rFonts w:hint="eastAsia" w:ascii="Times New Roman" w:hAnsi="Times New Roman" w:cs="Times New Roman"/>
          <w:b/>
          <w:bCs/>
          <w:szCs w:val="21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 xml:space="preserve">. </w:t>
      </w:r>
      <w:r>
        <w:rPr>
          <w:rFonts w:hint="default" w:ascii="Times New Roman" w:hAnsi="Times New Roman" w:cs="Times New Roman"/>
          <w:b/>
          <w:bCs/>
          <w:szCs w:val="21"/>
        </w:rPr>
        <w:t>Detection of mitochondrial metabolic patterns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. a</w:t>
      </w:r>
      <w:r>
        <w:rPr>
          <w:rFonts w:hint="eastAsia" w:eastAsia="宋体" w:cs="Times New Roman"/>
          <w:szCs w:val="21"/>
          <w:lang w:val="en-US" w:eastAsia="zh-CN"/>
        </w:rPr>
        <w:t xml:space="preserve"> and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b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 xml:space="preserve">Western blot and semiquantitative analysis of the glycolysis and OXPHOS marker proteins in </w:t>
      </w:r>
      <w:r>
        <w:rPr>
          <w:b w:val="0"/>
          <w:bCs w:val="0"/>
        </w:rPr>
        <w:t>Mφ</w:t>
      </w:r>
      <w:r>
        <w:rPr>
          <w:rFonts w:hint="default" w:ascii="Times New Roman" w:hAnsi="Times New Roman" w:cs="Times New Roman"/>
          <w:szCs w:val="21"/>
        </w:rPr>
        <w:t>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23E0A227">
      <w:pPr>
        <w:rPr>
          <w:rFonts w:hint="default" w:ascii="Arial" w:hAnsi="Arial" w:cs="Arial"/>
          <w:szCs w:val="21"/>
        </w:rPr>
        <w:sectPr>
          <w:pgSz w:w="11906" w:h="16838"/>
          <w:pgMar w:top="1440" w:right="1440" w:bottom="1440" w:left="1440" w:header="720" w:footer="720" w:gutter="0"/>
          <w:pgNumType w:start="1"/>
          <w:cols w:space="720" w:num="1"/>
          <w:docGrid w:linePitch="360" w:charSpace="0"/>
        </w:sectPr>
      </w:pPr>
    </w:p>
    <w:p w14:paraId="68030D78">
      <w:pPr>
        <w:rPr>
          <w:rFonts w:hint="eastAsia" w:ascii="Arial" w:hAnsi="Arial" w:cs="Arial" w:eastAsiaTheme="minorEastAsia"/>
          <w:szCs w:val="21"/>
          <w:lang w:eastAsia="zh-CN"/>
        </w:rPr>
      </w:pPr>
      <w:r>
        <w:rPr>
          <w:rFonts w:hint="eastAsia" w:ascii="Arial" w:hAnsi="Arial" w:cs="Arial" w:eastAsiaTheme="minorEastAsia"/>
          <w:szCs w:val="21"/>
          <w:lang w:eastAsia="zh-CN"/>
        </w:rPr>
        <w:drawing>
          <wp:inline distT="0" distB="0" distL="114300" distR="114300">
            <wp:extent cx="5265420" cy="2961640"/>
            <wp:effectExtent l="0" t="0" r="5080" b="10160"/>
            <wp:docPr id="13" name="图片 13" descr="挽救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挽救测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E300">
      <w:pPr>
        <w:jc w:val="both"/>
        <w:rPr>
          <w:rFonts w:hint="default" w:ascii="Times New Roman" w:hAnsi="Times New Roman" w:cs="Times New Roman" w:eastAsiaTheme="minorEastAsia"/>
          <w:szCs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Supplementary Figure</w:t>
      </w:r>
      <w:r>
        <w:rPr>
          <w:rFonts w:hint="eastAsia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1</w:t>
      </w:r>
      <w:r>
        <w:rPr>
          <w:rFonts w:hint="default" w:ascii="Times New Roman" w:hAnsi="Times New Roman" w:cs="Times New Roman"/>
          <w:b/>
          <w:bCs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.</w:t>
      </w:r>
      <w:r>
        <w:rPr>
          <w:rFonts w:hint="eastAsia" w:eastAsia="宋体" w:cs="Times New Roman"/>
          <w:b/>
          <w:bCs/>
          <w:szCs w:val="21"/>
          <w:highlight w:val="none"/>
          <w:lang w:val="en-US" w:eastAsia="zh-CN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Transcriptional and metabolic sequencing of </w:t>
      </w:r>
      <w:r>
        <w:rPr>
          <w:b/>
          <w:bCs/>
        </w:rPr>
        <w:t>Mφ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a </w:t>
      </w:r>
      <w:r>
        <w:rPr>
          <w:rFonts w:hint="default" w:ascii="Times New Roman" w:hAnsi="Times New Roman" w:cs="Times New Roman"/>
          <w:szCs w:val="21"/>
        </w:rPr>
        <w:t xml:space="preserve">Volcano map of differentially expressed genes (DEGs) (|log2foldchange|&gt;1, padj&lt;0.05).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szCs w:val="21"/>
        </w:rPr>
        <w:t xml:space="preserve"> Heatmap of DEGs.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c</w:t>
      </w:r>
      <w:r>
        <w:rPr>
          <w:rFonts w:hint="default" w:ascii="Times New Roman" w:hAnsi="Times New Roman" w:cs="Times New Roman"/>
          <w:szCs w:val="21"/>
        </w:rPr>
        <w:t xml:space="preserve"> Heat map of differential metabolites in macrophages.</w:t>
      </w:r>
      <w:r>
        <w:rPr>
          <w:rFonts w:hint="default" w:ascii="Times New Roman" w:hAnsi="Times New Roman" w:cs="Times New Roman"/>
          <w:szCs w:val="21"/>
          <w:lang w:val="en-US" w:eastAsia="zh-CN"/>
        </w:rPr>
        <w:t xml:space="preserve"> (n=4)</w:t>
      </w:r>
    </w:p>
    <w:p w14:paraId="3B602207">
      <w:pPr>
        <w:rPr>
          <w:rFonts w:hint="eastAsia" w:ascii="Arial" w:hAnsi="Arial" w:cs="Arial" w:eastAsiaTheme="minorEastAsia"/>
          <w:szCs w:val="21"/>
          <w:lang w:eastAsia="zh-CN"/>
        </w:rPr>
      </w:pPr>
    </w:p>
    <w:p w14:paraId="78E6E05B">
      <w:pPr>
        <w:rPr>
          <w:rFonts w:hint="eastAsia" w:ascii="Arial" w:hAnsi="Arial" w:cs="Arial" w:eastAsiaTheme="minorEastAsia"/>
          <w:szCs w:val="21"/>
          <w:lang w:eastAsia="zh-CN"/>
        </w:rPr>
      </w:pPr>
      <w:r>
        <w:rPr>
          <w:rFonts w:hint="eastAsia" w:ascii="Arial" w:hAnsi="Arial" w:cs="Arial" w:eastAsiaTheme="minorEastAsia"/>
          <w:szCs w:val="21"/>
          <w:lang w:eastAsia="zh-CN"/>
        </w:rPr>
        <w:drawing>
          <wp:inline distT="0" distB="0" distL="114300" distR="114300">
            <wp:extent cx="5265420" cy="2123440"/>
            <wp:effectExtent l="0" t="0" r="0" b="0"/>
            <wp:docPr id="20" name="图片 20" descr="Ero1α和mtca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ro1α和mtca2+"/>
                    <pic:cNvPicPr>
                      <a:picLocks noChangeAspect="1"/>
                    </pic:cNvPicPr>
                  </pic:nvPicPr>
                  <pic:blipFill>
                    <a:blip r:embed="rId18"/>
                    <a:srcRect t="14880" b="134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7969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Supplementary Figure</w:t>
      </w:r>
      <w:r>
        <w:rPr>
          <w:rFonts w:hint="eastAsia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1</w:t>
      </w:r>
      <w:r>
        <w:rPr>
          <w:rFonts w:hint="default" w:ascii="Times New Roman" w:hAnsi="Times New Roman" w:cs="Times New Roman"/>
          <w:b/>
          <w:bCs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 xml:space="preserve">. </w:t>
      </w:r>
      <w:r>
        <w:rPr>
          <w:rFonts w:hint="default" w:ascii="Times New Roman" w:hAnsi="Times New Roman" w:cs="Times New Roman"/>
          <w:b/>
          <w:bCs/>
          <w:szCs w:val="21"/>
        </w:rPr>
        <w:t>Detection of ERO1α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bCs/>
          <w:szCs w:val="21"/>
        </w:rPr>
        <w:t>mtC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a</w:t>
      </w:r>
      <w:r>
        <w:rPr>
          <w:rFonts w:hint="default" w:ascii="Times New Roman" w:hAnsi="Times New Roman" w:cs="Times New Roman"/>
          <w:b/>
          <w:bCs/>
          <w:szCs w:val="21"/>
          <w:vertAlign w:val="superscript"/>
        </w:rPr>
        <w:t>2+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and MitoSox in </w:t>
      </w:r>
      <w:r>
        <w:rPr>
          <w:b/>
          <w:bCs/>
        </w:rPr>
        <w:t>Mφ</w:t>
      </w:r>
      <w:r>
        <w:rPr>
          <w:rFonts w:hint="eastAsia" w:eastAsia="宋体"/>
          <w:b/>
          <w:bCs/>
          <w:lang w:val="en-US" w:eastAsia="zh-CN"/>
        </w:rPr>
        <w:t xml:space="preserve">. </w:t>
      </w:r>
      <w:r>
        <w:rPr>
          <w:rFonts w:hint="eastAsia" w:eastAsia="宋体"/>
          <w:b/>
          <w:bCs/>
          <w:lang w:val="en-US" w:eastAsia="zh-CN"/>
        </w:rPr>
        <w:t>a</w:t>
      </w:r>
      <w:r>
        <w:rPr>
          <w:rFonts w:hint="default" w:ascii="Times New Roman" w:hAnsi="Times New Roman" w:cs="Times New Roman"/>
          <w:szCs w:val="21"/>
        </w:rPr>
        <w:t xml:space="preserve"> Fluorescence images of Ero1</w:t>
      </w:r>
      <w:r>
        <w:rPr>
          <w:rFonts w:hint="default" w:ascii="Times New Roman" w:hAnsi="Times New Roman" w:cs="Times New Roman"/>
          <w:szCs w:val="21"/>
          <w:lang w:val="en-US" w:eastAsia="zh-CN"/>
        </w:rPr>
        <w:t>α</w:t>
      </w:r>
      <w:r>
        <w:rPr>
          <w:rFonts w:hint="default" w:ascii="Times New Roman" w:hAnsi="Times New Roman" w:cs="Times New Roman"/>
          <w:szCs w:val="21"/>
        </w:rPr>
        <w:t xml:space="preserve"> in </w:t>
      </w:r>
      <w:r>
        <w:rPr>
          <w:b w:val="0"/>
          <w:bCs w:val="0"/>
        </w:rPr>
        <w:t>Mφ</w:t>
      </w:r>
      <w:r>
        <w:rPr>
          <w:rFonts w:hint="default" w:ascii="Times New Roman" w:hAnsi="Times New Roman" w:cs="Times New Roman"/>
          <w:szCs w:val="21"/>
        </w:rPr>
        <w:t xml:space="preserve">.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szCs w:val="21"/>
        </w:rPr>
        <w:t xml:space="preserve"> Confocal images of Ca</w:t>
      </w:r>
      <w:r>
        <w:rPr>
          <w:rFonts w:hint="default" w:ascii="Times New Roman" w:hAnsi="Times New Roman" w:cs="Times New Roman"/>
          <w:szCs w:val="21"/>
          <w:vertAlign w:val="superscript"/>
        </w:rPr>
        <w:t>2+</w:t>
      </w:r>
      <w:r>
        <w:rPr>
          <w:rFonts w:hint="default" w:ascii="Times New Roman" w:hAnsi="Times New Roman" w:cs="Times New Roman"/>
          <w:szCs w:val="21"/>
        </w:rPr>
        <w:t xml:space="preserve"> in mitochondria in macrophages.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c</w:t>
      </w:r>
      <w:r>
        <w:rPr>
          <w:rFonts w:hint="default" w:ascii="Times New Roman" w:hAnsi="Times New Roman" w:cs="Times New Roman"/>
          <w:szCs w:val="21"/>
        </w:rPr>
        <w:t xml:space="preserve"> semiquantitative analysis of Ero1</w:t>
      </w:r>
      <w:r>
        <w:rPr>
          <w:rFonts w:hint="default" w:ascii="Times New Roman" w:hAnsi="Times New Roman" w:cs="Times New Roman"/>
          <w:szCs w:val="21"/>
          <w:lang w:val="en-US" w:eastAsia="zh-CN"/>
        </w:rPr>
        <w:t>α</w:t>
      </w:r>
      <w:r>
        <w:rPr>
          <w:rFonts w:hint="default" w:ascii="Times New Roman" w:hAnsi="Times New Roman" w:cs="Times New Roman"/>
          <w:szCs w:val="21"/>
        </w:rPr>
        <w:t xml:space="preserve"> in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a</w:t>
      </w:r>
      <w:r>
        <w:rPr>
          <w:rFonts w:hint="default" w:ascii="Times New Roman" w:hAnsi="Times New Roman" w:cs="Times New Roman"/>
          <w:szCs w:val="21"/>
        </w:rPr>
        <w:t xml:space="preserve">.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szCs w:val="21"/>
        </w:rPr>
        <w:t xml:space="preserve"> semiquantitative analysis of Ca</w:t>
      </w:r>
      <w:r>
        <w:rPr>
          <w:rFonts w:hint="default" w:ascii="Times New Roman" w:hAnsi="Times New Roman" w:cs="Times New Roman"/>
          <w:szCs w:val="21"/>
          <w:vertAlign w:val="superscript"/>
        </w:rPr>
        <w:t>2+</w:t>
      </w:r>
      <w:r>
        <w:rPr>
          <w:rFonts w:hint="default" w:ascii="Times New Roman" w:hAnsi="Times New Roman" w:cs="Times New Roman"/>
          <w:szCs w:val="21"/>
        </w:rPr>
        <w:t xml:space="preserve"> in mitochondria in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szCs w:val="21"/>
        </w:rPr>
        <w:t xml:space="preserve">. 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e </w:t>
      </w:r>
      <w:r>
        <w:rPr>
          <w:rFonts w:hint="eastAsia" w:eastAsia="宋体" w:cs="Times New Roman"/>
          <w:b w:val="0"/>
          <w:bCs w:val="0"/>
          <w:szCs w:val="21"/>
          <w:lang w:val="en-US" w:eastAsia="zh-CN"/>
        </w:rPr>
        <w:t>and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f</w:t>
      </w:r>
      <w:r>
        <w:rPr>
          <w:rFonts w:hint="default" w:ascii="Times New Roman" w:hAnsi="Times New Roman" w:cs="Times New Roman"/>
          <w:szCs w:val="21"/>
        </w:rPr>
        <w:t xml:space="preserve"> Flow cytometry histograms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and Quantitative analysis of MitoSox in macrophage.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114CE5CF">
      <w:pPr>
        <w:rPr>
          <w:rFonts w:hint="eastAsia" w:ascii="Arial" w:hAnsi="Arial" w:eastAsia="宋体" w:cs="Arial"/>
          <w:b/>
          <w:bCs/>
          <w:szCs w:val="21"/>
          <w:lang w:eastAsia="zh-CN"/>
        </w:rPr>
      </w:pPr>
    </w:p>
    <w:p w14:paraId="19F81C79">
      <w:pPr>
        <w:rPr>
          <w:rFonts w:hint="eastAsia" w:ascii="Arial" w:hAnsi="Arial" w:eastAsia="宋体" w:cs="Arial"/>
          <w:b/>
          <w:bCs/>
          <w:szCs w:val="21"/>
          <w:lang w:eastAsia="zh-CN"/>
        </w:rPr>
      </w:pPr>
      <w:r>
        <w:rPr>
          <w:rFonts w:hint="eastAsia" w:ascii="Arial" w:hAnsi="Arial" w:eastAsia="宋体" w:cs="Arial"/>
          <w:b/>
          <w:bCs/>
          <w:szCs w:val="21"/>
          <w:lang w:eastAsia="zh-CN"/>
        </w:rPr>
        <w:drawing>
          <wp:inline distT="0" distB="0" distL="114300" distR="114300">
            <wp:extent cx="5265420" cy="2291080"/>
            <wp:effectExtent l="0" t="0" r="0" b="0"/>
            <wp:docPr id="21" name="图片 21" descr="IP3R1-GRP75-VD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P3R1-GRP75-VDAC1"/>
                    <pic:cNvPicPr>
                      <a:picLocks noChangeAspect="1"/>
                    </pic:cNvPicPr>
                  </pic:nvPicPr>
                  <pic:blipFill>
                    <a:blip r:embed="rId19"/>
                    <a:srcRect b="226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3091">
      <w:pPr>
        <w:jc w:val="both"/>
        <w:rPr>
          <w:rFonts w:hint="default" w:ascii="Times New Roman" w:hAnsi="Times New Roman" w:cs="Times New Roman"/>
          <w:b/>
          <w:bCs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Supplementary Figure</w:t>
      </w:r>
      <w:r>
        <w:rPr>
          <w:rFonts w:hint="eastAsia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1</w:t>
      </w:r>
      <w:r>
        <w:rPr>
          <w:rFonts w:hint="default" w:ascii="Times New Roman" w:hAnsi="Times New Roman" w:cs="Times New Roman"/>
          <w:b/>
          <w:bCs/>
          <w:szCs w:val="21"/>
          <w:highlight w:val="none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.</w:t>
      </w:r>
      <w:r>
        <w:rPr>
          <w:rFonts w:hint="default" w:ascii="Times New Roman" w:hAnsi="Times New Roman" w:cs="Times New Roman"/>
          <w:szCs w:val="21"/>
          <w:highlight w:val="none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etection of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expression of </w:t>
      </w:r>
      <w:r>
        <w:rPr>
          <w:rFonts w:hint="default" w:ascii="Times New Roman" w:hAnsi="Times New Roman" w:cs="Times New Roman"/>
          <w:b/>
          <w:bCs/>
          <w:szCs w:val="21"/>
        </w:rPr>
        <w:t>MAMs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in </w:t>
      </w:r>
      <w:r>
        <w:rPr>
          <w:b/>
          <w:bCs/>
        </w:rPr>
        <w:t>Mφ</w:t>
      </w:r>
      <w:r>
        <w:rPr>
          <w:rFonts w:hint="eastAsia" w:eastAsia="宋体"/>
          <w:b/>
          <w:bCs/>
          <w:lang w:val="en-US" w:eastAsia="zh-CN"/>
        </w:rPr>
        <w:t>.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a </w:t>
      </w:r>
      <w:r>
        <w:rPr>
          <w:rFonts w:hint="eastAsia" w:eastAsia="宋体" w:cs="Times New Roman"/>
          <w:b w:val="0"/>
          <w:bCs w:val="0"/>
          <w:szCs w:val="21"/>
          <w:lang w:val="en-US" w:eastAsia="zh-CN"/>
        </w:rPr>
        <w:t xml:space="preserve">and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szCs w:val="21"/>
        </w:rPr>
        <w:t xml:space="preserve"> Western blot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 xml:space="preserve">and semiquantitative analysis of IP3R1, GRP75 and VDAC1 in </w:t>
      </w:r>
      <w:r>
        <w:rPr>
          <w:b w:val="0"/>
          <w:bCs w:val="0"/>
        </w:rPr>
        <w:t>Mφ</w:t>
      </w:r>
      <w:r>
        <w:rPr>
          <w:rFonts w:hint="default" w:ascii="Times New Roman" w:hAnsi="Times New Roman" w:cs="Times New Roman"/>
          <w:szCs w:val="21"/>
        </w:rPr>
        <w:t>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06A220B9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5265420" cy="2961640"/>
            <wp:effectExtent l="0" t="0" r="5080" b="10160"/>
            <wp:docPr id="10" name="图片 10" descr="主要脏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主要脏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29EC">
      <w:pPr>
        <w:jc w:val="both"/>
        <w:rPr>
          <w:rFonts w:hint="default" w:ascii="Times New Roman" w:hAnsi="Times New Roman" w:cs="Times New Roman"/>
          <w:b/>
          <w:bCs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Supplementary Figure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</w:rPr>
        <w:t>1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Cs w:val="21"/>
        </w:rPr>
        <w:t>.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</w:rPr>
        <w:t>H&amp;E staining of major organs(heart, liver, spleen, lung and kidney).</w:t>
      </w:r>
    </w:p>
    <w:p w14:paraId="48AC88E1">
      <w:pPr>
        <w:rPr>
          <w:rFonts w:hint="eastAsia" w:ascii="Arial" w:hAnsi="Arial" w:eastAsia="宋体" w:cs="Arial"/>
          <w:szCs w:val="21"/>
          <w:lang w:eastAsia="zh-CN"/>
        </w:rPr>
      </w:pPr>
      <w:r>
        <w:rPr>
          <w:rFonts w:hint="eastAsia" w:ascii="Arial" w:hAnsi="Arial" w:eastAsia="宋体" w:cs="Arial"/>
          <w:szCs w:val="21"/>
          <w:lang w:eastAsia="zh-CN"/>
        </w:rPr>
        <w:drawing>
          <wp:inline distT="0" distB="0" distL="114300" distR="114300">
            <wp:extent cx="5265420" cy="2961640"/>
            <wp:effectExtent l="0" t="0" r="5080" b="10160"/>
            <wp:docPr id="22" name="图片 22" descr="血常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血常规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19EF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Supplementary Figure</w:t>
      </w:r>
      <w:r>
        <w:rPr>
          <w:rFonts w:hint="eastAsia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1</w:t>
      </w:r>
      <w:r>
        <w:rPr>
          <w:rFonts w:hint="eastAsia" w:ascii="Times New Roman" w:hAnsi="Times New Roman" w:cs="Times New Roman"/>
          <w:b/>
          <w:bCs/>
          <w:szCs w:val="21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 xml:space="preserve">. </w:t>
      </w:r>
      <w:r>
        <w:rPr>
          <w:rFonts w:hint="eastAsia" w:eastAsia="宋体" w:cs="Times New Roman"/>
          <w:b/>
          <w:bCs/>
          <w:szCs w:val="21"/>
          <w:highlight w:val="none"/>
          <w:lang w:val="en-US" w:eastAsia="zh-CN"/>
        </w:rPr>
        <w:t>T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he biocompatibility of materials. a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 xml:space="preserve">Blood routine,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b </w:t>
      </w:r>
      <w:r>
        <w:rPr>
          <w:rFonts w:hint="default" w:ascii="Times New Roman" w:hAnsi="Times New Roman" w:cs="Times New Roman"/>
          <w:szCs w:val="21"/>
        </w:rPr>
        <w:t xml:space="preserve">and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c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 xml:space="preserve">liver function </w:t>
      </w:r>
      <w:r>
        <w:rPr>
          <w:rFonts w:hint="eastAsia" w:eastAsia="宋体" w:cs="Times New Roman"/>
          <w:szCs w:val="21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szCs w:val="21"/>
        </w:rPr>
        <w:t>renal function indexes of SD rats in different groups.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0F993BDE">
      <w:pPr>
        <w:rPr>
          <w:rFonts w:hint="eastAsia" w:ascii="Arial" w:hAnsi="Arial" w:eastAsia="宋体" w:cs="Arial"/>
          <w:szCs w:val="21"/>
          <w:lang w:eastAsia="zh-CN"/>
        </w:rPr>
      </w:pPr>
    </w:p>
    <w:p w14:paraId="159350D4">
      <w:pPr>
        <w:rPr>
          <w:rFonts w:hint="eastAsia" w:ascii="Arial" w:hAnsi="Arial" w:eastAsia="宋体" w:cs="Arial"/>
          <w:szCs w:val="21"/>
          <w:lang w:eastAsia="zh-CN"/>
        </w:rPr>
      </w:pPr>
      <w:r>
        <w:rPr>
          <w:rFonts w:hint="eastAsia" w:ascii="Arial" w:hAnsi="Arial" w:eastAsia="宋体" w:cs="Arial"/>
          <w:szCs w:val="21"/>
          <w:lang w:eastAsia="zh-CN"/>
        </w:rPr>
        <w:drawing>
          <wp:inline distT="0" distB="0" distL="114300" distR="114300">
            <wp:extent cx="5265420" cy="1945005"/>
            <wp:effectExtent l="0" t="0" r="0" b="0"/>
            <wp:docPr id="23" name="图片 23" descr="靶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靶向"/>
                    <pic:cNvPicPr>
                      <a:picLocks noChangeAspect="1"/>
                    </pic:cNvPicPr>
                  </pic:nvPicPr>
                  <pic:blipFill>
                    <a:blip r:embed="rId22"/>
                    <a:srcRect t="8040" b="2628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A86E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Supplementary Figure</w:t>
      </w:r>
      <w:r>
        <w:rPr>
          <w:rFonts w:hint="eastAsia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1</w:t>
      </w:r>
      <w:r>
        <w:rPr>
          <w:rFonts w:hint="eastAsia" w:ascii="Times New Roman" w:hAnsi="Times New Roman" w:cs="Times New Roman"/>
          <w:b/>
          <w:bCs/>
          <w:szCs w:val="21"/>
          <w:highlight w:val="none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.</w:t>
      </w:r>
      <w:r>
        <w:rPr>
          <w:rFonts w:hint="default" w:ascii="Times New Roman" w:hAnsi="Times New Roman" w:cs="Times New Roman"/>
          <w:b w:val="0"/>
          <w:bCs w:val="0"/>
          <w:szCs w:val="21"/>
          <w:highlight w:val="none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</w:rPr>
        <w:t>Detection of the targeting ability of materials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in vivo.</w:t>
      </w:r>
      <w:r>
        <w:rPr>
          <w:rFonts w:hint="eastAsia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a </w:t>
      </w:r>
      <w:r>
        <w:rPr>
          <w:rFonts w:hint="eastAsia" w:eastAsia="宋体" w:cs="Times New Roman"/>
          <w:b w:val="0"/>
          <w:bCs w:val="0"/>
          <w:szCs w:val="21"/>
          <w:lang w:val="en-US" w:eastAsia="zh-CN"/>
        </w:rPr>
        <w:t xml:space="preserve">and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b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In vivo imaging was performed to detect the ability of Cy5-labeled BP, BP@D, BP@D/N to target damaged areas and semiquantitative result.(sham and SCI was injected with PBS.)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559D071D">
      <w:pPr>
        <w:rPr>
          <w:rFonts w:hint="eastAsia" w:ascii="Arial" w:hAnsi="Arial" w:cs="Arial" w:eastAsiaTheme="minorEastAsia"/>
          <w:szCs w:val="21"/>
          <w:lang w:eastAsia="zh-CN"/>
        </w:rPr>
      </w:pPr>
    </w:p>
    <w:p w14:paraId="24282D29">
      <w:pPr>
        <w:rPr>
          <w:rFonts w:hint="eastAsia" w:ascii="Arial" w:hAnsi="Arial" w:cs="Arial" w:eastAsiaTheme="minorEastAsia"/>
          <w:szCs w:val="21"/>
          <w:lang w:eastAsia="zh-CN"/>
        </w:rPr>
      </w:pPr>
      <w:r>
        <w:rPr>
          <w:rFonts w:hint="eastAsia" w:ascii="Arial" w:hAnsi="Arial" w:cs="Arial" w:eastAsiaTheme="minorEastAsia"/>
          <w:szCs w:val="21"/>
          <w:lang w:eastAsia="zh-CN"/>
        </w:rPr>
        <w:drawing>
          <wp:inline distT="0" distB="0" distL="114300" distR="114300">
            <wp:extent cx="5265420" cy="1369060"/>
            <wp:effectExtent l="0" t="0" r="0" b="0"/>
            <wp:docPr id="24" name="图片 24" descr="Grp78和量化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Grp78和量化图"/>
                    <pic:cNvPicPr>
                      <a:picLocks noChangeAspect="1"/>
                    </pic:cNvPicPr>
                  </pic:nvPicPr>
                  <pic:blipFill>
                    <a:blip r:embed="rId23"/>
                    <a:srcRect t="5210" b="485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7140">
      <w:pPr>
        <w:jc w:val="both"/>
        <w:rPr>
          <w:rFonts w:hint="default"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Supplementary Figure</w:t>
      </w:r>
      <w:r>
        <w:rPr>
          <w:rFonts w:hint="eastAsia" w:eastAsia="宋体" w:cs="Times New Roman"/>
          <w:b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1</w:t>
      </w:r>
      <w:r>
        <w:rPr>
          <w:rFonts w:hint="eastAsia" w:ascii="Times New Roman" w:hAnsi="Times New Roman" w:cs="Times New Roman"/>
          <w:b/>
          <w:bCs/>
          <w:szCs w:val="21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b/>
          <w:bCs/>
          <w:szCs w:val="21"/>
          <w:highlight w:val="none"/>
        </w:rPr>
        <w:t>.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Detection of ERS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in </w:t>
      </w:r>
      <w:r>
        <w:rPr>
          <w:b/>
          <w:bCs/>
        </w:rPr>
        <w:t>Mφ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in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vivo. a</w:t>
      </w:r>
      <w:r>
        <w:rPr>
          <w:rFonts w:hint="eastAsia" w:eastAsia="宋体" w:cs="Times New Roman"/>
          <w:szCs w:val="21"/>
          <w:lang w:val="en-US" w:eastAsia="zh-CN"/>
        </w:rPr>
        <w:t xml:space="preserve"> and </w:t>
      </w:r>
      <w:r>
        <w:rPr>
          <w:rFonts w:hint="eastAsia" w:eastAsia="宋体" w:cs="Times New Roman"/>
          <w:b/>
          <w:bCs/>
          <w:szCs w:val="21"/>
          <w:lang w:val="en-US" w:eastAsia="zh-CN"/>
        </w:rPr>
        <w:t>b</w:t>
      </w:r>
      <w:r>
        <w:rPr>
          <w:rFonts w:hint="eastAsia" w:eastAsia="宋体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Immunofluorescent images  and semiquantitative analysis of the ratio of G</w:t>
      </w:r>
      <w:r>
        <w:rPr>
          <w:rFonts w:hint="default" w:ascii="Times New Roman" w:hAnsi="Times New Roman" w:cs="Times New Roman"/>
          <w:szCs w:val="21"/>
          <w:lang w:val="en-US" w:eastAsia="zh-CN"/>
        </w:rPr>
        <w:t>rp</w:t>
      </w:r>
      <w:r>
        <w:rPr>
          <w:rFonts w:hint="default" w:ascii="Times New Roman" w:hAnsi="Times New Roman" w:cs="Times New Roman"/>
          <w:szCs w:val="21"/>
        </w:rPr>
        <w:t>7</w:t>
      </w:r>
      <w:r>
        <w:rPr>
          <w:rFonts w:hint="default" w:ascii="Times New Roman" w:hAnsi="Times New Roman" w:cs="Times New Roman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szCs w:val="21"/>
        </w:rPr>
        <w:t>/CD68 around the lesion site. (n=3, error bars, means±SD; analysis was done using one-way ANOVA with Tukey’s post</w:t>
      </w:r>
      <w:r>
        <w:t>-</w:t>
      </w:r>
      <w:r>
        <w:rPr>
          <w:rFonts w:hint="default" w:ascii="Times New Roman" w:hAnsi="Times New Roman" w:cs="Times New Roman"/>
          <w:szCs w:val="21"/>
        </w:rPr>
        <w:t>hoc test</w:t>
      </w:r>
      <w:r>
        <w:rPr>
          <w:rFonts w:hint="eastAsia" w:ascii="Times New Roman" w:hAnsi="Times New Roman" w:cs="Times New Roman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Cs w:val="21"/>
        </w:rPr>
        <w:t xml:space="preserve"> *</w:t>
      </w:r>
      <w:bookmarkStart w:id="2" w:name="_GoBack"/>
      <w:bookmarkEnd w:id="2"/>
      <w:r>
        <w:rPr>
          <w:rFonts w:hint="default" w:ascii="Times New Roman" w:hAnsi="Times New Roman" w:cs="Times New Roman"/>
          <w:szCs w:val="21"/>
        </w:rPr>
        <w:t>P &lt; 0.05, 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0.01</w:t>
      </w:r>
      <w:r>
        <w:rPr>
          <w:rFonts w:hint="eastAsia" w:ascii="Times New Roman" w:hAnsi="Times New Roman" w:cs="Times New Roman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Cs w:val="21"/>
        </w:rPr>
        <w:t xml:space="preserve"> and ***P &lt;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Cs w:val="21"/>
        </w:rPr>
        <w:t>0.001.)</w:t>
      </w:r>
    </w:p>
    <w:p w14:paraId="6BFC9DC8">
      <w:pPr>
        <w:jc w:val="center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Table S1</w:t>
      </w:r>
      <w:r>
        <w:rPr>
          <w:rFonts w:hint="default" w:ascii="Times New Roman" w:hAnsi="Times New Roman" w:cs="Times New Roman"/>
          <w:szCs w:val="21"/>
        </w:rPr>
        <w:t xml:space="preserve">. </w:t>
      </w:r>
      <w:r>
        <w:rPr>
          <w:rFonts w:hint="default" w:ascii="Times New Roman" w:hAnsi="Times New Roman" w:cs="Times New Roman"/>
          <w:b/>
          <w:bCs/>
          <w:szCs w:val="21"/>
        </w:rPr>
        <w:t>qRT-PCR immune factor primers</w:t>
      </w:r>
    </w:p>
    <w:tbl>
      <w:tblPr>
        <w:tblStyle w:val="145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7"/>
        <w:gridCol w:w="2409"/>
        <w:gridCol w:w="4230"/>
      </w:tblGrid>
      <w:tr w14:paraId="795AC9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1C90CC4E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Gene</w:t>
            </w:r>
          </w:p>
        </w:tc>
        <w:tc>
          <w:tcPr>
            <w:tcW w:w="2409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79FA9ADC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Primer</w:t>
            </w:r>
          </w:p>
        </w:tc>
        <w:tc>
          <w:tcPr>
            <w:tcW w:w="3736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 w14:paraId="1E13D18D">
            <w:pPr>
              <w:ind w:firstLine="1200" w:firstLineChars="500"/>
              <w:jc w:val="both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Sequence</w:t>
            </w:r>
          </w:p>
        </w:tc>
      </w:tr>
      <w:tr w14:paraId="37A326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</w:tcPr>
          <w:p w14:paraId="2AFC33BC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TNF-α</w:t>
            </w:r>
          </w:p>
        </w:tc>
        <w:tc>
          <w:tcPr>
            <w:tcW w:w="2409" w:type="dxa"/>
          </w:tcPr>
          <w:p w14:paraId="285975C3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Forward</w:t>
            </w:r>
          </w:p>
        </w:tc>
        <w:tc>
          <w:tcPr>
            <w:tcW w:w="3736" w:type="dxa"/>
          </w:tcPr>
          <w:p w14:paraId="0B0771BD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AGGCACTCCCCCAAAAGATG</w:t>
            </w:r>
          </w:p>
        </w:tc>
      </w:tr>
      <w:tr w14:paraId="152310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09079606">
            <w:pPr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</w:tcPr>
          <w:p w14:paraId="03132226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Reverse</w:t>
            </w:r>
          </w:p>
        </w:tc>
        <w:tc>
          <w:tcPr>
            <w:tcW w:w="3736" w:type="dxa"/>
          </w:tcPr>
          <w:p w14:paraId="1011C79A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TGGTGGTTTGTGAGTGTGAGG</w:t>
            </w:r>
          </w:p>
        </w:tc>
      </w:tr>
      <w:tr w14:paraId="6A13DB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</w:tcPr>
          <w:p w14:paraId="7D3BE545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IL-1β</w:t>
            </w:r>
          </w:p>
        </w:tc>
        <w:tc>
          <w:tcPr>
            <w:tcW w:w="2409" w:type="dxa"/>
          </w:tcPr>
          <w:p w14:paraId="7DD776CF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Forward</w:t>
            </w:r>
          </w:p>
        </w:tc>
        <w:tc>
          <w:tcPr>
            <w:tcW w:w="3736" w:type="dxa"/>
          </w:tcPr>
          <w:p w14:paraId="4DF5CF05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GAAATGCCACCTTTTGACAGTG</w:t>
            </w:r>
          </w:p>
        </w:tc>
      </w:tr>
      <w:tr w14:paraId="6DFAE0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16D2815C">
            <w:pPr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</w:tcPr>
          <w:p w14:paraId="24B9575A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Reverse</w:t>
            </w:r>
          </w:p>
        </w:tc>
        <w:tc>
          <w:tcPr>
            <w:tcW w:w="3736" w:type="dxa"/>
          </w:tcPr>
          <w:p w14:paraId="7558E29F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TGGATGCTCTCATCAGGACAG</w:t>
            </w:r>
          </w:p>
        </w:tc>
      </w:tr>
      <w:tr w14:paraId="7046E4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</w:tcPr>
          <w:p w14:paraId="4C770646">
            <w:pPr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iNOS</w:t>
            </w:r>
          </w:p>
        </w:tc>
        <w:tc>
          <w:tcPr>
            <w:tcW w:w="2409" w:type="dxa"/>
          </w:tcPr>
          <w:p w14:paraId="0D3882E0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Forward</w:t>
            </w:r>
          </w:p>
        </w:tc>
        <w:tc>
          <w:tcPr>
            <w:tcW w:w="3736" w:type="dxa"/>
          </w:tcPr>
          <w:p w14:paraId="4C017DE0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GGGTCACAACTTTACAGGGAGT</w:t>
            </w:r>
          </w:p>
        </w:tc>
      </w:tr>
      <w:tr w14:paraId="70019D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149DD579">
            <w:pPr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</w:tcPr>
          <w:p w14:paraId="061347E5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Reverse</w:t>
            </w:r>
          </w:p>
        </w:tc>
        <w:tc>
          <w:tcPr>
            <w:tcW w:w="3736" w:type="dxa"/>
          </w:tcPr>
          <w:p w14:paraId="2CB9D3DD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GAGTGAACAAGACCCAAGCG</w:t>
            </w:r>
          </w:p>
        </w:tc>
      </w:tr>
      <w:tr w14:paraId="08D9D5F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  <w:shd w:val="clear" w:color="auto" w:fill="auto"/>
            <w:vAlign w:val="top"/>
          </w:tcPr>
          <w:p w14:paraId="07DD8201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IL-10</w:t>
            </w:r>
          </w:p>
          <w:p w14:paraId="2A34B76A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  <w:shd w:val="clear" w:color="auto" w:fill="auto"/>
            <w:vAlign w:val="top"/>
          </w:tcPr>
          <w:p w14:paraId="4E9DBD59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Forward</w:t>
            </w:r>
          </w:p>
        </w:tc>
        <w:tc>
          <w:tcPr>
            <w:tcW w:w="3736" w:type="dxa"/>
            <w:shd w:val="clear" w:color="auto" w:fill="auto"/>
            <w:vAlign w:val="top"/>
          </w:tcPr>
          <w:p w14:paraId="1475DE32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GGTTGCCAAGCCTTGTCAGAA</w:t>
            </w:r>
          </w:p>
        </w:tc>
      </w:tr>
      <w:tr w14:paraId="1E7DBB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1369134B">
            <w:pPr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  <w:shd w:val="clear" w:color="auto" w:fill="auto"/>
            <w:vAlign w:val="top"/>
          </w:tcPr>
          <w:p w14:paraId="4115D028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Reverse</w:t>
            </w:r>
          </w:p>
        </w:tc>
        <w:tc>
          <w:tcPr>
            <w:tcW w:w="3736" w:type="dxa"/>
            <w:shd w:val="clear" w:color="auto" w:fill="auto"/>
            <w:vAlign w:val="top"/>
          </w:tcPr>
          <w:p w14:paraId="7CDF52F0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GCTCCACTGCCTTGCTTTTATT</w:t>
            </w:r>
          </w:p>
        </w:tc>
      </w:tr>
      <w:tr w14:paraId="5D2479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  <w:shd w:val="clear" w:color="auto" w:fill="auto"/>
            <w:vAlign w:val="top"/>
          </w:tcPr>
          <w:p w14:paraId="266E0FA8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CD206</w:t>
            </w:r>
          </w:p>
          <w:p w14:paraId="0848528A">
            <w:pPr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  <w:shd w:val="clear" w:color="auto" w:fill="auto"/>
            <w:vAlign w:val="top"/>
          </w:tcPr>
          <w:p w14:paraId="19A2FC75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Forward</w:t>
            </w:r>
          </w:p>
        </w:tc>
        <w:tc>
          <w:tcPr>
            <w:tcW w:w="3736" w:type="dxa"/>
            <w:shd w:val="clear" w:color="auto" w:fill="auto"/>
            <w:vAlign w:val="top"/>
          </w:tcPr>
          <w:p w14:paraId="7AEEEF00"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GCACTGGGTTGCATTGGTTT</w:t>
            </w:r>
          </w:p>
        </w:tc>
      </w:tr>
      <w:tr w14:paraId="19E0B3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57438241">
            <w:pPr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  <w:shd w:val="clear" w:color="auto" w:fill="auto"/>
            <w:vAlign w:val="top"/>
          </w:tcPr>
          <w:p w14:paraId="070B2A70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Reverse</w:t>
            </w:r>
          </w:p>
        </w:tc>
        <w:tc>
          <w:tcPr>
            <w:tcW w:w="3736" w:type="dxa"/>
            <w:shd w:val="clear" w:color="auto" w:fill="auto"/>
            <w:vAlign w:val="top"/>
          </w:tcPr>
          <w:p w14:paraId="4FA386F5"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CCTGAGTGGCTTACGTGGTT</w:t>
            </w:r>
          </w:p>
        </w:tc>
      </w:tr>
      <w:tr w14:paraId="30E383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</w:tcPr>
          <w:p w14:paraId="7E8F0CBF">
            <w:pPr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Arg-1</w:t>
            </w:r>
          </w:p>
        </w:tc>
        <w:tc>
          <w:tcPr>
            <w:tcW w:w="2409" w:type="dxa"/>
          </w:tcPr>
          <w:p w14:paraId="40532B7C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Forward</w:t>
            </w:r>
          </w:p>
        </w:tc>
        <w:tc>
          <w:tcPr>
            <w:tcW w:w="3736" w:type="dxa"/>
          </w:tcPr>
          <w:p w14:paraId="4A9987F4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CCAGAAGAATGGAAGAGTCAGTGT</w:t>
            </w:r>
          </w:p>
        </w:tc>
      </w:tr>
      <w:tr w14:paraId="64BE53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615D760C">
            <w:pPr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</w:tcPr>
          <w:p w14:paraId="0BCAEC8E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Reverse</w:t>
            </w:r>
          </w:p>
        </w:tc>
        <w:tc>
          <w:tcPr>
            <w:tcW w:w="3736" w:type="dxa"/>
          </w:tcPr>
          <w:p w14:paraId="06B40E1F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GCAGATATGCAGGGAGTCACC</w:t>
            </w:r>
          </w:p>
        </w:tc>
      </w:tr>
      <w:tr w14:paraId="1C46F7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restart"/>
          </w:tcPr>
          <w:p w14:paraId="2B8D6140">
            <w:pPr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β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-Actin</w:t>
            </w:r>
          </w:p>
        </w:tc>
        <w:tc>
          <w:tcPr>
            <w:tcW w:w="2409" w:type="dxa"/>
          </w:tcPr>
          <w:p w14:paraId="3B51EE7E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Forward</w:t>
            </w:r>
          </w:p>
        </w:tc>
        <w:tc>
          <w:tcPr>
            <w:tcW w:w="3736" w:type="dxa"/>
          </w:tcPr>
          <w:p w14:paraId="12DD11DD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GAGCTACGAGCTGCCTGACG</w:t>
            </w:r>
          </w:p>
        </w:tc>
      </w:tr>
      <w:tr w14:paraId="49A978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7" w:type="dxa"/>
            <w:vMerge w:val="continue"/>
          </w:tcPr>
          <w:p w14:paraId="4F7E0D28">
            <w:pPr>
              <w:jc w:val="left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409" w:type="dxa"/>
          </w:tcPr>
          <w:p w14:paraId="5508A81E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Reverse</w:t>
            </w:r>
          </w:p>
        </w:tc>
        <w:tc>
          <w:tcPr>
            <w:tcW w:w="3736" w:type="dxa"/>
          </w:tcPr>
          <w:p w14:paraId="563BB5E6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CCTAGAAGCATTTGCGGTGG</w:t>
            </w:r>
          </w:p>
        </w:tc>
      </w:tr>
    </w:tbl>
    <w:p w14:paraId="3F07A900">
      <w:pPr>
        <w:rPr>
          <w:rFonts w:hint="default" w:ascii="Arial" w:hAnsi="Arial" w:cs="Arial"/>
          <w:szCs w:val="21"/>
          <w:lang w:val="en-US" w:eastAsia="zh-CN"/>
        </w:rPr>
      </w:pPr>
    </w:p>
    <w:sectPr>
      <w:pgSz w:w="11906" w:h="16838"/>
      <w:pgMar w:top="1440" w:right="1440" w:bottom="1440" w:left="1440" w:header="720" w:footer="720" w:gutter="0"/>
      <w:pgNumType w:start="1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58EA3E">
    <w:pPr>
      <w:pStyle w:val="5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211F3547">
    <w:pPr>
      <w:pStyle w:val="5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1F95">
    <w:pPr>
      <w:jc w:val="right"/>
      <w:rPr>
        <w:sz w:val="20"/>
      </w:rPr>
    </w:pPr>
  </w:p>
  <w:p w14:paraId="3CD866E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65EBD"/>
    <w:rsid w:val="00066D0C"/>
    <w:rsid w:val="00083B44"/>
    <w:rsid w:val="000850DC"/>
    <w:rsid w:val="000C07BF"/>
    <w:rsid w:val="000C2771"/>
    <w:rsid w:val="000D46F4"/>
    <w:rsid w:val="000F0DCE"/>
    <w:rsid w:val="000F6BE3"/>
    <w:rsid w:val="00112C5B"/>
    <w:rsid w:val="00114193"/>
    <w:rsid w:val="00115A38"/>
    <w:rsid w:val="0011687B"/>
    <w:rsid w:val="00124F82"/>
    <w:rsid w:val="0016337A"/>
    <w:rsid w:val="00164269"/>
    <w:rsid w:val="001A1BDE"/>
    <w:rsid w:val="001B13CE"/>
    <w:rsid w:val="001F0876"/>
    <w:rsid w:val="001F167C"/>
    <w:rsid w:val="001F5E91"/>
    <w:rsid w:val="002077B9"/>
    <w:rsid w:val="00262D72"/>
    <w:rsid w:val="00294FBB"/>
    <w:rsid w:val="002B247F"/>
    <w:rsid w:val="002C030F"/>
    <w:rsid w:val="002F0FB6"/>
    <w:rsid w:val="0031671A"/>
    <w:rsid w:val="00331D75"/>
    <w:rsid w:val="00355362"/>
    <w:rsid w:val="00363E44"/>
    <w:rsid w:val="003659A8"/>
    <w:rsid w:val="003669F9"/>
    <w:rsid w:val="00392402"/>
    <w:rsid w:val="00393BAB"/>
    <w:rsid w:val="00395E86"/>
    <w:rsid w:val="003A2FD8"/>
    <w:rsid w:val="003B40E6"/>
    <w:rsid w:val="003E74FB"/>
    <w:rsid w:val="003F5904"/>
    <w:rsid w:val="003F6E14"/>
    <w:rsid w:val="00405336"/>
    <w:rsid w:val="00435ABE"/>
    <w:rsid w:val="004571D5"/>
    <w:rsid w:val="00461D81"/>
    <w:rsid w:val="0046356B"/>
    <w:rsid w:val="00477182"/>
    <w:rsid w:val="004779CB"/>
    <w:rsid w:val="004A6F57"/>
    <w:rsid w:val="004D0135"/>
    <w:rsid w:val="004E42D8"/>
    <w:rsid w:val="004E7BA2"/>
    <w:rsid w:val="004F7EDF"/>
    <w:rsid w:val="005001AC"/>
    <w:rsid w:val="00527D71"/>
    <w:rsid w:val="00533910"/>
    <w:rsid w:val="005520A8"/>
    <w:rsid w:val="005607DD"/>
    <w:rsid w:val="005A558C"/>
    <w:rsid w:val="005D712F"/>
    <w:rsid w:val="005E28F8"/>
    <w:rsid w:val="005E6513"/>
    <w:rsid w:val="00607E8E"/>
    <w:rsid w:val="00632CA3"/>
    <w:rsid w:val="00651114"/>
    <w:rsid w:val="00664560"/>
    <w:rsid w:val="00670299"/>
    <w:rsid w:val="00691985"/>
    <w:rsid w:val="00697611"/>
    <w:rsid w:val="006A1B64"/>
    <w:rsid w:val="007108F5"/>
    <w:rsid w:val="00713E5B"/>
    <w:rsid w:val="007402FC"/>
    <w:rsid w:val="007411A1"/>
    <w:rsid w:val="00793072"/>
    <w:rsid w:val="007C45B3"/>
    <w:rsid w:val="007E2786"/>
    <w:rsid w:val="00807D35"/>
    <w:rsid w:val="008218C4"/>
    <w:rsid w:val="00867A98"/>
    <w:rsid w:val="00870867"/>
    <w:rsid w:val="00885C9B"/>
    <w:rsid w:val="008D5D2A"/>
    <w:rsid w:val="00914B63"/>
    <w:rsid w:val="009354F3"/>
    <w:rsid w:val="009447DC"/>
    <w:rsid w:val="00945471"/>
    <w:rsid w:val="00950234"/>
    <w:rsid w:val="00961BA5"/>
    <w:rsid w:val="009743A9"/>
    <w:rsid w:val="009A5287"/>
    <w:rsid w:val="009A7605"/>
    <w:rsid w:val="009A7C5F"/>
    <w:rsid w:val="009B2AC5"/>
    <w:rsid w:val="009B7984"/>
    <w:rsid w:val="009F4BED"/>
    <w:rsid w:val="009F7D93"/>
    <w:rsid w:val="00A02E0C"/>
    <w:rsid w:val="00A3403B"/>
    <w:rsid w:val="00A51A12"/>
    <w:rsid w:val="00A53A78"/>
    <w:rsid w:val="00A627D4"/>
    <w:rsid w:val="00A74DA2"/>
    <w:rsid w:val="00A77632"/>
    <w:rsid w:val="00AB399E"/>
    <w:rsid w:val="00AC59D0"/>
    <w:rsid w:val="00AD16B1"/>
    <w:rsid w:val="00AD499C"/>
    <w:rsid w:val="00B36869"/>
    <w:rsid w:val="00B43B31"/>
    <w:rsid w:val="00B47CFA"/>
    <w:rsid w:val="00B574A3"/>
    <w:rsid w:val="00B57F00"/>
    <w:rsid w:val="00B63245"/>
    <w:rsid w:val="00B73C69"/>
    <w:rsid w:val="00B77B2A"/>
    <w:rsid w:val="00B82C22"/>
    <w:rsid w:val="00B93DBA"/>
    <w:rsid w:val="00B9440A"/>
    <w:rsid w:val="00BB2D2A"/>
    <w:rsid w:val="00BC290E"/>
    <w:rsid w:val="00BC3E04"/>
    <w:rsid w:val="00BD58CF"/>
    <w:rsid w:val="00BF0C92"/>
    <w:rsid w:val="00C04CC1"/>
    <w:rsid w:val="00C4096C"/>
    <w:rsid w:val="00C50C6D"/>
    <w:rsid w:val="00C600D9"/>
    <w:rsid w:val="00C92B22"/>
    <w:rsid w:val="00CC1384"/>
    <w:rsid w:val="00CD3720"/>
    <w:rsid w:val="00CF1848"/>
    <w:rsid w:val="00CF5C2F"/>
    <w:rsid w:val="00D04BCF"/>
    <w:rsid w:val="00D11A56"/>
    <w:rsid w:val="00D143D9"/>
    <w:rsid w:val="00D30C95"/>
    <w:rsid w:val="00D51C15"/>
    <w:rsid w:val="00D5511B"/>
    <w:rsid w:val="00D766F1"/>
    <w:rsid w:val="00DD2E17"/>
    <w:rsid w:val="00DF7D88"/>
    <w:rsid w:val="00E257C8"/>
    <w:rsid w:val="00E40A10"/>
    <w:rsid w:val="00E41512"/>
    <w:rsid w:val="00E4519A"/>
    <w:rsid w:val="00E853D5"/>
    <w:rsid w:val="00E9773B"/>
    <w:rsid w:val="00EA6F42"/>
    <w:rsid w:val="00EC13A3"/>
    <w:rsid w:val="00EC7C85"/>
    <w:rsid w:val="00ED2CBE"/>
    <w:rsid w:val="00F125EE"/>
    <w:rsid w:val="00F12E98"/>
    <w:rsid w:val="00F22029"/>
    <w:rsid w:val="00F515FB"/>
    <w:rsid w:val="00F630EA"/>
    <w:rsid w:val="00F7007E"/>
    <w:rsid w:val="00F73193"/>
    <w:rsid w:val="00F74F95"/>
    <w:rsid w:val="00F80705"/>
    <w:rsid w:val="00FA1481"/>
    <w:rsid w:val="00FF04E3"/>
    <w:rsid w:val="017B7436"/>
    <w:rsid w:val="01F114A6"/>
    <w:rsid w:val="02186A33"/>
    <w:rsid w:val="022C6982"/>
    <w:rsid w:val="028247F4"/>
    <w:rsid w:val="02B0310F"/>
    <w:rsid w:val="037B2175"/>
    <w:rsid w:val="03870314"/>
    <w:rsid w:val="03A762C0"/>
    <w:rsid w:val="04131BA8"/>
    <w:rsid w:val="05544226"/>
    <w:rsid w:val="060B67BE"/>
    <w:rsid w:val="061B2F96"/>
    <w:rsid w:val="06C21663"/>
    <w:rsid w:val="09104908"/>
    <w:rsid w:val="0AC0235E"/>
    <w:rsid w:val="0AC736EC"/>
    <w:rsid w:val="0B6947A3"/>
    <w:rsid w:val="0BB43C70"/>
    <w:rsid w:val="0C41302A"/>
    <w:rsid w:val="0C9C64B3"/>
    <w:rsid w:val="0D7A4A46"/>
    <w:rsid w:val="0DA52143"/>
    <w:rsid w:val="0DF91E0E"/>
    <w:rsid w:val="0E7C659C"/>
    <w:rsid w:val="0F0942D3"/>
    <w:rsid w:val="0F3B6457"/>
    <w:rsid w:val="0F706100"/>
    <w:rsid w:val="0FDB6171"/>
    <w:rsid w:val="0FDF5034"/>
    <w:rsid w:val="1191235E"/>
    <w:rsid w:val="11FA6155"/>
    <w:rsid w:val="1288550F"/>
    <w:rsid w:val="12E50BB3"/>
    <w:rsid w:val="1356560D"/>
    <w:rsid w:val="13F015BE"/>
    <w:rsid w:val="152F25BA"/>
    <w:rsid w:val="15613414"/>
    <w:rsid w:val="15A765F4"/>
    <w:rsid w:val="16585CC2"/>
    <w:rsid w:val="1662251B"/>
    <w:rsid w:val="167F4E7B"/>
    <w:rsid w:val="16826719"/>
    <w:rsid w:val="169923E1"/>
    <w:rsid w:val="174560C4"/>
    <w:rsid w:val="17C92852"/>
    <w:rsid w:val="181141F9"/>
    <w:rsid w:val="18267CA4"/>
    <w:rsid w:val="18357EE7"/>
    <w:rsid w:val="18C66D91"/>
    <w:rsid w:val="19220D7C"/>
    <w:rsid w:val="196B586B"/>
    <w:rsid w:val="1A935399"/>
    <w:rsid w:val="1B300E3A"/>
    <w:rsid w:val="1B900DED"/>
    <w:rsid w:val="1CE67A02"/>
    <w:rsid w:val="1DBB07B3"/>
    <w:rsid w:val="1DF15F5E"/>
    <w:rsid w:val="1E4341BE"/>
    <w:rsid w:val="1F9E45C4"/>
    <w:rsid w:val="201B4C37"/>
    <w:rsid w:val="21DB47CF"/>
    <w:rsid w:val="22EE5862"/>
    <w:rsid w:val="22FB5286"/>
    <w:rsid w:val="234C4337"/>
    <w:rsid w:val="240D1D18"/>
    <w:rsid w:val="24376D95"/>
    <w:rsid w:val="251946ED"/>
    <w:rsid w:val="255A71DF"/>
    <w:rsid w:val="2562408F"/>
    <w:rsid w:val="25FA62CC"/>
    <w:rsid w:val="269F41F0"/>
    <w:rsid w:val="26B13097"/>
    <w:rsid w:val="26B50445"/>
    <w:rsid w:val="28EA087A"/>
    <w:rsid w:val="297B7724"/>
    <w:rsid w:val="29CA2459"/>
    <w:rsid w:val="2BB62C95"/>
    <w:rsid w:val="2C35050A"/>
    <w:rsid w:val="2C4C53A8"/>
    <w:rsid w:val="2CAD4098"/>
    <w:rsid w:val="2D064C6C"/>
    <w:rsid w:val="2D4C1B03"/>
    <w:rsid w:val="2D870D8D"/>
    <w:rsid w:val="30030473"/>
    <w:rsid w:val="30B67293"/>
    <w:rsid w:val="31273A7B"/>
    <w:rsid w:val="31F664E1"/>
    <w:rsid w:val="324C7EAF"/>
    <w:rsid w:val="32F50547"/>
    <w:rsid w:val="333948D8"/>
    <w:rsid w:val="340D7B12"/>
    <w:rsid w:val="344057F2"/>
    <w:rsid w:val="35753EEB"/>
    <w:rsid w:val="3579545F"/>
    <w:rsid w:val="35E339BD"/>
    <w:rsid w:val="35F40F8A"/>
    <w:rsid w:val="361433DA"/>
    <w:rsid w:val="37D746BF"/>
    <w:rsid w:val="37FC4126"/>
    <w:rsid w:val="393234F6"/>
    <w:rsid w:val="398B5761"/>
    <w:rsid w:val="3A0674A4"/>
    <w:rsid w:val="3A4D6EBA"/>
    <w:rsid w:val="3AA27206"/>
    <w:rsid w:val="3C997990"/>
    <w:rsid w:val="3D341081"/>
    <w:rsid w:val="3E0E070F"/>
    <w:rsid w:val="3E111FAD"/>
    <w:rsid w:val="3E5720B6"/>
    <w:rsid w:val="3F692309"/>
    <w:rsid w:val="3FC1012F"/>
    <w:rsid w:val="40C84DFA"/>
    <w:rsid w:val="41B45A71"/>
    <w:rsid w:val="43212C92"/>
    <w:rsid w:val="45464C32"/>
    <w:rsid w:val="463F7FFF"/>
    <w:rsid w:val="47176886"/>
    <w:rsid w:val="47E32C0C"/>
    <w:rsid w:val="49592D5B"/>
    <w:rsid w:val="49AF789F"/>
    <w:rsid w:val="49BA799D"/>
    <w:rsid w:val="4A3D2AA8"/>
    <w:rsid w:val="4A8E6E5F"/>
    <w:rsid w:val="4A9D3546"/>
    <w:rsid w:val="4B02784D"/>
    <w:rsid w:val="4C8A18A8"/>
    <w:rsid w:val="4CC46F48"/>
    <w:rsid w:val="4D21045F"/>
    <w:rsid w:val="4DE84AD8"/>
    <w:rsid w:val="4ECC5DBB"/>
    <w:rsid w:val="4FCB6460"/>
    <w:rsid w:val="5034536B"/>
    <w:rsid w:val="509176A9"/>
    <w:rsid w:val="51220301"/>
    <w:rsid w:val="51BC276C"/>
    <w:rsid w:val="52410C5B"/>
    <w:rsid w:val="530E3233"/>
    <w:rsid w:val="533E2787"/>
    <w:rsid w:val="55256612"/>
    <w:rsid w:val="555313D1"/>
    <w:rsid w:val="5641747C"/>
    <w:rsid w:val="56ED315F"/>
    <w:rsid w:val="579655A5"/>
    <w:rsid w:val="58A40196"/>
    <w:rsid w:val="58EB4571"/>
    <w:rsid w:val="58F5454D"/>
    <w:rsid w:val="59934492"/>
    <w:rsid w:val="5B8A5421"/>
    <w:rsid w:val="5BCA3A6F"/>
    <w:rsid w:val="5C292E8C"/>
    <w:rsid w:val="5C62014C"/>
    <w:rsid w:val="5D526412"/>
    <w:rsid w:val="5F117C07"/>
    <w:rsid w:val="5F1C2A9C"/>
    <w:rsid w:val="5FAF18FA"/>
    <w:rsid w:val="602816AC"/>
    <w:rsid w:val="606C77EB"/>
    <w:rsid w:val="6381535B"/>
    <w:rsid w:val="647D28E7"/>
    <w:rsid w:val="64FD6C64"/>
    <w:rsid w:val="65183A9D"/>
    <w:rsid w:val="6712451C"/>
    <w:rsid w:val="67A94E81"/>
    <w:rsid w:val="67E67E83"/>
    <w:rsid w:val="685E5C6B"/>
    <w:rsid w:val="689478DF"/>
    <w:rsid w:val="68A33FC6"/>
    <w:rsid w:val="692E7D33"/>
    <w:rsid w:val="69437FB4"/>
    <w:rsid w:val="69B31FE7"/>
    <w:rsid w:val="69F0323B"/>
    <w:rsid w:val="6A6562C3"/>
    <w:rsid w:val="6A723C50"/>
    <w:rsid w:val="6A7F636D"/>
    <w:rsid w:val="6AA625D5"/>
    <w:rsid w:val="6B0A032C"/>
    <w:rsid w:val="6B3B24FC"/>
    <w:rsid w:val="6B3E1D84"/>
    <w:rsid w:val="6B4B624F"/>
    <w:rsid w:val="6BBD0EFB"/>
    <w:rsid w:val="6BDE05C0"/>
    <w:rsid w:val="6CD75FEC"/>
    <w:rsid w:val="6D12171A"/>
    <w:rsid w:val="6D5E6BE1"/>
    <w:rsid w:val="6D8343C6"/>
    <w:rsid w:val="6D886F57"/>
    <w:rsid w:val="6E192634"/>
    <w:rsid w:val="70F058CE"/>
    <w:rsid w:val="71816E6E"/>
    <w:rsid w:val="71C01745"/>
    <w:rsid w:val="71F907B3"/>
    <w:rsid w:val="72B312A9"/>
    <w:rsid w:val="73376A7D"/>
    <w:rsid w:val="738549F4"/>
    <w:rsid w:val="755328D0"/>
    <w:rsid w:val="75BA294F"/>
    <w:rsid w:val="75F45E61"/>
    <w:rsid w:val="7636652B"/>
    <w:rsid w:val="76A01B45"/>
    <w:rsid w:val="77A318EC"/>
    <w:rsid w:val="77CD0717"/>
    <w:rsid w:val="78947487"/>
    <w:rsid w:val="78A84CE1"/>
    <w:rsid w:val="797C23F5"/>
    <w:rsid w:val="7A8471F2"/>
    <w:rsid w:val="7C18217D"/>
    <w:rsid w:val="7C9712F4"/>
    <w:rsid w:val="7CEC1640"/>
    <w:rsid w:val="7D056BA5"/>
    <w:rsid w:val="7D127336"/>
    <w:rsid w:val="7D7366D3"/>
    <w:rsid w:val="7EC23804"/>
    <w:rsid w:val="7EE12CFA"/>
    <w:rsid w:val="7F141322"/>
    <w:rsid w:val="7F3D43D5"/>
    <w:rsid w:val="7F437511"/>
    <w:rsid w:val="7FE2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nhideWhenUsed="0" w:uiPriority="0" w:name="heading 6"/>
    <w:lsdException w:qFormat="1" w:unhideWhenUsed="0" w:uiPriority="0" w:name="heading 7"/>
    <w:lsdException w:qFormat="1" w:unhideWhenUsed="0" w:uiPriority="0" w:name="heading 8"/>
    <w:lsdException w:qFormat="1" w:unhideWhenUsed="0" w:uiPriority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0" w:name="footer"/>
    <w:lsdException w:qFormat="1" w:unhideWhenUsed="0" w:uiPriority="0" w:name="index heading"/>
    <w:lsdException w:qFormat="1" w:unhideWhenUsed="0" w:uiPriority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name="page number"/>
    <w:lsdException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qFormat="1" w:unhideWhenUsed="0" w:uiPriority="0" w:name="List"/>
    <w:lsdException w:qFormat="1" w:unhideWhenUsed="0" w:uiPriority="0" w:name="List Bullet"/>
    <w:lsdException w:qFormat="1" w:unhideWhenUsed="0" w:uiPriority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qFormat="1" w:unhideWhenUsed="0" w:uiPriority="0" w:name="List Bullet 2"/>
    <w:lsdException w:qFormat="1" w:unhideWhenUsed="0" w:uiPriority="0" w:name="List Bullet 3"/>
    <w:lsdException w:qFormat="1" w:unhideWhenUsed="0" w:uiPriority="0" w:name="List Bullet 4"/>
    <w:lsdException w:qFormat="1"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qFormat="1" w:unhideWhenUsed="0" w:uiPriority="0" w:name="List Number 4"/>
    <w:lsdException w:qFormat="1" w:unhideWhenUsed="0" w:uiPriority="0" w:name="List Number 5"/>
    <w:lsdException w:qFormat="1" w:unhideWhenUsed="0" w:uiPriority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qFormat="1" w:unhideWhenUsed="0" w:uiPriority="0" w:name="List Continue"/>
    <w:lsdException w:qFormat="1" w:unhideWhenUsed="0" w:uiPriority="0" w:name="List Continue 2"/>
    <w:lsdException w:qFormat="1" w:unhideWhenUsed="0" w:uiPriority="0" w:name="List Continue 3"/>
    <w:lsdException w:qFormat="1" w:unhideWhenUsed="0" w:uiPriority="0" w:name="List Continue 4"/>
    <w:lsdException w:qFormat="1" w:unhideWhenUsed="0" w:uiPriority="0" w:name="List Continue 5"/>
    <w:lsdException w:qFormat="1" w:unhideWhenUsed="0" w:uiPriority="0" w:name="Message Header"/>
    <w:lsdException w:qFormat="1" w:unhideWhenUsed="0" w:uiPriority="0" w:name="Subtitle"/>
    <w:lsdException w:qFormat="1" w:unhideWhenUsed="0" w:uiPriority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0" w:name="Hyperlink"/>
    <w:lsdException w:qFormat="1" w:uiPriority="0" w:name="FollowedHyperlink"/>
    <w:lsdException w:qFormat="1" w:unhideWhenUsed="0" w:uiPriority="0" w:name="Strong"/>
    <w:lsdException w:qFormat="1" w:unhideWhenUsed="0" w:uiPriority="0" w:name="Emphasis"/>
    <w:lsdException w:qFormat="1" w:unhideWhenUsed="0" w:uiPriority="0" w:name="Document Map"/>
    <w:lsdException w:qFormat="1" w:unhideWhenUsed="0" w:uiPriority="0" w:name="Plain Text"/>
    <w:lsdException w:qFormat="1" w:unhideWhenUsed="0" w:uiPriority="0" w:name="E-mail Signature"/>
    <w:lsdException w:qFormat="1" w:unhideWhenUsed="0" w:uiPriority="0" w:name="Normal (Web)"/>
    <w:lsdException w:uiPriority="0" w:name="HTML Acronym"/>
    <w:lsdException w:qFormat="1" w:unhideWhenUsed="0"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qFormat="1" w:unhideWhenUsed="0" w:uiPriority="1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name="List Paragraph"/>
    <w:lsdException w:qFormat="1" w:unhideWhenUsed="0" w:uiPriority="29" w:name="Quote"/>
    <w:lsdException w:qFormat="1" w:unhideWhenUsed="0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lang w:val="en-US" w:eastAsia="en-US" w:bidi="ar-SA"/>
    </w:rPr>
  </w:style>
  <w:style w:type="paragraph" w:styleId="3">
    <w:name w:val="heading 1"/>
    <w:basedOn w:val="1"/>
    <w:next w:val="1"/>
    <w:link w:val="94"/>
    <w:semiHidden/>
    <w:qFormat/>
    <w:uiPriority w:val="0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4">
    <w:name w:val="heading 2"/>
    <w:basedOn w:val="1"/>
    <w:next w:val="1"/>
    <w:link w:val="95"/>
    <w:semiHidden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3"/>
    <w:basedOn w:val="1"/>
    <w:next w:val="1"/>
    <w:semiHidden/>
    <w:qFormat/>
    <w:uiPriority w:val="0"/>
    <w:pPr>
      <w:keepNext/>
      <w:spacing w:line="480" w:lineRule="auto"/>
      <w:outlineLvl w:val="2"/>
    </w:pPr>
    <w:rPr>
      <w:rFonts w:ascii="Times" w:hAnsi="Times" w:eastAsia="Times"/>
      <w:b/>
    </w:rPr>
  </w:style>
  <w:style w:type="paragraph" w:styleId="6">
    <w:name w:val="heading 4"/>
    <w:basedOn w:val="1"/>
    <w:next w:val="1"/>
    <w:semiHidden/>
    <w:qFormat/>
    <w:uiPriority w:val="0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7">
    <w:name w:val="heading 5"/>
    <w:basedOn w:val="1"/>
    <w:next w:val="1"/>
    <w:link w:val="96"/>
    <w:semiHidden/>
    <w:qFormat/>
    <w:uiPriority w:val="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6"/>
    <w:basedOn w:val="1"/>
    <w:next w:val="1"/>
    <w:link w:val="97"/>
    <w:semiHidden/>
    <w:qFormat/>
    <w:uiPriority w:val="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7"/>
    <w:basedOn w:val="1"/>
    <w:next w:val="1"/>
    <w:link w:val="98"/>
    <w:semiHidden/>
    <w:qFormat/>
    <w:uiPriority w:val="0"/>
    <w:pPr>
      <w:spacing w:before="240" w:after="60"/>
      <w:outlineLvl w:val="6"/>
    </w:pPr>
    <w:rPr>
      <w:rFonts w:ascii="Calibri" w:hAnsi="Calibri"/>
      <w:szCs w:val="24"/>
    </w:rPr>
  </w:style>
  <w:style w:type="paragraph" w:styleId="10">
    <w:name w:val="heading 8"/>
    <w:basedOn w:val="1"/>
    <w:next w:val="1"/>
    <w:link w:val="99"/>
    <w:semiHidden/>
    <w:qFormat/>
    <w:uiPriority w:val="0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11">
    <w:name w:val="heading 9"/>
    <w:basedOn w:val="1"/>
    <w:next w:val="1"/>
    <w:link w:val="100"/>
    <w:semiHidden/>
    <w:qFormat/>
    <w:uiPriority w:val="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89">
    <w:name w:val="Default Paragraph Font"/>
    <w:semiHidden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30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eastAsia="Times New Roman" w:cs="Courier New"/>
      <w:lang w:val="en-US" w:eastAsia="en-US" w:bidi="ar-SA"/>
    </w:rPr>
  </w:style>
  <w:style w:type="paragraph" w:styleId="12">
    <w:name w:val="List 3"/>
    <w:basedOn w:val="1"/>
    <w:semiHidden/>
    <w:qFormat/>
    <w:uiPriority w:val="0"/>
    <w:pPr>
      <w:ind w:left="1080" w:hanging="360"/>
      <w:contextualSpacing/>
    </w:pPr>
  </w:style>
  <w:style w:type="paragraph" w:styleId="13">
    <w:name w:val="toc 7"/>
    <w:basedOn w:val="1"/>
    <w:next w:val="1"/>
    <w:autoRedefine/>
    <w:semiHidden/>
    <w:qFormat/>
    <w:uiPriority w:val="0"/>
    <w:pPr>
      <w:ind w:left="1440"/>
    </w:pPr>
  </w:style>
  <w:style w:type="paragraph" w:styleId="14">
    <w:name w:val="List Number 2"/>
    <w:basedOn w:val="1"/>
    <w:semiHidden/>
    <w:qFormat/>
    <w:uiPriority w:val="0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semiHidden/>
    <w:qFormat/>
    <w:uiPriority w:val="0"/>
    <w:pPr>
      <w:ind w:left="240" w:hanging="240"/>
    </w:pPr>
  </w:style>
  <w:style w:type="paragraph" w:styleId="16">
    <w:name w:val="Note Heading"/>
    <w:basedOn w:val="1"/>
    <w:next w:val="1"/>
    <w:link w:val="133"/>
    <w:semiHidden/>
    <w:qFormat/>
    <w:uiPriority w:val="0"/>
  </w:style>
  <w:style w:type="paragraph" w:styleId="17">
    <w:name w:val="List Bullet 4"/>
    <w:basedOn w:val="1"/>
    <w:semiHidden/>
    <w:qFormat/>
    <w:uiPriority w:val="0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autoRedefine/>
    <w:semiHidden/>
    <w:qFormat/>
    <w:uiPriority w:val="0"/>
    <w:pPr>
      <w:ind w:left="1920" w:hanging="240"/>
    </w:pPr>
  </w:style>
  <w:style w:type="paragraph" w:styleId="19">
    <w:name w:val="E-mail Signature"/>
    <w:basedOn w:val="1"/>
    <w:link w:val="120"/>
    <w:semiHidden/>
    <w:qFormat/>
    <w:uiPriority w:val="0"/>
  </w:style>
  <w:style w:type="paragraph" w:styleId="20">
    <w:name w:val="List Number"/>
    <w:basedOn w:val="1"/>
    <w:semiHidden/>
    <w:qFormat/>
    <w:uiPriority w:val="0"/>
    <w:pPr>
      <w:numPr>
        <w:ilvl w:val="0"/>
        <w:numId w:val="3"/>
      </w:numPr>
      <w:contextualSpacing/>
    </w:pPr>
  </w:style>
  <w:style w:type="paragraph" w:styleId="21">
    <w:name w:val="Normal Indent"/>
    <w:basedOn w:val="1"/>
    <w:semiHidden/>
    <w:qFormat/>
    <w:uiPriority w:val="0"/>
    <w:pPr>
      <w:ind w:left="720"/>
    </w:pPr>
  </w:style>
  <w:style w:type="paragraph" w:styleId="22">
    <w:name w:val="caption"/>
    <w:basedOn w:val="1"/>
    <w:next w:val="1"/>
    <w:semiHidden/>
    <w:qFormat/>
    <w:uiPriority w:val="0"/>
    <w:rPr>
      <w:b/>
      <w:bCs/>
      <w:sz w:val="20"/>
    </w:rPr>
  </w:style>
  <w:style w:type="paragraph" w:styleId="23">
    <w:name w:val="index 5"/>
    <w:basedOn w:val="1"/>
    <w:next w:val="1"/>
    <w:autoRedefine/>
    <w:semiHidden/>
    <w:qFormat/>
    <w:uiPriority w:val="0"/>
    <w:pPr>
      <w:ind w:left="1200" w:hanging="240"/>
    </w:pPr>
  </w:style>
  <w:style w:type="paragraph" w:styleId="24">
    <w:name w:val="List Bullet"/>
    <w:basedOn w:val="1"/>
    <w:semiHidden/>
    <w:qFormat/>
    <w:uiPriority w:val="0"/>
    <w:pPr>
      <w:numPr>
        <w:ilvl w:val="0"/>
        <w:numId w:val="4"/>
      </w:numPr>
      <w:contextualSpacing/>
    </w:pPr>
  </w:style>
  <w:style w:type="paragraph" w:styleId="25">
    <w:name w:val="envelope address"/>
    <w:basedOn w:val="1"/>
    <w:semiHidden/>
    <w:qFormat/>
    <w:uiPriority w:val="0"/>
    <w:pPr>
      <w:framePr w:w="7920" w:h="1980" w:hRule="exact" w:hSpace="180" w:wrap="auto" w:vAnchor="margin" w:hAnchor="page" w:xAlign="center" w:yAlign="bottom"/>
      <w:ind w:left="2880"/>
    </w:pPr>
    <w:rPr>
      <w:rFonts w:ascii="Cambria" w:hAnsi="Cambria"/>
      <w:szCs w:val="24"/>
    </w:rPr>
  </w:style>
  <w:style w:type="paragraph" w:styleId="26">
    <w:name w:val="Document Map"/>
    <w:basedOn w:val="1"/>
    <w:link w:val="119"/>
    <w:semiHidden/>
    <w:qFormat/>
    <w:uiPriority w:val="0"/>
    <w:rPr>
      <w:rFonts w:ascii="Tahoma" w:hAnsi="Tahoma" w:cs="Tahoma"/>
      <w:sz w:val="16"/>
      <w:szCs w:val="16"/>
    </w:rPr>
  </w:style>
  <w:style w:type="paragraph" w:styleId="27">
    <w:name w:val="toa heading"/>
    <w:basedOn w:val="1"/>
    <w:next w:val="1"/>
    <w:semiHidden/>
    <w:qFormat/>
    <w:uiPriority w:val="0"/>
    <w:pPr>
      <w:spacing w:before="120"/>
    </w:pPr>
    <w:rPr>
      <w:rFonts w:ascii="Cambria" w:hAnsi="Cambria"/>
      <w:b/>
      <w:bCs/>
      <w:szCs w:val="24"/>
    </w:rPr>
  </w:style>
  <w:style w:type="paragraph" w:styleId="28">
    <w:name w:val="annotation text"/>
    <w:basedOn w:val="1"/>
    <w:link w:val="116"/>
    <w:semiHidden/>
    <w:qFormat/>
    <w:uiPriority w:val="0"/>
    <w:rPr>
      <w:sz w:val="20"/>
    </w:rPr>
  </w:style>
  <w:style w:type="paragraph" w:styleId="29">
    <w:name w:val="index 6"/>
    <w:basedOn w:val="1"/>
    <w:next w:val="1"/>
    <w:autoRedefine/>
    <w:semiHidden/>
    <w:qFormat/>
    <w:uiPriority w:val="0"/>
    <w:pPr>
      <w:ind w:left="1440" w:hanging="240"/>
    </w:pPr>
  </w:style>
  <w:style w:type="paragraph" w:styleId="30">
    <w:name w:val="Salutation"/>
    <w:basedOn w:val="1"/>
    <w:next w:val="1"/>
    <w:link w:val="137"/>
    <w:semiHidden/>
    <w:qFormat/>
    <w:uiPriority w:val="0"/>
  </w:style>
  <w:style w:type="paragraph" w:styleId="31">
    <w:name w:val="Body Text 3"/>
    <w:basedOn w:val="1"/>
    <w:link w:val="109"/>
    <w:semiHidden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5"/>
    <w:semiHidden/>
    <w:qFormat/>
    <w:uiPriority w:val="0"/>
    <w:pPr>
      <w:ind w:left="4320"/>
    </w:pPr>
  </w:style>
  <w:style w:type="paragraph" w:styleId="33">
    <w:name w:val="List Bullet 3"/>
    <w:basedOn w:val="1"/>
    <w:semiHidden/>
    <w:qFormat/>
    <w:uiPriority w:val="0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107"/>
    <w:semiHidden/>
    <w:qFormat/>
    <w:uiPriority w:val="0"/>
    <w:pPr>
      <w:spacing w:after="120"/>
    </w:pPr>
  </w:style>
  <w:style w:type="paragraph" w:styleId="35">
    <w:name w:val="Body Text Indent"/>
    <w:basedOn w:val="1"/>
    <w:link w:val="111"/>
    <w:semiHidden/>
    <w:qFormat/>
    <w:uiPriority w:val="0"/>
    <w:pPr>
      <w:spacing w:after="120"/>
      <w:ind w:left="360"/>
    </w:pPr>
  </w:style>
  <w:style w:type="paragraph" w:styleId="36">
    <w:name w:val="List Number 3"/>
    <w:basedOn w:val="1"/>
    <w:semiHidden/>
    <w:qFormat/>
    <w:uiPriority w:val="0"/>
    <w:pPr>
      <w:numPr>
        <w:ilvl w:val="0"/>
        <w:numId w:val="6"/>
      </w:numPr>
      <w:contextualSpacing/>
    </w:pPr>
  </w:style>
  <w:style w:type="paragraph" w:styleId="37">
    <w:name w:val="List 2"/>
    <w:basedOn w:val="1"/>
    <w:semiHidden/>
    <w:qFormat/>
    <w:uiPriority w:val="0"/>
    <w:pPr>
      <w:ind w:left="720" w:hanging="360"/>
      <w:contextualSpacing/>
    </w:pPr>
  </w:style>
  <w:style w:type="paragraph" w:styleId="38">
    <w:name w:val="List Continue"/>
    <w:basedOn w:val="1"/>
    <w:semiHidden/>
    <w:qFormat/>
    <w:uiPriority w:val="0"/>
    <w:pPr>
      <w:spacing w:after="120"/>
      <w:ind w:left="360"/>
      <w:contextualSpacing/>
    </w:pPr>
  </w:style>
  <w:style w:type="paragraph" w:styleId="39">
    <w:name w:val="Block Text"/>
    <w:basedOn w:val="1"/>
    <w:semiHidden/>
    <w:qFormat/>
    <w:uiPriority w:val="0"/>
    <w:pPr>
      <w:spacing w:after="120"/>
      <w:ind w:left="1440" w:right="1440"/>
    </w:pPr>
  </w:style>
  <w:style w:type="paragraph" w:styleId="40">
    <w:name w:val="List Bullet 2"/>
    <w:basedOn w:val="1"/>
    <w:semiHidden/>
    <w:qFormat/>
    <w:uiPriority w:val="0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125"/>
    <w:semiHidden/>
    <w:qFormat/>
    <w:uiPriority w:val="0"/>
    <w:rPr>
      <w:i/>
      <w:iCs/>
    </w:rPr>
  </w:style>
  <w:style w:type="paragraph" w:styleId="42">
    <w:name w:val="index 4"/>
    <w:basedOn w:val="1"/>
    <w:next w:val="1"/>
    <w:autoRedefine/>
    <w:semiHidden/>
    <w:qFormat/>
    <w:uiPriority w:val="0"/>
    <w:pPr>
      <w:ind w:left="960" w:hanging="240"/>
    </w:pPr>
  </w:style>
  <w:style w:type="paragraph" w:styleId="43">
    <w:name w:val="toc 5"/>
    <w:basedOn w:val="1"/>
    <w:next w:val="1"/>
    <w:autoRedefine/>
    <w:semiHidden/>
    <w:qFormat/>
    <w:uiPriority w:val="0"/>
    <w:pPr>
      <w:ind w:left="960"/>
    </w:pPr>
  </w:style>
  <w:style w:type="paragraph" w:styleId="44">
    <w:name w:val="toc 3"/>
    <w:basedOn w:val="1"/>
    <w:next w:val="1"/>
    <w:autoRedefine/>
    <w:semiHidden/>
    <w:qFormat/>
    <w:uiPriority w:val="0"/>
    <w:pPr>
      <w:ind w:left="480"/>
    </w:pPr>
  </w:style>
  <w:style w:type="paragraph" w:styleId="45">
    <w:name w:val="Plain Text"/>
    <w:basedOn w:val="1"/>
    <w:link w:val="134"/>
    <w:semiHidden/>
    <w:qFormat/>
    <w:uiPriority w:val="0"/>
    <w:rPr>
      <w:rFonts w:ascii="Courier New" w:hAnsi="Courier New" w:cs="Courier New"/>
      <w:sz w:val="20"/>
    </w:rPr>
  </w:style>
  <w:style w:type="paragraph" w:styleId="46">
    <w:name w:val="List Bullet 5"/>
    <w:basedOn w:val="1"/>
    <w:semiHidden/>
    <w:qFormat/>
    <w:uiPriority w:val="0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qFormat/>
    <w:uiPriority w:val="0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autoRedefine/>
    <w:semiHidden/>
    <w:qFormat/>
    <w:uiPriority w:val="0"/>
    <w:pPr>
      <w:ind w:left="1680"/>
    </w:pPr>
  </w:style>
  <w:style w:type="paragraph" w:styleId="49">
    <w:name w:val="index 3"/>
    <w:basedOn w:val="1"/>
    <w:next w:val="1"/>
    <w:autoRedefine/>
    <w:semiHidden/>
    <w:qFormat/>
    <w:uiPriority w:val="0"/>
    <w:pPr>
      <w:ind w:left="720" w:hanging="240"/>
    </w:pPr>
  </w:style>
  <w:style w:type="paragraph" w:styleId="50">
    <w:name w:val="Date"/>
    <w:basedOn w:val="1"/>
    <w:next w:val="1"/>
    <w:link w:val="118"/>
    <w:semiHidden/>
    <w:qFormat/>
    <w:uiPriority w:val="0"/>
  </w:style>
  <w:style w:type="paragraph" w:styleId="51">
    <w:name w:val="Body Text Indent 2"/>
    <w:basedOn w:val="1"/>
    <w:link w:val="113"/>
    <w:semiHidden/>
    <w:qFormat/>
    <w:uiPriority w:val="0"/>
    <w:pPr>
      <w:spacing w:after="120" w:line="480" w:lineRule="auto"/>
      <w:ind w:left="360"/>
    </w:pPr>
  </w:style>
  <w:style w:type="paragraph" w:styleId="52">
    <w:name w:val="endnote text"/>
    <w:basedOn w:val="1"/>
    <w:link w:val="121"/>
    <w:semiHidden/>
    <w:qFormat/>
    <w:uiPriority w:val="0"/>
    <w:rPr>
      <w:sz w:val="20"/>
    </w:rPr>
  </w:style>
  <w:style w:type="paragraph" w:styleId="53">
    <w:name w:val="List Continue 5"/>
    <w:basedOn w:val="1"/>
    <w:semiHidden/>
    <w:qFormat/>
    <w:uiPriority w:val="0"/>
    <w:pPr>
      <w:spacing w:after="120"/>
      <w:ind w:left="1800"/>
      <w:contextualSpacing/>
    </w:pPr>
  </w:style>
  <w:style w:type="paragraph" w:styleId="54">
    <w:name w:val="Balloon Text"/>
    <w:basedOn w:val="1"/>
    <w:link w:val="105"/>
    <w:semiHidden/>
    <w:qFormat/>
    <w:uiPriority w:val="0"/>
    <w:rPr>
      <w:rFonts w:ascii="Tahoma" w:hAnsi="Tahoma" w:cs="Tahoma"/>
      <w:sz w:val="16"/>
      <w:szCs w:val="16"/>
    </w:rPr>
  </w:style>
  <w:style w:type="paragraph" w:styleId="55">
    <w:name w:val="footer"/>
    <w:basedOn w:val="1"/>
    <w:link w:val="122"/>
    <w:semiHidden/>
    <w:qFormat/>
    <w:uiPriority w:val="0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semiHidden/>
    <w:qFormat/>
    <w:uiPriority w:val="0"/>
    <w:rPr>
      <w:rFonts w:ascii="Cambria" w:hAnsi="Cambria"/>
      <w:sz w:val="20"/>
    </w:rPr>
  </w:style>
  <w:style w:type="paragraph" w:styleId="57">
    <w:name w:val="header"/>
    <w:basedOn w:val="1"/>
    <w:link w:val="124"/>
    <w:semiHidden/>
    <w:qFormat/>
    <w:uiPriority w:val="0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138"/>
    <w:semiHidden/>
    <w:qFormat/>
    <w:uiPriority w:val="0"/>
    <w:pPr>
      <w:ind w:left="4320"/>
    </w:pPr>
  </w:style>
  <w:style w:type="paragraph" w:styleId="59">
    <w:name w:val="toc 1"/>
    <w:basedOn w:val="1"/>
    <w:next w:val="1"/>
    <w:autoRedefine/>
    <w:semiHidden/>
    <w:qFormat/>
    <w:uiPriority w:val="0"/>
  </w:style>
  <w:style w:type="paragraph" w:styleId="60">
    <w:name w:val="List Continue 4"/>
    <w:basedOn w:val="1"/>
    <w:semiHidden/>
    <w:qFormat/>
    <w:uiPriority w:val="0"/>
    <w:pPr>
      <w:spacing w:after="120"/>
      <w:ind w:left="1440"/>
      <w:contextualSpacing/>
    </w:pPr>
  </w:style>
  <w:style w:type="paragraph" w:styleId="61">
    <w:name w:val="toc 4"/>
    <w:basedOn w:val="1"/>
    <w:next w:val="1"/>
    <w:autoRedefine/>
    <w:semiHidden/>
    <w:qFormat/>
    <w:uiPriority w:val="0"/>
    <w:pPr>
      <w:ind w:left="720"/>
    </w:pPr>
  </w:style>
  <w:style w:type="paragraph" w:styleId="62">
    <w:name w:val="index heading"/>
    <w:basedOn w:val="1"/>
    <w:next w:val="63"/>
    <w:semiHidden/>
    <w:qFormat/>
    <w:uiPriority w:val="0"/>
    <w:rPr>
      <w:rFonts w:ascii="Cambria" w:hAnsi="Cambria"/>
      <w:b/>
      <w:bCs/>
    </w:rPr>
  </w:style>
  <w:style w:type="paragraph" w:styleId="63">
    <w:name w:val="index 1"/>
    <w:basedOn w:val="1"/>
    <w:next w:val="1"/>
    <w:autoRedefine/>
    <w:semiHidden/>
    <w:qFormat/>
    <w:uiPriority w:val="0"/>
    <w:pPr>
      <w:ind w:left="240" w:hanging="240"/>
    </w:pPr>
  </w:style>
  <w:style w:type="paragraph" w:styleId="64">
    <w:name w:val="Subtitle"/>
    <w:basedOn w:val="1"/>
    <w:next w:val="1"/>
    <w:link w:val="139"/>
    <w:semiHidden/>
    <w:qFormat/>
    <w:uiPriority w:val="0"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65">
    <w:name w:val="List Number 5"/>
    <w:basedOn w:val="1"/>
    <w:semiHidden/>
    <w:qFormat/>
    <w:uiPriority w:val="0"/>
    <w:pPr>
      <w:numPr>
        <w:ilvl w:val="0"/>
        <w:numId w:val="10"/>
      </w:numPr>
      <w:contextualSpacing/>
    </w:pPr>
  </w:style>
  <w:style w:type="paragraph" w:styleId="66">
    <w:name w:val="List"/>
    <w:basedOn w:val="1"/>
    <w:semiHidden/>
    <w:qFormat/>
    <w:uiPriority w:val="0"/>
    <w:pPr>
      <w:ind w:left="360" w:hanging="360"/>
      <w:contextualSpacing/>
    </w:pPr>
  </w:style>
  <w:style w:type="paragraph" w:styleId="67">
    <w:name w:val="footnote text"/>
    <w:basedOn w:val="1"/>
    <w:link w:val="123"/>
    <w:semiHidden/>
    <w:qFormat/>
    <w:uiPriority w:val="0"/>
    <w:rPr>
      <w:sz w:val="20"/>
    </w:rPr>
  </w:style>
  <w:style w:type="paragraph" w:styleId="68">
    <w:name w:val="toc 6"/>
    <w:basedOn w:val="1"/>
    <w:next w:val="1"/>
    <w:autoRedefine/>
    <w:semiHidden/>
    <w:qFormat/>
    <w:uiPriority w:val="0"/>
    <w:pPr>
      <w:ind w:left="1200"/>
    </w:pPr>
  </w:style>
  <w:style w:type="paragraph" w:styleId="69">
    <w:name w:val="List 5"/>
    <w:basedOn w:val="1"/>
    <w:semiHidden/>
    <w:qFormat/>
    <w:uiPriority w:val="0"/>
    <w:pPr>
      <w:ind w:left="1800" w:hanging="360"/>
      <w:contextualSpacing/>
    </w:pPr>
  </w:style>
  <w:style w:type="paragraph" w:styleId="70">
    <w:name w:val="Body Text Indent 3"/>
    <w:basedOn w:val="1"/>
    <w:link w:val="114"/>
    <w:semiHidden/>
    <w:qFormat/>
    <w:uiPriority w:val="0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autoRedefine/>
    <w:semiHidden/>
    <w:qFormat/>
    <w:uiPriority w:val="0"/>
    <w:pPr>
      <w:ind w:left="1680" w:hanging="240"/>
    </w:pPr>
  </w:style>
  <w:style w:type="paragraph" w:styleId="72">
    <w:name w:val="index 9"/>
    <w:basedOn w:val="1"/>
    <w:next w:val="1"/>
    <w:autoRedefine/>
    <w:semiHidden/>
    <w:qFormat/>
    <w:uiPriority w:val="0"/>
    <w:pPr>
      <w:ind w:left="2160" w:hanging="240"/>
    </w:pPr>
  </w:style>
  <w:style w:type="paragraph" w:styleId="73">
    <w:name w:val="table of figures"/>
    <w:basedOn w:val="1"/>
    <w:next w:val="1"/>
    <w:semiHidden/>
    <w:qFormat/>
    <w:uiPriority w:val="0"/>
  </w:style>
  <w:style w:type="paragraph" w:styleId="74">
    <w:name w:val="toc 2"/>
    <w:basedOn w:val="1"/>
    <w:next w:val="1"/>
    <w:autoRedefine/>
    <w:semiHidden/>
    <w:qFormat/>
    <w:uiPriority w:val="0"/>
    <w:pPr>
      <w:ind w:left="240"/>
    </w:pPr>
  </w:style>
  <w:style w:type="paragraph" w:styleId="75">
    <w:name w:val="toc 9"/>
    <w:basedOn w:val="1"/>
    <w:next w:val="1"/>
    <w:autoRedefine/>
    <w:semiHidden/>
    <w:qFormat/>
    <w:uiPriority w:val="0"/>
    <w:pPr>
      <w:ind w:left="1920"/>
    </w:pPr>
  </w:style>
  <w:style w:type="paragraph" w:styleId="76">
    <w:name w:val="Body Text 2"/>
    <w:basedOn w:val="1"/>
    <w:link w:val="108"/>
    <w:semiHidden/>
    <w:qFormat/>
    <w:uiPriority w:val="0"/>
    <w:pPr>
      <w:spacing w:after="120" w:line="480" w:lineRule="auto"/>
    </w:pPr>
  </w:style>
  <w:style w:type="paragraph" w:styleId="77">
    <w:name w:val="List 4"/>
    <w:basedOn w:val="1"/>
    <w:semiHidden/>
    <w:qFormat/>
    <w:uiPriority w:val="0"/>
    <w:pPr>
      <w:ind w:left="1440" w:hanging="360"/>
      <w:contextualSpacing/>
    </w:pPr>
  </w:style>
  <w:style w:type="paragraph" w:styleId="78">
    <w:name w:val="List Continue 2"/>
    <w:basedOn w:val="1"/>
    <w:semiHidden/>
    <w:qFormat/>
    <w:uiPriority w:val="0"/>
    <w:pPr>
      <w:spacing w:after="120"/>
      <w:ind w:left="720"/>
      <w:contextualSpacing/>
    </w:pPr>
  </w:style>
  <w:style w:type="paragraph" w:styleId="79">
    <w:name w:val="Message Header"/>
    <w:basedOn w:val="1"/>
    <w:link w:val="131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80">
    <w:name w:val="HTML Preformatted"/>
    <w:basedOn w:val="1"/>
    <w:link w:val="126"/>
    <w:semiHidden/>
    <w:qFormat/>
    <w:uiPriority w:val="0"/>
    <w:rPr>
      <w:rFonts w:ascii="Courier New" w:hAnsi="Courier New" w:cs="Courier New"/>
      <w:sz w:val="20"/>
    </w:rPr>
  </w:style>
  <w:style w:type="paragraph" w:styleId="81">
    <w:name w:val="Normal (Web)"/>
    <w:basedOn w:val="1"/>
    <w:semiHidden/>
    <w:qFormat/>
    <w:uiPriority w:val="0"/>
    <w:rPr>
      <w:szCs w:val="24"/>
    </w:rPr>
  </w:style>
  <w:style w:type="paragraph" w:styleId="82">
    <w:name w:val="List Continue 3"/>
    <w:basedOn w:val="1"/>
    <w:semiHidden/>
    <w:qFormat/>
    <w:uiPriority w:val="0"/>
    <w:pPr>
      <w:spacing w:after="120"/>
      <w:ind w:left="1080"/>
      <w:contextualSpacing/>
    </w:pPr>
  </w:style>
  <w:style w:type="paragraph" w:styleId="83">
    <w:name w:val="index 2"/>
    <w:basedOn w:val="1"/>
    <w:next w:val="1"/>
    <w:autoRedefine/>
    <w:semiHidden/>
    <w:qFormat/>
    <w:uiPriority w:val="0"/>
    <w:pPr>
      <w:ind w:left="480" w:hanging="240"/>
    </w:pPr>
  </w:style>
  <w:style w:type="paragraph" w:styleId="84">
    <w:name w:val="Title"/>
    <w:basedOn w:val="1"/>
    <w:next w:val="1"/>
    <w:link w:val="140"/>
    <w:semiHidden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85">
    <w:name w:val="annotation subject"/>
    <w:basedOn w:val="28"/>
    <w:next w:val="28"/>
    <w:link w:val="117"/>
    <w:semiHidden/>
    <w:qFormat/>
    <w:uiPriority w:val="0"/>
    <w:rPr>
      <w:b/>
      <w:bCs/>
    </w:rPr>
  </w:style>
  <w:style w:type="paragraph" w:styleId="86">
    <w:name w:val="Body Text First Indent"/>
    <w:basedOn w:val="34"/>
    <w:link w:val="110"/>
    <w:semiHidden/>
    <w:qFormat/>
    <w:uiPriority w:val="0"/>
    <w:pPr>
      <w:ind w:firstLine="210"/>
    </w:pPr>
  </w:style>
  <w:style w:type="paragraph" w:styleId="87">
    <w:name w:val="Body Text First Indent 2"/>
    <w:basedOn w:val="35"/>
    <w:link w:val="112"/>
    <w:semiHidden/>
    <w:qFormat/>
    <w:uiPriority w:val="0"/>
    <w:pPr>
      <w:ind w:firstLine="210"/>
    </w:pPr>
  </w:style>
  <w:style w:type="character" w:styleId="90">
    <w:name w:val="page number"/>
    <w:basedOn w:val="89"/>
    <w:semiHidden/>
    <w:qFormat/>
    <w:uiPriority w:val="0"/>
  </w:style>
  <w:style w:type="character" w:styleId="91">
    <w:name w:val="FollowedHyperlink"/>
    <w:semiHidden/>
    <w:unhideWhenUsed/>
    <w:qFormat/>
    <w:uiPriority w:val="0"/>
    <w:rPr>
      <w:color w:val="800080"/>
      <w:u w:val="single"/>
    </w:rPr>
  </w:style>
  <w:style w:type="character" w:styleId="92">
    <w:name w:val="Hyperlink"/>
    <w:semiHidden/>
    <w:qFormat/>
    <w:uiPriority w:val="0"/>
    <w:rPr>
      <w:color w:val="0000FF"/>
      <w:u w:val="single"/>
    </w:rPr>
  </w:style>
  <w:style w:type="character" w:styleId="93">
    <w:name w:val="annotation reference"/>
    <w:semiHidden/>
    <w:unhideWhenUsed/>
    <w:qFormat/>
    <w:uiPriority w:val="0"/>
    <w:rPr>
      <w:sz w:val="16"/>
      <w:szCs w:val="16"/>
    </w:rPr>
  </w:style>
  <w:style w:type="character" w:customStyle="1" w:styleId="94">
    <w:name w:val="Heading 1 Char"/>
    <w:link w:val="3"/>
    <w:semiHidden/>
    <w:qFormat/>
    <w:uiPriority w:val="0"/>
    <w:rPr>
      <w:b/>
      <w:bCs/>
      <w:kern w:val="32"/>
      <w:sz w:val="24"/>
      <w:szCs w:val="24"/>
    </w:rPr>
  </w:style>
  <w:style w:type="character" w:customStyle="1" w:styleId="95">
    <w:name w:val="Heading 2 Char"/>
    <w:link w:val="4"/>
    <w:semiHidden/>
    <w:qFormat/>
    <w:uiPriority w:val="0"/>
    <w:rPr>
      <w:rFonts w:ascii="Cambria" w:hAnsi="Cambria"/>
      <w:b/>
      <w:bCs/>
      <w:i/>
      <w:iCs/>
      <w:sz w:val="28"/>
      <w:szCs w:val="28"/>
    </w:rPr>
  </w:style>
  <w:style w:type="character" w:customStyle="1" w:styleId="96">
    <w:name w:val="Heading 5 Char"/>
    <w:link w:val="7"/>
    <w:semiHidden/>
    <w:qFormat/>
    <w:uiPriority w:val="0"/>
    <w:rPr>
      <w:rFonts w:ascii="Calibri" w:hAnsi="Calibri"/>
      <w:b/>
      <w:bCs/>
      <w:i/>
      <w:iCs/>
      <w:sz w:val="26"/>
      <w:szCs w:val="26"/>
    </w:rPr>
  </w:style>
  <w:style w:type="character" w:customStyle="1" w:styleId="97">
    <w:name w:val="Heading 6 Char"/>
    <w:link w:val="8"/>
    <w:semiHidden/>
    <w:qFormat/>
    <w:uiPriority w:val="0"/>
    <w:rPr>
      <w:rFonts w:ascii="Calibri" w:hAnsi="Calibri"/>
      <w:b/>
      <w:bCs/>
      <w:sz w:val="22"/>
      <w:szCs w:val="22"/>
    </w:rPr>
  </w:style>
  <w:style w:type="character" w:customStyle="1" w:styleId="98">
    <w:name w:val="Heading 7 Char"/>
    <w:link w:val="9"/>
    <w:semiHidden/>
    <w:qFormat/>
    <w:uiPriority w:val="0"/>
    <w:rPr>
      <w:rFonts w:ascii="Calibri" w:hAnsi="Calibri"/>
      <w:sz w:val="24"/>
      <w:szCs w:val="24"/>
    </w:rPr>
  </w:style>
  <w:style w:type="character" w:customStyle="1" w:styleId="99">
    <w:name w:val="Heading 8 Char"/>
    <w:link w:val="10"/>
    <w:semiHidden/>
    <w:qFormat/>
    <w:uiPriority w:val="0"/>
    <w:rPr>
      <w:rFonts w:ascii="Calibri" w:hAnsi="Calibri"/>
      <w:i/>
      <w:iCs/>
      <w:sz w:val="24"/>
      <w:szCs w:val="24"/>
    </w:rPr>
  </w:style>
  <w:style w:type="character" w:customStyle="1" w:styleId="100">
    <w:name w:val="Heading 9 Char"/>
    <w:link w:val="11"/>
    <w:semiHidden/>
    <w:qFormat/>
    <w:uiPriority w:val="0"/>
    <w:rPr>
      <w:rFonts w:ascii="Cambria" w:hAnsi="Cambria"/>
      <w:sz w:val="22"/>
      <w:szCs w:val="22"/>
    </w:rPr>
  </w:style>
  <w:style w:type="paragraph" w:customStyle="1" w:styleId="101">
    <w:name w:val="SM Heading"/>
    <w:basedOn w:val="3"/>
    <w:qFormat/>
    <w:uiPriority w:val="0"/>
  </w:style>
  <w:style w:type="paragraph" w:customStyle="1" w:styleId="102">
    <w:name w:val="SM Subheading"/>
    <w:basedOn w:val="1"/>
    <w:qFormat/>
    <w:uiPriority w:val="0"/>
    <w:rPr>
      <w:u w:val="words"/>
    </w:rPr>
  </w:style>
  <w:style w:type="paragraph" w:customStyle="1" w:styleId="103">
    <w:name w:val="SM Text"/>
    <w:basedOn w:val="1"/>
    <w:qFormat/>
    <w:uiPriority w:val="0"/>
    <w:pPr>
      <w:ind w:firstLine="480"/>
    </w:pPr>
  </w:style>
  <w:style w:type="paragraph" w:customStyle="1" w:styleId="104">
    <w:name w:val="SM caption"/>
    <w:basedOn w:val="103"/>
    <w:qFormat/>
    <w:uiPriority w:val="0"/>
    <w:pPr>
      <w:ind w:firstLine="0"/>
    </w:pPr>
  </w:style>
  <w:style w:type="character" w:customStyle="1" w:styleId="105">
    <w:name w:val="Balloon Text Char"/>
    <w:link w:val="54"/>
    <w:semiHidden/>
    <w:qFormat/>
    <w:uiPriority w:val="0"/>
    <w:rPr>
      <w:rFonts w:ascii="Tahoma" w:hAnsi="Tahoma" w:cs="Tahoma"/>
      <w:sz w:val="16"/>
      <w:szCs w:val="16"/>
    </w:rPr>
  </w:style>
  <w:style w:type="paragraph" w:customStyle="1" w:styleId="106">
    <w:name w:val="Bibliography"/>
    <w:basedOn w:val="1"/>
    <w:next w:val="1"/>
    <w:semiHidden/>
    <w:qFormat/>
    <w:uiPriority w:val="37"/>
  </w:style>
  <w:style w:type="character" w:customStyle="1" w:styleId="107">
    <w:name w:val="Body Text Char"/>
    <w:link w:val="34"/>
    <w:semiHidden/>
    <w:qFormat/>
    <w:uiPriority w:val="0"/>
    <w:rPr>
      <w:sz w:val="24"/>
    </w:rPr>
  </w:style>
  <w:style w:type="character" w:customStyle="1" w:styleId="108">
    <w:name w:val="Body Text 2 Char"/>
    <w:link w:val="76"/>
    <w:semiHidden/>
    <w:qFormat/>
    <w:uiPriority w:val="0"/>
    <w:rPr>
      <w:sz w:val="24"/>
    </w:rPr>
  </w:style>
  <w:style w:type="character" w:customStyle="1" w:styleId="109">
    <w:name w:val="Body Text 3 Char"/>
    <w:link w:val="31"/>
    <w:semiHidden/>
    <w:qFormat/>
    <w:uiPriority w:val="0"/>
    <w:rPr>
      <w:sz w:val="16"/>
      <w:szCs w:val="16"/>
    </w:rPr>
  </w:style>
  <w:style w:type="character" w:customStyle="1" w:styleId="110">
    <w:name w:val="Body Text First Indent Char"/>
    <w:link w:val="86"/>
    <w:semiHidden/>
    <w:qFormat/>
    <w:uiPriority w:val="0"/>
    <w:rPr>
      <w:sz w:val="24"/>
    </w:rPr>
  </w:style>
  <w:style w:type="character" w:customStyle="1" w:styleId="111">
    <w:name w:val="Body Text Indent Char"/>
    <w:link w:val="35"/>
    <w:semiHidden/>
    <w:qFormat/>
    <w:uiPriority w:val="0"/>
    <w:rPr>
      <w:sz w:val="24"/>
    </w:rPr>
  </w:style>
  <w:style w:type="character" w:customStyle="1" w:styleId="112">
    <w:name w:val="Body Text First Indent 2 Char"/>
    <w:link w:val="87"/>
    <w:semiHidden/>
    <w:qFormat/>
    <w:uiPriority w:val="0"/>
    <w:rPr>
      <w:sz w:val="24"/>
    </w:rPr>
  </w:style>
  <w:style w:type="character" w:customStyle="1" w:styleId="113">
    <w:name w:val="Body Text Indent 2 Char"/>
    <w:link w:val="51"/>
    <w:semiHidden/>
    <w:qFormat/>
    <w:uiPriority w:val="0"/>
    <w:rPr>
      <w:sz w:val="24"/>
    </w:rPr>
  </w:style>
  <w:style w:type="character" w:customStyle="1" w:styleId="114">
    <w:name w:val="Body Text Indent 3 Char"/>
    <w:link w:val="70"/>
    <w:semiHidden/>
    <w:qFormat/>
    <w:uiPriority w:val="0"/>
    <w:rPr>
      <w:sz w:val="16"/>
      <w:szCs w:val="16"/>
    </w:rPr>
  </w:style>
  <w:style w:type="character" w:customStyle="1" w:styleId="115">
    <w:name w:val="Closing Char"/>
    <w:link w:val="32"/>
    <w:semiHidden/>
    <w:qFormat/>
    <w:uiPriority w:val="0"/>
    <w:rPr>
      <w:sz w:val="24"/>
    </w:rPr>
  </w:style>
  <w:style w:type="character" w:customStyle="1" w:styleId="116">
    <w:name w:val="Comment Text Char"/>
    <w:basedOn w:val="89"/>
    <w:link w:val="28"/>
    <w:semiHidden/>
    <w:qFormat/>
    <w:uiPriority w:val="0"/>
  </w:style>
  <w:style w:type="character" w:customStyle="1" w:styleId="117">
    <w:name w:val="Comment Subject Char"/>
    <w:link w:val="85"/>
    <w:semiHidden/>
    <w:qFormat/>
    <w:uiPriority w:val="0"/>
    <w:rPr>
      <w:b/>
      <w:bCs/>
    </w:rPr>
  </w:style>
  <w:style w:type="character" w:customStyle="1" w:styleId="118">
    <w:name w:val="Date Char"/>
    <w:link w:val="50"/>
    <w:semiHidden/>
    <w:qFormat/>
    <w:uiPriority w:val="0"/>
    <w:rPr>
      <w:sz w:val="24"/>
    </w:rPr>
  </w:style>
  <w:style w:type="character" w:customStyle="1" w:styleId="119">
    <w:name w:val="Document Map Char"/>
    <w:link w:val="26"/>
    <w:semiHidden/>
    <w:qFormat/>
    <w:uiPriority w:val="0"/>
    <w:rPr>
      <w:rFonts w:ascii="Tahoma" w:hAnsi="Tahoma" w:cs="Tahoma"/>
      <w:sz w:val="16"/>
      <w:szCs w:val="16"/>
    </w:rPr>
  </w:style>
  <w:style w:type="character" w:customStyle="1" w:styleId="120">
    <w:name w:val="E-mail Signature Char"/>
    <w:link w:val="19"/>
    <w:semiHidden/>
    <w:qFormat/>
    <w:uiPriority w:val="0"/>
    <w:rPr>
      <w:sz w:val="24"/>
    </w:rPr>
  </w:style>
  <w:style w:type="character" w:customStyle="1" w:styleId="121">
    <w:name w:val="Endnote Text Char"/>
    <w:basedOn w:val="89"/>
    <w:link w:val="52"/>
    <w:semiHidden/>
    <w:qFormat/>
    <w:uiPriority w:val="0"/>
  </w:style>
  <w:style w:type="character" w:customStyle="1" w:styleId="122">
    <w:name w:val="Footer Char"/>
    <w:link w:val="55"/>
    <w:semiHidden/>
    <w:qFormat/>
    <w:uiPriority w:val="0"/>
    <w:rPr>
      <w:sz w:val="24"/>
    </w:rPr>
  </w:style>
  <w:style w:type="character" w:customStyle="1" w:styleId="123">
    <w:name w:val="Footnote Text Char"/>
    <w:basedOn w:val="89"/>
    <w:link w:val="67"/>
    <w:semiHidden/>
    <w:qFormat/>
    <w:uiPriority w:val="0"/>
  </w:style>
  <w:style w:type="character" w:customStyle="1" w:styleId="124">
    <w:name w:val="Header Char"/>
    <w:link w:val="57"/>
    <w:semiHidden/>
    <w:qFormat/>
    <w:uiPriority w:val="0"/>
    <w:rPr>
      <w:sz w:val="24"/>
    </w:rPr>
  </w:style>
  <w:style w:type="character" w:customStyle="1" w:styleId="125">
    <w:name w:val="HTML Address Char"/>
    <w:link w:val="41"/>
    <w:semiHidden/>
    <w:qFormat/>
    <w:uiPriority w:val="0"/>
    <w:rPr>
      <w:i/>
      <w:iCs/>
      <w:sz w:val="24"/>
    </w:rPr>
  </w:style>
  <w:style w:type="character" w:customStyle="1" w:styleId="126">
    <w:name w:val="HTML Preformatted Char"/>
    <w:link w:val="80"/>
    <w:semiHidden/>
    <w:qFormat/>
    <w:uiPriority w:val="0"/>
    <w:rPr>
      <w:rFonts w:ascii="Courier New" w:hAnsi="Courier New" w:cs="Courier New"/>
    </w:rPr>
  </w:style>
  <w:style w:type="paragraph" w:styleId="127">
    <w:name w:val="Intense Quote"/>
    <w:basedOn w:val="1"/>
    <w:next w:val="1"/>
    <w:link w:val="128"/>
    <w:semiHidden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28">
    <w:name w:val="Intense Quote Char"/>
    <w:link w:val="127"/>
    <w:semiHidden/>
    <w:qFormat/>
    <w:uiPriority w:val="30"/>
    <w:rPr>
      <w:b/>
      <w:bCs/>
      <w:i/>
      <w:iCs/>
      <w:color w:val="4F81BD"/>
      <w:sz w:val="24"/>
    </w:rPr>
  </w:style>
  <w:style w:type="paragraph" w:styleId="129">
    <w:name w:val="List Paragraph"/>
    <w:basedOn w:val="1"/>
    <w:semiHidden/>
    <w:qFormat/>
    <w:uiPriority w:val="34"/>
    <w:pPr>
      <w:ind w:left="720"/>
    </w:pPr>
  </w:style>
  <w:style w:type="character" w:customStyle="1" w:styleId="130">
    <w:name w:val="Macro Text Char"/>
    <w:link w:val="2"/>
    <w:semiHidden/>
    <w:qFormat/>
    <w:uiPriority w:val="0"/>
    <w:rPr>
      <w:rFonts w:ascii="Courier New" w:hAnsi="Courier New" w:cs="Courier New"/>
      <w:lang w:val="en-US" w:eastAsia="en-US" w:bidi="ar-SA"/>
    </w:rPr>
  </w:style>
  <w:style w:type="character" w:customStyle="1" w:styleId="131">
    <w:name w:val="Message Header Char"/>
    <w:link w:val="79"/>
    <w:semiHidden/>
    <w:qFormat/>
    <w:uiPriority w:val="0"/>
    <w:rPr>
      <w:rFonts w:ascii="Cambria" w:hAnsi="Cambria"/>
      <w:sz w:val="24"/>
      <w:szCs w:val="24"/>
      <w:shd w:val="pct20" w:color="auto" w:fill="auto"/>
    </w:rPr>
  </w:style>
  <w:style w:type="paragraph" w:styleId="132">
    <w:name w:val="No Spacing"/>
    <w:semiHidden/>
    <w:qFormat/>
    <w:uiPriority w:val="1"/>
    <w:rPr>
      <w:rFonts w:ascii="Times New Roman" w:hAnsi="Times New Roman" w:eastAsia="Times New Roman" w:cs="Times New Roman"/>
      <w:sz w:val="24"/>
      <w:lang w:val="en-US" w:eastAsia="en-US" w:bidi="ar-SA"/>
    </w:rPr>
  </w:style>
  <w:style w:type="character" w:customStyle="1" w:styleId="133">
    <w:name w:val="Note Heading Char"/>
    <w:link w:val="16"/>
    <w:semiHidden/>
    <w:qFormat/>
    <w:uiPriority w:val="0"/>
    <w:rPr>
      <w:sz w:val="24"/>
    </w:rPr>
  </w:style>
  <w:style w:type="character" w:customStyle="1" w:styleId="134">
    <w:name w:val="Plain Text Char"/>
    <w:link w:val="45"/>
    <w:semiHidden/>
    <w:qFormat/>
    <w:uiPriority w:val="0"/>
    <w:rPr>
      <w:rFonts w:ascii="Courier New" w:hAnsi="Courier New" w:cs="Courier New"/>
    </w:rPr>
  </w:style>
  <w:style w:type="paragraph" w:styleId="135">
    <w:name w:val="Quote"/>
    <w:basedOn w:val="1"/>
    <w:next w:val="1"/>
    <w:link w:val="136"/>
    <w:semiHidden/>
    <w:qFormat/>
    <w:uiPriority w:val="29"/>
    <w:rPr>
      <w:i/>
      <w:iCs/>
      <w:color w:val="000000"/>
    </w:rPr>
  </w:style>
  <w:style w:type="character" w:customStyle="1" w:styleId="136">
    <w:name w:val="Quote Char"/>
    <w:link w:val="135"/>
    <w:semiHidden/>
    <w:qFormat/>
    <w:uiPriority w:val="29"/>
    <w:rPr>
      <w:i/>
      <w:iCs/>
      <w:color w:val="000000"/>
      <w:sz w:val="24"/>
    </w:rPr>
  </w:style>
  <w:style w:type="character" w:customStyle="1" w:styleId="137">
    <w:name w:val="Salutation Char"/>
    <w:link w:val="30"/>
    <w:semiHidden/>
    <w:qFormat/>
    <w:uiPriority w:val="0"/>
    <w:rPr>
      <w:sz w:val="24"/>
    </w:rPr>
  </w:style>
  <w:style w:type="character" w:customStyle="1" w:styleId="138">
    <w:name w:val="Signature Char"/>
    <w:link w:val="58"/>
    <w:semiHidden/>
    <w:qFormat/>
    <w:uiPriority w:val="0"/>
    <w:rPr>
      <w:sz w:val="24"/>
    </w:rPr>
  </w:style>
  <w:style w:type="character" w:customStyle="1" w:styleId="139">
    <w:name w:val="Subtitle Char"/>
    <w:link w:val="64"/>
    <w:semiHidden/>
    <w:qFormat/>
    <w:uiPriority w:val="0"/>
    <w:rPr>
      <w:rFonts w:ascii="Cambria" w:hAnsi="Cambria"/>
      <w:sz w:val="24"/>
      <w:szCs w:val="24"/>
    </w:rPr>
  </w:style>
  <w:style w:type="character" w:customStyle="1" w:styleId="140">
    <w:name w:val="Title Char"/>
    <w:link w:val="84"/>
    <w:semiHidden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141">
    <w:name w:val="TOC Heading"/>
    <w:basedOn w:val="3"/>
    <w:next w:val="1"/>
    <w:semiHidden/>
    <w:unhideWhenUsed/>
    <w:qFormat/>
    <w:uiPriority w:val="39"/>
    <w:pPr>
      <w:outlineLvl w:val="9"/>
    </w:pPr>
    <w:rPr>
      <w:rFonts w:ascii="Cambria" w:hAnsi="Cambria"/>
      <w:sz w:val="32"/>
      <w:szCs w:val="32"/>
    </w:rPr>
  </w:style>
  <w:style w:type="character" w:customStyle="1" w:styleId="142">
    <w:name w:val="Unresolved Mention"/>
    <w:basedOn w:val="89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143">
    <w:name w:val="PubInfo"/>
    <w:basedOn w:val="1"/>
    <w:qFormat/>
    <w:uiPriority w:val="0"/>
    <w:pPr>
      <w:suppressAutoHyphens/>
      <w:jc w:val="center"/>
    </w:pPr>
    <w:rPr>
      <w:sz w:val="20"/>
      <w:lang w:eastAsia="ar-SA"/>
    </w:rPr>
  </w:style>
  <w:style w:type="paragraph" w:customStyle="1" w:styleId="144">
    <w:name w:val="DoiInfo"/>
    <w:basedOn w:val="1"/>
    <w:qFormat/>
    <w:uiPriority w:val="0"/>
    <w:pPr>
      <w:suppressAutoHyphens/>
      <w:jc w:val="center"/>
    </w:pPr>
    <w:rPr>
      <w:sz w:val="20"/>
      <w:lang w:eastAsia="ar-SA"/>
    </w:rPr>
  </w:style>
  <w:style w:type="table" w:customStyle="1" w:styleId="145">
    <w:name w:val="三线表"/>
    <w:basedOn w:val="88"/>
    <w:qFormat/>
    <w:uiPriority w:val="99"/>
    <w:rPr>
      <w:rFonts w:eastAsia="Arial"/>
    </w:rPr>
    <w:tblPr>
      <w:tblBorders>
        <w:top w:val="single" w:color="auto" w:sz="12" w:space="0"/>
        <w:bottom w:val="single" w:color="auto" w:sz="12" w:space="0"/>
      </w:tblBorders>
    </w:tblPr>
    <w:tblStylePr w:type="firstRow">
      <w:tcPr>
        <w:tcBorders>
          <w:top w:val="single" w:color="auto" w:sz="12" w:space="0"/>
          <w:left w:val="nil"/>
          <w:bottom w:val="single" w:color="auto" w:sz="6" w:space="0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png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3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tiff"/><Relationship Id="rId22" Type="http://schemas.openxmlformats.org/officeDocument/2006/relationships/image" Target="media/image17.tiff"/><Relationship Id="rId21" Type="http://schemas.openxmlformats.org/officeDocument/2006/relationships/image" Target="media/image16.tiff"/><Relationship Id="rId20" Type="http://schemas.openxmlformats.org/officeDocument/2006/relationships/image" Target="media/image15.tiff"/><Relationship Id="rId2" Type="http://schemas.openxmlformats.org/officeDocument/2006/relationships/settings" Target="settings.xml"/><Relationship Id="rId19" Type="http://schemas.openxmlformats.org/officeDocument/2006/relationships/image" Target="media/image14.tiff"/><Relationship Id="rId18" Type="http://schemas.openxmlformats.org/officeDocument/2006/relationships/image" Target="media/image13.tiff"/><Relationship Id="rId17" Type="http://schemas.openxmlformats.org/officeDocument/2006/relationships/image" Target="media/image12.tiff"/><Relationship Id="rId16" Type="http://schemas.openxmlformats.org/officeDocument/2006/relationships/image" Target="media/image11.tiff"/><Relationship Id="rId15" Type="http://schemas.openxmlformats.org/officeDocument/2006/relationships/image" Target="media/image10.tiff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F523CB-42AC-406D-90D9-CA3AE16CA9D3}">
  <ds:schemaRefs/>
</ds:datastoreItem>
</file>

<file path=customXml/itemProps2.xml><?xml version="1.0" encoding="utf-8"?>
<ds:datastoreItem xmlns:ds="http://schemas.openxmlformats.org/officeDocument/2006/customXml" ds:itemID="{6876C972-A183-49AB-BF18-FB119101A461}">
  <ds:schemaRefs/>
</ds:datastoreItem>
</file>

<file path=customXml/itemProps3.xml><?xml version="1.0" encoding="utf-8"?>
<ds:datastoreItem xmlns:ds="http://schemas.openxmlformats.org/officeDocument/2006/customXml" ds:itemID="{606A6A5F-BF35-401C-A3A1-63045C8310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AAAS</Company>
  <Pages>20</Pages>
  <Words>755</Words>
  <Characters>4322</Characters>
  <Lines>30</Lines>
  <Paragraphs>8</Paragraphs>
  <TotalTime>0</TotalTime>
  <ScaleCrop>false</ScaleCrop>
  <LinksUpToDate>false</LinksUpToDate>
  <CharactersWithSpaces>5015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2022-10-12T19:16:00Z</dcterms:created>
  <dc:creator>Brooks Hanson</dc:creator>
  <cp:lastModifiedBy>GQQ</cp:lastModifiedBy>
  <cp:lastPrinted>2018-01-11T19:53:00Z</cp:lastPrinted>
  <dcterms:modified xsi:type="dcterms:W3CDTF">2025-06-30T18:20:00Z</dcterms:modified>
  <dc:title>Supporting Online Material for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KSOTemplateDocerSaveRecord">
    <vt:lpwstr>eyJoZGlkIjoiODI4N2I1NzQ2ZWM5NjhhNDliM2Y5MTBlZDBiZThhZWEiLCJ1c2VySWQiOiI0MTY4Njg5NzUifQ==</vt:lpwstr>
  </property>
  <property fmtid="{D5CDD505-2E9C-101B-9397-08002B2CF9AE}" pid="4" name="KSOProductBuildVer">
    <vt:lpwstr>2052-12.1.0.21915</vt:lpwstr>
  </property>
  <property fmtid="{D5CDD505-2E9C-101B-9397-08002B2CF9AE}" pid="5" name="ICV">
    <vt:lpwstr>9A63F042A3D94B8A9CB626F4BA013EC6_12</vt:lpwstr>
  </property>
</Properties>
</file>