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3CAE" w:rsidRDefault="00E21C70">
      <w:pPr>
        <w:spacing w:line="360" w:lineRule="auto"/>
        <w:jc w:val="center"/>
        <w:rPr>
          <w:rFonts w:ascii="Times New Roman" w:hAnsi="Times New Roman" w:cs="Times New Roman"/>
          <w:b/>
          <w:sz w:val="24"/>
          <w:szCs w:val="24"/>
        </w:rPr>
      </w:pPr>
      <w:bookmarkStart w:id="0" w:name="_Hlk196384178"/>
      <w:bookmarkStart w:id="1" w:name="_Hlk196382974"/>
      <w:r>
        <w:rPr>
          <w:rFonts w:ascii="Times New Roman" w:hAnsi="Times New Roman" w:cs="Times New Roman" w:hint="eastAsia"/>
          <w:b/>
          <w:sz w:val="24"/>
          <w:szCs w:val="24"/>
        </w:rPr>
        <w:t>S</w:t>
      </w:r>
      <w:r>
        <w:rPr>
          <w:rFonts w:ascii="Times New Roman" w:hAnsi="Times New Roman" w:cs="Times New Roman"/>
          <w:b/>
          <w:sz w:val="24"/>
          <w:szCs w:val="24"/>
        </w:rPr>
        <w:t xml:space="preserve">upplementary Information </w:t>
      </w:r>
    </w:p>
    <w:p w:rsidR="00723CAE" w:rsidRDefault="00E21C7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Half-Quantized </w:t>
      </w:r>
      <w:r>
        <w:rPr>
          <w:rFonts w:ascii="Times New Roman" w:hAnsi="Times New Roman" w:cs="Times New Roman" w:hint="eastAsia"/>
          <w:b/>
          <w:sz w:val="24"/>
          <w:szCs w:val="24"/>
        </w:rPr>
        <w:t xml:space="preserve">Layer </w:t>
      </w:r>
      <w:r>
        <w:rPr>
          <w:rFonts w:ascii="Times New Roman" w:hAnsi="Times New Roman" w:cs="Times New Roman"/>
          <w:b/>
          <w:sz w:val="24"/>
          <w:szCs w:val="24"/>
        </w:rPr>
        <w:t>Hall Effect as a Probe of Quantized</w:t>
      </w:r>
      <w:r>
        <w:rPr>
          <w:rFonts w:ascii="Times New Roman" w:hAnsi="Times New Roman" w:cs="Times New Roman" w:hint="eastAsia"/>
          <w:b/>
          <w:sz w:val="24"/>
          <w:szCs w:val="24"/>
        </w:rPr>
        <w:t xml:space="preserve"> </w:t>
      </w:r>
      <w:r>
        <w:rPr>
          <w:rFonts w:ascii="Times New Roman" w:hAnsi="Times New Roman" w:cs="Times New Roman"/>
          <w:b/>
          <w:sz w:val="24"/>
          <w:szCs w:val="24"/>
        </w:rPr>
        <w:t>Axion Field</w:t>
      </w:r>
    </w:p>
    <w:p w:rsidR="00723CAE" w:rsidRDefault="00723CAE">
      <w:pPr>
        <w:spacing w:line="360" w:lineRule="auto"/>
        <w:jc w:val="center"/>
        <w:rPr>
          <w:rFonts w:ascii="Times New Roman" w:hAnsi="Times New Roman" w:cs="Times New Roman"/>
          <w:b/>
          <w:sz w:val="24"/>
          <w:szCs w:val="24"/>
        </w:rPr>
      </w:pPr>
    </w:p>
    <w:p w:rsidR="00723CAE" w:rsidRDefault="00E21C70">
      <w:pPr>
        <w:spacing w:line="360" w:lineRule="auto"/>
        <w:jc w:val="left"/>
        <w:rPr>
          <w:rFonts w:ascii="Times New Roman" w:hAnsi="Times New Roman" w:cs="Times New Roman"/>
          <w:sz w:val="24"/>
          <w:szCs w:val="24"/>
          <w:vertAlign w:val="superscript"/>
        </w:rPr>
      </w:pPr>
      <w:bookmarkStart w:id="2" w:name="_Hlk200719020"/>
      <w:bookmarkEnd w:id="0"/>
      <w:bookmarkEnd w:id="1"/>
      <w:proofErr w:type="spellStart"/>
      <w:r>
        <w:rPr>
          <w:rFonts w:ascii="Times New Roman" w:hAnsi="Times New Roman" w:cs="Times New Roman"/>
          <w:sz w:val="24"/>
          <w:szCs w:val="24"/>
        </w:rPr>
        <w:t>Jiayuan</w:t>
      </w:r>
      <w:proofErr w:type="spellEnd"/>
      <w:r>
        <w:rPr>
          <w:rFonts w:ascii="Times New Roman" w:hAnsi="Times New Roman" w:cs="Times New Roman"/>
          <w:sz w:val="24"/>
          <w:szCs w:val="24"/>
        </w:rPr>
        <w:t xml:space="preserve"> Hu</w:t>
      </w:r>
      <w:r>
        <w:rPr>
          <w:rFonts w:ascii="Times New Roman" w:hAnsi="Times New Roman" w:cs="Times New Roman"/>
          <w:sz w:val="24"/>
          <w:szCs w:val="24"/>
          <w:vertAlign w:val="superscript"/>
        </w:rPr>
        <w:t>1</w:t>
      </w:r>
      <w:r>
        <w:rPr>
          <w:rFonts w:ascii="Times New Roman" w:eastAsia="微软雅黑" w:hAnsi="Times New Roman" w:cs="Times New Roman"/>
          <w:sz w:val="24"/>
          <w:szCs w:val="24"/>
          <w:vertAlign w:val="superscript"/>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Binbin</w:t>
      </w:r>
      <w:proofErr w:type="spellEnd"/>
      <w:r>
        <w:rPr>
          <w:rFonts w:ascii="Times New Roman" w:hAnsi="Times New Roman" w:cs="Times New Roman"/>
          <w:sz w:val="24"/>
          <w:szCs w:val="24"/>
        </w:rPr>
        <w:t xml:space="preserve"> Wang</w:t>
      </w:r>
      <w:r>
        <w:rPr>
          <w:rFonts w:ascii="Times New Roman" w:hAnsi="Times New Roman" w:cs="Times New Roman"/>
          <w:sz w:val="24"/>
          <w:szCs w:val="24"/>
          <w:vertAlign w:val="superscript"/>
        </w:rPr>
        <w:t>1</w:t>
      </w:r>
      <w:r>
        <w:rPr>
          <w:rFonts w:ascii="Times New Roman" w:eastAsia="微软雅黑" w:hAnsi="Times New Roman" w:cs="Times New Roman"/>
          <w:sz w:val="24"/>
          <w:szCs w:val="24"/>
          <w:vertAlign w:val="superscript"/>
        </w:rPr>
        <w:t>†</w:t>
      </w:r>
      <w:r>
        <w:rPr>
          <w:rFonts w:ascii="Times New Roman" w:hAnsi="Times New Roman" w:cs="Times New Roman"/>
          <w:sz w:val="24"/>
          <w:szCs w:val="24"/>
        </w:rPr>
        <w:t xml:space="preserve">, </w:t>
      </w:r>
      <w:proofErr w:type="spellStart"/>
      <w:r>
        <w:rPr>
          <w:rFonts w:ascii="Times New Roman" w:hAnsi="Times New Roman" w:cs="Times New Roman" w:hint="eastAsia"/>
          <w:sz w:val="24"/>
          <w:szCs w:val="24"/>
        </w:rPr>
        <w:t>Humian</w:t>
      </w:r>
      <w:proofErr w:type="spellEnd"/>
      <w:r>
        <w:rPr>
          <w:rFonts w:ascii="Times New Roman" w:hAnsi="Times New Roman" w:cs="Times New Roman"/>
          <w:sz w:val="24"/>
          <w:szCs w:val="24"/>
        </w:rPr>
        <w:t xml:space="preserve"> Zhou</w:t>
      </w:r>
      <w:r>
        <w:rPr>
          <w:rFonts w:ascii="Times New Roman" w:hAnsi="Times New Roman" w:cs="Times New Roman"/>
          <w:sz w:val="24"/>
          <w:szCs w:val="24"/>
          <w:vertAlign w:val="superscript"/>
        </w:rPr>
        <w:t>2</w:t>
      </w:r>
      <w:r>
        <w:rPr>
          <w:rFonts w:ascii="Times New Roman" w:eastAsia="微软雅黑" w:hAnsi="Times New Roman" w:cs="Times New Roman"/>
          <w:sz w:val="24"/>
          <w:szCs w:val="24"/>
          <w:vertAlign w:val="superscript"/>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Tongtong</w:t>
      </w:r>
      <w:proofErr w:type="spellEnd"/>
      <w:r>
        <w:rPr>
          <w:rFonts w:ascii="Times New Roman" w:hAnsi="Times New Roman" w:cs="Times New Roman"/>
          <w:sz w:val="24"/>
          <w:szCs w:val="24"/>
        </w:rPr>
        <w:t xml:space="preserve"> Jia</w:t>
      </w:r>
      <w:r>
        <w:rPr>
          <w:rFonts w:ascii="Times New Roman" w:hAnsi="Times New Roman" w:cs="Times New Roman"/>
          <w:sz w:val="24"/>
          <w:szCs w:val="24"/>
          <w:vertAlign w:val="superscript"/>
        </w:rPr>
        <w:t>3</w:t>
      </w:r>
      <w:r>
        <w:rPr>
          <w:rFonts w:ascii="Times New Roman" w:hAnsi="Times New Roman" w:cs="Times New Roman"/>
          <w:sz w:val="24"/>
          <w:szCs w:val="24"/>
        </w:rPr>
        <w:t>, Zheng Sun</w:t>
      </w:r>
      <w:r>
        <w:rPr>
          <w:rFonts w:ascii="Times New Roman" w:hAnsi="Times New Roman" w:cs="Times New Roman"/>
          <w:sz w:val="24"/>
          <w:szCs w:val="24"/>
          <w:vertAlign w:val="superscript"/>
        </w:rPr>
        <w:t>3</w:t>
      </w:r>
      <w:r>
        <w:rPr>
          <w:rFonts w:ascii="Times New Roman" w:hAnsi="Times New Roman" w:cs="Times New Roman"/>
          <w:sz w:val="24"/>
          <w:szCs w:val="24"/>
        </w:rPr>
        <w:t>, Chang Liu</w:t>
      </w:r>
      <w:r>
        <w:rPr>
          <w:rFonts w:ascii="Times New Roman" w:hAnsi="Times New Roman" w:cs="Times New Roman"/>
          <w:sz w:val="24"/>
          <w:szCs w:val="24"/>
          <w:vertAlign w:val="superscript"/>
        </w:rPr>
        <w:t>3</w:t>
      </w:r>
      <w:r>
        <w:rPr>
          <w:rFonts w:ascii="Times New Roman" w:hAnsi="Times New Roman" w:cs="Times New Roman"/>
          <w:sz w:val="24"/>
          <w:szCs w:val="24"/>
        </w:rPr>
        <w:t>, Bo Zhang</w:t>
      </w:r>
      <w:r>
        <w:rPr>
          <w:rFonts w:ascii="Times New Roman" w:hAnsi="Times New Roman" w:cs="Times New Roman"/>
          <w:sz w:val="24"/>
          <w:szCs w:val="24"/>
          <w:vertAlign w:val="superscript"/>
        </w:rPr>
        <w:t>3</w:t>
      </w:r>
      <w:r>
        <w:rPr>
          <w:rFonts w:ascii="Times New Roman" w:hAnsi="Times New Roman" w:cs="Times New Roman"/>
          <w:sz w:val="24"/>
          <w:szCs w:val="24"/>
        </w:rPr>
        <w:t>, Dong Qian</w:t>
      </w:r>
      <w:r>
        <w:rPr>
          <w:rFonts w:ascii="Times New Roman" w:hAnsi="Times New Roman" w:cs="Times New Roman"/>
          <w:sz w:val="24"/>
          <w:szCs w:val="24"/>
          <w:vertAlign w:val="superscript"/>
        </w:rPr>
        <w:t>3</w:t>
      </w:r>
      <w:r>
        <w:rPr>
          <w:rFonts w:ascii="Times New Roman" w:hAnsi="Times New Roman" w:cs="Times New Roman"/>
          <w:sz w:val="24"/>
          <w:szCs w:val="24"/>
        </w:rPr>
        <w:t>, Tingxin Li</w:t>
      </w:r>
      <w:r>
        <w:rPr>
          <w:rFonts w:ascii="Times New Roman" w:hAnsi="Times New Roman" w:cs="Times New Roman"/>
          <w:sz w:val="24"/>
          <w:szCs w:val="24"/>
          <w:vertAlign w:val="superscript"/>
        </w:rPr>
        <w:t>3</w:t>
      </w:r>
      <w:r>
        <w:rPr>
          <w:rFonts w:ascii="Times New Roman" w:hAnsi="Times New Roman" w:cs="Times New Roman"/>
          <w:sz w:val="24"/>
          <w:szCs w:val="24"/>
        </w:rPr>
        <w:t>, X. C. Xie</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Yunchuan</w:t>
      </w:r>
      <w:proofErr w:type="spellEnd"/>
      <w:r>
        <w:rPr>
          <w:rFonts w:ascii="Times New Roman" w:hAnsi="Times New Roman" w:cs="Times New Roman"/>
          <w:sz w:val="24"/>
          <w:szCs w:val="24"/>
        </w:rPr>
        <w:t xml:space="preserve"> Kong</w:t>
      </w:r>
      <w:r>
        <w:rPr>
          <w:rFonts w:ascii="Times New Roman" w:hAnsi="Times New Roman" w:cs="Times New Roman"/>
          <w:sz w:val="24"/>
          <w:szCs w:val="24"/>
        </w:rPr>
        <w:softHyphen/>
      </w:r>
      <w:r>
        <w:rPr>
          <w:rFonts w:ascii="Times New Roman" w:hAnsi="Times New Roman" w:cs="Times New Roman"/>
          <w:sz w:val="24"/>
          <w:szCs w:val="24"/>
          <w:vertAlign w:val="superscript"/>
        </w:rPr>
        <w:t>1</w:t>
      </w:r>
      <w:r>
        <w:rPr>
          <w:rFonts w:ascii="Times New Roman" w:hAnsi="Times New Roman" w:cs="Times New Roman"/>
          <w:sz w:val="24"/>
          <w:szCs w:val="24"/>
        </w:rPr>
        <w:t>, Chui-Zhen Chen</w:t>
      </w:r>
      <w:r>
        <w:rPr>
          <w:rFonts w:ascii="Times New Roman" w:hAnsi="Times New Roman" w:cs="Times New Roman"/>
          <w:sz w:val="24"/>
          <w:szCs w:val="24"/>
          <w:vertAlign w:val="superscript"/>
        </w:rPr>
        <w:t>4</w:t>
      </w:r>
      <w:r>
        <w:rPr>
          <w:rFonts w:ascii="Times New Roman" w:hAnsi="Times New Roman" w:cs="Times New Roman" w:hint="eastAsia"/>
          <w:sz w:val="24"/>
          <w:szCs w:val="24"/>
          <w:vertAlign w:val="superscript"/>
        </w:rPr>
        <w:t>,</w:t>
      </w:r>
      <w:r>
        <w:rPr>
          <w:rFonts w:ascii="Times New Roman" w:hAnsi="Times New Roman" w:cs="Times New Roman"/>
          <w:sz w:val="24"/>
          <w:szCs w:val="24"/>
          <w:vertAlign w:val="superscript"/>
        </w:rPr>
        <w:t>5*</w:t>
      </w:r>
      <w:r>
        <w:rPr>
          <w:rFonts w:ascii="Times New Roman" w:hAnsi="Times New Roman" w:cs="Times New Roman"/>
          <w:sz w:val="24"/>
          <w:szCs w:val="24"/>
        </w:rPr>
        <w:t xml:space="preserve"> and Di Xiao</w:t>
      </w:r>
      <w:r>
        <w:rPr>
          <w:rFonts w:ascii="Times New Roman" w:hAnsi="Times New Roman" w:cs="Times New Roman"/>
          <w:sz w:val="24"/>
          <w:szCs w:val="24"/>
          <w:vertAlign w:val="superscript"/>
        </w:rPr>
        <w:t>1*</w:t>
      </w:r>
    </w:p>
    <w:bookmarkEnd w:id="2"/>
    <w:p w:rsidR="00723CAE" w:rsidRDefault="00723CAE">
      <w:pPr>
        <w:spacing w:line="360" w:lineRule="auto"/>
        <w:jc w:val="left"/>
        <w:rPr>
          <w:rFonts w:ascii="Times New Roman" w:hAnsi="Times New Roman" w:cs="Times New Roman"/>
          <w:sz w:val="24"/>
          <w:szCs w:val="24"/>
        </w:rPr>
      </w:pPr>
    </w:p>
    <w:p w:rsidR="00723CAE" w:rsidRDefault="00E21C70">
      <w:pPr>
        <w:widowControl/>
        <w:spacing w:line="360" w:lineRule="auto"/>
        <w:jc w:val="left"/>
        <w:rPr>
          <w:rFonts w:ascii="Times New Roman" w:eastAsia="等线" w:hAnsi="Times New Roman" w:cs="Times New Roman"/>
          <w:sz w:val="24"/>
          <w:szCs w:val="24"/>
        </w:rPr>
      </w:pPr>
      <w:r>
        <w:rPr>
          <w:rFonts w:ascii="Times New Roman" w:eastAsia="等线" w:hAnsi="Times New Roman" w:cs="Times New Roman"/>
          <w:sz w:val="24"/>
          <w:szCs w:val="24"/>
          <w:vertAlign w:val="superscript"/>
        </w:rPr>
        <w:t>1</w:t>
      </w:r>
      <w:r>
        <w:rPr>
          <w:rFonts w:ascii="Times New Roman" w:eastAsia="等线" w:hAnsi="Times New Roman" w:cs="Times New Roman"/>
          <w:sz w:val="24"/>
          <w:szCs w:val="24"/>
        </w:rPr>
        <w:t>Huawei Technologies Co., Ltd., Shanghai 201206, China</w:t>
      </w:r>
    </w:p>
    <w:p w:rsidR="00723CAE" w:rsidRDefault="00E21C70">
      <w:pPr>
        <w:widowControl/>
        <w:spacing w:line="360" w:lineRule="auto"/>
        <w:jc w:val="left"/>
        <w:rPr>
          <w:rFonts w:ascii="Times New Roman" w:eastAsia="等线" w:hAnsi="Times New Roman" w:cs="Times New Roman"/>
          <w:sz w:val="24"/>
          <w:szCs w:val="24"/>
        </w:rPr>
      </w:pPr>
      <w:r>
        <w:rPr>
          <w:rFonts w:ascii="Times New Roman" w:eastAsia="等线" w:hAnsi="Times New Roman" w:cs="Times New Roman"/>
          <w:sz w:val="24"/>
          <w:szCs w:val="24"/>
          <w:vertAlign w:val="superscript"/>
        </w:rPr>
        <w:t>2</w:t>
      </w:r>
      <w:r>
        <w:rPr>
          <w:rFonts w:ascii="Times New Roman" w:eastAsia="等线" w:hAnsi="Times New Roman" w:cs="Times New Roman"/>
          <w:sz w:val="24"/>
          <w:szCs w:val="24"/>
        </w:rPr>
        <w:t>International Center for Quantum Materials, School of Physics, Peking University, Beijing 100871, China</w:t>
      </w:r>
    </w:p>
    <w:p w:rsidR="00723CAE" w:rsidRDefault="00E21C70">
      <w:pPr>
        <w:widowControl/>
        <w:spacing w:line="360" w:lineRule="auto"/>
        <w:jc w:val="left"/>
        <w:rPr>
          <w:rFonts w:ascii="Times New Roman" w:eastAsia="等线" w:hAnsi="Times New Roman" w:cs="Times New Roman"/>
          <w:sz w:val="24"/>
          <w:szCs w:val="24"/>
        </w:rPr>
      </w:pPr>
      <w:r>
        <w:rPr>
          <w:rFonts w:ascii="Times New Roman" w:eastAsia="等线" w:hAnsi="Times New Roman" w:cs="Times New Roman"/>
          <w:sz w:val="24"/>
          <w:szCs w:val="24"/>
          <w:vertAlign w:val="superscript"/>
        </w:rPr>
        <w:t>3</w:t>
      </w:r>
      <w:r>
        <w:rPr>
          <w:rFonts w:ascii="Times New Roman" w:eastAsia="等线" w:hAnsi="Times New Roman" w:cs="Times New Roman"/>
          <w:sz w:val="24"/>
          <w:szCs w:val="24"/>
        </w:rPr>
        <w:t>Key Laboratory of Artificial Structures and Quantum Control (Ministry of Education),</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Tsung-Dao Lee Institute, School of Physics and Astronomy, Shanghai Jiao Tong</w:t>
      </w:r>
      <w:r>
        <w:rPr>
          <w:rFonts w:ascii="Times New Roman" w:eastAsia="等线" w:hAnsi="Times New Roman" w:cs="Times New Roman" w:hint="eastAsia"/>
          <w:sz w:val="24"/>
          <w:szCs w:val="24"/>
        </w:rPr>
        <w:t xml:space="preserve"> </w:t>
      </w:r>
      <w:r>
        <w:rPr>
          <w:rFonts w:ascii="Times New Roman" w:eastAsia="等线" w:hAnsi="Times New Roman" w:cs="Times New Roman"/>
          <w:sz w:val="24"/>
          <w:szCs w:val="24"/>
        </w:rPr>
        <w:t>University, Shanghai 200240, China</w:t>
      </w:r>
    </w:p>
    <w:p w:rsidR="00723CAE" w:rsidRDefault="00E21C70">
      <w:pPr>
        <w:widowControl/>
        <w:spacing w:line="360" w:lineRule="auto"/>
        <w:jc w:val="left"/>
        <w:rPr>
          <w:rFonts w:ascii="Times New Roman" w:eastAsia="等线" w:hAnsi="Times New Roman" w:cs="Times New Roman"/>
          <w:sz w:val="24"/>
          <w:szCs w:val="24"/>
        </w:rPr>
      </w:pPr>
      <w:r>
        <w:rPr>
          <w:rFonts w:ascii="Times New Roman" w:eastAsia="等线" w:hAnsi="Times New Roman" w:cs="Times New Roman" w:hint="eastAsia"/>
          <w:sz w:val="24"/>
          <w:szCs w:val="24"/>
          <w:vertAlign w:val="superscript"/>
        </w:rPr>
        <w:t>4</w:t>
      </w:r>
      <w:r>
        <w:rPr>
          <w:rFonts w:ascii="Times New Roman" w:eastAsia="等线" w:hAnsi="Times New Roman" w:cs="Times New Roman"/>
          <w:sz w:val="24"/>
          <w:szCs w:val="24"/>
        </w:rPr>
        <w:t>Interdisciplinary Center for Theoretical Physics and Information Sciences, Fudan University, Shanghai 200433, China</w:t>
      </w:r>
    </w:p>
    <w:p w:rsidR="00723CAE" w:rsidRDefault="00E21C70">
      <w:pPr>
        <w:widowControl/>
        <w:spacing w:line="360" w:lineRule="auto"/>
        <w:jc w:val="left"/>
        <w:rPr>
          <w:rFonts w:ascii="Times New Roman" w:eastAsia="等线" w:hAnsi="Times New Roman" w:cs="Times New Roman"/>
          <w:sz w:val="24"/>
          <w:szCs w:val="24"/>
        </w:rPr>
      </w:pPr>
      <w:r>
        <w:rPr>
          <w:rFonts w:ascii="Times New Roman" w:eastAsia="等线" w:hAnsi="Times New Roman" w:cs="Times New Roman"/>
          <w:sz w:val="24"/>
          <w:szCs w:val="24"/>
          <w:vertAlign w:val="superscript"/>
        </w:rPr>
        <w:t>5</w:t>
      </w:r>
      <w:r>
        <w:rPr>
          <w:rFonts w:ascii="Times New Roman" w:eastAsia="等线" w:hAnsi="Times New Roman" w:cs="Times New Roman"/>
          <w:sz w:val="24"/>
          <w:szCs w:val="24"/>
        </w:rPr>
        <w:t>Hefei National Laboratory, Hefei 230088, China</w:t>
      </w:r>
    </w:p>
    <w:p w:rsidR="00723CAE" w:rsidRDefault="00E21C70">
      <w:pPr>
        <w:widowControl/>
        <w:spacing w:line="360" w:lineRule="auto"/>
        <w:jc w:val="left"/>
        <w:rPr>
          <w:rFonts w:ascii="Times New Roman" w:eastAsia="等线" w:hAnsi="Times New Roman" w:cs="Times New Roman"/>
          <w:sz w:val="24"/>
          <w:szCs w:val="24"/>
        </w:rPr>
      </w:pPr>
      <w:r>
        <w:rPr>
          <w:rFonts w:ascii="Times New Roman" w:eastAsia="等线" w:hAnsi="Times New Roman" w:cs="Times New Roman"/>
          <w:sz w:val="24"/>
          <w:szCs w:val="24"/>
          <w:vertAlign w:val="superscript"/>
        </w:rPr>
        <w:t>6</w:t>
      </w:r>
      <w:r>
        <w:rPr>
          <w:rFonts w:ascii="Times New Roman" w:eastAsia="等线" w:hAnsi="Times New Roman" w:cs="Times New Roman"/>
          <w:sz w:val="24"/>
          <w:szCs w:val="24"/>
        </w:rPr>
        <w:t>School of Physical Science and Technology, Soochow University, Suzhou 215006, China</w:t>
      </w:r>
    </w:p>
    <w:p w:rsidR="00723CAE" w:rsidRDefault="00E21C70">
      <w:pPr>
        <w:widowControl/>
        <w:spacing w:line="360" w:lineRule="auto"/>
        <w:jc w:val="left"/>
        <w:rPr>
          <w:rFonts w:ascii="Times New Roman" w:eastAsia="等线" w:hAnsi="Times New Roman" w:cs="Times New Roman"/>
          <w:sz w:val="24"/>
          <w:szCs w:val="24"/>
        </w:rPr>
      </w:pPr>
      <w:r>
        <w:rPr>
          <w:rFonts w:ascii="Times New Roman" w:eastAsia="等线" w:hAnsi="Times New Roman" w:cs="Times New Roman"/>
          <w:sz w:val="24"/>
          <w:szCs w:val="24"/>
          <w:vertAlign w:val="superscript"/>
        </w:rPr>
        <w:t>7</w:t>
      </w:r>
      <w:r>
        <w:rPr>
          <w:rFonts w:ascii="Times New Roman" w:eastAsia="等线" w:hAnsi="Times New Roman" w:cs="Times New Roman"/>
          <w:sz w:val="24"/>
          <w:szCs w:val="24"/>
        </w:rPr>
        <w:t>Institute for Advanced Study, Soochow University, Suzhou 215006, China</w:t>
      </w:r>
    </w:p>
    <w:p w:rsidR="00723CAE" w:rsidRDefault="00723CAE">
      <w:pPr>
        <w:widowControl/>
        <w:spacing w:line="360" w:lineRule="auto"/>
        <w:jc w:val="left"/>
        <w:rPr>
          <w:rFonts w:ascii="Times New Roman" w:eastAsia="等线" w:hAnsi="Times New Roman" w:cs="Times New Roman"/>
          <w:sz w:val="24"/>
          <w:szCs w:val="24"/>
        </w:rPr>
      </w:pPr>
    </w:p>
    <w:p w:rsidR="00723CAE" w:rsidRDefault="00E21C70">
      <w:pPr>
        <w:widowControl/>
        <w:spacing w:line="360" w:lineRule="auto"/>
        <w:jc w:val="left"/>
        <w:rPr>
          <w:rFonts w:ascii="Times New Roman" w:hAnsi="Times New Roman" w:cs="Times New Roman"/>
          <w:sz w:val="24"/>
          <w:szCs w:val="24"/>
        </w:rPr>
      </w:pPr>
      <w:r>
        <w:rPr>
          <w:rFonts w:ascii="Times New Roman" w:eastAsia="微软雅黑" w:hAnsi="Times New Roman" w:cs="Times New Roman"/>
          <w:sz w:val="24"/>
          <w:szCs w:val="24"/>
          <w:vertAlign w:val="superscript"/>
        </w:rPr>
        <w:t>†</w:t>
      </w:r>
      <w:r>
        <w:rPr>
          <w:rFonts w:ascii="Times New Roman" w:hAnsi="Times New Roman" w:cs="Times New Roman" w:hint="eastAsia"/>
          <w:sz w:val="24"/>
          <w:szCs w:val="24"/>
        </w:rPr>
        <w:t>T</w:t>
      </w:r>
      <w:r>
        <w:rPr>
          <w:rFonts w:ascii="Times New Roman" w:hAnsi="Times New Roman" w:cs="Times New Roman"/>
          <w:sz w:val="24"/>
          <w:szCs w:val="24"/>
        </w:rPr>
        <w:t>hese authors contribute equally to this work.</w:t>
      </w:r>
    </w:p>
    <w:p w:rsidR="00723CAE" w:rsidRDefault="00E21C70">
      <w:pPr>
        <w:widowControl/>
        <w:spacing w:line="360" w:lineRule="auto"/>
        <w:jc w:val="left"/>
        <w:rPr>
          <w:rFonts w:ascii="Times New Roman" w:hAnsi="Times New Roman" w:cs="Times New Roman"/>
          <w:sz w:val="24"/>
          <w:szCs w:val="24"/>
        </w:rPr>
      </w:pPr>
      <w:r>
        <w:rPr>
          <w:rFonts w:ascii="Times New Roman" w:hAnsi="Times New Roman" w:cs="Times New Roman"/>
          <w:sz w:val="24"/>
          <w:szCs w:val="24"/>
          <w:vertAlign w:val="superscript"/>
        </w:rPr>
        <w:t>*</w:t>
      </w:r>
      <w:r>
        <w:rPr>
          <w:rFonts w:ascii="Times New Roman" w:hAnsi="Times New Roman" w:cs="Times New Roman" w:hint="eastAsia"/>
          <w:sz w:val="24"/>
          <w:szCs w:val="24"/>
        </w:rPr>
        <w:t>E</w:t>
      </w:r>
      <w:r>
        <w:rPr>
          <w:rFonts w:ascii="Times New Roman" w:hAnsi="Times New Roman" w:cs="Times New Roman"/>
          <w:sz w:val="24"/>
          <w:szCs w:val="24"/>
        </w:rPr>
        <w:t xml:space="preserve">mails: </w:t>
      </w:r>
      <w:hyperlink r:id="rId8" w:history="1">
        <w:r>
          <w:rPr>
            <w:rStyle w:val="ad"/>
            <w:rFonts w:ascii="Times New Roman" w:hAnsi="Times New Roman" w:cs="Times New Roman"/>
            <w:color w:val="auto"/>
            <w:sz w:val="24"/>
            <w:szCs w:val="24"/>
          </w:rPr>
          <w:t>czchen@suda.edu.cn</w:t>
        </w:r>
      </w:hyperlink>
      <w:r>
        <w:rPr>
          <w:rFonts w:ascii="Times New Roman" w:hAnsi="Times New Roman" w:cs="Times New Roman"/>
          <w:sz w:val="24"/>
          <w:szCs w:val="24"/>
        </w:rPr>
        <w:t xml:space="preserve">, </w:t>
      </w:r>
      <w:hyperlink r:id="rId9" w:history="1">
        <w:r>
          <w:rPr>
            <w:rStyle w:val="ad"/>
            <w:rFonts w:ascii="Times New Roman" w:hAnsi="Times New Roman" w:cs="Times New Roman"/>
            <w:color w:val="auto"/>
            <w:sz w:val="24"/>
            <w:szCs w:val="24"/>
          </w:rPr>
          <w:t>xiaodi12@hisilicon.com</w:t>
        </w:r>
      </w:hyperlink>
    </w:p>
    <w:p w:rsidR="00723CAE" w:rsidRDefault="00E21C70">
      <w:pPr>
        <w:widowControl/>
        <w:jc w:val="left"/>
        <w:rPr>
          <w:rFonts w:ascii="Times New Roman" w:hAnsi="Times New Roman" w:cs="Times New Roman"/>
          <w:sz w:val="24"/>
          <w:szCs w:val="24"/>
        </w:rPr>
      </w:pPr>
      <w:r>
        <w:rPr>
          <w:rFonts w:ascii="Times New Roman" w:hAnsi="Times New Roman" w:cs="Times New Roman"/>
          <w:sz w:val="24"/>
          <w:szCs w:val="24"/>
        </w:rPr>
        <w:br w:type="page"/>
      </w:r>
    </w:p>
    <w:p w:rsidR="00723CAE" w:rsidRDefault="00E21C70">
      <w:pPr>
        <w:widowControl/>
        <w:spacing w:line="360" w:lineRule="auto"/>
        <w:jc w:val="left"/>
        <w:rPr>
          <w:rFonts w:ascii="Times New Roman" w:hAnsi="Times New Roman" w:cs="Times New Roman"/>
          <w:b/>
          <w:sz w:val="24"/>
          <w:szCs w:val="24"/>
        </w:rPr>
      </w:pPr>
      <w:r>
        <w:rPr>
          <w:rFonts w:ascii="Times New Roman" w:hAnsi="Times New Roman" w:cs="Times New Roman" w:hint="cs"/>
          <w:b/>
          <w:sz w:val="24"/>
          <w:szCs w:val="24"/>
        </w:rPr>
        <w:lastRenderedPageBreak/>
        <w:t>C</w:t>
      </w:r>
      <w:r>
        <w:rPr>
          <w:rFonts w:ascii="Times New Roman" w:hAnsi="Times New Roman" w:cs="Times New Roman"/>
          <w:b/>
          <w:sz w:val="24"/>
          <w:szCs w:val="24"/>
        </w:rPr>
        <w:t>ontents:</w:t>
      </w:r>
    </w:p>
    <w:p w:rsidR="00723CAE" w:rsidRDefault="00E21C70">
      <w:pPr>
        <w:pStyle w:val="af"/>
        <w:widowControl/>
        <w:numPr>
          <w:ilvl w:val="0"/>
          <w:numId w:val="1"/>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 xml:space="preserve">Basic characterization of the MBE </w:t>
      </w:r>
      <w:r>
        <w:rPr>
          <w:rFonts w:ascii="Times New Roman" w:hAnsi="Times New Roman" w:cs="Times New Roman" w:hint="eastAsia"/>
          <w:sz w:val="24"/>
          <w:szCs w:val="24"/>
        </w:rPr>
        <w:t>g</w:t>
      </w:r>
      <w:r>
        <w:rPr>
          <w:rFonts w:ascii="Times New Roman" w:hAnsi="Times New Roman" w:cs="Times New Roman"/>
          <w:sz w:val="24"/>
          <w:szCs w:val="24"/>
        </w:rPr>
        <w:t>rown CBV sandwich heterostructures</w:t>
      </w:r>
    </w:p>
    <w:p w:rsidR="00723CAE" w:rsidRDefault="00E21C70">
      <w:pPr>
        <w:pStyle w:val="af"/>
        <w:widowControl/>
        <w:numPr>
          <w:ilvl w:val="0"/>
          <w:numId w:val="1"/>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Geometries of the Hall bar devices</w:t>
      </w:r>
    </w:p>
    <w:p w:rsidR="00723CAE" w:rsidRDefault="00E21C70">
      <w:pPr>
        <w:pStyle w:val="af"/>
        <w:widowControl/>
        <w:numPr>
          <w:ilvl w:val="0"/>
          <w:numId w:val="1"/>
        </w:numPr>
        <w:spacing w:line="360" w:lineRule="auto"/>
        <w:ind w:firstLineChars="0"/>
        <w:jc w:val="left"/>
        <w:rPr>
          <w:rFonts w:ascii="Times New Roman" w:hAnsi="Times New Roman" w:cs="Times New Roman"/>
          <w:sz w:val="24"/>
          <w:szCs w:val="24"/>
        </w:rPr>
      </w:pPr>
      <w:proofErr w:type="spellStart"/>
      <w:r>
        <w:rPr>
          <w:rFonts w:ascii="Times New Roman" w:hAnsi="Times New Roman" w:cs="Times New Roman" w:hint="eastAsia"/>
          <w:sz w:val="24"/>
          <w:szCs w:val="24"/>
        </w:rPr>
        <w:t>S</w:t>
      </w:r>
      <w:r>
        <w:rPr>
          <w:rFonts w:ascii="Times New Roman" w:hAnsi="Times New Roman" w:cs="Times New Roman"/>
          <w:sz w:val="24"/>
          <w:szCs w:val="24"/>
        </w:rPr>
        <w:t>ymmetrization</w:t>
      </w:r>
      <w:proofErr w:type="spellEnd"/>
      <w:r>
        <w:rPr>
          <w:rFonts w:ascii="Times New Roman" w:hAnsi="Times New Roman" w:cs="Times New Roman"/>
          <w:sz w:val="24"/>
          <w:szCs w:val="24"/>
        </w:rPr>
        <w:t xml:space="preserve"> and anti-</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of the transport data</w:t>
      </w:r>
    </w:p>
    <w:p w:rsidR="00723CAE" w:rsidRDefault="00E21C70">
      <w:pPr>
        <w:pStyle w:val="af"/>
        <w:numPr>
          <w:ilvl w:val="0"/>
          <w:numId w:val="1"/>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Theoretical model of magnetization switching behavior in CBV and VBC Devices</w:t>
      </w:r>
    </w:p>
    <w:p w:rsidR="00723CAE" w:rsidRDefault="00E21C70">
      <w:pPr>
        <w:pStyle w:val="af"/>
        <w:widowControl/>
        <w:numPr>
          <w:ilvl w:val="0"/>
          <w:numId w:val="1"/>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Quantization deviation analysis</w:t>
      </w:r>
    </w:p>
    <w:p w:rsidR="00723CAE" w:rsidRDefault="00E21C70">
      <w:pPr>
        <w:pStyle w:val="af"/>
        <w:widowControl/>
        <w:numPr>
          <w:ilvl w:val="0"/>
          <w:numId w:val="1"/>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Discussion on other AHC mechanisms</w:t>
      </w:r>
    </w:p>
    <w:p w:rsidR="00723CAE" w:rsidRDefault="00E21C70">
      <w:pPr>
        <w:pStyle w:val="af"/>
        <w:widowControl/>
        <w:numPr>
          <w:ilvl w:val="0"/>
          <w:numId w:val="1"/>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Estimation of the exchange gap sizes</w:t>
      </w:r>
    </w:p>
    <w:p w:rsidR="00723CAE" w:rsidRDefault="00E21C70">
      <w:pPr>
        <w:pStyle w:val="af"/>
        <w:widowControl/>
        <w:numPr>
          <w:ilvl w:val="0"/>
          <w:numId w:val="1"/>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Chara</w:t>
      </w:r>
      <w:r>
        <w:rPr>
          <w:rFonts w:ascii="Times New Roman" w:hAnsi="Times New Roman" w:cs="Times New Roman"/>
          <w:sz w:val="24"/>
          <w:szCs w:val="24"/>
        </w:rPr>
        <w:t>cteristics of all devices measured in this study</w:t>
      </w:r>
    </w:p>
    <w:p w:rsidR="00723CAE" w:rsidRDefault="00723CAE">
      <w:pPr>
        <w:widowControl/>
        <w:spacing w:line="360" w:lineRule="auto"/>
        <w:jc w:val="left"/>
        <w:rPr>
          <w:rFonts w:ascii="Times New Roman" w:hAnsi="Times New Roman" w:cs="Times New Roman"/>
          <w:sz w:val="24"/>
          <w:szCs w:val="24"/>
        </w:rPr>
      </w:pPr>
    </w:p>
    <w:p w:rsidR="00723CAE" w:rsidRDefault="00723CAE">
      <w:pPr>
        <w:widowControl/>
        <w:spacing w:line="360" w:lineRule="auto"/>
        <w:jc w:val="left"/>
        <w:rPr>
          <w:rFonts w:ascii="Times New Roman" w:hAnsi="Times New Roman" w:cs="Times New Roman"/>
          <w:sz w:val="24"/>
          <w:szCs w:val="24"/>
        </w:rPr>
      </w:pPr>
    </w:p>
    <w:p w:rsidR="00723CAE" w:rsidRDefault="00E21C70">
      <w:pPr>
        <w:pStyle w:val="af"/>
        <w:widowControl/>
        <w:numPr>
          <w:ilvl w:val="0"/>
          <w:numId w:val="2"/>
        </w:numPr>
        <w:spacing w:line="360" w:lineRule="auto"/>
        <w:ind w:firstLineChars="0"/>
        <w:jc w:val="left"/>
        <w:rPr>
          <w:rFonts w:ascii="Times New Roman" w:hAnsi="Times New Roman" w:cs="Times New Roman"/>
          <w:b/>
          <w:sz w:val="24"/>
          <w:szCs w:val="24"/>
        </w:rPr>
      </w:pPr>
      <w:r>
        <w:rPr>
          <w:rFonts w:ascii="Times New Roman" w:hAnsi="Times New Roman" w:cs="Times New Roman"/>
          <w:b/>
          <w:sz w:val="24"/>
          <w:szCs w:val="24"/>
        </w:rPr>
        <w:t xml:space="preserve">Basic characterization of the MBE </w:t>
      </w:r>
      <w:r>
        <w:rPr>
          <w:rFonts w:ascii="Times New Roman" w:hAnsi="Times New Roman" w:cs="Times New Roman" w:hint="eastAsia"/>
          <w:b/>
          <w:sz w:val="24"/>
          <w:szCs w:val="24"/>
        </w:rPr>
        <w:t>g</w:t>
      </w:r>
      <w:r>
        <w:rPr>
          <w:rFonts w:ascii="Times New Roman" w:hAnsi="Times New Roman" w:cs="Times New Roman"/>
          <w:b/>
          <w:sz w:val="24"/>
          <w:szCs w:val="24"/>
        </w:rPr>
        <w:t>rown CBV sandwich heterostructures</w:t>
      </w:r>
    </w:p>
    <w:p w:rsidR="00723CAE" w:rsidRDefault="00E21C70">
      <w:pPr>
        <w:widowControl/>
        <w:spacing w:line="360" w:lineRule="auto"/>
        <w:jc w:val="left"/>
        <w:rPr>
          <w:rFonts w:ascii="Times New Roman" w:hAnsi="Times New Roman" w:cs="Times New Roman"/>
          <w:sz w:val="24"/>
          <w:szCs w:val="24"/>
        </w:rPr>
      </w:pPr>
      <w:r>
        <w:rPr>
          <w:noProof/>
        </w:rPr>
        <w:drawing>
          <wp:inline distT="0" distB="0" distL="0" distR="0">
            <wp:extent cx="5274310" cy="37223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74310" cy="3722370"/>
                    </a:xfrm>
                    <a:prstGeom prst="rect">
                      <a:avLst/>
                    </a:prstGeom>
                  </pic:spPr>
                </pic:pic>
              </a:graphicData>
            </a:graphic>
          </wp:inline>
        </w:drawing>
      </w:r>
    </w:p>
    <w:p w:rsidR="00723CAE" w:rsidRDefault="00E21C70">
      <w:pPr>
        <w:widowControl/>
        <w:spacing w:line="360" w:lineRule="auto"/>
        <w:rPr>
          <w:rFonts w:ascii="Times New Roman" w:hAnsi="Times New Roman" w:cs="Times New Roman"/>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 xml:space="preserve">ig. </w:t>
      </w:r>
      <w:r>
        <w:rPr>
          <w:rFonts w:ascii="Times New Roman" w:hAnsi="Times New Roman" w:cs="Times New Roman" w:hint="eastAsia"/>
          <w:b/>
          <w:sz w:val="24"/>
          <w:szCs w:val="24"/>
        </w:rPr>
        <w:t>S</w:t>
      </w:r>
      <w:r>
        <w:rPr>
          <w:rFonts w:ascii="Times New Roman" w:hAnsi="Times New Roman" w:cs="Times New Roman"/>
          <w:b/>
          <w:sz w:val="24"/>
          <w:szCs w:val="24"/>
        </w:rPr>
        <w:t xml:space="preserve">1 | </w:t>
      </w:r>
      <w:r>
        <w:rPr>
          <w:rFonts w:ascii="Times New Roman" w:hAnsi="Times New Roman" w:cs="Times New Roman" w:hint="eastAsia"/>
          <w:b/>
          <w:sz w:val="24"/>
          <w:szCs w:val="24"/>
        </w:rPr>
        <w:t>Chara</w:t>
      </w:r>
      <w:r>
        <w:rPr>
          <w:rFonts w:ascii="Times New Roman" w:hAnsi="Times New Roman" w:cs="Times New Roman"/>
          <w:b/>
          <w:sz w:val="24"/>
          <w:szCs w:val="24"/>
        </w:rPr>
        <w:t xml:space="preserve">cterization of the MBE </w:t>
      </w:r>
      <w:r>
        <w:rPr>
          <w:rFonts w:ascii="Times New Roman" w:hAnsi="Times New Roman" w:cs="Times New Roman" w:hint="eastAsia"/>
          <w:b/>
          <w:sz w:val="24"/>
          <w:szCs w:val="24"/>
        </w:rPr>
        <w:t>g</w:t>
      </w:r>
      <w:r>
        <w:rPr>
          <w:rFonts w:ascii="Times New Roman" w:hAnsi="Times New Roman" w:cs="Times New Roman"/>
          <w:b/>
          <w:sz w:val="24"/>
          <w:szCs w:val="24"/>
        </w:rPr>
        <w:t xml:space="preserve">rown CBV sandwich heterostructures. a, </w:t>
      </w:r>
      <w:r>
        <w:rPr>
          <w:rFonts w:ascii="Times New Roman" w:hAnsi="Times New Roman" w:cs="Times New Roman"/>
          <w:sz w:val="24"/>
          <w:szCs w:val="24"/>
        </w:rPr>
        <w:t xml:space="preserve">RHEED pattern of a typical 2-step annealed SrTiO3 </w:t>
      </w:r>
      <w:r>
        <w:rPr>
          <w:rFonts w:ascii="Times New Roman" w:hAnsi="Times New Roman" w:cs="Times New Roman" w:hint="eastAsia"/>
          <w:sz w:val="24"/>
          <w:szCs w:val="24"/>
        </w:rPr>
        <w:t>substrate</w:t>
      </w:r>
      <w:r>
        <w:rPr>
          <w:rFonts w:ascii="Times New Roman" w:hAnsi="Times New Roman" w:cs="Times New Roman"/>
          <w:sz w:val="24"/>
          <w:szCs w:val="24"/>
        </w:rPr>
        <w:t xml:space="preserve"> prior to MBE growth of TI films.</w:t>
      </w:r>
      <w:r>
        <w:rPr>
          <w:rFonts w:ascii="Times New Roman" w:hAnsi="Times New Roman" w:cs="Times New Roman"/>
          <w:b/>
          <w:sz w:val="24"/>
          <w:szCs w:val="24"/>
        </w:rPr>
        <w:t xml:space="preserve"> b, </w:t>
      </w:r>
      <w:r>
        <w:rPr>
          <w:rFonts w:ascii="Times New Roman" w:hAnsi="Times New Roman" w:cs="Times New Roman"/>
          <w:sz w:val="24"/>
          <w:szCs w:val="24"/>
        </w:rPr>
        <w:t>RHEED pattern of a CBV sample (</w:t>
      </w:r>
      <w:r>
        <w:rPr>
          <w:rFonts w:ascii="Times New Roman" w:hAnsi="Times New Roman" w:cs="Times New Roman"/>
          <w:i/>
          <w:sz w:val="24"/>
          <w:szCs w:val="24"/>
        </w:rPr>
        <w:t>m</w:t>
      </w:r>
      <w:r>
        <w:rPr>
          <w:rFonts w:ascii="Times New Roman" w:hAnsi="Times New Roman" w:cs="Times New Roman"/>
          <w:sz w:val="24"/>
          <w:szCs w:val="24"/>
        </w:rPr>
        <w:t xml:space="preserve"> = 10, </w:t>
      </w:r>
      <w:r>
        <w:rPr>
          <w:rFonts w:ascii="Times New Roman" w:hAnsi="Times New Roman" w:cs="Times New Roman"/>
          <w:i/>
          <w:sz w:val="24"/>
          <w:szCs w:val="24"/>
        </w:rPr>
        <w:t>x</w:t>
      </w:r>
      <w:r>
        <w:rPr>
          <w:rFonts w:ascii="Times New Roman" w:hAnsi="Times New Roman" w:cs="Times New Roman"/>
          <w:sz w:val="24"/>
          <w:szCs w:val="24"/>
        </w:rPr>
        <w:t xml:space="preserve"> = 0.19, </w:t>
      </w:r>
      <w:r>
        <w:rPr>
          <w:rFonts w:ascii="Times New Roman" w:hAnsi="Times New Roman" w:cs="Times New Roman"/>
          <w:i/>
          <w:sz w:val="24"/>
          <w:szCs w:val="24"/>
        </w:rPr>
        <w:t>y</w:t>
      </w:r>
      <w:r>
        <w:rPr>
          <w:rFonts w:ascii="Times New Roman" w:hAnsi="Times New Roman" w:cs="Times New Roman"/>
          <w:sz w:val="24"/>
          <w:szCs w:val="24"/>
        </w:rPr>
        <w:t xml:space="preserve"> = 0.11, </w:t>
      </w:r>
      <w:r>
        <w:rPr>
          <w:rFonts w:ascii="Times New Roman" w:hAnsi="Times New Roman" w:cs="Times New Roman"/>
          <w:i/>
          <w:sz w:val="24"/>
          <w:szCs w:val="24"/>
        </w:rPr>
        <w:t>η</w:t>
      </w:r>
      <w:r>
        <w:rPr>
          <w:rFonts w:ascii="Times New Roman" w:hAnsi="Times New Roman" w:cs="Times New Roman"/>
          <w:sz w:val="24"/>
          <w:szCs w:val="24"/>
        </w:rPr>
        <w:t xml:space="preserve"> = 0.83) after finishing the growth. The sharp and streaky 1x1 pattern is a sign of high-quality TI film.</w:t>
      </w:r>
      <w:r>
        <w:rPr>
          <w:rFonts w:ascii="Times New Roman" w:hAnsi="Times New Roman" w:cs="Times New Roman"/>
          <w:b/>
          <w:sz w:val="24"/>
          <w:szCs w:val="24"/>
        </w:rPr>
        <w:t xml:space="preserve"> c, </w:t>
      </w:r>
      <w:r>
        <w:rPr>
          <w:rFonts w:ascii="Times New Roman" w:hAnsi="Times New Roman" w:cs="Times New Roman"/>
          <w:sz w:val="24"/>
          <w:szCs w:val="24"/>
        </w:rPr>
        <w:t>A transmission electron microscopy (TEM) image of a CBV sample (</w:t>
      </w:r>
      <w:r>
        <w:rPr>
          <w:rFonts w:ascii="Times New Roman" w:hAnsi="Times New Roman" w:cs="Times New Roman"/>
          <w:i/>
          <w:sz w:val="24"/>
          <w:szCs w:val="24"/>
        </w:rPr>
        <w:t>m</w:t>
      </w:r>
      <w:r>
        <w:rPr>
          <w:rFonts w:ascii="Times New Roman" w:hAnsi="Times New Roman" w:cs="Times New Roman"/>
          <w:sz w:val="24"/>
          <w:szCs w:val="24"/>
        </w:rPr>
        <w:t xml:space="preserve"> = 20, </w:t>
      </w:r>
      <w:r>
        <w:rPr>
          <w:rFonts w:ascii="Times New Roman" w:hAnsi="Times New Roman" w:cs="Times New Roman"/>
          <w:i/>
          <w:sz w:val="24"/>
          <w:szCs w:val="24"/>
        </w:rPr>
        <w:lastRenderedPageBreak/>
        <w:t>x</w:t>
      </w:r>
      <w:r>
        <w:rPr>
          <w:rFonts w:ascii="Times New Roman" w:hAnsi="Times New Roman" w:cs="Times New Roman"/>
          <w:sz w:val="24"/>
          <w:szCs w:val="24"/>
        </w:rPr>
        <w:t xml:space="preserve"> = 0.19, </w:t>
      </w:r>
      <w:r>
        <w:rPr>
          <w:rFonts w:ascii="Times New Roman" w:hAnsi="Times New Roman" w:cs="Times New Roman"/>
          <w:i/>
          <w:sz w:val="24"/>
          <w:szCs w:val="24"/>
        </w:rPr>
        <w:t>y</w:t>
      </w:r>
      <w:r>
        <w:rPr>
          <w:rFonts w:ascii="Times New Roman" w:hAnsi="Times New Roman" w:cs="Times New Roman"/>
          <w:sz w:val="24"/>
          <w:szCs w:val="24"/>
        </w:rPr>
        <w:t xml:space="preserve"> = 0.11, </w:t>
      </w:r>
      <w:r>
        <w:rPr>
          <w:rFonts w:ascii="Times New Roman" w:hAnsi="Times New Roman" w:cs="Times New Roman"/>
          <w:i/>
          <w:sz w:val="24"/>
          <w:szCs w:val="24"/>
        </w:rPr>
        <w:t>η</w:t>
      </w:r>
      <w:r>
        <w:rPr>
          <w:rFonts w:ascii="Times New Roman" w:hAnsi="Times New Roman" w:cs="Times New Roman"/>
          <w:sz w:val="24"/>
          <w:szCs w:val="24"/>
        </w:rPr>
        <w:t xml:space="preserve"> = 0.83). The signals from Cr (marked by blue region) and V (pink region) </w:t>
      </w:r>
      <w:r>
        <w:rPr>
          <w:rFonts w:ascii="Times New Roman" w:hAnsi="Times New Roman" w:cs="Times New Roman" w:hint="eastAsia"/>
          <w:sz w:val="24"/>
          <w:szCs w:val="24"/>
        </w:rPr>
        <w:t>do</w:t>
      </w:r>
      <w:r>
        <w:rPr>
          <w:rFonts w:ascii="Times New Roman" w:hAnsi="Times New Roman" w:cs="Times New Roman"/>
          <w:sz w:val="24"/>
          <w:szCs w:val="24"/>
        </w:rPr>
        <w:t xml:space="preserve">ping elements under the energy-dispersive spectroscopy are dim due to the dilute doping concentrations. </w:t>
      </w:r>
      <w:r>
        <w:rPr>
          <w:rFonts w:ascii="Times New Roman" w:hAnsi="Times New Roman" w:cs="Times New Roman" w:hint="eastAsia"/>
          <w:sz w:val="24"/>
          <w:szCs w:val="24"/>
        </w:rPr>
        <w:t>The</w:t>
      </w:r>
      <w:r>
        <w:rPr>
          <w:rFonts w:ascii="Times New Roman" w:hAnsi="Times New Roman" w:cs="Times New Roman"/>
          <w:sz w:val="24"/>
          <w:szCs w:val="24"/>
        </w:rPr>
        <w:t xml:space="preserve"> titanium capping on the surface caused intermixing of </w:t>
      </w:r>
      <w:proofErr w:type="spellStart"/>
      <w:r>
        <w:rPr>
          <w:rFonts w:ascii="Times New Roman" w:hAnsi="Times New Roman" w:cs="Times New Roman"/>
          <w:sz w:val="24"/>
          <w:szCs w:val="24"/>
        </w:rPr>
        <w:t>Ti</w:t>
      </w:r>
      <w:proofErr w:type="spellEnd"/>
      <w:r>
        <w:rPr>
          <w:rFonts w:ascii="Times New Roman" w:hAnsi="Times New Roman" w:cs="Times New Roman"/>
          <w:sz w:val="24"/>
          <w:szCs w:val="24"/>
        </w:rPr>
        <w:t xml:space="preserve"> and TI</w:t>
      </w:r>
      <w:r>
        <w:rPr>
          <w:rFonts w:ascii="Times New Roman" w:hAnsi="Times New Roman" w:cs="Times New Roman" w:hint="eastAsia"/>
          <w:sz w:val="24"/>
          <w:szCs w:val="24"/>
        </w:rPr>
        <w:t>,</w:t>
      </w:r>
      <w:r>
        <w:rPr>
          <w:rFonts w:ascii="Times New Roman" w:hAnsi="Times New Roman" w:cs="Times New Roman"/>
          <w:sz w:val="24"/>
          <w:szCs w:val="24"/>
        </w:rPr>
        <w:t xml:space="preserve"> obscuring the layered structure near the V-doped region. </w:t>
      </w:r>
      <w:r>
        <w:rPr>
          <w:rFonts w:ascii="Times New Roman" w:hAnsi="Times New Roman" w:cs="Times New Roman"/>
          <w:b/>
          <w:sz w:val="24"/>
          <w:szCs w:val="24"/>
        </w:rPr>
        <w:t>d, e, f,</w:t>
      </w:r>
      <w:r>
        <w:rPr>
          <w:rFonts w:ascii="Times New Roman" w:hAnsi="Times New Roman" w:cs="Times New Roman"/>
          <w:sz w:val="24"/>
          <w:szCs w:val="24"/>
        </w:rPr>
        <w:t xml:space="preserve"> XPS data for the doping concentrations of calibration samples (with nominally the same growth parameters with Devices studied in the main text), with fitting results of </w:t>
      </w:r>
      <w:r>
        <w:rPr>
          <w:rFonts w:ascii="Times New Roman" w:hAnsi="Times New Roman" w:cs="Times New Roman"/>
          <w:b/>
          <w:sz w:val="24"/>
          <w:szCs w:val="24"/>
        </w:rPr>
        <w:t xml:space="preserve">d </w:t>
      </w:r>
      <w:r>
        <w:rPr>
          <w:rFonts w:ascii="Times New Roman" w:hAnsi="Times New Roman" w:cs="Times New Roman"/>
          <w:i/>
          <w:sz w:val="24"/>
          <w:szCs w:val="24"/>
        </w:rPr>
        <w:t>x</w:t>
      </w:r>
      <w:r>
        <w:rPr>
          <w:rFonts w:ascii="Times New Roman" w:hAnsi="Times New Roman" w:cs="Times New Roman"/>
          <w:sz w:val="24"/>
          <w:szCs w:val="24"/>
        </w:rPr>
        <w:t xml:space="preserve"> = 0.19, </w:t>
      </w:r>
      <w:r>
        <w:rPr>
          <w:rFonts w:ascii="Times New Roman" w:hAnsi="Times New Roman" w:cs="Times New Roman"/>
          <w:b/>
          <w:sz w:val="24"/>
          <w:szCs w:val="24"/>
        </w:rPr>
        <w:t xml:space="preserve">e </w:t>
      </w:r>
      <w:r>
        <w:rPr>
          <w:rFonts w:ascii="Times New Roman" w:hAnsi="Times New Roman" w:cs="Times New Roman"/>
          <w:i/>
          <w:sz w:val="24"/>
          <w:szCs w:val="24"/>
        </w:rPr>
        <w:t xml:space="preserve">x </w:t>
      </w:r>
      <w:r>
        <w:rPr>
          <w:rFonts w:ascii="Times New Roman" w:hAnsi="Times New Roman" w:cs="Times New Roman" w:hint="eastAsia"/>
          <w:sz w:val="24"/>
          <w:szCs w:val="24"/>
        </w:rPr>
        <w:t>=</w:t>
      </w:r>
      <w:r>
        <w:rPr>
          <w:rFonts w:ascii="Times New Roman" w:hAnsi="Times New Roman" w:cs="Times New Roman"/>
          <w:sz w:val="24"/>
          <w:szCs w:val="24"/>
        </w:rPr>
        <w:t xml:space="preserve"> 0.34</w:t>
      </w:r>
      <w:r>
        <w:rPr>
          <w:rFonts w:ascii="Times New Roman" w:hAnsi="Times New Roman" w:cs="Times New Roman" w:hint="eastAsia"/>
          <w:sz w:val="24"/>
          <w:szCs w:val="24"/>
        </w:rPr>
        <w:t>,</w:t>
      </w:r>
      <w:r>
        <w:rPr>
          <w:rFonts w:ascii="Times New Roman" w:hAnsi="Times New Roman" w:cs="Times New Roman"/>
          <w:sz w:val="24"/>
          <w:szCs w:val="24"/>
        </w:rPr>
        <w:t xml:space="preserve"> and </w:t>
      </w:r>
      <w:r>
        <w:rPr>
          <w:rFonts w:ascii="Times New Roman" w:hAnsi="Times New Roman" w:cs="Times New Roman"/>
          <w:b/>
          <w:sz w:val="24"/>
          <w:szCs w:val="24"/>
        </w:rPr>
        <w:t>f</w:t>
      </w:r>
      <w:r>
        <w:rPr>
          <w:rFonts w:ascii="Times New Roman" w:hAnsi="Times New Roman" w:cs="Times New Roman"/>
          <w:sz w:val="24"/>
          <w:szCs w:val="24"/>
        </w:rPr>
        <w:t xml:space="preserve"> </w:t>
      </w:r>
      <w:r>
        <w:rPr>
          <w:rFonts w:ascii="Times New Roman" w:hAnsi="Times New Roman" w:cs="Times New Roman"/>
          <w:i/>
          <w:sz w:val="24"/>
          <w:szCs w:val="24"/>
        </w:rPr>
        <w:t xml:space="preserve">y </w:t>
      </w:r>
      <w:r>
        <w:rPr>
          <w:rFonts w:ascii="Times New Roman" w:hAnsi="Times New Roman" w:cs="Times New Roman"/>
          <w:sz w:val="24"/>
          <w:szCs w:val="24"/>
        </w:rPr>
        <w:t xml:space="preserve">= 0.11. The lower V concentration of Device C1 </w:t>
      </w:r>
      <w:r>
        <w:rPr>
          <w:rFonts w:ascii="Times New Roman" w:hAnsi="Times New Roman" w:cs="Times New Roman"/>
          <w:i/>
          <w:sz w:val="24"/>
          <w:szCs w:val="24"/>
        </w:rPr>
        <w:t xml:space="preserve">y </w:t>
      </w:r>
      <w:r>
        <w:rPr>
          <w:rFonts w:ascii="Times New Roman" w:hAnsi="Times New Roman" w:cs="Times New Roman"/>
          <w:sz w:val="24"/>
          <w:szCs w:val="24"/>
        </w:rPr>
        <w:t xml:space="preserve">= 0.03 </w:t>
      </w:r>
      <w:r>
        <w:rPr>
          <w:rFonts w:ascii="Times New Roman" w:hAnsi="Times New Roman" w:cs="Times New Roman" w:hint="eastAsia"/>
          <w:sz w:val="24"/>
          <w:szCs w:val="24"/>
        </w:rPr>
        <w:t>is</w:t>
      </w:r>
      <w:r>
        <w:rPr>
          <w:rFonts w:ascii="Times New Roman" w:hAnsi="Times New Roman" w:cs="Times New Roman"/>
          <w:sz w:val="24"/>
          <w:szCs w:val="24"/>
        </w:rPr>
        <w:t xml:space="preserve"> estimated according to the beam equivalent pressure (BEP) measurement instead.</w:t>
      </w:r>
    </w:p>
    <w:p w:rsidR="00723CAE" w:rsidRDefault="00723CAE">
      <w:pPr>
        <w:widowControl/>
        <w:spacing w:line="360" w:lineRule="auto"/>
        <w:jc w:val="left"/>
        <w:rPr>
          <w:rFonts w:ascii="Times New Roman" w:hAnsi="Times New Roman" w:cs="Times New Roman"/>
          <w:b/>
          <w:sz w:val="24"/>
          <w:szCs w:val="24"/>
        </w:rPr>
      </w:pPr>
    </w:p>
    <w:p w:rsidR="00723CAE" w:rsidRDefault="00E21C70">
      <w:pPr>
        <w:pStyle w:val="af"/>
        <w:widowControl/>
        <w:numPr>
          <w:ilvl w:val="0"/>
          <w:numId w:val="2"/>
        </w:numPr>
        <w:spacing w:line="360" w:lineRule="auto"/>
        <w:ind w:firstLineChars="0"/>
        <w:jc w:val="left"/>
        <w:rPr>
          <w:rFonts w:ascii="Times New Roman" w:hAnsi="Times New Roman" w:cs="Times New Roman"/>
          <w:b/>
          <w:sz w:val="24"/>
          <w:szCs w:val="24"/>
        </w:rPr>
      </w:pPr>
      <w:r>
        <w:rPr>
          <w:rFonts w:ascii="Times New Roman" w:hAnsi="Times New Roman" w:cs="Times New Roman"/>
          <w:b/>
          <w:sz w:val="24"/>
          <w:szCs w:val="24"/>
        </w:rPr>
        <w:t>Geometries of the Hall bar devices</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hint="eastAsia"/>
          <w:sz w:val="24"/>
          <w:szCs w:val="24"/>
        </w:rPr>
        <w:t>As</w:t>
      </w:r>
      <w:r>
        <w:rPr>
          <w:rFonts w:ascii="Times New Roman" w:hAnsi="Times New Roman" w:cs="Times New Roman"/>
          <w:sz w:val="24"/>
          <w:szCs w:val="24"/>
        </w:rPr>
        <w:t xml:space="preserve"> described in Methods, each </w:t>
      </w:r>
      <w:r>
        <w:rPr>
          <w:rFonts w:ascii="Times New Roman" w:hAnsi="Times New Roman" w:cs="Times New Roman" w:hint="eastAsia"/>
          <w:sz w:val="24"/>
          <w:szCs w:val="24"/>
        </w:rPr>
        <w:t>scra</w:t>
      </w:r>
      <w:r>
        <w:rPr>
          <w:rFonts w:ascii="Times New Roman" w:hAnsi="Times New Roman" w:cs="Times New Roman"/>
          <w:sz w:val="24"/>
          <w:szCs w:val="24"/>
        </w:rPr>
        <w:t xml:space="preserve">tched Hall bar dimensions (width W and length L) was measured using the optical microscope imaging system prior to low temperature transport measurements (a device is shown in Fig. S2). We first conduct </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and anti-</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of the original data, as described in Section iii of the Supplementary Information (SI), for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hint="eastAsia"/>
                <w:sz w:val="24"/>
                <w:szCs w:val="24"/>
              </w:rPr>
              <m:t>xx</m:t>
            </m:r>
          </m:sub>
        </m:sSub>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hint="eastAsia"/>
                    <w:sz w:val="24"/>
                    <w:szCs w:val="24"/>
                  </w:rPr>
                  <m:t>V</m:t>
                </m:r>
              </m:e>
              <m:sub>
                <m:r>
                  <w:rPr>
                    <w:rFonts w:ascii="Cambria Math" w:hAnsi="Cambria Math" w:cs="Times New Roman"/>
                    <w:sz w:val="24"/>
                    <w:szCs w:val="24"/>
                  </w:rPr>
                  <m:t>xx</m:t>
                </m:r>
              </m:sub>
            </m:sSub>
          </m:num>
          <m:den>
            <m:sSub>
              <m:sSubPr>
                <m:ctrlPr>
                  <w:rPr>
                    <w:rFonts w:ascii="Cambria Math" w:hAnsi="Cambria Math" w:cs="Times New Roman"/>
                    <w:i/>
                    <w:sz w:val="24"/>
                    <w:szCs w:val="24"/>
                  </w:rPr>
                </m:ctrlPr>
              </m:sSubPr>
              <m:e>
                <m:r>
                  <w:rPr>
                    <w:rFonts w:ascii="Cambria Math" w:hAnsi="Cambria Math" w:cs="Times New Roman" w:hint="eastAsia"/>
                    <w:sz w:val="24"/>
                    <w:szCs w:val="24"/>
                  </w:rPr>
                  <m:t>I</m:t>
                </m:r>
              </m:e>
              <m:sub>
                <m:r>
                  <w:rPr>
                    <w:rFonts w:ascii="Cambria Math" w:hAnsi="Cambria Math" w:cs="Times New Roman"/>
                    <w:sz w:val="24"/>
                    <w:szCs w:val="24"/>
                  </w:rPr>
                  <m:t>ex</m:t>
                </m:r>
              </m:sub>
            </m:sSub>
          </m:den>
        </m:f>
      </m:oMath>
      <w:r>
        <w:rPr>
          <w:rFonts w:ascii="Times New Roman" w:hAnsi="Times New Roman" w:cs="Times New Roman" w:hint="eastAsia"/>
          <w:sz w:val="24"/>
          <w:szCs w:val="24"/>
        </w:rPr>
        <w:t>,</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y</m:t>
            </m:r>
            <m:r>
              <w:rPr>
                <w:rFonts w:ascii="Cambria Math" w:hAnsi="Cambria Math" w:cs="Times New Roman" w:hint="eastAsia"/>
                <w:sz w:val="24"/>
                <w:szCs w:val="24"/>
              </w:rPr>
              <m:t>x</m:t>
            </m:r>
          </m:sub>
        </m:sSub>
        <m:r>
          <m:rPr>
            <m:sty m:val="p"/>
          </m:rPr>
          <w:rPr>
            <w:rFonts w:ascii="Cambria Math" w:hAnsi="Cambria Math" w:cs="Times New Roman"/>
            <w:sz w:val="24"/>
            <w:szCs w:val="24"/>
          </w:rPr>
          <m:t>=</m:t>
        </m:r>
        <m:f>
          <m:fPr>
            <m:type m:val="lin"/>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hint="eastAsia"/>
                    <w:sz w:val="24"/>
                    <w:szCs w:val="24"/>
                  </w:rPr>
                  <m:t>V</m:t>
                </m:r>
              </m:e>
              <m:sub>
                <m:r>
                  <w:rPr>
                    <w:rFonts w:ascii="Cambria Math" w:hAnsi="Cambria Math" w:cs="Times New Roman"/>
                    <w:sz w:val="24"/>
                    <w:szCs w:val="24"/>
                  </w:rPr>
                  <m:t>yx</m:t>
                </m:r>
              </m:sub>
            </m:sSub>
          </m:num>
          <m:den>
            <m:sSub>
              <m:sSubPr>
                <m:ctrlPr>
                  <w:rPr>
                    <w:rFonts w:ascii="Cambria Math" w:hAnsi="Cambria Math" w:cs="Times New Roman"/>
                    <w:i/>
                    <w:sz w:val="24"/>
                    <w:szCs w:val="24"/>
                  </w:rPr>
                </m:ctrlPr>
              </m:sSubPr>
              <m:e>
                <m:r>
                  <w:rPr>
                    <w:rFonts w:ascii="Cambria Math" w:hAnsi="Cambria Math" w:cs="Times New Roman" w:hint="eastAsia"/>
                    <w:sz w:val="24"/>
                    <w:szCs w:val="24"/>
                  </w:rPr>
                  <m:t>I</m:t>
                </m:r>
              </m:e>
              <m:sub>
                <m:r>
                  <w:rPr>
                    <w:rFonts w:ascii="Cambria Math" w:hAnsi="Cambria Math" w:cs="Times New Roman"/>
                    <w:sz w:val="24"/>
                    <w:szCs w:val="24"/>
                  </w:rPr>
                  <m:t>ex</m:t>
                </m:r>
              </m:sub>
            </m:sSub>
          </m:den>
        </m:f>
      </m:oMath>
      <w:r>
        <w:rPr>
          <w:rFonts w:ascii="Times New Roman" w:hAnsi="Times New Roman" w:cs="Times New Roman"/>
          <w:sz w:val="24"/>
          <w:szCs w:val="24"/>
        </w:rPr>
        <w:t xml:space="preserve">, respectively. </w:t>
      </w:r>
      <m:oMath>
        <m:r>
          <m:rPr>
            <m:sty m:val="p"/>
          </m:rPr>
          <w:rPr>
            <w:rFonts w:ascii="Cambria Math" w:hAnsi="Cambria Math" w:cs="Times New Roman"/>
            <w:sz w:val="24"/>
            <w:szCs w:val="24"/>
          </w:rPr>
          <m:t xml:space="preserve">Here, </m:t>
        </m:r>
      </m:oMath>
      <w:r>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hint="eastAsia"/>
                <w:sz w:val="24"/>
                <w:szCs w:val="24"/>
              </w:rPr>
              <m:t>V</m:t>
            </m:r>
          </m:e>
          <m:sub>
            <m:r>
              <w:rPr>
                <w:rFonts w:ascii="Cambria Math" w:hAnsi="Cambria Math" w:cs="Times New Roman"/>
                <w:sz w:val="24"/>
                <w:szCs w:val="24"/>
              </w:rPr>
              <m:t>xx</m:t>
            </m:r>
          </m:sub>
        </m:sSub>
      </m:oMath>
      <w:r>
        <w:rPr>
          <w:rFonts w:ascii="Times New Roman" w:hAnsi="Times New Roman" w:cs="Times New Roman"/>
          <w:sz w:val="24"/>
          <w:szCs w:val="24"/>
        </w:rPr>
        <w:t xml:space="preserve"> </w:t>
      </w:r>
      <w:r>
        <w:rPr>
          <w:rFonts w:ascii="Times New Roman" w:hAnsi="Times New Roman" w:cs="Times New Roman" w:hint="eastAsia"/>
          <w:sz w:val="24"/>
          <w:szCs w:val="24"/>
        </w:rPr>
        <w:t>is</w:t>
      </w:r>
      <w:r>
        <w:rPr>
          <w:rFonts w:ascii="Times New Roman" w:hAnsi="Times New Roman" w:cs="Times New Roman"/>
          <w:sz w:val="24"/>
          <w:szCs w:val="24"/>
        </w:rPr>
        <w:t xml:space="preserve"> the longitudinal voltage, </w:t>
      </w:r>
      <m:oMath>
        <m:sSub>
          <m:sSubPr>
            <m:ctrlPr>
              <w:rPr>
                <w:rFonts w:ascii="Cambria Math" w:hAnsi="Cambria Math" w:cs="Times New Roman"/>
                <w:i/>
                <w:sz w:val="24"/>
                <w:szCs w:val="24"/>
              </w:rPr>
            </m:ctrlPr>
          </m:sSubPr>
          <m:e>
            <m:r>
              <w:rPr>
                <w:rFonts w:ascii="Cambria Math" w:hAnsi="Cambria Math" w:cs="Times New Roman" w:hint="eastAsia"/>
                <w:sz w:val="24"/>
                <w:szCs w:val="24"/>
              </w:rPr>
              <m:t>V</m:t>
            </m:r>
          </m:e>
          <m:sub>
            <m:r>
              <w:rPr>
                <w:rFonts w:ascii="Cambria Math" w:hAnsi="Cambria Math" w:cs="Times New Roman"/>
                <w:sz w:val="24"/>
                <w:szCs w:val="24"/>
              </w:rPr>
              <m:t>yx</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Hall voltage, and </w:t>
      </w:r>
      <m:oMath>
        <m:sSub>
          <m:sSubPr>
            <m:ctrlPr>
              <w:rPr>
                <w:rFonts w:ascii="Cambria Math" w:hAnsi="Cambria Math" w:cs="Times New Roman"/>
                <w:i/>
                <w:sz w:val="24"/>
                <w:szCs w:val="24"/>
              </w:rPr>
            </m:ctrlPr>
          </m:sSubPr>
          <m:e>
            <m:r>
              <w:rPr>
                <w:rFonts w:ascii="Cambria Math" w:hAnsi="Cambria Math" w:cs="Times New Roman" w:hint="eastAsia"/>
                <w:sz w:val="24"/>
                <w:szCs w:val="24"/>
              </w:rPr>
              <m:t>I</m:t>
            </m:r>
          </m:e>
          <m:sub>
            <m:r>
              <w:rPr>
                <w:rFonts w:ascii="Cambria Math" w:hAnsi="Cambria Math" w:cs="Times New Roman"/>
                <w:sz w:val="24"/>
                <w:szCs w:val="24"/>
              </w:rPr>
              <m:t>ex</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excitation current (~10 </w:t>
      </w:r>
      <w:proofErr w:type="spellStart"/>
      <w:proofErr w:type="gramStart"/>
      <w:r>
        <w:rPr>
          <w:rFonts w:ascii="Times New Roman" w:hAnsi="Times New Roman" w:cs="Times New Roman"/>
          <w:sz w:val="24"/>
          <w:szCs w:val="24"/>
        </w:rPr>
        <w:t>nA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The (anti)symmetrized resistance data are then converted to resistivity using the relations</w:t>
      </w:r>
      <w:r>
        <w:rPr>
          <w:rFonts w:ascii="Times New Roman" w:hAnsi="Times New Roman" w:cs="Times New Roman" w:hint="eastAsia"/>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xx</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hint="eastAsia"/>
                <w:sz w:val="24"/>
                <w:szCs w:val="24"/>
              </w:rPr>
              <m:t>xx</m:t>
            </m:r>
          </m:sub>
        </m:sSub>
      </m:oMath>
      <w:r>
        <w:rPr>
          <w:rFonts w:ascii="Times New Roman" w:hAnsi="Times New Roman" w:cs="Times New Roman" w:hint="eastAsia"/>
          <w:sz w:val="24"/>
          <w:szCs w:val="24"/>
        </w:rPr>
        <w:t xml:space="preserve"> and</w:t>
      </w:r>
      <w:r>
        <w:rPr>
          <w:rFonts w:ascii="Times New Roman" w:hAnsi="Times New Roman"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yx</m:t>
            </m:r>
          </m:sub>
        </m:sSub>
        <m:r>
          <m:rPr>
            <m:sty m:val="p"/>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y</m:t>
            </m:r>
            <m:r>
              <w:rPr>
                <w:rFonts w:ascii="Cambria Math" w:hAnsi="Cambria Math" w:cs="Times New Roman" w:hint="eastAsia"/>
                <w:sz w:val="24"/>
                <w:szCs w:val="24"/>
              </w:rPr>
              <m:t>x</m:t>
            </m:r>
          </m:sub>
        </m:sSub>
      </m:oMath>
      <w:r>
        <w:rPr>
          <w:rFonts w:ascii="Times New Roman" w:hAnsi="Times New Roman" w:cs="Times New Roman"/>
          <w:sz w:val="24"/>
          <w:szCs w:val="24"/>
        </w:rPr>
        <w:t xml:space="preserve">. Small measurement errors in the device geometries are inevitable. </w:t>
      </w:r>
      <w:r>
        <w:rPr>
          <w:rFonts w:ascii="Times New Roman" w:hAnsi="Times New Roman" w:cs="Times New Roman" w:hint="eastAsia"/>
          <w:sz w:val="24"/>
          <w:szCs w:val="24"/>
        </w:rPr>
        <w:t>W</w:t>
      </w:r>
      <w:r>
        <w:rPr>
          <w:rFonts w:ascii="Times New Roman" w:hAnsi="Times New Roman" w:cs="Times New Roman"/>
          <w:sz w:val="24"/>
          <w:szCs w:val="24"/>
        </w:rPr>
        <w:t xml:space="preserve">e estimate that the resulting uncertainty in the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xy</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Times New Roman" w:cs="Times New Roman"/>
            <w:sz w:val="24"/>
            <w:szCs w:val="24"/>
          </w:rPr>
          <m:t xml:space="preserve">  </m:t>
        </m:r>
      </m:oMath>
      <w:r>
        <w:rPr>
          <w:rFonts w:ascii="Times New Roman" w:hAnsi="Times New Roman" w:cs="Times New Roman"/>
          <w:sz w:val="24"/>
          <w:szCs w:val="24"/>
        </w:rPr>
        <w:t>is</w:t>
      </w:r>
      <w:r>
        <w:rPr>
          <w:rFonts w:hAnsi="Times New Roman" w:cs="Times New Roman" w:hint="eastAsia"/>
          <w:sz w:val="24"/>
          <w:szCs w:val="24"/>
        </w:rPr>
        <w:t xml:space="preserve"> </w:t>
      </w:r>
      <w:r>
        <w:rPr>
          <w:rFonts w:ascii="Times New Roman" w:hAnsi="Times New Roman" w:cs="Times New Roman"/>
          <w:sz w:val="24"/>
          <w:szCs w:val="24"/>
        </w:rPr>
        <w:t xml:space="preserve">calculated using </w:t>
      </w:r>
      <m:oMath>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Times New Roman"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xy</m:t>
            </m:r>
          </m:sub>
        </m:sSub>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ρ</m:t>
            </m:r>
          </m:e>
          <m:sub>
            <m:r>
              <w:rPr>
                <w:rFonts w:ascii="Cambria Math" w:hAnsi="Cambria Math" w:cs="Times New Roman"/>
                <w:sz w:val="24"/>
                <w:szCs w:val="24"/>
              </w:rPr>
              <m:t>xx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ρ</m:t>
            </m:r>
          </m:e>
          <m:sub>
            <m:r>
              <w:rPr>
                <w:rFonts w:ascii="Cambria Math" w:hAnsi="Cambria Math" w:cs="Times New Roman"/>
                <w:sz w:val="24"/>
                <w:szCs w:val="24"/>
              </w:rPr>
              <m:t>xy</m:t>
            </m:r>
          </m:sub>
          <m:sup>
            <m:r>
              <w:rPr>
                <w:rFonts w:ascii="Cambria Math" w:hAnsi="Cambria Math" w:cs="Times New Roman"/>
                <w:sz w:val="24"/>
                <w:szCs w:val="24"/>
              </w:rPr>
              <m:t>2</m:t>
            </m:r>
          </m:sup>
        </m:sSubSup>
        <m:r>
          <w:rPr>
            <w:rFonts w:ascii="Cambria Math" w:hAnsi="Cambria Math" w:cs="Times New Roman"/>
            <w:sz w:val="24"/>
            <w:szCs w:val="24"/>
          </w:rPr>
          <m:t>))</m:t>
        </m:r>
      </m:oMath>
      <w:r>
        <w:rPr>
          <w:rFonts w:ascii="Times New Roman" w:hAnsi="Times New Roman" w:cs="Times New Roman"/>
          <w:sz w:val="24"/>
          <w:szCs w:val="24"/>
        </w:rPr>
        <w:t xml:space="preserve"> is less than 1.0%, suggesting that the observed deviations from half-quantization in the </w:t>
      </w:r>
      <w:r>
        <w:rPr>
          <w:rFonts w:ascii="Times New Roman" w:hAnsi="Times New Roman" w:cs="Times New Roman" w:hint="eastAsia"/>
          <w:sz w:val="24"/>
          <w:szCs w:val="24"/>
        </w:rPr>
        <w:t>h</w:t>
      </w:r>
      <w:r>
        <w:rPr>
          <w:rFonts w:ascii="Times New Roman" w:hAnsi="Times New Roman" w:hint="eastAsia"/>
          <w:sz w:val="24"/>
          <w:szCs w:val="24"/>
        </w:rPr>
        <w:t>alf-quantized layer Hall effect (</w:t>
      </w:r>
      <w:r>
        <w:rPr>
          <w:rFonts w:ascii="Times New Roman" w:hAnsi="Times New Roman" w:cs="Times New Roman"/>
          <w:sz w:val="24"/>
          <w:szCs w:val="24"/>
        </w:rPr>
        <w:t>HQLHE</w:t>
      </w:r>
      <w:r>
        <w:rPr>
          <w:rFonts w:ascii="Times New Roman" w:hAnsi="Times New Roman" w:cs="Times New Roman" w:hint="eastAsia"/>
          <w:sz w:val="24"/>
          <w:szCs w:val="24"/>
        </w:rPr>
        <w:t>)</w:t>
      </w:r>
      <w:r>
        <w:rPr>
          <w:rFonts w:ascii="Times New Roman" w:hAnsi="Times New Roman" w:cs="Times New Roman"/>
          <w:sz w:val="24"/>
          <w:szCs w:val="24"/>
        </w:rPr>
        <w:t xml:space="preserve"> state are likely due to other mechanisms as discussed in the main text and SI </w:t>
      </w:r>
      <w:r>
        <w:rPr>
          <w:rFonts w:ascii="Times New Roman" w:hAnsi="Times New Roman" w:cs="Times New Roman" w:hint="eastAsia"/>
          <w:sz w:val="24"/>
          <w:szCs w:val="24"/>
        </w:rPr>
        <w:t>section</w:t>
      </w:r>
      <w:r>
        <w:rPr>
          <w:rFonts w:ascii="Times New Roman" w:hAnsi="Times New Roman" w:cs="Times New Roman"/>
          <w:sz w:val="24"/>
          <w:szCs w:val="24"/>
        </w:rPr>
        <w:t xml:space="preserve"> </w:t>
      </w:r>
      <w:r>
        <w:rPr>
          <w:rFonts w:ascii="Times New Roman" w:hAnsi="Times New Roman" w:cs="Times New Roman" w:hint="eastAsia"/>
          <w:sz w:val="24"/>
          <w:szCs w:val="24"/>
        </w:rPr>
        <w:t>v</w:t>
      </w:r>
      <w:r>
        <w:rPr>
          <w:rFonts w:ascii="Times New Roman" w:hAnsi="Times New Roman" w:cs="Times New Roman"/>
          <w:sz w:val="24"/>
          <w:szCs w:val="24"/>
        </w:rPr>
        <w:t>.</w:t>
      </w:r>
    </w:p>
    <w:p w:rsidR="00723CAE" w:rsidRDefault="00E21C70">
      <w:pPr>
        <w:widowControl/>
        <w:spacing w:line="360" w:lineRule="auto"/>
        <w:jc w:val="left"/>
        <w:rPr>
          <w:rFonts w:ascii="Times New Roman" w:hAnsi="Times New Roman" w:cs="Times New Roman"/>
          <w:b/>
          <w:sz w:val="24"/>
          <w:szCs w:val="24"/>
        </w:rPr>
      </w:pPr>
      <w:r>
        <w:rPr>
          <w:noProof/>
        </w:rPr>
        <w:lastRenderedPageBreak/>
        <w:drawing>
          <wp:inline distT="0" distB="0" distL="0" distR="0">
            <wp:extent cx="5274310" cy="256222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5274310" cy="2562225"/>
                    </a:xfrm>
                    <a:prstGeom prst="rect">
                      <a:avLst/>
                    </a:prstGeom>
                  </pic:spPr>
                </pic:pic>
              </a:graphicData>
            </a:graphic>
          </wp:inline>
        </w:drawing>
      </w:r>
    </w:p>
    <w:p w:rsidR="00723CAE" w:rsidRDefault="00E21C70">
      <w:pPr>
        <w:widowControl/>
        <w:spacing w:line="360" w:lineRule="auto"/>
        <w:rPr>
          <w:rFonts w:ascii="Times New Roman" w:hAnsi="Times New Roman" w:cs="Times New Roman"/>
          <w:b/>
          <w:sz w:val="24"/>
          <w:szCs w:val="24"/>
        </w:rPr>
      </w:pPr>
      <w:r>
        <w:rPr>
          <w:rFonts w:ascii="Times New Roman" w:hAnsi="Times New Roman" w:cs="Times New Roman"/>
          <w:b/>
          <w:sz w:val="24"/>
          <w:szCs w:val="24"/>
        </w:rPr>
        <w:t xml:space="preserve">Fig. S2 | Optical images of 2 type of Hall bar devices. a, </w:t>
      </w:r>
      <w:r>
        <w:rPr>
          <w:rFonts w:ascii="Times New Roman" w:hAnsi="Times New Roman" w:cs="Times New Roman"/>
          <w:sz w:val="24"/>
          <w:szCs w:val="24"/>
        </w:rPr>
        <w:t>Tungsten tip scratched Hall bar on a SrTiO</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Pr>
          <w:rFonts w:ascii="Times New Roman" w:hAnsi="Times New Roman" w:cs="Times New Roman" w:hint="eastAsia"/>
          <w:sz w:val="24"/>
          <w:szCs w:val="24"/>
        </w:rPr>
        <w:t>s</w:t>
      </w:r>
      <w:r>
        <w:rPr>
          <w:rFonts w:ascii="Times New Roman" w:hAnsi="Times New Roman" w:cs="Times New Roman"/>
          <w:sz w:val="24"/>
          <w:szCs w:val="24"/>
        </w:rPr>
        <w:t xml:space="preserve">ubstrate. The dimensions were measured by the optical imaging system, as indicated by the labels. The width </w:t>
      </w:r>
      <w:r>
        <w:rPr>
          <w:rFonts w:ascii="Times New Roman" w:hAnsi="Times New Roman" w:cs="Times New Roman"/>
          <w:i/>
          <w:sz w:val="24"/>
          <w:szCs w:val="24"/>
        </w:rPr>
        <w:t>W</w:t>
      </w:r>
      <w:r>
        <w:rPr>
          <w:rFonts w:ascii="Times New Roman" w:hAnsi="Times New Roman" w:cs="Times New Roman"/>
          <w:sz w:val="24"/>
          <w:szCs w:val="24"/>
        </w:rPr>
        <w:t xml:space="preserve"> is 223.9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and the length </w:t>
      </w:r>
      <w:r>
        <w:rPr>
          <w:rFonts w:ascii="Times New Roman" w:hAnsi="Times New Roman" w:cs="Times New Roman"/>
          <w:i/>
          <w:sz w:val="24"/>
          <w:szCs w:val="24"/>
        </w:rPr>
        <w:t>L</w:t>
      </w:r>
      <w:r>
        <w:rPr>
          <w:rFonts w:ascii="Times New Roman" w:hAnsi="Times New Roman" w:cs="Times New Roman"/>
          <w:sz w:val="24"/>
          <w:szCs w:val="24"/>
        </w:rPr>
        <w:t xml:space="preserve"> is averaged 574.5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 xml:space="preserve">. </w:t>
      </w:r>
      <w:r>
        <w:rPr>
          <w:rFonts w:ascii="Times New Roman" w:hAnsi="Times New Roman" w:cs="Times New Roman"/>
          <w:b/>
          <w:sz w:val="24"/>
          <w:szCs w:val="24"/>
        </w:rPr>
        <w:t xml:space="preserve">b, </w:t>
      </w:r>
      <w:r>
        <w:rPr>
          <w:rFonts w:ascii="Times New Roman" w:hAnsi="Times New Roman" w:cs="Times New Roman"/>
          <w:sz w:val="24"/>
          <w:szCs w:val="24"/>
        </w:rPr>
        <w:t>Dual-gated Hall bar device fabricated through standard optical lithography, dry etching, and metal deposition processes</w:t>
      </w:r>
      <w:r>
        <w:rPr>
          <w:rFonts w:ascii="Times New Roman" w:hAnsi="Times New Roman" w:cs="Times New Roman"/>
          <w:b/>
          <w:sz w:val="24"/>
          <w:szCs w:val="24"/>
        </w:rPr>
        <w:t xml:space="preserve">. </w:t>
      </w:r>
    </w:p>
    <w:p w:rsidR="00723CAE" w:rsidRDefault="00723CAE">
      <w:pPr>
        <w:widowControl/>
        <w:spacing w:line="360" w:lineRule="auto"/>
        <w:jc w:val="left"/>
        <w:rPr>
          <w:rFonts w:ascii="Times New Roman" w:hAnsi="Times New Roman" w:cs="Times New Roman"/>
          <w:b/>
          <w:sz w:val="24"/>
          <w:szCs w:val="24"/>
        </w:rPr>
      </w:pPr>
    </w:p>
    <w:p w:rsidR="00723CAE" w:rsidRDefault="00E21C70">
      <w:pPr>
        <w:pStyle w:val="af"/>
        <w:widowControl/>
        <w:numPr>
          <w:ilvl w:val="0"/>
          <w:numId w:val="2"/>
        </w:numPr>
        <w:spacing w:line="360" w:lineRule="auto"/>
        <w:ind w:firstLineChars="0"/>
        <w:jc w:val="left"/>
        <w:rPr>
          <w:rFonts w:ascii="Times New Roman" w:hAnsi="Times New Roman" w:cs="Times New Roman"/>
          <w:b/>
          <w:sz w:val="24"/>
          <w:szCs w:val="24"/>
        </w:rPr>
      </w:pPr>
      <w:proofErr w:type="spellStart"/>
      <w:r>
        <w:rPr>
          <w:rFonts w:ascii="Times New Roman" w:hAnsi="Times New Roman" w:cs="Times New Roman" w:hint="eastAsia"/>
          <w:b/>
          <w:sz w:val="24"/>
          <w:szCs w:val="24"/>
        </w:rPr>
        <w:t>S</w:t>
      </w:r>
      <w:r>
        <w:rPr>
          <w:rFonts w:ascii="Times New Roman" w:hAnsi="Times New Roman" w:cs="Times New Roman"/>
          <w:b/>
          <w:sz w:val="24"/>
          <w:szCs w:val="24"/>
        </w:rPr>
        <w:t>ymmetrization</w:t>
      </w:r>
      <w:proofErr w:type="spellEnd"/>
      <w:r>
        <w:rPr>
          <w:rFonts w:ascii="Times New Roman" w:hAnsi="Times New Roman" w:cs="Times New Roman"/>
          <w:b/>
          <w:sz w:val="24"/>
          <w:szCs w:val="24"/>
        </w:rPr>
        <w:t xml:space="preserve"> and anti-</w:t>
      </w:r>
      <w:proofErr w:type="spellStart"/>
      <w:r>
        <w:rPr>
          <w:rFonts w:ascii="Times New Roman" w:hAnsi="Times New Roman" w:cs="Times New Roman"/>
          <w:b/>
          <w:sz w:val="24"/>
          <w:szCs w:val="24"/>
        </w:rPr>
        <w:t>symmetrization</w:t>
      </w:r>
      <w:proofErr w:type="spellEnd"/>
      <w:r>
        <w:rPr>
          <w:rFonts w:ascii="Times New Roman" w:hAnsi="Times New Roman" w:cs="Times New Roman"/>
          <w:b/>
          <w:sz w:val="24"/>
          <w:szCs w:val="24"/>
        </w:rPr>
        <w:t xml:space="preserve"> of the transport data</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We employ standard </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and anti-</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procedures on the magneto-transport data to eliminate the mixing of longitudinal and Hall voltage signals. Unlike in the QAH case where the bulk is strictly insulating, the HQLHE exhibits a finite longitudinal conductance (usually 2~4 </w:t>
      </w:r>
      <m:oMath>
        <m:f>
          <m:fPr>
            <m:type m:val="lin"/>
            <m:ctrlPr>
              <w:rPr>
                <w:rFonts w:ascii="Cambria Math" w:hAnsi="Cambria Math" w:cs="Times New Roman"/>
                <w:sz w:val="24"/>
                <w:szCs w:val="24"/>
              </w:rPr>
            </m:ctrlPr>
          </m:fPr>
          <m:num>
            <m:r>
              <w:rPr>
                <w:rFonts w:ascii="Cambria Math" w:hAnsi="Cambria Math" w:cs="Times New Roman"/>
                <w:sz w:val="24"/>
                <w:szCs w:val="24"/>
              </w:rPr>
              <m:t>h</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w:r>
        <w:rPr>
          <w:rFonts w:ascii="Times New Roman" w:hAnsi="Times New Roman" w:cs="Times New Roman" w:hint="eastAsia"/>
          <w:sz w:val="24"/>
          <w:szCs w:val="24"/>
        </w:rPr>
        <w:t>)</w:t>
      </w:r>
      <w:r>
        <w:rPr>
          <w:rFonts w:ascii="Times New Roman" w:hAnsi="Times New Roman" w:cs="Times New Roman"/>
          <w:sz w:val="24"/>
          <w:szCs w:val="24"/>
        </w:rPr>
        <w:t xml:space="preserve">, which will largely change the measured value of Hall resistance due to imperfect device geometries. As described above, although the Hall bar devices are carefully etched or scratched, </w:t>
      </w:r>
      <w:r>
        <w:rPr>
          <w:rFonts w:ascii="Times New Roman" w:hAnsi="Times New Roman" w:cs="Times New Roman" w:hint="eastAsia"/>
          <w:sz w:val="24"/>
          <w:szCs w:val="24"/>
        </w:rPr>
        <w:t>suc</w:t>
      </w:r>
      <w:r>
        <w:rPr>
          <w:rFonts w:ascii="Times New Roman" w:hAnsi="Times New Roman" w:cs="Times New Roman"/>
          <w:sz w:val="24"/>
          <w:szCs w:val="24"/>
        </w:rPr>
        <w:t xml:space="preserve">h mixing can still occur due to the slight misalignment. Note that when the device is at the CNP (axion insulator), even small variations in temperature (a few </w:t>
      </w:r>
      <w:proofErr w:type="spellStart"/>
      <w:r>
        <w:rPr>
          <w:rFonts w:ascii="Times New Roman" w:hAnsi="Times New Roman" w:cs="Times New Roman"/>
          <w:sz w:val="24"/>
          <w:szCs w:val="24"/>
        </w:rPr>
        <w:t>mK</w:t>
      </w:r>
      <w:proofErr w:type="spellEnd"/>
      <w:r>
        <w:rPr>
          <w:rFonts w:ascii="Times New Roman" w:hAnsi="Times New Roman" w:cs="Times New Roman"/>
          <w:sz w:val="24"/>
          <w:szCs w:val="24"/>
        </w:rPr>
        <w:t xml:space="preserve">) during </w:t>
      </w:r>
      <w:r>
        <w:rPr>
          <w:rFonts w:ascii="Times New Roman" w:hAnsi="Times New Roman" w:cs="Times New Roman" w:hint="eastAsia"/>
          <w:sz w:val="24"/>
          <w:szCs w:val="24"/>
        </w:rPr>
        <w:t>measurements</w:t>
      </w:r>
      <w:r>
        <w:rPr>
          <w:rFonts w:ascii="Times New Roman" w:hAnsi="Times New Roman" w:cs="Times New Roman"/>
          <w:sz w:val="24"/>
          <w:szCs w:val="24"/>
        </w:rPr>
        <w:t xml:space="preserve"> may introduce instability in the resistance data (e.g. some curves in Fig. S3a and Fig. S4a). However, these variations do not affect the calculated conductance results (both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xx</m:t>
            </m:r>
          </m:sub>
        </m:sSub>
      </m:oMath>
      <w:r>
        <w:rPr>
          <w:rFonts w:ascii="Times New Roman" w:hAnsi="Times New Roman" w:cs="Times New Roman"/>
          <w:i/>
          <w:sz w:val="24"/>
          <w:szCs w:val="24"/>
          <w:vertAlign w:val="subscript"/>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xy</m:t>
            </m:r>
          </m:sub>
        </m:sSub>
      </m:oMath>
      <w:r>
        <w:rPr>
          <w:rFonts w:ascii="Times New Roman" w:hAnsi="Times New Roman" w:cs="Times New Roman"/>
          <w:sz w:val="24"/>
          <w:szCs w:val="24"/>
        </w:rPr>
        <w:t xml:space="preserve"> almost vanish near CNP).</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Therefore, the raw data are processed using the following procedures. For the magnetic field scan:</w:t>
      </w:r>
    </w:p>
    <w:p w:rsidR="00723CAE" w:rsidRDefault="00EA6734">
      <w:pPr>
        <w:widowControl/>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r>
                <m:rPr>
                  <m:sty m:val="p"/>
                </m:rP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r>
                    <m:rPr>
                      <m:sty m:val="p"/>
                    </m:rP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r>
                    <m:rPr>
                      <m:sty m:val="p"/>
                    </m:rPr>
                    <w:rPr>
                      <w:rFonts w:ascii="Cambria Math" w:hAnsi="Cambria Math" w:cs="Times New Roman"/>
                      <w:sz w:val="24"/>
                      <w:szCs w:val="24"/>
                    </w:rPr>
                    <m:t>←</m:t>
                  </m:r>
                </m:e>
              </m:d>
            </m:e>
          </m:d>
          <m:r>
            <m:rPr>
              <m:sty m:val="p"/>
            </m:rPr>
            <w:rPr>
              <w:rFonts w:ascii="Cambria Math" w:hAnsi="Cambria Math" w:cs="Times New Roman"/>
              <w:sz w:val="24"/>
              <w:szCs w:val="24"/>
            </w:rPr>
            <m:t>;</m:t>
          </m:r>
        </m:oMath>
      </m:oMathPara>
    </w:p>
    <w:p w:rsidR="00723CAE" w:rsidRDefault="00EA6734">
      <w:pPr>
        <w:widowControl/>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hint="eastAsia"/>
                  <w:sz w:val="24"/>
                  <w:szCs w:val="24"/>
                </w:rPr>
                <m:t>y</m:t>
              </m:r>
              <m:r>
                <w:rPr>
                  <w:rFonts w:ascii="Cambria Math" w:hAnsi="Cambria Math" w:cs="Times New Roman"/>
                  <w:sz w:val="24"/>
                  <w:szCs w:val="24"/>
                </w:rPr>
                <m:t>x</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r>
                <m:rPr>
                  <m:sty m:val="p"/>
                </m:rP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r>
                    <m:rPr>
                      <m:sty m:val="p"/>
                    </m:rP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r>
                    <m:rPr>
                      <m:sty m:val="p"/>
                    </m:rPr>
                    <w:rPr>
                      <w:rFonts w:ascii="Cambria Math" w:hAnsi="Cambria Math" w:cs="Times New Roman"/>
                      <w:sz w:val="24"/>
                      <w:szCs w:val="24"/>
                    </w:rPr>
                    <m:t>←</m:t>
                  </m:r>
                </m:e>
              </m:d>
            </m:e>
          </m:d>
          <m:r>
            <w:rPr>
              <w:rFonts w:ascii="Cambria Math" w:hAnsi="Cambria Math" w:cs="Times New Roman"/>
              <w:sz w:val="24"/>
              <w:szCs w:val="24"/>
            </w:rPr>
            <m:t>.</m:t>
          </m:r>
        </m:oMath>
      </m:oMathPara>
    </w:p>
    <w:p w:rsidR="00723CAE" w:rsidRDefault="00E21C70">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here, </w:t>
      </w:r>
      <m:oMath>
        <m:r>
          <m:rPr>
            <m:sty m:val="p"/>
          </m:rP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m:oMath>
        <m:r>
          <m:rPr>
            <m:sty m:val="p"/>
          </m:rP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denote the scanning direction of the magnetic field, and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magnetic field. </w:t>
      </w:r>
      <w:r>
        <w:rPr>
          <w:rFonts w:ascii="Times New Roman" w:hAnsi="Times New Roman" w:cs="Times New Roman" w:hint="eastAsia"/>
          <w:sz w:val="24"/>
          <w:szCs w:val="24"/>
        </w:rPr>
        <w:t>See</w:t>
      </w:r>
      <w:r>
        <w:rPr>
          <w:rFonts w:ascii="Times New Roman" w:hAnsi="Times New Roman" w:cs="Times New Roman"/>
          <w:sz w:val="24"/>
          <w:szCs w:val="24"/>
        </w:rPr>
        <w:t xml:space="preserve"> Fig. S3 for an example of </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and anti-</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of Device A1’s (</w:t>
      </w:r>
      <w:r>
        <w:rPr>
          <w:rFonts w:ascii="Times New Roman" w:hAnsi="Times New Roman" w:cs="Times New Roman"/>
          <w:i/>
          <w:sz w:val="24"/>
          <w:szCs w:val="24"/>
        </w:rPr>
        <w:t>m</w:t>
      </w:r>
      <w:r>
        <w:rPr>
          <w:rFonts w:ascii="Times New Roman" w:hAnsi="Times New Roman" w:cs="Times New Roman"/>
          <w:sz w:val="24"/>
          <w:szCs w:val="24"/>
        </w:rPr>
        <w:t xml:space="preserve"> = 20 QL, </w:t>
      </w:r>
      <w:r>
        <w:rPr>
          <w:rFonts w:ascii="Times New Roman" w:hAnsi="Times New Roman" w:cs="Times New Roman"/>
          <w:i/>
          <w:sz w:val="24"/>
          <w:szCs w:val="24"/>
        </w:rPr>
        <w:t>x</w:t>
      </w:r>
      <w:r>
        <w:rPr>
          <w:rFonts w:ascii="Times New Roman" w:hAnsi="Times New Roman" w:cs="Times New Roman"/>
          <w:sz w:val="24"/>
          <w:szCs w:val="24"/>
        </w:rPr>
        <w:t xml:space="preserve"> = 0.19, </w:t>
      </w:r>
      <w:r>
        <w:rPr>
          <w:rFonts w:ascii="Times New Roman" w:hAnsi="Times New Roman" w:cs="Times New Roman"/>
          <w:i/>
          <w:sz w:val="24"/>
          <w:szCs w:val="24"/>
        </w:rPr>
        <w:t>y</w:t>
      </w:r>
      <w:r>
        <w:rPr>
          <w:rFonts w:ascii="Times New Roman" w:hAnsi="Times New Roman" w:cs="Times New Roman"/>
          <w:sz w:val="24"/>
          <w:szCs w:val="24"/>
        </w:rPr>
        <w:t xml:space="preserve"> = 0.11, </w:t>
      </w:r>
      <w:r>
        <w:rPr>
          <w:rFonts w:ascii="Times New Roman" w:hAnsi="Times New Roman" w:cs="Times New Roman"/>
          <w:i/>
          <w:sz w:val="24"/>
          <w:szCs w:val="24"/>
        </w:rPr>
        <w:t>η</w:t>
      </w:r>
      <w:r>
        <w:rPr>
          <w:rFonts w:ascii="Times New Roman" w:hAnsi="Times New Roman" w:cs="Times New Roman"/>
          <w:sz w:val="24"/>
          <w:szCs w:val="24"/>
        </w:rPr>
        <w:t xml:space="preserve"> = 0.83) data of magnetic field scan</w:t>
      </w:r>
      <w:r>
        <w:rPr>
          <w:rFonts w:ascii="Times New Roman" w:hAnsi="Times New Roman" w:cs="Times New Roman" w:hint="eastAsia"/>
          <w:sz w:val="24"/>
          <w:szCs w:val="24"/>
        </w:rPr>
        <w:t>.</w:t>
      </w:r>
      <w:r>
        <w:rPr>
          <w:rFonts w:ascii="Times New Roman" w:hAnsi="Times New Roman" w:cs="Times New Roman"/>
          <w:sz w:val="24"/>
          <w:szCs w:val="24"/>
        </w:rPr>
        <w:t xml:space="preserve"> </w:t>
      </w:r>
    </w:p>
    <w:p w:rsidR="00723CAE" w:rsidRDefault="00E21C70">
      <w:pPr>
        <w:widowControl/>
        <w:spacing w:line="360" w:lineRule="auto"/>
        <w:jc w:val="left"/>
        <w:rPr>
          <w:rFonts w:ascii="Times New Roman" w:hAnsi="Times New Roman" w:cs="Times New Roman"/>
          <w:sz w:val="24"/>
          <w:szCs w:val="24"/>
        </w:rPr>
      </w:pPr>
      <w:r>
        <w:rPr>
          <w:noProof/>
        </w:rPr>
        <w:drawing>
          <wp:inline distT="0" distB="0" distL="0" distR="0">
            <wp:extent cx="5274310" cy="3041650"/>
            <wp:effectExtent l="0" t="0" r="254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74310" cy="3041650"/>
                    </a:xfrm>
                    <a:prstGeom prst="rect">
                      <a:avLst/>
                    </a:prstGeom>
                  </pic:spPr>
                </pic:pic>
              </a:graphicData>
            </a:graphic>
          </wp:inline>
        </w:drawing>
      </w:r>
    </w:p>
    <w:p w:rsidR="00723CAE" w:rsidRDefault="00E21C70">
      <w:pPr>
        <w:widowControl/>
        <w:spacing w:line="360" w:lineRule="auto"/>
        <w:rPr>
          <w:rFonts w:ascii="Times New Roman" w:hAnsi="Times New Roman" w:cs="Times New Roman"/>
          <w:b/>
          <w:sz w:val="24"/>
          <w:szCs w:val="24"/>
        </w:rPr>
      </w:pPr>
      <w:r>
        <w:rPr>
          <w:rFonts w:ascii="Times New Roman" w:hAnsi="Times New Roman" w:cs="Times New Roman"/>
          <w:b/>
          <w:sz w:val="24"/>
          <w:szCs w:val="24"/>
        </w:rPr>
        <w:t xml:space="preserve">Fig. S3 | </w:t>
      </w:r>
      <w:proofErr w:type="spellStart"/>
      <w:r>
        <w:rPr>
          <w:rFonts w:ascii="Times New Roman" w:hAnsi="Times New Roman" w:cs="Times New Roman" w:hint="eastAsia"/>
          <w:b/>
          <w:sz w:val="24"/>
          <w:szCs w:val="24"/>
        </w:rPr>
        <w:t>S</w:t>
      </w:r>
      <w:r>
        <w:rPr>
          <w:rFonts w:ascii="Times New Roman" w:hAnsi="Times New Roman" w:cs="Times New Roman"/>
          <w:b/>
          <w:sz w:val="24"/>
          <w:szCs w:val="24"/>
        </w:rPr>
        <w:t>ymmetrization</w:t>
      </w:r>
      <w:proofErr w:type="spellEnd"/>
      <w:r>
        <w:rPr>
          <w:rFonts w:ascii="Times New Roman" w:hAnsi="Times New Roman" w:cs="Times New Roman"/>
          <w:b/>
          <w:sz w:val="24"/>
          <w:szCs w:val="24"/>
        </w:rPr>
        <w:t xml:space="preserve"> and anti-</w:t>
      </w:r>
      <w:proofErr w:type="spellStart"/>
      <w:r>
        <w:rPr>
          <w:rFonts w:ascii="Times New Roman" w:hAnsi="Times New Roman" w:cs="Times New Roman"/>
          <w:b/>
          <w:sz w:val="24"/>
          <w:szCs w:val="24"/>
        </w:rPr>
        <w:t>symmetrization</w:t>
      </w:r>
      <w:proofErr w:type="spellEnd"/>
      <w:r>
        <w:rPr>
          <w:rFonts w:ascii="Times New Roman" w:hAnsi="Times New Roman" w:cs="Times New Roman"/>
          <w:b/>
          <w:sz w:val="24"/>
          <w:szCs w:val="24"/>
        </w:rPr>
        <w:t xml:space="preserve"> of the magnetic field </w:t>
      </w:r>
      <w:r>
        <w:rPr>
          <w:rFonts w:ascii="Times New Roman" w:hAnsi="Times New Roman" w:cs="Times New Roman" w:hint="eastAsia"/>
          <w:b/>
          <w:sz w:val="24"/>
          <w:szCs w:val="24"/>
        </w:rPr>
        <w:t>scan</w:t>
      </w:r>
      <w:r>
        <w:rPr>
          <w:rFonts w:ascii="Times New Roman" w:hAnsi="Times New Roman" w:cs="Times New Roman"/>
          <w:b/>
          <w:sz w:val="24"/>
          <w:szCs w:val="24"/>
        </w:rPr>
        <w:t xml:space="preserve"> data. a, b,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original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oMath>
      <w:r>
        <w:rPr>
          <w:rFonts w:ascii="Times New Roman" w:hAnsi="Times New Roman" w:cs="Times New Roman"/>
          <w:sz w:val="24"/>
          <w:szCs w:val="24"/>
        </w:rPr>
        <w:t xml:space="preserve"> vs magnetic field data for Device A1, measured </w:t>
      </w:r>
      <w:r>
        <w:rPr>
          <w:rFonts w:ascii="Times New Roman" w:hAnsi="Times New Roman" w:cs="Times New Roman" w:hint="eastAsia"/>
          <w:sz w:val="24"/>
          <w:szCs w:val="24"/>
        </w:rPr>
        <w:t>at</w:t>
      </w:r>
      <w:r>
        <w:rPr>
          <w:rFonts w:ascii="Times New Roman" w:hAnsi="Times New Roman" w:cs="Times New Roman"/>
          <w:sz w:val="24"/>
          <w:szCs w:val="24"/>
        </w:rPr>
        <w:t xml:space="preserve"> various bottom gate voltage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rPr>
        <w:t xml:space="preserve">. </w:t>
      </w:r>
      <w:r>
        <w:rPr>
          <w:rFonts w:ascii="Times New Roman" w:hAnsi="Times New Roman" w:cs="Times New Roman"/>
          <w:b/>
          <w:sz w:val="24"/>
          <w:szCs w:val="24"/>
        </w:rPr>
        <w:t xml:space="preserve">c, d,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oMath>
      <w:r>
        <w:rPr>
          <w:rFonts w:ascii="Times New Roman" w:hAnsi="Times New Roman" w:cs="Times New Roman"/>
          <w:sz w:val="24"/>
          <w:szCs w:val="24"/>
        </w:rPr>
        <w:t xml:space="preserve"> vs magnetic field, after symmetrization and anti-symmetrization, respectively. </w:t>
      </w:r>
      <w:r>
        <w:rPr>
          <w:rFonts w:ascii="Times New Roman" w:hAnsi="Times New Roman" w:cs="Times New Roman"/>
          <w:b/>
          <w:sz w:val="24"/>
          <w:szCs w:val="24"/>
        </w:rPr>
        <w:t>e,</w:t>
      </w:r>
      <w:r>
        <w:rPr>
          <w:rFonts w:ascii="Times New Roman" w:hAnsi="Times New Roman" w:cs="Times New Roman"/>
          <w:sz w:val="24"/>
          <w:szCs w:val="24"/>
        </w:rPr>
        <w:t xml:space="preserve"> </w:t>
      </w:r>
      <w:r>
        <w:rPr>
          <w:rFonts w:ascii="Times New Roman" w:hAnsi="Times New Roman" w:cs="Times New Roman"/>
          <w:b/>
          <w:sz w:val="24"/>
          <w:szCs w:val="24"/>
        </w:rPr>
        <w:t xml:space="preserve">f,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i/>
          <w:sz w:val="24"/>
          <w:szCs w:val="24"/>
        </w:rPr>
        <w:t xml:space="preserve"> </w:t>
      </w:r>
      <w:r>
        <w:rPr>
          <w:rFonts w:ascii="Times New Roman" w:hAnsi="Times New Roman" w:cs="Times New Roman"/>
          <w:sz w:val="24"/>
          <w:szCs w:val="24"/>
        </w:rPr>
        <w:t xml:space="preserve">vs magnetic field calculated from processed data in </w:t>
      </w:r>
      <w:r>
        <w:rPr>
          <w:rFonts w:ascii="Times New Roman" w:hAnsi="Times New Roman" w:cs="Times New Roman"/>
          <w:b/>
          <w:sz w:val="24"/>
          <w:szCs w:val="24"/>
        </w:rPr>
        <w:t xml:space="preserve">c </w:t>
      </w:r>
      <w:r>
        <w:rPr>
          <w:rFonts w:ascii="Times New Roman" w:hAnsi="Times New Roman" w:cs="Times New Roman"/>
          <w:sz w:val="24"/>
          <w:szCs w:val="24"/>
        </w:rPr>
        <w:t>and</w:t>
      </w:r>
      <w:r>
        <w:rPr>
          <w:rFonts w:ascii="Times New Roman" w:hAnsi="Times New Roman" w:cs="Times New Roman"/>
          <w:b/>
          <w:sz w:val="24"/>
          <w:szCs w:val="24"/>
        </w:rPr>
        <w:t xml:space="preserve"> d</w:t>
      </w:r>
      <w:r>
        <w:rPr>
          <w:rFonts w:ascii="Times New Roman" w:hAnsi="Times New Roman" w:cs="Times New Roman"/>
          <w:sz w:val="24"/>
          <w:szCs w:val="24"/>
        </w:rPr>
        <w:t>.</w:t>
      </w:r>
    </w:p>
    <w:p w:rsidR="00723CAE" w:rsidRDefault="00723CAE">
      <w:pPr>
        <w:widowControl/>
        <w:spacing w:line="360" w:lineRule="auto"/>
        <w:jc w:val="left"/>
        <w:rPr>
          <w:rFonts w:ascii="Times New Roman" w:hAnsi="Times New Roman" w:cs="Times New Roman"/>
          <w:sz w:val="24"/>
          <w:szCs w:val="24"/>
        </w:rPr>
      </w:pP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For the bottom gate voltage scan at zero magnetic field, in addition to the mixing effect of longitudinal and Hall data, the bottom gate dielectric SrTiO3 itself has some hysteresis effect. We overcome this effect by training the bottom gate from 200 </w:t>
      </w:r>
      <w:r>
        <w:rPr>
          <w:rFonts w:ascii="Times New Roman" w:hAnsi="Times New Roman" w:cs="Times New Roman" w:hint="eastAsia"/>
          <w:sz w:val="24"/>
          <w:szCs w:val="24"/>
        </w:rPr>
        <w:t>V</w:t>
      </w:r>
      <w:r>
        <w:rPr>
          <w:rFonts w:ascii="Times New Roman" w:hAnsi="Times New Roman" w:cs="Times New Roman"/>
          <w:sz w:val="24"/>
          <w:szCs w:val="24"/>
        </w:rPr>
        <w:t xml:space="preserve"> to -200 V several times before taking the data. We also take at least two traces of data at the same scanning speed and direction in order to check if these two runs of data overlap well. Then we choose the last run as the final accepted raw data. For the final process of </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/anti-</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w:t>
      </w:r>
    </w:p>
    <w:p w:rsidR="00723CAE" w:rsidRDefault="00EA6734">
      <w:pPr>
        <w:widowControl/>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m:t>
                  </m:r>
                </m:e>
              </m:d>
            </m:e>
          </m:d>
          <m:r>
            <m:rPr>
              <m:sty m:val="p"/>
            </m:rPr>
            <w:rPr>
              <w:rFonts w:ascii="Cambria Math" w:hAnsi="Cambria Math" w:cs="Times New Roman"/>
              <w:sz w:val="24"/>
              <w:szCs w:val="24"/>
            </w:rPr>
            <m:t>;</m:t>
          </m:r>
        </m:oMath>
      </m:oMathPara>
    </w:p>
    <w:p w:rsidR="00723CAE" w:rsidRDefault="00EA6734">
      <w:pPr>
        <w:widowControl/>
        <w:spacing w:line="360" w:lineRule="auto"/>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m:t>
                  </m:r>
                </m:e>
              </m:d>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d>
                <m:dPr>
                  <m:ctrlPr>
                    <w:rPr>
                      <w:rFonts w:ascii="Cambria Math" w:hAnsi="Cambria Math" w:cs="Times New Roman"/>
                      <w:i/>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m:t>
                  </m:r>
                </m:e>
              </m:d>
            </m:e>
          </m:d>
          <m:r>
            <w:rPr>
              <w:rFonts w:ascii="Cambria Math" w:hAnsi="Cambria Math" w:cs="Times New Roman"/>
              <w:sz w:val="24"/>
              <w:szCs w:val="24"/>
            </w:rPr>
            <m:t>.</m:t>
          </m:r>
        </m:oMath>
      </m:oMathPara>
    </w:p>
    <w:p w:rsidR="00723CAE" w:rsidRDefault="00E21C70">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m:oMath>
        <m: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m:oMath>
        <m: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denotes one magnetization configuration and its time-reversal counterpart, </w:t>
      </w:r>
      <w:r>
        <w:rPr>
          <w:rFonts w:ascii="Times New Roman" w:hAnsi="Times New Roman" w:cs="Times New Roman" w:hint="eastAsia"/>
          <w:sz w:val="24"/>
          <w:szCs w:val="24"/>
        </w:rPr>
        <w:t>a</w:t>
      </w:r>
      <w:r>
        <w:rPr>
          <w:rFonts w:ascii="Times New Roman" w:hAnsi="Times New Roman" w:cs="Times New Roman"/>
          <w:sz w:val="24"/>
          <w:szCs w:val="24"/>
        </w:rPr>
        <w:t xml:space="preserve">nd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rPr>
        <w:t xml:space="preserve"> is the bottom gate voltage. </w:t>
      </w:r>
      <w:r>
        <w:rPr>
          <w:rFonts w:ascii="Times New Roman" w:hAnsi="Times New Roman" w:cs="Times New Roman" w:hint="eastAsia"/>
          <w:sz w:val="24"/>
          <w:szCs w:val="24"/>
        </w:rPr>
        <w:t>See</w:t>
      </w:r>
      <w:r>
        <w:rPr>
          <w:rFonts w:ascii="Times New Roman" w:hAnsi="Times New Roman" w:cs="Times New Roman"/>
          <w:sz w:val="24"/>
          <w:szCs w:val="24"/>
        </w:rPr>
        <w:t xml:space="preserve"> Fig. S4 for an example of </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and anti-</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of Device A1’s data of bottom gate voltage scan</w:t>
      </w:r>
      <w:r>
        <w:rPr>
          <w:rFonts w:ascii="Times New Roman" w:hAnsi="Times New Roman" w:cs="Times New Roman" w:hint="eastAsia"/>
          <w:sz w:val="24"/>
          <w:szCs w:val="24"/>
        </w:rPr>
        <w:t>.</w:t>
      </w:r>
      <w:r>
        <w:rPr>
          <w:rFonts w:ascii="Times New Roman" w:hAnsi="Times New Roman" w:cs="Times New Roman"/>
          <w:sz w:val="24"/>
          <w:szCs w:val="24"/>
        </w:rPr>
        <w:t xml:space="preserve"> The magnetic field were trained from parallel (+1.2 T) to antiparallel (-0.4 T to 0; configuration </w:t>
      </w:r>
      <m:oMath>
        <m:r>
          <w:rPr>
            <w:rFonts w:ascii="Cambria Math" w:hAnsi="Cambria Math" w:cs="Times New Roman"/>
            <w:sz w:val="24"/>
            <w:szCs w:val="24"/>
          </w:rPr>
          <m:t>↑</m:t>
        </m:r>
      </m:oMath>
      <w:r>
        <w:rPr>
          <w:rFonts w:ascii="Times New Roman" w:hAnsi="Times New Roman" w:cs="Times New Roman"/>
          <w:sz w:val="24"/>
          <w:szCs w:val="24"/>
        </w:rPr>
        <w:t xml:space="preserve">) to take data, then trained to parallel (-1.2 T) and finally to antiparallel (+0.4 T to 0; configuration </w:t>
      </w:r>
      <m:oMath>
        <m:r>
          <w:rPr>
            <w:rFonts w:ascii="Cambria Math" w:hAnsi="Cambria Math" w:cs="Times New Roman"/>
            <w:sz w:val="24"/>
            <w:szCs w:val="24"/>
          </w:rPr>
          <m:t>↓</m:t>
        </m:r>
      </m:oMath>
      <w:r>
        <w:rPr>
          <w:rFonts w:ascii="Times New Roman" w:hAnsi="Times New Roman" w:cs="Times New Roman"/>
          <w:sz w:val="24"/>
          <w:szCs w:val="24"/>
        </w:rPr>
        <w:t>) to take the second half of data.</w:t>
      </w:r>
    </w:p>
    <w:p w:rsidR="00723CAE" w:rsidRDefault="00E21C70">
      <w:pPr>
        <w:widowControl/>
        <w:spacing w:line="360" w:lineRule="auto"/>
        <w:jc w:val="left"/>
        <w:rPr>
          <w:rFonts w:ascii="Times New Roman" w:hAnsi="Times New Roman" w:cs="Times New Roman"/>
          <w:b/>
          <w:sz w:val="24"/>
          <w:szCs w:val="24"/>
        </w:rPr>
      </w:pPr>
      <w:r>
        <w:rPr>
          <w:noProof/>
        </w:rPr>
        <w:drawing>
          <wp:inline distT="0" distB="0" distL="0" distR="0">
            <wp:extent cx="5274310" cy="3152775"/>
            <wp:effectExtent l="0" t="0" r="254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stretch>
                      <a:fillRect/>
                    </a:stretch>
                  </pic:blipFill>
                  <pic:spPr>
                    <a:xfrm>
                      <a:off x="0" y="0"/>
                      <a:ext cx="5274310" cy="3152775"/>
                    </a:xfrm>
                    <a:prstGeom prst="rect">
                      <a:avLst/>
                    </a:prstGeom>
                  </pic:spPr>
                </pic:pic>
              </a:graphicData>
            </a:graphic>
          </wp:inline>
        </w:drawing>
      </w:r>
    </w:p>
    <w:p w:rsidR="00723CAE" w:rsidRDefault="00E21C70">
      <w:pPr>
        <w:widowControl/>
        <w:spacing w:line="360" w:lineRule="auto"/>
        <w:rPr>
          <w:rFonts w:ascii="Times New Roman" w:hAnsi="Times New Roman" w:cs="Times New Roman"/>
          <w:b/>
          <w:sz w:val="24"/>
          <w:szCs w:val="24"/>
        </w:rPr>
      </w:pPr>
      <w:r>
        <w:rPr>
          <w:rFonts w:ascii="Times New Roman" w:hAnsi="Times New Roman" w:cs="Times New Roman"/>
          <w:b/>
          <w:sz w:val="24"/>
          <w:szCs w:val="24"/>
        </w:rPr>
        <w:t xml:space="preserve">Fig. S4 | </w:t>
      </w:r>
      <w:proofErr w:type="spellStart"/>
      <w:r>
        <w:rPr>
          <w:rFonts w:ascii="Times New Roman" w:hAnsi="Times New Roman" w:cs="Times New Roman" w:hint="eastAsia"/>
          <w:b/>
          <w:sz w:val="24"/>
          <w:szCs w:val="24"/>
        </w:rPr>
        <w:t>S</w:t>
      </w:r>
      <w:r>
        <w:rPr>
          <w:rFonts w:ascii="Times New Roman" w:hAnsi="Times New Roman" w:cs="Times New Roman"/>
          <w:b/>
          <w:sz w:val="24"/>
          <w:szCs w:val="24"/>
        </w:rPr>
        <w:t>ymmetrization</w:t>
      </w:r>
      <w:proofErr w:type="spellEnd"/>
      <w:r>
        <w:rPr>
          <w:rFonts w:ascii="Times New Roman" w:hAnsi="Times New Roman" w:cs="Times New Roman"/>
          <w:b/>
          <w:sz w:val="24"/>
          <w:szCs w:val="24"/>
        </w:rPr>
        <w:t xml:space="preserve"> and anti-</w:t>
      </w:r>
      <w:proofErr w:type="spellStart"/>
      <w:r>
        <w:rPr>
          <w:rFonts w:ascii="Times New Roman" w:hAnsi="Times New Roman" w:cs="Times New Roman"/>
          <w:b/>
          <w:sz w:val="24"/>
          <w:szCs w:val="24"/>
        </w:rPr>
        <w:t>symmetrization</w:t>
      </w:r>
      <w:proofErr w:type="spellEnd"/>
      <w:r>
        <w:rPr>
          <w:rFonts w:ascii="Times New Roman" w:hAnsi="Times New Roman" w:cs="Times New Roman"/>
          <w:b/>
          <w:sz w:val="24"/>
          <w:szCs w:val="24"/>
        </w:rPr>
        <w:t xml:space="preserve"> of the transport data. a, b, </w:t>
      </w:r>
      <w:r>
        <w:rPr>
          <w:rFonts w:ascii="Times New Roman" w:hAnsi="Times New Roman" w:cs="Times New Roman"/>
          <w:sz w:val="24"/>
          <w:szCs w:val="24"/>
        </w:rPr>
        <w:t xml:space="preserve">The original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oMath>
      <w:r>
        <w:rPr>
          <w:rFonts w:ascii="Times New Roman" w:hAnsi="Times New Roman" w:cs="Times New Roman"/>
          <w:sz w:val="24"/>
          <w:szCs w:val="24"/>
        </w:rPr>
        <w:t xml:space="preserve"> vs bottom gate voltage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rPr>
        <w:t xml:space="preserve"> data of Device A1. After gate training, 2 consecutive runs were taken from 200 V to -200V </w:t>
      </w:r>
      <w:r>
        <w:rPr>
          <w:rFonts w:ascii="Times New Roman" w:hAnsi="Times New Roman" w:cs="Times New Roman" w:hint="eastAsia"/>
          <w:sz w:val="24"/>
          <w:szCs w:val="24"/>
        </w:rPr>
        <w:t>at</w:t>
      </w:r>
      <w:r>
        <w:rPr>
          <w:rFonts w:ascii="Times New Roman" w:hAnsi="Times New Roman" w:cs="Times New Roman"/>
          <w:sz w:val="24"/>
          <w:szCs w:val="24"/>
        </w:rPr>
        <w:t xml:space="preserve"> each magnetic configuration. Here </w:t>
      </w:r>
      <m:oMath>
        <m:r>
          <w:rPr>
            <w:rFonts w:ascii="Cambria Math" w:hAnsi="Cambria Math" w:cs="Times New Roman"/>
            <w:sz w:val="24"/>
            <w:szCs w:val="24"/>
          </w:rPr>
          <m:t>↑</m:t>
        </m:r>
      </m:oMath>
      <w:r>
        <w:rPr>
          <w:rFonts w:ascii="Times New Roman" w:hAnsi="Times New Roman" w:cs="Times New Roman"/>
          <w:sz w:val="24"/>
          <w:szCs w:val="24"/>
        </w:rPr>
        <w:t>(</w:t>
      </w:r>
      <m:oMath>
        <m: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denotes antiparallel with surface magnetization direction pointing outwards (inwards). </w:t>
      </w:r>
      <w:r>
        <w:rPr>
          <w:rFonts w:ascii="Times New Roman" w:hAnsi="Times New Roman" w:cs="Times New Roman"/>
          <w:b/>
          <w:sz w:val="24"/>
          <w:szCs w:val="24"/>
        </w:rPr>
        <w:t xml:space="preserve">c, d,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xx</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yx</m:t>
            </m:r>
          </m:sub>
        </m:sSub>
      </m:oMath>
      <w:r>
        <w:rPr>
          <w:rFonts w:ascii="Times New Roman" w:hAnsi="Times New Roman" w:cs="Times New Roman"/>
          <w:sz w:val="24"/>
          <w:szCs w:val="24"/>
        </w:rPr>
        <w:t xml:space="preserve"> vs bottom gate voltage data after symmetrization and anti-</w:t>
      </w:r>
      <w:proofErr w:type="spellStart"/>
      <w:r>
        <w:rPr>
          <w:rFonts w:ascii="Times New Roman" w:hAnsi="Times New Roman" w:cs="Times New Roman"/>
          <w:sz w:val="24"/>
          <w:szCs w:val="24"/>
        </w:rPr>
        <w:t>symmetrization</w:t>
      </w:r>
      <w:proofErr w:type="spellEnd"/>
      <w:r>
        <w:rPr>
          <w:rFonts w:ascii="Times New Roman" w:hAnsi="Times New Roman" w:cs="Times New Roman"/>
          <w:sz w:val="24"/>
          <w:szCs w:val="24"/>
        </w:rPr>
        <w:t xml:space="preserve"> from the 2</w:t>
      </w:r>
      <w:r>
        <w:rPr>
          <w:rFonts w:ascii="Times New Roman" w:hAnsi="Times New Roman" w:cs="Times New Roman"/>
          <w:sz w:val="24"/>
          <w:szCs w:val="24"/>
          <w:vertAlign w:val="superscript"/>
        </w:rPr>
        <w:t>nd</w:t>
      </w:r>
      <w:r>
        <w:rPr>
          <w:rFonts w:ascii="Times New Roman" w:hAnsi="Times New Roman" w:cs="Times New Roman"/>
          <w:sz w:val="24"/>
          <w:szCs w:val="24"/>
        </w:rPr>
        <w:t xml:space="preserve"> scan in </w:t>
      </w:r>
      <w:r>
        <w:rPr>
          <w:rFonts w:ascii="Times New Roman" w:hAnsi="Times New Roman" w:cs="Times New Roman"/>
          <w:b/>
          <w:sz w:val="24"/>
          <w:szCs w:val="24"/>
        </w:rPr>
        <w:t>a</w:t>
      </w:r>
      <w:r>
        <w:rPr>
          <w:rFonts w:ascii="Times New Roman" w:hAnsi="Times New Roman" w:cs="Times New Roman"/>
          <w:sz w:val="24"/>
          <w:szCs w:val="24"/>
        </w:rPr>
        <w:t xml:space="preserve"> and </w:t>
      </w:r>
      <w:r>
        <w:rPr>
          <w:rFonts w:ascii="Times New Roman" w:hAnsi="Times New Roman" w:cs="Times New Roman"/>
          <w:b/>
          <w:sz w:val="24"/>
          <w:szCs w:val="24"/>
        </w:rPr>
        <w:t>b</w:t>
      </w:r>
      <w:r>
        <w:rPr>
          <w:rFonts w:ascii="Times New Roman" w:hAnsi="Times New Roman" w:cs="Times New Roman"/>
          <w:sz w:val="24"/>
          <w:szCs w:val="24"/>
        </w:rPr>
        <w:t xml:space="preserve"> respectively. </w:t>
      </w:r>
      <w:r>
        <w:rPr>
          <w:rFonts w:ascii="Times New Roman" w:hAnsi="Times New Roman" w:cs="Times New Roman"/>
          <w:b/>
          <w:sz w:val="24"/>
          <w:szCs w:val="24"/>
        </w:rPr>
        <w:t>e,</w:t>
      </w:r>
      <w:r>
        <w:rPr>
          <w:rFonts w:ascii="Times New Roman" w:hAnsi="Times New Roman" w:cs="Times New Roman"/>
          <w:sz w:val="24"/>
          <w:szCs w:val="24"/>
        </w:rPr>
        <w:t xml:space="preserve"> </w:t>
      </w:r>
      <w:r>
        <w:rPr>
          <w:rFonts w:ascii="Times New Roman" w:hAnsi="Times New Roman" w:cs="Times New Roman"/>
          <w:b/>
          <w:sz w:val="24"/>
          <w:szCs w:val="24"/>
        </w:rPr>
        <w:t xml:space="preserve">f,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vs bottom gate voltage calculated from processed data in </w:t>
      </w:r>
      <w:r>
        <w:rPr>
          <w:rFonts w:ascii="Times New Roman" w:hAnsi="Times New Roman" w:cs="Times New Roman"/>
          <w:b/>
          <w:sz w:val="24"/>
          <w:szCs w:val="24"/>
        </w:rPr>
        <w:t xml:space="preserve">c </w:t>
      </w:r>
      <w:r>
        <w:rPr>
          <w:rFonts w:ascii="Times New Roman" w:hAnsi="Times New Roman" w:cs="Times New Roman"/>
          <w:sz w:val="24"/>
          <w:szCs w:val="24"/>
        </w:rPr>
        <w:t>and</w:t>
      </w:r>
      <w:r>
        <w:rPr>
          <w:rFonts w:ascii="Times New Roman" w:hAnsi="Times New Roman" w:cs="Times New Roman"/>
          <w:b/>
          <w:sz w:val="24"/>
          <w:szCs w:val="24"/>
        </w:rPr>
        <w:t xml:space="preserve"> d</w:t>
      </w:r>
      <w:r>
        <w:rPr>
          <w:rFonts w:ascii="Times New Roman" w:hAnsi="Times New Roman" w:cs="Times New Roman"/>
          <w:sz w:val="24"/>
          <w:szCs w:val="24"/>
        </w:rPr>
        <w:t>.</w:t>
      </w:r>
    </w:p>
    <w:p w:rsidR="00723CAE" w:rsidRDefault="00723CAE">
      <w:pPr>
        <w:widowControl/>
        <w:spacing w:line="360" w:lineRule="auto"/>
        <w:jc w:val="left"/>
        <w:rPr>
          <w:rFonts w:ascii="Times New Roman" w:hAnsi="Times New Roman" w:cs="Times New Roman"/>
          <w:sz w:val="24"/>
          <w:szCs w:val="24"/>
        </w:rPr>
      </w:pPr>
    </w:p>
    <w:p w:rsidR="00723CAE" w:rsidRDefault="00E21C70">
      <w:pPr>
        <w:pStyle w:val="af"/>
        <w:widowControl/>
        <w:numPr>
          <w:ilvl w:val="0"/>
          <w:numId w:val="2"/>
        </w:numPr>
        <w:spacing w:line="360" w:lineRule="auto"/>
        <w:ind w:firstLineChars="0"/>
        <w:jc w:val="left"/>
        <w:rPr>
          <w:rFonts w:ascii="Times New Roman" w:hAnsi="Times New Roman" w:cs="Times New Roman"/>
          <w:b/>
          <w:sz w:val="24"/>
          <w:szCs w:val="24"/>
        </w:rPr>
      </w:pPr>
      <w:r>
        <w:rPr>
          <w:rFonts w:ascii="Times New Roman" w:hAnsi="Times New Roman" w:cs="Times New Roman" w:hint="eastAsia"/>
          <w:b/>
          <w:sz w:val="24"/>
          <w:szCs w:val="24"/>
        </w:rPr>
        <w:t>T</w:t>
      </w:r>
      <w:r>
        <w:rPr>
          <w:rFonts w:ascii="Times New Roman" w:hAnsi="Times New Roman" w:cs="Times New Roman"/>
          <w:b/>
          <w:sz w:val="24"/>
          <w:szCs w:val="24"/>
        </w:rPr>
        <w:t>heoretical model of magnetization switching behavior in CBV and VBC Devices</w:t>
      </w:r>
    </w:p>
    <w:p w:rsidR="00723CAE" w:rsidRPr="004F4177" w:rsidRDefault="00E21C70" w:rsidP="00422261">
      <w:pPr>
        <w:widowControl/>
        <w:spacing w:line="360" w:lineRule="auto"/>
        <w:ind w:firstLineChars="50" w:firstLine="120"/>
        <w:rPr>
          <w:rFonts w:ascii="Times New Roman" w:hAnsi="Times New Roman" w:cs="Times New Roman"/>
          <w:sz w:val="24"/>
          <w:szCs w:val="24"/>
        </w:rPr>
      </w:pPr>
      <w:r w:rsidRPr="004F4177">
        <w:rPr>
          <w:rFonts w:ascii="Times New Roman" w:hAnsi="Times New Roman" w:cs="Times New Roman"/>
          <w:sz w:val="24"/>
          <w:szCs w:val="24"/>
        </w:rPr>
        <w:lastRenderedPageBreak/>
        <w:t xml:space="preserve">In the CBV device </w:t>
      </w:r>
      <w:r w:rsidRPr="004F4177">
        <w:rPr>
          <w:rFonts w:ascii="Times New Roman" w:hAnsi="Times New Roman" w:cs="Times New Roman" w:hint="eastAsia"/>
          <w:sz w:val="24"/>
          <w:szCs w:val="24"/>
        </w:rPr>
        <w:t>A</w:t>
      </w:r>
      <w:r w:rsidRPr="004F4177">
        <w:rPr>
          <w:rFonts w:ascii="Times New Roman" w:hAnsi="Times New Roman" w:cs="Times New Roman"/>
          <w:sz w:val="24"/>
          <w:szCs w:val="24"/>
        </w:rPr>
        <w:t>1, where both the top and bottom surfaces exhibit well-defined ferromagnetic order, the magnetization switching behavior of each surface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oMath>
      <w:r w:rsidRPr="004F4177">
        <w:rPr>
          <w:rFonts w:ascii="Times New Roman" w:hAnsi="Times New Roman" w:cs="Times New Roman"/>
          <w:sz w:val="24"/>
          <w:szCs w:val="24"/>
        </w:rPr>
        <w:t xml:space="preserve">, where </w:t>
      </w:r>
      <m:oMath>
        <m:r>
          <w:rPr>
            <w:rFonts w:ascii="Cambria Math" w:hAnsi="Cambria Math" w:cs="Times New Roman"/>
            <w:sz w:val="24"/>
            <w:szCs w:val="24"/>
          </w:rPr>
          <m:t>i=t,b</m:t>
        </m:r>
      </m:oMath>
      <w:r w:rsidRPr="004F4177">
        <w:rPr>
          <w:rFonts w:ascii="Times New Roman" w:hAnsi="Times New Roman" w:cs="Times New Roman"/>
          <w:sz w:val="24"/>
          <w:szCs w:val="24"/>
        </w:rPr>
        <w:t xml:space="preserve">) is described by:  </w:t>
      </w:r>
    </w:p>
    <w:p w:rsidR="00723CAE" w:rsidRPr="004F4177" w:rsidRDefault="00EA6734">
      <w:pPr>
        <w:widowControl/>
        <w:spacing w:line="360" w:lineRule="auto"/>
        <w:rPr>
          <w:rFonts w:ascii="Times New Roman" w:hAnsi="Times New Roman" w:cs="Times New Roman"/>
          <w:sz w:val="24"/>
          <w:szCs w:val="24"/>
        </w:rPr>
      </w:pPr>
      <m:oMathPara>
        <m:oMath>
          <m:m>
            <m:mPr>
              <m:plcHide m:val="1"/>
              <m:mcs>
                <m:mc>
                  <m:mcPr>
                    <m:count m:val="1"/>
                    <m:mcJc m:val="center"/>
                  </m:mcPr>
                </m:mc>
              </m:mcs>
              <m:ctrlPr>
                <w:rPr>
                  <w:rFonts w:ascii="Cambria Math" w:hAnsi="Cambria Math" w:cs="Times New Roman"/>
                  <w:sz w:val="24"/>
                  <w:szCs w:val="24"/>
                </w:rPr>
              </m:ctrlPr>
            </m:mPr>
            <m:mr>
              <m:e>
                <m:sSubSup>
                  <m:sSubSupPr>
                    <m:ctrlPr>
                      <w:rPr>
                        <w:rFonts w:ascii="Cambria Math" w:hAnsi="Cambria Math" w:cs="Times New Roman"/>
                        <w:sz w:val="24"/>
                        <w:szCs w:val="24"/>
                      </w:rPr>
                    </m:ctrlPr>
                  </m:sSubSupPr>
                  <m:e>
                    <m:r>
                      <w:rPr>
                        <w:rFonts w:ascii="Cambria Math" w:hAnsi="Cambria Math" w:cs="Times New Roman"/>
                        <w:sz w:val="24"/>
                        <w:szCs w:val="24"/>
                      </w:rPr>
                      <m:t>M</m:t>
                    </m:r>
                  </m:e>
                  <m:sub>
                    <m:r>
                      <w:rPr>
                        <w:rFonts w:ascii="Cambria Math" w:hAnsi="Cambria Math" w:cs="Times New Roman"/>
                        <w:sz w:val="24"/>
                        <w:szCs w:val="24"/>
                      </w:rPr>
                      <m:t>i</m:t>
                    </m:r>
                  </m:sub>
                  <m:sup>
                    <m:r>
                      <w:rPr>
                        <w:rFonts w:ascii="Cambria Math" w:hAnsi="Cambria Math" w:cs="Times New Roman"/>
                        <w:sz w:val="24"/>
                        <w:szCs w:val="24"/>
                      </w:rPr>
                      <m:t>&lt;</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m:rPr>
                    <m:sty m:val="p"/>
                  </m:rPr>
                  <w:rPr>
                    <w:rFonts w:ascii="Cambria Math" w:hAnsi="Cambria Math" w:cs="Times New Roman"/>
                    <w:sz w:val="24"/>
                    <w:szCs w:val="24"/>
                  </w:rPr>
                  <m:t>tanh</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C,i</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0,i</m:t>
                            </m:r>
                          </m:sub>
                        </m:sSub>
                      </m:den>
                    </m:f>
                  </m:e>
                </m:d>
                <m:r>
                  <m:rPr>
                    <m:nor/>
                  </m:rPr>
                  <w:rPr>
                    <w:rFonts w:ascii="Cambria Math" w:hAnsi="Times New Roman" w:cs="Times New Roman"/>
                    <w:sz w:val="24"/>
                    <w:szCs w:val="24"/>
                  </w:rPr>
                  <m:t xml:space="preserve">  </m:t>
                </m:r>
                <m:r>
                  <m:rPr>
                    <m:nor/>
                  </m:rPr>
                  <w:rPr>
                    <w:rFonts w:ascii="Times New Roman" w:hAnsi="Times New Roman" w:cs="Times New Roman"/>
                    <w:sz w:val="24"/>
                    <w:szCs w:val="24"/>
                  </w:rPr>
                  <m:t>and</m:t>
                </m:r>
                <m:sSubSup>
                  <m:sSubSupPr>
                    <m:ctrlPr>
                      <w:rPr>
                        <w:rFonts w:ascii="Cambria Math" w:hAnsi="Cambria Math" w:cs="Times New Roman"/>
                        <w:sz w:val="24"/>
                        <w:szCs w:val="24"/>
                      </w:rPr>
                    </m:ctrlPr>
                  </m:sSubSupPr>
                  <m:e>
                    <m:r>
                      <w:rPr>
                        <w:rFonts w:ascii="Cambria Math" w:hAnsi="Cambria Math" w:cs="Times New Roman"/>
                        <w:sz w:val="24"/>
                        <w:szCs w:val="24"/>
                      </w:rPr>
                      <m:t xml:space="preserve">  M</m:t>
                    </m:r>
                  </m:e>
                  <m:sub>
                    <m:r>
                      <w:rPr>
                        <w:rFonts w:ascii="Cambria Math" w:hAnsi="Cambria Math" w:cs="Times New Roman"/>
                        <w:sz w:val="24"/>
                        <w:szCs w:val="24"/>
                      </w:rPr>
                      <m:t>i</m:t>
                    </m:r>
                  </m:sub>
                  <m:sup>
                    <m:r>
                      <w:rPr>
                        <w:rFonts w:ascii="Cambria Math" w:hAnsi="Cambria Math" w:cs="Times New Roman"/>
                        <w:sz w:val="24"/>
                        <w:szCs w:val="24"/>
                      </w:rPr>
                      <m:t>&gt;</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r>
                  <m:rPr>
                    <m:sty m:val="p"/>
                  </m:rPr>
                  <w:rPr>
                    <w:rFonts w:ascii="Cambria Math" w:hAnsi="Cambria Math" w:cs="Times New Roman"/>
                    <w:sz w:val="24"/>
                    <w:szCs w:val="24"/>
                  </w:rPr>
                  <m:t>tanh</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C,i</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0,i</m:t>
                            </m:r>
                          </m:sub>
                        </m:sSub>
                      </m:den>
                    </m:f>
                  </m:e>
                </m:d>
                <m:r>
                  <w:rPr>
                    <w:rFonts w:ascii="Cambria Math" w:hAnsi="Cambria Math" w:cs="Times New Roman"/>
                    <w:sz w:val="24"/>
                    <w:szCs w:val="24"/>
                  </w:rPr>
                  <m:t>,</m:t>
                </m:r>
              </m:e>
            </m:mr>
          </m:m>
        </m:oMath>
      </m:oMathPara>
    </w:p>
    <w:p w:rsidR="00723CAE" w:rsidRPr="004F4177" w:rsidRDefault="00E21C70">
      <w:pPr>
        <w:widowControl/>
        <w:spacing w:line="360" w:lineRule="auto"/>
        <w:rPr>
          <w:rFonts w:ascii="Times New Roman" w:hAnsi="Times New Roman" w:cs="Times New Roman"/>
          <w:sz w:val="24"/>
          <w:szCs w:val="24"/>
        </w:rPr>
      </w:pPr>
      <w:r w:rsidRPr="004F4177">
        <w:rPr>
          <w:rFonts w:ascii="Times New Roman" w:hAnsi="Times New Roman" w:cs="Times New Roman"/>
          <w:sz w:val="24"/>
          <w:szCs w:val="24"/>
        </w:rPr>
        <w:t xml:space="preserve">where “&lt;” and “&gt;” denote the positive-to-negative and negative-to-positive field sweeps, respectively. </w:t>
      </w:r>
      <m:oMath>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C,t</m:t>
            </m:r>
          </m:sub>
        </m:sSub>
        <m:r>
          <w:rPr>
            <w:rFonts w:ascii="Cambria Math" w:hAnsi="Cambria Math" w:cs="Times New Roman"/>
            <w:sz w:val="24"/>
            <w:szCs w:val="24"/>
          </w:rPr>
          <m:t>=0.12</m:t>
        </m:r>
        <m:r>
          <m:rPr>
            <m:nor/>
          </m:rPr>
          <w:rPr>
            <w:rFonts w:ascii="Times New Roman" w:hAnsi="Times New Roman" w:cs="Times New Roman"/>
            <w:sz w:val="24"/>
            <w:szCs w:val="24"/>
          </w:rPr>
          <m:t> </m:t>
        </m:r>
        <m:r>
          <m:rPr>
            <m:sty m:val="p"/>
          </m:rPr>
          <w:rPr>
            <w:rFonts w:ascii="Cambria Math" w:hAnsi="Cambria Math" w:cs="Times New Roman"/>
            <w:sz w:val="24"/>
            <w:szCs w:val="24"/>
          </w:rPr>
          <m:t>T</m:t>
        </m:r>
      </m:oMath>
      <w:r w:rsidRPr="004F4177">
        <w:rPr>
          <w:rFonts w:ascii="Times New Roman" w:hAnsi="Times New Roman" w:cs="Times New Roman" w:hint="eastAsia"/>
          <w:sz w:val="24"/>
          <w:szCs w:val="24"/>
        </w:rPr>
        <w:t xml:space="preserve"> </w:t>
      </w:r>
      <w:r w:rsidRPr="004F4177">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C,b</m:t>
            </m:r>
          </m:sub>
        </m:sSub>
        <m:r>
          <w:rPr>
            <w:rFonts w:ascii="Cambria Math" w:hAnsi="Cambria Math" w:cs="Times New Roman"/>
            <w:sz w:val="24"/>
            <w:szCs w:val="24"/>
          </w:rPr>
          <m:t>=0.76</m:t>
        </m:r>
        <m:r>
          <m:rPr>
            <m:sty m:val="p"/>
          </m:rPr>
          <w:rPr>
            <w:rFonts w:ascii="Cambria Math" w:hAnsi="Cambria Math" w:cs="Times New Roman"/>
            <w:sz w:val="24"/>
            <w:szCs w:val="24"/>
          </w:rPr>
          <m:t>T</m:t>
        </m:r>
      </m:oMath>
      <w:r w:rsidRPr="004F4177">
        <w:rPr>
          <w:rFonts w:ascii="Times New Roman" w:hAnsi="Times New Roman" w:cs="Times New Roman" w:hint="eastAsia"/>
          <w:sz w:val="24"/>
          <w:szCs w:val="24"/>
        </w:rPr>
        <w:t xml:space="preserve"> </w:t>
      </w:r>
      <w:r w:rsidRPr="004F4177">
        <w:rPr>
          <w:rFonts w:ascii="Times New Roman" w:hAnsi="Times New Roman" w:cs="Times New Roman"/>
          <w:sz w:val="24"/>
          <w:szCs w:val="24"/>
        </w:rPr>
        <w:t xml:space="preserve">are the coercive fields of the top (V-doped) and bottom (Cr-doped) surfaces. </w:t>
      </w:r>
      <m:oMath>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0,t</m:t>
            </m:r>
          </m:sub>
        </m:sSub>
        <m: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0,b</m:t>
            </m:r>
          </m:sub>
        </m:sSub>
        <m:r>
          <w:rPr>
            <w:rFonts w:ascii="Cambria Math" w:hAnsi="Cambria Math" w:cs="Times New Roman"/>
            <w:sz w:val="24"/>
            <w:szCs w:val="24"/>
          </w:rPr>
          <m:t>=0.05</m:t>
        </m:r>
        <m:r>
          <m:rPr>
            <m:sty m:val="p"/>
          </m:rPr>
          <w:rPr>
            <w:rFonts w:ascii="Cambria Math" w:hAnsi="Cambria Math" w:cs="Times New Roman"/>
            <w:sz w:val="24"/>
            <w:szCs w:val="24"/>
          </w:rPr>
          <m:t>T</m:t>
        </m:r>
      </m:oMath>
      <w:r w:rsidRPr="004F4177">
        <w:rPr>
          <w:rFonts w:ascii="Times New Roman" w:hAnsi="Times New Roman" w:cs="Times New Roman"/>
          <w:sz w:val="24"/>
          <w:szCs w:val="24"/>
        </w:rPr>
        <w:t xml:space="preserve"> characterizes the field scale for magnetization saturation.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w:rPr>
            <w:rFonts w:ascii="Cambria Math" w:hAnsi="Cambria Math" w:cs="Times New Roman"/>
            <w:sz w:val="24"/>
            <w:szCs w:val="24"/>
          </w:rPr>
          <m:t>=0.3</m:t>
        </m:r>
      </m:oMath>
      <w:r w:rsidRPr="004F4177">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b</m:t>
            </m:r>
          </m:sub>
        </m:sSub>
        <m:r>
          <w:rPr>
            <w:rFonts w:ascii="Cambria Math" w:hAnsi="Cambria Math" w:cs="Times New Roman"/>
            <w:sz w:val="24"/>
            <w:szCs w:val="24"/>
          </w:rPr>
          <m:t>=0.6</m:t>
        </m:r>
      </m:oMath>
      <w:r w:rsidRPr="004F4177">
        <w:rPr>
          <w:rFonts w:ascii="Times New Roman" w:hAnsi="Times New Roman" w:cs="Times New Roman"/>
          <w:sz w:val="24"/>
          <w:szCs w:val="24"/>
        </w:rPr>
        <w:t xml:space="preserve"> represent the saturation magnetizations of the top and bottom surfaces, respectively.  </w:t>
      </w:r>
    </w:p>
    <w:p w:rsidR="00723CAE" w:rsidRPr="004F4177" w:rsidRDefault="00E21C70" w:rsidP="00422261">
      <w:pPr>
        <w:widowControl/>
        <w:spacing w:line="360" w:lineRule="auto"/>
        <w:ind w:firstLineChars="50" w:firstLine="120"/>
        <w:rPr>
          <w:rFonts w:ascii="Times New Roman" w:hAnsi="Times New Roman" w:cs="Times New Roman"/>
          <w:sz w:val="24"/>
          <w:szCs w:val="24"/>
        </w:rPr>
      </w:pPr>
      <w:r w:rsidRPr="004F4177">
        <w:rPr>
          <w:rFonts w:ascii="Times New Roman" w:hAnsi="Times New Roman" w:cs="Times New Roman"/>
          <w:sz w:val="24"/>
          <w:szCs w:val="24"/>
        </w:rPr>
        <w:t xml:space="preserve">In the VBC device C1, reduced V-doping level leads to a mixed state of weak ferromagnetism and </w:t>
      </w:r>
      <w:proofErr w:type="spellStart"/>
      <w:r w:rsidRPr="004F4177">
        <w:rPr>
          <w:rFonts w:ascii="Times New Roman" w:hAnsi="Times New Roman" w:cs="Times New Roman"/>
          <w:sz w:val="24"/>
          <w:szCs w:val="24"/>
        </w:rPr>
        <w:t>superparamagnetism</w:t>
      </w:r>
      <w:proofErr w:type="spellEnd"/>
      <w:r w:rsidRPr="004F4177">
        <w:rPr>
          <w:rFonts w:ascii="Times New Roman" w:hAnsi="Times New Roman" w:cs="Times New Roman"/>
          <w:sz w:val="24"/>
          <w:szCs w:val="24"/>
        </w:rPr>
        <w:t xml:space="preserve">. Therefore, the magnetization of the bottom surface (the V-doped surface) is modeled by:  </w:t>
      </w:r>
    </w:p>
    <w:p w:rsidR="00723CAE" w:rsidRPr="004F4177" w:rsidRDefault="00EA6734">
      <w:pPr>
        <w:widowControl/>
        <w:spacing w:line="360" w:lineRule="auto"/>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M</m:t>
              </m:r>
            </m:e>
            <m:sub>
              <m:r>
                <w:rPr>
                  <w:rFonts w:ascii="Cambria Math" w:hAnsi="Cambria Math" w:cs="Times New Roman"/>
                  <w:sz w:val="24"/>
                  <w:szCs w:val="24"/>
                </w:rPr>
                <m:t>b</m:t>
              </m:r>
            </m:sub>
            <m:sup>
              <m:r>
                <w:rPr>
                  <w:rFonts w:ascii="Cambria Math" w:hAnsi="Cambria Math" w:cs="Times New Roman"/>
                  <w:sz w:val="24"/>
                  <w:szCs w:val="24"/>
                </w:rPr>
                <m:t>&lt;</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b</m:t>
              </m:r>
            </m:sub>
          </m:sSub>
          <m:d>
            <m:dPr>
              <m:begChr m:val="["/>
              <m:endChr m:val="]"/>
              <m:ctrlPr>
                <w:rPr>
                  <w:rFonts w:ascii="Cambria Math" w:hAnsi="Cambria Math" w:cs="Times New Roman"/>
                  <w:sz w:val="24"/>
                  <w:szCs w:val="24"/>
                </w:rPr>
              </m:ctrlPr>
            </m:dPr>
            <m:e>
              <m:r>
                <w:rPr>
                  <w:rFonts w:ascii="Cambria Math" w:hAnsi="Cambria Math" w:cs="Times New Roman"/>
                  <w:sz w:val="24"/>
                  <w:szCs w:val="24"/>
                </w:rPr>
                <m:t>p</m:t>
              </m:r>
              <m:r>
                <m:rPr>
                  <m:sty m:val="p"/>
                </m:rPr>
                <w:rPr>
                  <w:rFonts w:ascii="Cambria Math" w:hAnsi="Cambria Math" w:cs="Times New Roman"/>
                  <w:sz w:val="24"/>
                  <w:szCs w:val="24"/>
                </w:rPr>
                <m:t>tanh</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C,b</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0,b</m:t>
                          </m:r>
                        </m:sub>
                      </m:sSub>
                    </m:den>
                  </m:f>
                </m:e>
              </m:d>
              <m:r>
                <w:rPr>
                  <w:rFonts w:ascii="Cambria Math" w:hAnsi="Cambria Math" w:cs="Times New Roman"/>
                  <w:sz w:val="24"/>
                  <w:szCs w:val="24"/>
                </w:rPr>
                <m:t>+(1-p)</m:t>
              </m:r>
              <m:r>
                <m:rPr>
                  <m:sty m:val="p"/>
                </m:rPr>
                <w:rPr>
                  <w:rFonts w:ascii="Cambria Math" w:hAnsi="Cambria Math" w:cs="Times New Roman"/>
                  <w:sz w:val="24"/>
                  <w:szCs w:val="24"/>
                </w:rPr>
                <m:t>tanh</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m:t>
                      </m:r>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1,b</m:t>
                          </m:r>
                        </m:sub>
                      </m:sSub>
                    </m:den>
                  </m:f>
                </m:e>
              </m:d>
            </m:e>
          </m:d>
        </m:oMath>
      </m:oMathPara>
    </w:p>
    <w:p w:rsidR="00723CAE" w:rsidRPr="004F4177" w:rsidRDefault="00E21C70">
      <w:pPr>
        <w:widowControl/>
        <w:spacing w:line="360" w:lineRule="auto"/>
        <w:rPr>
          <w:rFonts w:ascii="Times New Roman" w:hAnsi="Times New Roman" w:cs="Times New Roman"/>
          <w:sz w:val="24"/>
          <w:szCs w:val="24"/>
        </w:rPr>
      </w:pPr>
      <w:r w:rsidRPr="004F4177">
        <w:rPr>
          <w:rFonts w:ascii="Times New Roman" w:hAnsi="Times New Roman" w:cs="Times New Roman"/>
          <w:sz w:val="24"/>
          <w:szCs w:val="24"/>
        </w:rPr>
        <w:t xml:space="preserve">and  </w:t>
      </w:r>
    </w:p>
    <w:p w:rsidR="00723CAE" w:rsidRPr="004F4177" w:rsidRDefault="00EA6734">
      <w:pPr>
        <w:widowControl/>
        <w:spacing w:line="360" w:lineRule="auto"/>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M</m:t>
              </m:r>
            </m:e>
            <m:sub>
              <m:r>
                <w:rPr>
                  <w:rFonts w:ascii="Cambria Math" w:hAnsi="Cambria Math" w:cs="Times New Roman"/>
                  <w:sz w:val="24"/>
                  <w:szCs w:val="24"/>
                </w:rPr>
                <m:t>b</m:t>
              </m:r>
            </m:sub>
            <m:sup>
              <m:r>
                <w:rPr>
                  <w:rFonts w:ascii="Cambria Math" w:hAnsi="Cambria Math" w:cs="Times New Roman"/>
                  <w:sz w:val="24"/>
                  <w:szCs w:val="24"/>
                </w:rPr>
                <m:t>&gt;</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b</m:t>
              </m:r>
            </m:sub>
          </m:sSub>
          <m:d>
            <m:dPr>
              <m:begChr m:val="["/>
              <m:endChr m:val="]"/>
              <m:ctrlPr>
                <w:rPr>
                  <w:rFonts w:ascii="Cambria Math" w:hAnsi="Cambria Math" w:cs="Times New Roman"/>
                  <w:sz w:val="24"/>
                  <w:szCs w:val="24"/>
                </w:rPr>
              </m:ctrlPr>
            </m:dPr>
            <m:e>
              <m:r>
                <w:rPr>
                  <w:rFonts w:ascii="Cambria Math" w:hAnsi="Cambria Math" w:cs="Times New Roman"/>
                  <w:sz w:val="24"/>
                  <w:szCs w:val="24"/>
                </w:rPr>
                <m:t>p</m:t>
              </m:r>
              <m:r>
                <m:rPr>
                  <m:sty m:val="p"/>
                </m:rPr>
                <w:rPr>
                  <w:rFonts w:ascii="Cambria Math" w:hAnsi="Cambria Math" w:cs="Times New Roman"/>
                  <w:sz w:val="24"/>
                  <w:szCs w:val="24"/>
                </w:rPr>
                <m:t>tanh</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C,b</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0,b</m:t>
                          </m:r>
                        </m:sub>
                      </m:sSub>
                    </m:den>
                  </m:f>
                </m:e>
              </m:d>
              <m:r>
                <w:rPr>
                  <w:rFonts w:ascii="Cambria Math" w:hAnsi="Cambria Math" w:cs="Times New Roman"/>
                  <w:sz w:val="24"/>
                  <w:szCs w:val="24"/>
                </w:rPr>
                <m:t>+(1-p)</m:t>
              </m:r>
              <m:r>
                <m:rPr>
                  <m:sty m:val="p"/>
                </m:rPr>
                <w:rPr>
                  <w:rFonts w:ascii="Cambria Math" w:hAnsi="Cambria Math" w:cs="Times New Roman"/>
                  <w:sz w:val="24"/>
                  <w:szCs w:val="24"/>
                </w:rPr>
                <m:t>tanh</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m:t>
                      </m:r>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1,b</m:t>
                          </m:r>
                        </m:sub>
                      </m:sSub>
                    </m:den>
                  </m:f>
                </m:e>
              </m:d>
            </m:e>
          </m:d>
          <m:r>
            <w:rPr>
              <w:rFonts w:ascii="Cambria Math" w:hAnsi="Cambria Math" w:cs="Times New Roman"/>
              <w:sz w:val="24"/>
              <w:szCs w:val="24"/>
            </w:rPr>
            <m:t>,</m:t>
          </m:r>
        </m:oMath>
      </m:oMathPara>
    </w:p>
    <w:p w:rsidR="00723CAE" w:rsidRPr="004F4177" w:rsidRDefault="00E21C70">
      <w:pPr>
        <w:widowControl/>
        <w:spacing w:line="360" w:lineRule="auto"/>
        <w:rPr>
          <w:rFonts w:ascii="Times New Roman" w:hAnsi="Times New Roman" w:cs="Times New Roman"/>
          <w:sz w:val="24"/>
          <w:szCs w:val="24"/>
        </w:rPr>
      </w:pPr>
      <w:r w:rsidRPr="004F4177">
        <w:rPr>
          <w:rFonts w:ascii="Times New Roman" w:hAnsi="Times New Roman" w:cs="Times New Roman"/>
          <w:sz w:val="24"/>
          <w:szCs w:val="24"/>
        </w:rPr>
        <w:t xml:space="preserve">where </w:t>
      </w:r>
      <m:oMath>
        <m:r>
          <m:rPr>
            <m:nor/>
          </m:rPr>
          <w:rPr>
            <w:rFonts w:ascii="Times New Roman" w:hAnsi="Times New Roman" w:cs="Times New Roman"/>
            <w:i/>
            <w:sz w:val="24"/>
            <w:szCs w:val="24"/>
          </w:rPr>
          <m:t>p</m:t>
        </m:r>
      </m:oMath>
      <w:r w:rsidRPr="004F4177">
        <w:rPr>
          <w:rFonts w:ascii="Times New Roman" w:hAnsi="Times New Roman" w:cs="Times New Roman"/>
          <w:sz w:val="24"/>
          <w:szCs w:val="24"/>
        </w:rPr>
        <w:t xml:space="preserve"> represents the fraction of ferromagnetic contribution.</w:t>
      </w:r>
      <w:r w:rsidRPr="004F4177">
        <w:rPr>
          <w:rFonts w:ascii="Times New Roman" w:hAnsi="Times New Roman" w:cs="Times New Roman" w:hint="eastAsia"/>
          <w:sz w:val="24"/>
          <w:szCs w:val="24"/>
        </w:rPr>
        <w:t xml:space="preserve"> </w:t>
      </w:r>
      <w:r w:rsidRPr="004F4177">
        <w:rPr>
          <w:rFonts w:ascii="Times New Roman" w:hAnsi="Times New Roman" w:cs="Times New Roman"/>
          <w:sz w:val="24"/>
          <w:szCs w:val="24"/>
        </w:rPr>
        <w:t xml:space="preserve">Unlike the bottom surface, the top surface (the Cr-doped surface) exhibits purely ferromagnetic behavior, hence the magnetization is modeled by:  </w:t>
      </w:r>
    </w:p>
    <w:p w:rsidR="00723CAE" w:rsidRPr="004F4177" w:rsidRDefault="00EA6734">
      <w:pPr>
        <w:widowControl/>
        <w:spacing w:line="360" w:lineRule="auto"/>
        <w:rPr>
          <w:rFonts w:ascii="Times New Roman" w:hAnsi="Times New Roman" w:cs="Times New Roman"/>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M</m:t>
              </m:r>
            </m:e>
            <m:sub>
              <m:r>
                <w:rPr>
                  <w:rFonts w:ascii="Cambria Math" w:hAnsi="Cambria Math" w:cs="Times New Roman"/>
                  <w:sz w:val="24"/>
                  <w:szCs w:val="24"/>
                </w:rPr>
                <m:t>t</m:t>
              </m:r>
            </m:sub>
            <m:sup>
              <m:r>
                <w:rPr>
                  <w:rFonts w:ascii="Cambria Math" w:hAnsi="Cambria Math" w:cs="Times New Roman"/>
                  <w:sz w:val="24"/>
                  <w:szCs w:val="24"/>
                </w:rPr>
                <m:t>&lt;</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m:rPr>
              <m:sty m:val="p"/>
            </m:rPr>
            <w:rPr>
              <w:rFonts w:ascii="Cambria Math" w:hAnsi="Cambria Math" w:cs="Times New Roman"/>
              <w:sz w:val="24"/>
              <w:szCs w:val="24"/>
            </w:rPr>
            <m:t>tanh</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C,t</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0,t</m:t>
                      </m:r>
                    </m:sub>
                  </m:sSub>
                </m:den>
              </m:f>
            </m:e>
          </m:d>
          <m:r>
            <m:rPr>
              <m:nor/>
            </m:rPr>
            <w:rPr>
              <w:rFonts w:ascii="Cambria Math" w:hAnsi="Times New Roman" w:cs="Times New Roman"/>
              <w:sz w:val="24"/>
              <w:szCs w:val="24"/>
            </w:rPr>
            <m:t xml:space="preserve">  </m:t>
          </m:r>
          <m:r>
            <m:rPr>
              <m:nor/>
            </m:rPr>
            <w:rPr>
              <w:rFonts w:ascii="Times New Roman" w:hAnsi="Times New Roman" w:cs="Times New Roman"/>
              <w:sz w:val="24"/>
              <w:szCs w:val="24"/>
            </w:rPr>
            <m:t>and</m:t>
          </m:r>
          <m:r>
            <m:rPr>
              <m:nor/>
            </m:rPr>
            <w:rPr>
              <w:rFonts w:ascii="Cambria Math" w:hAnsi="Times New Roman" w:cs="Times New Roman"/>
              <w:sz w:val="24"/>
              <w:szCs w:val="24"/>
            </w:rPr>
            <m:t xml:space="preserve">  </m:t>
          </m:r>
          <m:sSubSup>
            <m:sSubSupPr>
              <m:ctrlPr>
                <w:rPr>
                  <w:rFonts w:ascii="Cambria Math" w:hAnsi="Cambria Math" w:cs="Times New Roman"/>
                  <w:sz w:val="24"/>
                  <w:szCs w:val="24"/>
                </w:rPr>
              </m:ctrlPr>
            </m:sSubSupPr>
            <m:e>
              <m:r>
                <w:rPr>
                  <w:rFonts w:ascii="Cambria Math" w:hAnsi="Cambria Math" w:cs="Times New Roman"/>
                  <w:sz w:val="24"/>
                  <w:szCs w:val="24"/>
                </w:rPr>
                <m:t>M</m:t>
              </m:r>
            </m:e>
            <m:sub>
              <m:r>
                <w:rPr>
                  <w:rFonts w:ascii="Cambria Math" w:hAnsi="Cambria Math" w:cs="Times New Roman"/>
                  <w:sz w:val="24"/>
                  <w:szCs w:val="24"/>
                </w:rPr>
                <m:t>t</m:t>
              </m:r>
            </m:sub>
            <m:sup>
              <m:r>
                <w:rPr>
                  <w:rFonts w:ascii="Cambria Math" w:hAnsi="Cambria Math" w:cs="Times New Roman"/>
                  <w:sz w:val="24"/>
                  <w:szCs w:val="24"/>
                </w:rPr>
                <m:t>&gt;</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m:rPr>
              <m:sty m:val="p"/>
            </m:rPr>
            <w:rPr>
              <w:rFonts w:ascii="Cambria Math" w:hAnsi="Cambria Math" w:cs="Times New Roman"/>
              <w:sz w:val="24"/>
              <w:szCs w:val="24"/>
            </w:rPr>
            <m:t>tanh</m:t>
          </m:r>
          <m:r>
            <w:rPr>
              <w:rFonts w:ascii="Cambria Math" w:hAnsi="Cambria Math" w:cs="Times New Roman"/>
              <w:sz w:val="24"/>
              <w:szCs w:val="24"/>
            </w:rPr>
            <m:t>⁡</m:t>
          </m:r>
          <m:d>
            <m:dPr>
              <m:ctrlPr>
                <w:rPr>
                  <w:rFonts w:ascii="Cambria Math" w:hAnsi="Cambria Math" w:cs="Times New Roman"/>
                  <w:sz w:val="24"/>
                  <w:szCs w:val="24"/>
                </w:rPr>
              </m:ctrlPr>
            </m:dPr>
            <m:e>
              <m:f>
                <m:fPr>
                  <m:ctrlPr>
                    <w:rPr>
                      <w:rFonts w:ascii="Cambria Math" w:hAnsi="Cambria Math" w:cs="Times New Roman"/>
                      <w:sz w:val="24"/>
                      <w:szCs w:val="24"/>
                    </w:rPr>
                  </m:ctrlPr>
                </m:fPr>
                <m:num>
                  <m:r>
                    <w:rPr>
                      <w:rFonts w:ascii="Cambria Math" w:hAnsi="Cambria Math" w:cs="Times New Roman"/>
                      <w:sz w:val="24"/>
                      <w:szCs w:val="24"/>
                    </w:rPr>
                    <m:t>H-</m:t>
                  </m:r>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C,t</m:t>
                      </m:r>
                    </m:sub>
                  </m:sSub>
                </m:num>
                <m:den>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0,t</m:t>
                      </m:r>
                    </m:sub>
                  </m:sSub>
                </m:den>
              </m:f>
            </m:e>
          </m:d>
          <m:r>
            <w:rPr>
              <w:rFonts w:ascii="Cambria Math" w:hAnsi="Cambria Math" w:cs="Times New Roman"/>
              <w:sz w:val="24"/>
              <w:szCs w:val="24"/>
            </w:rPr>
            <m:t>,</m:t>
          </m:r>
        </m:oMath>
      </m:oMathPara>
    </w:p>
    <w:p w:rsidR="00723CAE" w:rsidRPr="004F4177" w:rsidRDefault="00E21C70">
      <w:pPr>
        <w:widowControl/>
        <w:spacing w:line="360" w:lineRule="auto"/>
        <w:rPr>
          <w:rFonts w:ascii="Times New Roman" w:hAnsi="Times New Roman" w:cs="Times New Roman"/>
          <w:sz w:val="24"/>
          <w:szCs w:val="24"/>
        </w:rPr>
      </w:pPr>
      <w:r w:rsidRPr="004F4177">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oMath>
      <w:r w:rsidRPr="004F4177">
        <w:rPr>
          <w:rFonts w:ascii="Times New Roman" w:hAnsi="Times New Roman" w:cs="Times New Roman"/>
          <w:sz w:val="24"/>
          <w:szCs w:val="24"/>
        </w:rPr>
        <w:t xml:space="preserve"> is the saturation magnetization,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C,t</m:t>
            </m:r>
          </m:sub>
        </m:sSub>
      </m:oMath>
      <w:r w:rsidRPr="004F4177">
        <w:rPr>
          <w:rFonts w:ascii="Times New Roman" w:hAnsi="Times New Roman" w:cs="Times New Roman"/>
          <w:sz w:val="24"/>
          <w:szCs w:val="24"/>
        </w:rPr>
        <w:t xml:space="preserve"> is the coercive field, and </w:t>
      </w:r>
      <m:oMath>
        <m:sSub>
          <m:sSubPr>
            <m:ctrlPr>
              <w:rPr>
                <w:rFonts w:ascii="Cambria Math" w:hAnsi="Cambria Math" w:cs="Times New Roman"/>
                <w:sz w:val="24"/>
                <w:szCs w:val="24"/>
              </w:rPr>
            </m:ctrlPr>
          </m:sSubPr>
          <m:e>
            <m:r>
              <w:rPr>
                <w:rFonts w:ascii="Cambria Math" w:hAnsi="Cambria Math" w:cs="Times New Roman"/>
                <w:sz w:val="24"/>
                <w:szCs w:val="24"/>
              </w:rPr>
              <m:t>H</m:t>
            </m:r>
          </m:e>
          <m:sub>
            <m:r>
              <w:rPr>
                <w:rFonts w:ascii="Cambria Math" w:hAnsi="Cambria Math" w:cs="Times New Roman"/>
                <w:sz w:val="24"/>
                <w:szCs w:val="24"/>
              </w:rPr>
              <m:t>0,t</m:t>
            </m:r>
          </m:sub>
        </m:sSub>
      </m:oMath>
      <w:r w:rsidRPr="004F4177">
        <w:rPr>
          <w:rFonts w:ascii="Times New Roman" w:hAnsi="Times New Roman" w:cs="Times New Roman" w:hint="eastAsia"/>
          <w:sz w:val="24"/>
          <w:szCs w:val="24"/>
        </w:rPr>
        <w:t xml:space="preserve"> </w:t>
      </w:r>
      <w:r w:rsidRPr="004F4177">
        <w:rPr>
          <w:rFonts w:ascii="Times New Roman" w:hAnsi="Times New Roman" w:cs="Times New Roman"/>
          <w:sz w:val="24"/>
          <w:szCs w:val="24"/>
        </w:rPr>
        <w:t>characterizes the field scale for the Cr-doped surface.</w:t>
      </w:r>
      <w:r w:rsidRPr="004F4177">
        <w:rPr>
          <w:rFonts w:ascii="Times New Roman" w:hAnsi="Times New Roman" w:cs="Times New Roman" w:hint="eastAsia"/>
          <w:sz w:val="24"/>
          <w:szCs w:val="24"/>
        </w:rPr>
        <w:t xml:space="preserve"> </w:t>
      </w:r>
      <w:r w:rsidRPr="004F4177">
        <w:rPr>
          <w:rFonts w:ascii="Times New Roman" w:hAnsi="Times New Roman" w:cs="Times New Roman"/>
          <w:sz w:val="24"/>
          <w:szCs w:val="24"/>
        </w:rPr>
        <w:t xml:space="preserve">In our numerical simulations of the magnetic field dependence of the Hall conductance in the VBC device, we adopt the following parameters based on experimental observations: </w:t>
      </w:r>
      <m:oMath>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C,t</m:t>
            </m:r>
          </m:sub>
        </m:sSub>
        <m:r>
          <w:rPr>
            <w:rFonts w:ascii="Cambria Math" w:hAnsi="Cambria Math" w:cs="Times New Roman"/>
            <w:sz w:val="24"/>
            <w:szCs w:val="24"/>
          </w:rPr>
          <m:t>=0.12</m:t>
        </m:r>
        <m:r>
          <m:rPr>
            <m:sty m:val="p"/>
          </m:rPr>
          <w:rPr>
            <w:rFonts w:ascii="Cambria Math" w:hAnsi="Cambria Math" w:cs="Times New Roman"/>
            <w:sz w:val="24"/>
            <w:szCs w:val="24"/>
          </w:rPr>
          <m:t>T</m:t>
        </m:r>
      </m:oMath>
      <w:r w:rsidRPr="004F41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C,b</m:t>
            </m:r>
          </m:sub>
        </m:sSub>
        <m:r>
          <w:rPr>
            <w:rFonts w:ascii="Cambria Math" w:hAnsi="Cambria Math" w:cs="Times New Roman"/>
            <w:sz w:val="24"/>
            <w:szCs w:val="24"/>
          </w:rPr>
          <m:t>=0.45</m:t>
        </m:r>
        <m:r>
          <m:rPr>
            <m:sty m:val="p"/>
          </m:rPr>
          <w:rPr>
            <w:rFonts w:ascii="Cambria Math" w:hAnsi="Cambria Math" w:cs="Times New Roman"/>
            <w:sz w:val="24"/>
            <w:szCs w:val="24"/>
          </w:rPr>
          <m:t>T</m:t>
        </m:r>
      </m:oMath>
      <w:r w:rsidRPr="004F41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0,t</m:t>
            </m:r>
          </m:sub>
        </m:sSub>
        <m:r>
          <w:rPr>
            <w:rFonts w:ascii="Cambria Math" w:hAnsi="Cambria Math" w:cs="Times New Roman"/>
            <w:sz w:val="24"/>
            <w:szCs w:val="24"/>
          </w:rPr>
          <m:t>=0.1</m:t>
        </m:r>
        <m:r>
          <m:rPr>
            <m:sty m:val="p"/>
          </m:rPr>
          <w:rPr>
            <w:rFonts w:ascii="Cambria Math" w:hAnsi="Cambria Math" w:cs="Times New Roman"/>
            <w:sz w:val="24"/>
            <w:szCs w:val="24"/>
          </w:rPr>
          <m:t>T</m:t>
        </m:r>
      </m:oMath>
      <w:r w:rsidRPr="004F41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0,b</m:t>
            </m:r>
          </m:sub>
        </m:sSub>
        <m:r>
          <w:rPr>
            <w:rFonts w:ascii="Cambria Math" w:hAnsi="Cambria Math" w:cs="Times New Roman"/>
            <w:sz w:val="24"/>
            <w:szCs w:val="24"/>
          </w:rPr>
          <m:t>=0.3</m:t>
        </m:r>
        <m:r>
          <m:rPr>
            <m:sty m:val="p"/>
          </m:rPr>
          <w:rPr>
            <w:rFonts w:ascii="Cambria Math" w:hAnsi="Cambria Math" w:cs="Times New Roman"/>
            <w:sz w:val="24"/>
            <w:szCs w:val="24"/>
          </w:rPr>
          <m:t>T</m:t>
        </m:r>
      </m:oMath>
      <w:r w:rsidRPr="004F41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e>
          <m:sub>
            <m:r>
              <w:rPr>
                <w:rFonts w:ascii="Cambria Math" w:hAnsi="Cambria Math" w:cs="Times New Roman"/>
                <w:sz w:val="24"/>
                <w:szCs w:val="24"/>
              </w:rPr>
              <m:t>1,b</m:t>
            </m:r>
          </m:sub>
        </m:sSub>
        <m:r>
          <w:rPr>
            <w:rFonts w:ascii="Cambria Math" w:hAnsi="Cambria Math" w:cs="Times New Roman"/>
            <w:sz w:val="24"/>
            <w:szCs w:val="24"/>
          </w:rPr>
          <m:t>=0.1</m:t>
        </m:r>
        <m:r>
          <m:rPr>
            <m:sty m:val="p"/>
          </m:rPr>
          <w:rPr>
            <w:rFonts w:ascii="Cambria Math" w:hAnsi="Cambria Math" w:cs="Times New Roman"/>
            <w:sz w:val="24"/>
            <w:szCs w:val="24"/>
          </w:rPr>
          <m:t>T</m:t>
        </m:r>
      </m:oMath>
      <w:r w:rsidRPr="004F41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t</m:t>
            </m:r>
          </m:sub>
        </m:sSub>
        <m:r>
          <w:rPr>
            <w:rFonts w:ascii="Cambria Math" w:hAnsi="Cambria Math" w:cs="Times New Roman"/>
            <w:sz w:val="24"/>
            <w:szCs w:val="24"/>
          </w:rPr>
          <m:t>=0.3</m:t>
        </m:r>
      </m:oMath>
      <w:r w:rsidRPr="004F4177">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b</m:t>
            </m:r>
          </m:sub>
        </m:sSub>
        <m:r>
          <w:rPr>
            <w:rFonts w:ascii="Cambria Math" w:hAnsi="Cambria Math" w:cs="Times New Roman"/>
            <w:sz w:val="24"/>
            <w:szCs w:val="24"/>
          </w:rPr>
          <m:t>=</m:t>
        </m:r>
        <m:r>
          <w:rPr>
            <w:rFonts w:ascii="Cambria Math" w:hAnsi="Cambria Math" w:cs="Times New Roman"/>
            <w:sz w:val="24"/>
            <w:szCs w:val="24"/>
          </w:rPr>
          <w:lastRenderedPageBreak/>
          <m:t>0.3</m:t>
        </m:r>
      </m:oMath>
      <w:r w:rsidRPr="004F4177">
        <w:rPr>
          <w:rFonts w:ascii="Times New Roman" w:hAnsi="Times New Roman" w:cs="Times New Roman"/>
          <w:sz w:val="24"/>
          <w:szCs w:val="24"/>
        </w:rPr>
        <w:t xml:space="preserve">, and </w:t>
      </w:r>
      <m:oMath>
        <m:r>
          <w:rPr>
            <w:rFonts w:ascii="Cambria Math" w:hAnsi="Cambria Math" w:cs="Times New Roman"/>
            <w:sz w:val="24"/>
            <w:szCs w:val="24"/>
          </w:rPr>
          <m:t>p=0.4</m:t>
        </m:r>
      </m:oMath>
      <w:r w:rsidRPr="004F4177">
        <w:rPr>
          <w:rFonts w:ascii="Times New Roman" w:hAnsi="Times New Roman" w:cs="Times New Roman"/>
          <w:sz w:val="24"/>
          <w:szCs w:val="24"/>
        </w:rPr>
        <w:t>.</w:t>
      </w:r>
      <w:r w:rsidRPr="004F4177">
        <w:rPr>
          <w:rFonts w:ascii="Times New Roman" w:hAnsi="Times New Roman" w:cs="Times New Roman" w:hint="eastAsia"/>
          <w:sz w:val="24"/>
          <w:szCs w:val="24"/>
        </w:rPr>
        <w:t xml:space="preserve"> </w:t>
      </w:r>
      <w:r w:rsidRPr="004F4177">
        <w:rPr>
          <w:rFonts w:ascii="Times New Roman" w:hAnsi="Times New Roman" w:cs="Times New Roman"/>
          <w:sz w:val="24"/>
          <w:szCs w:val="24"/>
        </w:rPr>
        <w:t xml:space="preserve">Note that these parameters are used as an example to qualitatively demonstrate the dependence of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sidRPr="004F4177">
        <w:rPr>
          <w:rFonts w:ascii="Times New Roman" w:hAnsi="Times New Roman" w:cs="Times New Roman"/>
          <w:sz w:val="24"/>
          <w:szCs w:val="24"/>
        </w:rPr>
        <w:t xml:space="preserve"> on the magnetic field.</w:t>
      </w:r>
    </w:p>
    <w:p w:rsidR="00723CAE" w:rsidRDefault="00723CAE">
      <w:pPr>
        <w:widowControl/>
        <w:spacing w:line="360" w:lineRule="auto"/>
        <w:rPr>
          <w:rFonts w:ascii="Times New Roman" w:hAnsi="Times New Roman" w:cs="Times New Roman"/>
          <w:sz w:val="24"/>
          <w:szCs w:val="24"/>
        </w:rPr>
      </w:pPr>
    </w:p>
    <w:p w:rsidR="00723CAE" w:rsidRDefault="00E21C70">
      <w:pPr>
        <w:pStyle w:val="af"/>
        <w:widowControl/>
        <w:numPr>
          <w:ilvl w:val="0"/>
          <w:numId w:val="2"/>
        </w:numPr>
        <w:spacing w:line="360" w:lineRule="auto"/>
        <w:ind w:firstLineChars="0"/>
        <w:jc w:val="left"/>
        <w:rPr>
          <w:rFonts w:ascii="Times New Roman" w:hAnsi="Times New Roman" w:cs="Times New Roman"/>
          <w:b/>
          <w:sz w:val="24"/>
          <w:szCs w:val="24"/>
        </w:rPr>
      </w:pPr>
      <w:r>
        <w:rPr>
          <w:rFonts w:ascii="Times New Roman" w:hAnsi="Times New Roman" w:cs="Times New Roman"/>
          <w:b/>
          <w:sz w:val="24"/>
          <w:szCs w:val="24"/>
        </w:rPr>
        <w:t>Quantization deviation analysis</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We attribute the quantization deviations in both HQLHE and QAHE to quasi-1D </w:t>
      </w:r>
      <w:r>
        <w:rPr>
          <w:rFonts w:ascii="Times New Roman" w:hAnsi="Times New Roman" w:cs="Times New Roman" w:hint="eastAsia"/>
          <w:sz w:val="24"/>
          <w:szCs w:val="24"/>
        </w:rPr>
        <w:t>helical</w:t>
      </w:r>
      <w:r>
        <w:rPr>
          <w:rFonts w:ascii="Times New Roman" w:hAnsi="Times New Roman" w:cs="Times New Roman"/>
          <w:sz w:val="24"/>
          <w:szCs w:val="24"/>
        </w:rPr>
        <w:t xml:space="preserve"> edge conduction channels. Additional conductance peaks near QAHE’s </w:t>
      </w:r>
      <w:bookmarkStart w:id="3" w:name="_Hlk196497666"/>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oMath>
      <w:bookmarkEnd w:id="3"/>
      <w:r>
        <w:rPr>
          <w:rFonts w:ascii="Times New Roman" w:hAnsi="Times New Roman" w:cs="Times New Roman" w:hint="eastAsia"/>
          <w:sz w:val="24"/>
          <w:szCs w:val="24"/>
        </w:rPr>
        <w:t xml:space="preserve"> </w:t>
      </w:r>
      <w:r>
        <w:rPr>
          <w:rFonts w:ascii="Times New Roman" w:hAnsi="Times New Roman" w:cs="Times New Roman"/>
          <w:sz w:val="24"/>
          <w:szCs w:val="24"/>
        </w:rPr>
        <w:t xml:space="preserve">plateau </w:t>
      </w:r>
      <w:r>
        <w:rPr>
          <w:rFonts w:ascii="Times New Roman" w:hAnsi="Times New Roman" w:cs="Times New Roman" w:hint="eastAsia"/>
          <w:sz w:val="24"/>
          <w:szCs w:val="24"/>
        </w:rPr>
        <w:t>a</w:t>
      </w:r>
      <w:r>
        <w:rPr>
          <w:rFonts w:ascii="Times New Roman" w:hAnsi="Times New Roman" w:cs="Times New Roman"/>
          <w:sz w:val="24"/>
          <w:szCs w:val="24"/>
        </w:rPr>
        <w:t xml:space="preserve">nd AHC deviation with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ctrlPr>
              <w:rPr>
                <w:rFonts w:ascii="Cambria Math" w:hAnsi="Cambria Math" w:cs="Times New Roman"/>
                <w:i/>
                <w:sz w:val="24"/>
                <w:szCs w:val="24"/>
              </w:rPr>
            </m:ctrlPr>
          </m:e>
        </m:d>
        <m:r>
          <w:rPr>
            <w:rFonts w:ascii="Cambria Math" w:hAnsi="Cambria Math" w:cs="Times New Roman"/>
            <w:sz w:val="24"/>
            <w:szCs w:val="24"/>
          </w:rPr>
          <m:t>&gt;</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rPr>
              <m:t>h</m:t>
            </m:r>
          </m:den>
        </m:f>
      </m:oMath>
      <w:r>
        <w:rPr>
          <w:rFonts w:ascii="Times New Roman" w:hAnsi="Times New Roman" w:cs="Times New Roman"/>
          <w:sz w:val="24"/>
          <w:szCs w:val="24"/>
        </w:rPr>
        <w:t xml:space="preserve"> often coexist in the CBV axion insulator devices. Fig. S5 depicted a typical behavior described above. Intriguingly, there are conductance fluctuations that are most prominent when the bottom gate voltage locates near the AHC peaks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=-100 </m:t>
        </m:r>
        <m:r>
          <m:rPr>
            <m:sty m:val="p"/>
          </m:rPr>
          <w:rPr>
            <w:rFonts w:ascii="Cambria Math" w:hAnsi="Cambria Math" w:cs="Times New Roman"/>
            <w:sz w:val="24"/>
            <w:szCs w:val="24"/>
          </w:rPr>
          <m:t>V</m:t>
        </m:r>
      </m:oMath>
      <w:r>
        <w:rPr>
          <w:rFonts w:ascii="Times New Roman" w:hAnsi="Times New Roman" w:cs="Times New Roman"/>
          <w:sz w:val="24"/>
          <w:szCs w:val="24"/>
        </w:rPr>
        <w:t xml:space="preserve"> and </w:t>
      </w:r>
      <m:oMath>
        <m:r>
          <m:rPr>
            <m:sty m:val="p"/>
          </m:rPr>
          <w:rPr>
            <w:rFonts w:ascii="Cambria Math" w:hAnsi="Cambria Math" w:cs="Times New Roman"/>
            <w:sz w:val="24"/>
            <w:szCs w:val="24"/>
          </w:rPr>
          <m:t>4</m:t>
        </m:r>
        <m:r>
          <w:rPr>
            <w:rFonts w:ascii="Cambria Math" w:hAnsi="Cambria Math" w:cs="Times New Roman"/>
            <w:sz w:val="24"/>
            <w:szCs w:val="24"/>
          </w:rPr>
          <m:t xml:space="preserve">0 </m:t>
        </m:r>
        <m:r>
          <m:rPr>
            <m:sty m:val="p"/>
          </m:rPr>
          <w:rPr>
            <w:rFonts w:ascii="Cambria Math" w:hAnsi="Cambria Math" w:cs="Times New Roman"/>
            <w:sz w:val="24"/>
            <w:szCs w:val="24"/>
          </w:rPr>
          <m:t>V</m:t>
        </m:r>
      </m:oMath>
      <w:r>
        <w:rPr>
          <w:rFonts w:ascii="Times New Roman" w:hAnsi="Times New Roman" w:cs="Times New Roman"/>
          <w:sz w:val="24"/>
          <w:szCs w:val="24"/>
        </w:rPr>
        <w:t xml:space="preserve"> in Fig. S5g), and almost vanish near QAHE</w:t>
      </w:r>
      <w:r>
        <w:rPr>
          <w:rFonts w:ascii="Times New Roman" w:hAnsi="Times New Roman" w:cs="Times New Roman" w:hint="eastAsia"/>
          <w:sz w:val="24"/>
          <w:szCs w:val="24"/>
        </w:rPr>
        <w:t xml:space="preserve"> </w:t>
      </w:r>
      <w:r>
        <w:rPr>
          <w:rFonts w:ascii="Times New Roman" w:hAnsi="Times New Roman" w:cs="Times New Roman"/>
          <w:sz w:val="24"/>
          <w:szCs w:val="24"/>
        </w:rPr>
        <w:t>plateau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=-20 </m:t>
        </m:r>
        <m:r>
          <m:rPr>
            <m:sty m:val="p"/>
          </m:rPr>
          <w:rPr>
            <w:rFonts w:ascii="Cambria Math" w:hAnsi="Cambria Math" w:cs="Times New Roman"/>
            <w:sz w:val="24"/>
            <w:szCs w:val="24"/>
          </w:rPr>
          <m:t>V</m:t>
        </m:r>
      </m:oMath>
      <w:r>
        <w:rPr>
          <w:rFonts w:ascii="Times New Roman" w:hAnsi="Times New Roman" w:cs="Times New Roman"/>
          <w:sz w:val="24"/>
          <w:szCs w:val="24"/>
        </w:rPr>
        <w:t xml:space="preserve"> Fig. S5h and i). This can be understood from the presence of quasi-1D helical edge conductions. Note that the magnetic doping on the top and bottom surfaces does not introduce any gap on the side surfaces. Therefore, these channels are more likely to form when the device’s side surfaces become larger as the spacer thickness increases, due to weakened confinement effect. The presence of this additional transport features is occasional, which can be explained by the </w:t>
      </w:r>
      <w:r>
        <w:rPr>
          <w:rFonts w:ascii="Times New Roman" w:hAnsi="Times New Roman" w:cs="Times New Roman" w:hint="eastAsia"/>
          <w:sz w:val="24"/>
          <w:szCs w:val="24"/>
        </w:rPr>
        <w:t>F</w:t>
      </w:r>
      <w:r>
        <w:rPr>
          <w:rFonts w:ascii="Times New Roman" w:hAnsi="Times New Roman" w:cs="Times New Roman"/>
          <w:sz w:val="24"/>
          <w:szCs w:val="24"/>
        </w:rPr>
        <w:t>ermi level’s accidental crossing with the energy levels on the side surfaces. These conductance fluctuations gradually fade away at temperature above ~1 K</w:t>
      </w:r>
      <w:r>
        <w:rPr>
          <w:rFonts w:ascii="Times New Roman" w:hAnsi="Times New Roman" w:cs="Times New Roman" w:hint="eastAsia"/>
          <w:sz w:val="24"/>
          <w:szCs w:val="24"/>
        </w:rPr>
        <w:t>,</w:t>
      </w:r>
      <w:r>
        <w:rPr>
          <w:rFonts w:ascii="Times New Roman" w:hAnsi="Times New Roman" w:cs="Times New Roman"/>
          <w:sz w:val="24"/>
          <w:szCs w:val="24"/>
        </w:rPr>
        <w:t xml:space="preserve"> which suggests that they are quantum effect potentially related to universal quantum fluctuations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{"citationID":"O5JZH4RP","properties":{"formattedCitation":"\\super 1\\nosupersub{}","plainCitation":"1","noteIndex":0},"citationItems":[{"id":3098,"uris":["http://zotero.org/users/14803691/items/4BWDHP2I"],"itemData":{"id":3098,"type":"book","abstract":"Quantum mesoscopic physics covers a whole class in interference effects related to the propagation of waves in complex and random media. These effects are ubiquitous in physics, from the behaviour of electrons in metals and semiconductors to the propagation of electromagnetic waves in suspensions such as colloids, and quantum systems like cold atomic gases. A solid introduction to quantum mesoscopic physics, this book is a modern account of the problem of coherent wave propagation in random media. It provides a unified account of the basic theoretical tools and methods, highlighting the common aspects of the various optical and electronic phenomena involved and presenting a large number of experimental results. With over 200 figures, and exercises throughout, the book was originally published in 2007 and is ideal for graduate students in physics, electrical engineering, applied physics, acoustics and astrophysics. It will also be an interesting reference for researchers.","ISBN":"978-1-139-46399-7","language":"en","note":"Google-Books-ID: cs7AVel15TAC","number-of-pages":"479","publisher":"Cambridge University Press","source":"Google Books","title":"Mesoscopic Physics of Electrons and Photons","author":[{"family":"Akkermans","given":"Eric"},{"family":"Montambaux","given":"Gilles"}],"issued":{"date-parts":[["2007",5,28]]}}}],"schema":"https://github.com/citation-style-language/schema/raw/master/csl-citation.json"}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instead of thermal noise. Detailed study of these conductance fluctuations is beyond the scope of this work and will be reported elsewhere.</w:t>
      </w:r>
    </w:p>
    <w:p w:rsidR="00723CAE" w:rsidRDefault="00E21C70">
      <w:pPr>
        <w:widowControl/>
        <w:spacing w:line="360" w:lineRule="auto"/>
        <w:jc w:val="left"/>
        <w:rPr>
          <w:rFonts w:ascii="Times New Roman" w:hAnsi="Times New Roman" w:cs="Times New Roman"/>
          <w:b/>
          <w:sz w:val="24"/>
          <w:szCs w:val="24"/>
        </w:rPr>
      </w:pPr>
      <w:r>
        <w:rPr>
          <w:noProof/>
        </w:rPr>
        <w:lastRenderedPageBreak/>
        <w:drawing>
          <wp:inline distT="0" distB="0" distL="0" distR="0">
            <wp:extent cx="5274310" cy="478917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4310" cy="4789170"/>
                    </a:xfrm>
                    <a:prstGeom prst="rect">
                      <a:avLst/>
                    </a:prstGeom>
                  </pic:spPr>
                </pic:pic>
              </a:graphicData>
            </a:graphic>
          </wp:inline>
        </w:drawing>
      </w:r>
    </w:p>
    <w:p w:rsidR="00723CAE" w:rsidRDefault="00E21C70">
      <w:pPr>
        <w:widowControl/>
        <w:spacing w:line="360" w:lineRule="auto"/>
        <w:rPr>
          <w:rFonts w:ascii="Times New Roman" w:hAnsi="Times New Roman" w:cs="Times New Roman"/>
          <w:sz w:val="24"/>
          <w:szCs w:val="24"/>
        </w:rPr>
      </w:pPr>
      <w:r>
        <w:rPr>
          <w:rFonts w:ascii="Times New Roman" w:hAnsi="Times New Roman" w:cs="Times New Roman"/>
          <w:b/>
          <w:sz w:val="24"/>
          <w:szCs w:val="24"/>
        </w:rPr>
        <w:t xml:space="preserve">Fig. S5 | </w:t>
      </w:r>
      <w:r>
        <w:rPr>
          <w:rFonts w:ascii="Times New Roman" w:hAnsi="Times New Roman" w:cs="Times New Roman" w:hint="eastAsia"/>
          <w:b/>
          <w:sz w:val="24"/>
          <w:szCs w:val="24"/>
        </w:rPr>
        <w:t>D</w:t>
      </w:r>
      <w:r>
        <w:rPr>
          <w:rFonts w:ascii="Times New Roman" w:hAnsi="Times New Roman" w:cs="Times New Roman"/>
          <w:b/>
          <w:sz w:val="24"/>
          <w:szCs w:val="24"/>
        </w:rPr>
        <w:t xml:space="preserve">eviation from quantization, </w:t>
      </w:r>
      <w:r>
        <w:rPr>
          <w:rFonts w:ascii="Times New Roman" w:hAnsi="Times New Roman" w:cs="Times New Roman" w:hint="eastAsia"/>
          <w:b/>
          <w:sz w:val="24"/>
          <w:szCs w:val="24"/>
        </w:rPr>
        <w:t>c</w:t>
      </w:r>
      <w:r>
        <w:rPr>
          <w:rFonts w:ascii="Times New Roman" w:hAnsi="Times New Roman" w:cs="Times New Roman"/>
          <w:b/>
          <w:sz w:val="24"/>
          <w:szCs w:val="24"/>
        </w:rPr>
        <w:t xml:space="preserve">onductance peaks and quantum fluctuations caused by quasi-1D </w:t>
      </w:r>
      <w:r>
        <w:rPr>
          <w:rFonts w:ascii="Times New Roman" w:hAnsi="Times New Roman" w:cs="Times New Roman" w:hint="eastAsia"/>
          <w:b/>
          <w:sz w:val="24"/>
          <w:szCs w:val="24"/>
        </w:rPr>
        <w:t>he</w:t>
      </w:r>
      <w:r>
        <w:rPr>
          <w:rFonts w:ascii="Times New Roman" w:hAnsi="Times New Roman" w:cs="Times New Roman"/>
          <w:b/>
          <w:sz w:val="24"/>
          <w:szCs w:val="24"/>
        </w:rPr>
        <w:t xml:space="preserve">lical edge conduction. a, b,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longitudinal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rPr>
        <w:t xml:space="preserve"> (</w:t>
      </w:r>
      <w:r>
        <w:rPr>
          <w:rFonts w:ascii="Times New Roman" w:hAnsi="Times New Roman" w:cs="Times New Roman"/>
          <w:b/>
          <w:sz w:val="24"/>
          <w:szCs w:val="24"/>
        </w:rPr>
        <w:t>a</w:t>
      </w:r>
      <w:r>
        <w:rPr>
          <w:rFonts w:ascii="Times New Roman" w:hAnsi="Times New Roman" w:cs="Times New Roman"/>
          <w:sz w:val="24"/>
          <w:szCs w:val="24"/>
        </w:rPr>
        <w:t xml:space="preserve">) and Hall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vs magnetic field data of a CBV Device A10 (</w:t>
      </w:r>
      <w:r>
        <w:rPr>
          <w:rFonts w:ascii="Times New Roman" w:hAnsi="Times New Roman" w:cs="Times New Roman"/>
          <w:i/>
          <w:sz w:val="24"/>
          <w:szCs w:val="24"/>
        </w:rPr>
        <w:t>x</w:t>
      </w:r>
      <w:r>
        <w:rPr>
          <w:rFonts w:ascii="Times New Roman" w:hAnsi="Times New Roman" w:cs="Times New Roman"/>
          <w:sz w:val="24"/>
          <w:szCs w:val="24"/>
        </w:rPr>
        <w:t xml:space="preserve"> = 0.1</w:t>
      </w:r>
      <w:r w:rsidR="00003780">
        <w:rPr>
          <w:rFonts w:ascii="Times New Roman" w:hAnsi="Times New Roman" w:cs="Times New Roman"/>
          <w:sz w:val="24"/>
          <w:szCs w:val="24"/>
        </w:rPr>
        <w:t>9</w:t>
      </w:r>
      <w:r>
        <w:rPr>
          <w:rFonts w:ascii="Times New Roman" w:hAnsi="Times New Roman" w:cs="Times New Roman"/>
          <w:sz w:val="24"/>
          <w:szCs w:val="24"/>
        </w:rPr>
        <w:t xml:space="preserve">, </w:t>
      </w:r>
      <w:r>
        <w:rPr>
          <w:rFonts w:ascii="Times New Roman" w:hAnsi="Times New Roman" w:cs="Times New Roman"/>
          <w:i/>
          <w:sz w:val="24"/>
          <w:szCs w:val="24"/>
        </w:rPr>
        <w:t>y</w:t>
      </w:r>
      <w:r>
        <w:rPr>
          <w:rFonts w:ascii="Times New Roman" w:hAnsi="Times New Roman" w:cs="Times New Roman"/>
          <w:sz w:val="24"/>
          <w:szCs w:val="24"/>
        </w:rPr>
        <w:t xml:space="preserve"> = 0.1</w:t>
      </w:r>
      <w:r w:rsidR="00003780">
        <w:rPr>
          <w:rFonts w:ascii="Times New Roman" w:hAnsi="Times New Roman" w:cs="Times New Roman"/>
          <w:sz w:val="24"/>
          <w:szCs w:val="24"/>
        </w:rPr>
        <w:t>1</w:t>
      </w:r>
      <w:r>
        <w:rPr>
          <w:rFonts w:ascii="Times New Roman" w:hAnsi="Times New Roman" w:cs="Times New Roman"/>
          <w:sz w:val="24"/>
          <w:szCs w:val="24"/>
        </w:rPr>
        <w:t xml:space="preserve">, </w:t>
      </w:r>
      <w:r>
        <w:rPr>
          <w:rFonts w:ascii="Times New Roman" w:hAnsi="Times New Roman" w:cs="Times New Roman"/>
          <w:i/>
          <w:sz w:val="24"/>
          <w:szCs w:val="24"/>
        </w:rPr>
        <w:t>m</w:t>
      </w:r>
      <w:r>
        <w:rPr>
          <w:rFonts w:ascii="Times New Roman" w:hAnsi="Times New Roman" w:cs="Times New Roman"/>
          <w:sz w:val="24"/>
          <w:szCs w:val="24"/>
        </w:rPr>
        <w:t xml:space="preserve"> = 10, </w:t>
      </w:r>
      <w:r>
        <w:rPr>
          <w:rFonts w:ascii="Times New Roman" w:hAnsi="Times New Roman" w:cs="Times New Roman"/>
          <w:i/>
          <w:sz w:val="24"/>
          <w:szCs w:val="24"/>
        </w:rPr>
        <w:t>η</w:t>
      </w:r>
      <w:r>
        <w:rPr>
          <w:rFonts w:ascii="Times New Roman" w:hAnsi="Times New Roman" w:cs="Times New Roman"/>
          <w:sz w:val="24"/>
          <w:szCs w:val="24"/>
        </w:rPr>
        <w:t xml:space="preserve"> = 0.73) and </w:t>
      </w:r>
      <w:r>
        <w:rPr>
          <w:rFonts w:ascii="Times New Roman" w:hAnsi="Times New Roman" w:cs="Times New Roman"/>
          <w:b/>
          <w:sz w:val="24"/>
          <w:szCs w:val="24"/>
        </w:rPr>
        <w:t xml:space="preserve">c, d, </w:t>
      </w:r>
      <w:r>
        <w:rPr>
          <w:rFonts w:ascii="Times New Roman" w:hAnsi="Times New Roman" w:cs="Times New Roman"/>
          <w:sz w:val="24"/>
          <w:szCs w:val="24"/>
        </w:rPr>
        <w:t xml:space="preserve">The conductance fluctuations extracted from data in </w:t>
      </w:r>
      <w:r>
        <w:rPr>
          <w:rFonts w:ascii="Times New Roman" w:hAnsi="Times New Roman" w:cs="Times New Roman"/>
          <w:b/>
          <w:sz w:val="24"/>
          <w:szCs w:val="24"/>
        </w:rPr>
        <w:t xml:space="preserve">a </w:t>
      </w:r>
      <w:r>
        <w:rPr>
          <w:rFonts w:ascii="Times New Roman" w:hAnsi="Times New Roman" w:cs="Times New Roman"/>
          <w:sz w:val="24"/>
          <w:szCs w:val="24"/>
        </w:rPr>
        <w:t>and</w:t>
      </w:r>
      <w:r>
        <w:rPr>
          <w:rFonts w:ascii="Times New Roman" w:hAnsi="Times New Roman" w:cs="Times New Roman"/>
          <w:b/>
          <w:sz w:val="24"/>
          <w:szCs w:val="24"/>
        </w:rPr>
        <w:t xml:space="preserve"> b </w:t>
      </w:r>
      <w:r>
        <w:rPr>
          <w:rFonts w:ascii="Times New Roman" w:hAnsi="Times New Roman" w:cs="Times New Roman"/>
          <w:sz w:val="24"/>
          <w:szCs w:val="24"/>
        </w:rPr>
        <w:t xml:space="preserve">by subtracting a smoothed background. </w:t>
      </w:r>
      <w:r>
        <w:rPr>
          <w:rFonts w:ascii="Times New Roman" w:hAnsi="Times New Roman" w:cs="Times New Roman"/>
          <w:b/>
          <w:sz w:val="24"/>
          <w:szCs w:val="24"/>
        </w:rPr>
        <w:t>e,</w:t>
      </w:r>
      <w:r>
        <w:rPr>
          <w:rFonts w:ascii="Times New Roman" w:hAnsi="Times New Roman" w:cs="Times New Roman"/>
          <w:sz w:val="24"/>
          <w:szCs w:val="24"/>
        </w:rPr>
        <w:t xml:space="preserve"> RGFD </w:t>
      </w:r>
      <w:r>
        <w:rPr>
          <w:rFonts w:ascii="Times New Roman" w:hAnsi="Times New Roman" w:cs="Times New Roman" w:hint="eastAsia"/>
          <w:sz w:val="24"/>
          <w:szCs w:val="24"/>
        </w:rPr>
        <w:t>of</w:t>
      </w:r>
      <w:r>
        <w:rPr>
          <w:rFonts w:ascii="Times New Roman" w:hAnsi="Times New Roman" w:cs="Times New Roman"/>
          <w:sz w:val="24"/>
          <w:szCs w:val="24"/>
        </w:rPr>
        <w:t xml:space="preserve">   Device A10 reveals the trend of the flow towards HQLHE on both electron and hole doped regimes as the bottom gate voltage tuning away from the CNP. The fixed point </w:t>
      </w:r>
      <m:oMath>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r>
          <m:rPr>
            <m:sty m:val="p"/>
          </m:rPr>
          <w:rPr>
            <w:rFonts w:ascii="Cambria Math" w:hAnsi="Cambria Math" w:cs="Times New Roman"/>
            <w:sz w:val="24"/>
            <w:szCs w:val="24"/>
          </w:rPr>
          <m:t>(-1.0, 0)</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(0, 0) flow towards points along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rPr>
              <m:t>h</m:t>
            </m:r>
          </m:den>
        </m:f>
      </m:oMath>
      <w:r>
        <w:rPr>
          <w:rFonts w:ascii="Times New Roman" w:hAnsi="Times New Roman" w:cs="Times New Roman" w:hint="eastAsia"/>
          <w:sz w:val="24"/>
          <w:szCs w:val="24"/>
        </w:rPr>
        <w:t>,</w:t>
      </w:r>
      <w:r>
        <w:rPr>
          <w:rFonts w:ascii="Times New Roman" w:hAnsi="Times New Roman" w:cs="Times New Roman"/>
          <w:sz w:val="24"/>
          <w:szCs w:val="24"/>
        </w:rPr>
        <w:t xml:space="preserve"> while the fixed point </w:t>
      </w:r>
      <m:oMath>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r>
          <m:rPr>
            <m:sty m:val="p"/>
          </m:rPr>
          <w:rPr>
            <w:rFonts w:ascii="Cambria Math" w:hAnsi="Cambria Math" w:cs="Times New Roman"/>
            <w:sz w:val="24"/>
            <w:szCs w:val="24"/>
          </w:rPr>
          <m:t>(+1.0, 0)</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flowing towards points along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rPr>
              <m:t>h</m:t>
            </m:r>
          </m:den>
        </m:f>
      </m:oMath>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f, g,</w:t>
      </w:r>
      <w:r>
        <w:rPr>
          <w:rFonts w:ascii="Times New Roman" w:hAnsi="Times New Roman" w:cs="Times New Roman"/>
          <w:sz w:val="24"/>
          <w:szCs w:val="24"/>
        </w:rPr>
        <w:t xml:space="preserve"> The longitudinal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rPr>
        <w:t xml:space="preserve"> (</w:t>
      </w:r>
      <w:r>
        <w:rPr>
          <w:rFonts w:ascii="Times New Roman" w:hAnsi="Times New Roman" w:cs="Times New Roman"/>
          <w:b/>
          <w:sz w:val="24"/>
          <w:szCs w:val="24"/>
        </w:rPr>
        <w:t>a</w:t>
      </w:r>
      <w:r>
        <w:rPr>
          <w:rFonts w:ascii="Times New Roman" w:hAnsi="Times New Roman" w:cs="Times New Roman"/>
          <w:sz w:val="24"/>
          <w:szCs w:val="24"/>
        </w:rPr>
        <w:t xml:space="preserve">) and Hall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xml:space="preserve">) at zero magnetic field vs bottom gate voltage. The QAH with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r>
          <w:rPr>
            <w:rFonts w:ascii="Cambria Math" w:hAnsi="Cambria Math" w:cs="Times New Roman" w:hint="eastAsia"/>
            <w:sz w:val="24"/>
            <w:szCs w:val="24"/>
          </w:rPr>
          <m:t>=</m:t>
        </m:r>
        <m:r>
          <w:rPr>
            <w:rFonts w:ascii="Cambria Math" w:hAnsi="Cambria Math" w:cs="Times New Roman"/>
            <w:sz w:val="24"/>
            <w:szCs w:val="24"/>
          </w:rPr>
          <m:t>0</m:t>
        </m:r>
      </m:oMath>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oMath>
      <w:r>
        <w:rPr>
          <w:rFonts w:ascii="Times New Roman" w:hAnsi="Times New Roman" w:cs="Times New Roman"/>
          <w:sz w:val="24"/>
          <w:szCs w:val="24"/>
        </w:rPr>
        <w:t xml:space="preserve"> is present at CNP with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=-25 </m:t>
        </m:r>
        <m:r>
          <m:rPr>
            <m:sty m:val="p"/>
          </m:rPr>
          <w:rPr>
            <w:rFonts w:ascii="Cambria Math" w:hAnsi="Cambria Math" w:cs="Times New Roman"/>
            <w:sz w:val="24"/>
            <w:szCs w:val="24"/>
          </w:rPr>
          <m:t>V</m:t>
        </m:r>
      </m:oMath>
      <w:r>
        <w:rPr>
          <w:rFonts w:ascii="Times New Roman" w:hAnsi="Times New Roman" w:cs="Times New Roman"/>
          <w:sz w:val="24"/>
          <w:szCs w:val="24"/>
        </w:rPr>
        <w:t xml:space="preserve">. There are additional conductance peaks on both sides of the C </w:t>
      </w:r>
      <w:r>
        <w:rPr>
          <w:rFonts w:ascii="Times New Roman" w:hAnsi="Times New Roman" w:cs="Times New Roman" w:hint="eastAsia"/>
          <w:sz w:val="24"/>
          <w:szCs w:val="24"/>
        </w:rPr>
        <w:t>=</w:t>
      </w:r>
      <w:r>
        <w:rPr>
          <w:rFonts w:ascii="Times New Roman" w:hAnsi="Times New Roman" w:cs="Times New Roman"/>
          <w:sz w:val="24"/>
          <w:szCs w:val="24"/>
        </w:rPr>
        <w:t xml:space="preserve"> 1 </w:t>
      </w:r>
      <w:r>
        <w:rPr>
          <w:rFonts w:ascii="Times New Roman" w:hAnsi="Times New Roman" w:cs="Times New Roman" w:hint="eastAsia"/>
          <w:sz w:val="24"/>
          <w:szCs w:val="24"/>
        </w:rPr>
        <w:lastRenderedPageBreak/>
        <w:t>plateau</w:t>
      </w:r>
      <w:r>
        <w:rPr>
          <w:rFonts w:ascii="Times New Roman" w:hAnsi="Times New Roman" w:cs="Times New Roman"/>
          <w:sz w:val="24"/>
          <w:szCs w:val="24"/>
        </w:rPr>
        <w:t xml:space="preserve">. </w:t>
      </w:r>
      <w:r>
        <w:rPr>
          <w:rFonts w:ascii="Times New Roman" w:hAnsi="Times New Roman" w:cs="Times New Roman"/>
          <w:b/>
          <w:sz w:val="24"/>
          <w:szCs w:val="24"/>
        </w:rPr>
        <w:t>h, i,</w:t>
      </w:r>
      <w:r>
        <w:rPr>
          <w:rFonts w:ascii="Times New Roman" w:hAnsi="Times New Roman" w:cs="Times New Roman"/>
          <w:sz w:val="24"/>
          <w:szCs w:val="24"/>
        </w:rPr>
        <w:t xml:space="preserve"> the root mean square </w:t>
      </w:r>
      <w:r>
        <w:rPr>
          <w:rFonts w:ascii="Times New Roman" w:hAnsi="Times New Roman" w:cs="Times New Roman" w:hint="eastAsia"/>
          <w:sz w:val="24"/>
          <w:szCs w:val="24"/>
        </w:rPr>
        <w:t>(</w:t>
      </w:r>
      <w:r>
        <w:rPr>
          <w:rFonts w:ascii="Times New Roman" w:hAnsi="Times New Roman" w:cs="Times New Roman"/>
          <w:sz w:val="24"/>
          <w:szCs w:val="24"/>
        </w:rPr>
        <w:t>RMS) of the conductance fluctuations, exhibiting the most prominent fluctuations locates near the 2 additional conductance peaks.</w:t>
      </w:r>
    </w:p>
    <w:p w:rsidR="00723CAE" w:rsidRDefault="00723CAE">
      <w:pPr>
        <w:widowControl/>
        <w:spacing w:line="360" w:lineRule="auto"/>
        <w:rPr>
          <w:rFonts w:ascii="Times New Roman" w:hAnsi="Times New Roman" w:cs="Times New Roman"/>
          <w:sz w:val="24"/>
          <w:szCs w:val="24"/>
        </w:rPr>
      </w:pP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To study the influence of helical edge states on the quantization deviation of the experimentally measured Hall conductance, we construct a conductor network model</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{"citationID":"sPfy6CDf","properties":{"formattedCitation":"\\super 2\\uc0\\u8211{}5\\nosupersub{}","plainCitation":"2–5","noteIndex":0},"citationItems":[{"id":3101,"uris":["http://zotero.org/users/14803691/items/N7VS2YEL"],"itemData":{"id":3101,"type":"article-journal","abstract":"Electrical conduction in resistor networks with all but a fraction </w:instrText>
      </w:r>
      <w:r>
        <w:rPr>
          <w:rFonts w:ascii="Cambria Math" w:hAnsi="Cambria Math" w:cs="Cambria Math"/>
          <w:sz w:val="24"/>
          <w:szCs w:val="24"/>
        </w:rPr>
        <w:instrText>𝑝</w:instrText>
      </w:r>
      <w:r>
        <w:rPr>
          <w:rFonts w:ascii="Times New Roman" w:hAnsi="Times New Roman" w:cs="Times New Roman"/>
          <w:sz w:val="24"/>
          <w:szCs w:val="24"/>
        </w:rPr>
        <w:instrText xml:space="preserve"> of the resistors removed is studied as a paradigm of classical transport in disordered materials. A self-consistent effective-medium theory provides a quantitative description of the model, except in a small critical region, where the scaling law </w:instrText>
      </w:r>
      <w:r>
        <w:rPr>
          <w:rFonts w:ascii="Cambria Math" w:hAnsi="Cambria Math" w:cs="Cambria Math"/>
          <w:sz w:val="24"/>
          <w:szCs w:val="24"/>
        </w:rPr>
        <w:instrText>𝜎</w:instrText>
      </w:r>
      <w:r>
        <w:rPr>
          <w:rFonts w:ascii="Times New Roman" w:hAnsi="Times New Roman" w:cs="Times New Roman" w:hint="eastAsia"/>
          <w:sz w:val="24"/>
          <w:szCs w:val="24"/>
        </w:rPr>
        <w:instrText>∝</w:instrText>
      </w:r>
      <w:r>
        <w:rPr>
          <w:rFonts w:ascii="Times New Roman" w:hAnsi="Times New Roman" w:cs="Times New Roman"/>
          <w:sz w:val="24"/>
          <w:szCs w:val="24"/>
        </w:rPr>
        <w:instrText>⁢(</w:instrText>
      </w:r>
      <w:r>
        <w:rPr>
          <w:rFonts w:ascii="Cambria Math" w:hAnsi="Cambria Math" w:cs="Cambria Math"/>
          <w:sz w:val="24"/>
          <w:szCs w:val="24"/>
        </w:rPr>
        <w:instrText>𝑝</w:instrText>
      </w:r>
      <w:r>
        <w:rPr>
          <w:rFonts w:ascii="Times New Roman" w:hAnsi="Times New Roman" w:cs="Times New Roman"/>
          <w:sz w:val="24"/>
          <w:szCs w:val="24"/>
        </w:rPr>
        <w:instrText>−</w:instrText>
      </w:r>
      <w:r>
        <w:rPr>
          <w:rFonts w:ascii="Cambria Math" w:hAnsi="Cambria Math" w:cs="Cambria Math"/>
          <w:sz w:val="24"/>
          <w:szCs w:val="24"/>
        </w:rPr>
        <w:instrText>𝑝𝑐</w:instrText>
      </w:r>
      <w:r>
        <w:rPr>
          <w:rFonts w:ascii="Times New Roman" w:hAnsi="Times New Roman" w:cs="Times New Roman"/>
          <w:sz w:val="24"/>
          <w:szCs w:val="24"/>
        </w:rPr>
        <w:instrText xml:space="preserve">)85 is satisfied (in three dimensions), with </w:instrText>
      </w:r>
      <w:r>
        <w:rPr>
          <w:rFonts w:ascii="Cambria Math" w:hAnsi="Cambria Math" w:cs="Cambria Math"/>
          <w:sz w:val="24"/>
          <w:szCs w:val="24"/>
        </w:rPr>
        <w:instrText>𝑝𝑐</w:instrText>
      </w:r>
      <w:r>
        <w:rPr>
          <w:rFonts w:ascii="Times New Roman" w:hAnsi="Times New Roman" w:cs="Times New Roman"/>
          <w:sz w:val="24"/>
          <w:szCs w:val="24"/>
        </w:rPr>
        <w:instrText xml:space="preserve"> the critical probability for bond percolation. It is also contrasted with a critical-path analysis recently developed for the study of hopping conduction.","container-title":"Physical Review Letters","DOI":"10.1103/PhysRevLett.27.1722","issue":"25","journalAbbreviation":"Phys. Rev. Lett.","note":"publisher: American Physical Society","page":"1722-1725","source":"APS","title":"Classical Transport in Disordered Media: Scaling and Effective-Medium Theories","title-short":"Classical Transport in Disordered Media","volume":"27","author":[{"family":"Kirkpatrick","given":"Scott"}],"issued":{"date-parts":[["1971",12,20]]}}},{"id":3103,"uris":["http://zotero.org/users/14803691/items/HMPCKAGM"],"itemData":{"id":3103,"type":"article-journal","abstract":"A systematic theory of conduction in random impedance network is developed and approximations which define different self-consistent effective media are introduced and critically compared. The theory is applied to a binary system. The percolation results obtained by conductance averaging are shown to be in better agreement with experiment than the results of previous averaging theories.","container-title":"Physical Review B","DOI":"10.1103/PhysRevB.13.1720","issue":"4","journalAbbreviation":"Phys. Rev. B","note":"publisher: American Physical Society","page":"1720-1727","source":"APS","title":"Random-network models of the conductance of disordered condensed matter","volume":"13","author":[{"family":"Erdös","given":"Paul"},{"family":"Haley","given":"Stephen B."}],"issued":{"date-parts":[["1976",2,15]]}}},{"id":480,"uris":["http://zotero.org/users/14803691/items/JCXWI4WT"],"itemData":{"id":480,"type":"article-journal","abstract":"The quantum Hall effect, which was observed in two-dimensional (2D) electron gases under an external magnetic field, stands out as one of the most remarkable transport phenomena in condensed matter. However, a long-standing puzzle remains regarding the observation of the relativistic quantum Hall effect (RQHE). This effect, predicted for a single 2D Dirac cone immersed in a magnetic field, is distinguished by the intriguing feature of half-integer Hall conductivity (HIHC). In this work, we demonstrate that the condensed-matter realization of the RQHE and direct measurement of the HIHC are feasible by investigating the underlying quantum transport mechanism. We reveal that the manifestation of HIHC is tied to the presence of dissipative half-integer quantized chiral channels circulating along the interface between the RQHE system and a Dirac metal. Importantly, we find that the Ohmic scaling of the longitudinal conductance of the system plays a key role in directly measuring the HIHC in experiments. Furthermore, we propose a feasible experimental scheme based on three-dimensional topological insulators to directly measure the HIHC. Our findings not only uncover the distinct transport mechanism of the HIHC for the RQHE but also pave the way for the measurement of the HIHC in future experiments.","container-title":"Physical Review B","DOI":"10.1103/PhysRevB.109.115305","issue":"11","journalAbbreviation":"Phys. Rev. B","language":"en-US","note":"publisher: American Physical Society","page":"115305","source":"APS","title":"Dissipative chiral channels, Ohmic scaling, and half-integer Hall conductivity from relativistic quantum Hall effect","volume":"109","author":[{"family":"Zhou","given":"Humian"},{"family":"Chen","given":"Chui-Zhen"},{"family":"Sun","given":"Qing-Feng"},{"family":"Xie","given":"X. C."}],"issued":{"date-parts":[["2024",3,26]]}}},{"id":2790,"uris":["http://zotero.org/users/14803691/items/33DN6VZU"],"itemData":{"id":2790,"type":"article-journal","container-title":"Physical Review Letters","DOI":"10.1103/PhysRevLett.129.096601","ISSN":"0031-9007, 1079-7114","issue":"9","journalAbbreviation":"Phys. Rev. Lett.","language":"en","page":"096601","source":"DOI.org (Crossref)","title":"Transport Theory of Half-Quantized Hall Conductance in a Semimagnetic Topological Insulator","volume":"129","author":[{"family":"Zhou","given":"Humian"},{"family":"Li","given":"Hailong"},{"family":"Xu","given":"Dong-Hui"},{"family":"Chen","given":"Chui-Zhen"},{"family":"Sun","given":"Qing-Feng"},{"family":"Xie","given":"X. C."}],"issued":{"date-parts":[["2022",8,25]]}}}],"schema":"https://github.com/citation-style-language/schema/raw/master/csl-citation.json"}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vertAlign w:val="superscript"/>
        </w:rPr>
        <w:t>2–5</w:t>
      </w:r>
      <w:r>
        <w:rPr>
          <w:rFonts w:ascii="Times New Roman" w:hAnsi="Times New Roman" w:cs="Times New Roman"/>
          <w:sz w:val="24"/>
          <w:szCs w:val="24"/>
        </w:rPr>
        <w:fldChar w:fldCharType="end"/>
      </w:r>
      <w:r>
        <w:rPr>
          <w:rFonts w:ascii="Times New Roman" w:hAnsi="Times New Roman" w:cs="Times New Roman"/>
          <w:sz w:val="24"/>
          <w:szCs w:val="24"/>
        </w:rPr>
        <w:t xml:space="preserve"> for a system of size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y</m:t>
            </m:r>
          </m:sub>
        </m:sSub>
      </m:oMath>
      <w:r>
        <w:rPr>
          <w:rFonts w:ascii="Times New Roman" w:hAnsi="Times New Roman" w:cs="Times New Roman"/>
          <w:sz w:val="24"/>
          <w:szCs w:val="24"/>
        </w:rPr>
        <w:t xml:space="preserve"> with Hall conductivity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and longitudinal conductivity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rPr>
        <w:t xml:space="preserve">. When the sample size exceeds the dephasing length </w:t>
      </w:r>
      <m:oMath>
        <m:sSub>
          <m:sSubPr>
            <m:ctrlPr>
              <w:rPr>
                <w:rFonts w:ascii="Cambria Math" w:hAnsi="Cambria Math" w:cs="Times New Roman"/>
                <w:sz w:val="24"/>
                <w:szCs w:val="24"/>
              </w:rPr>
            </m:ctrlPr>
          </m:sSubPr>
          <m:e>
            <w:bookmarkStart w:id="4" w:name="_Hlk198410494"/>
            <m:r>
              <w:rPr>
                <w:rFonts w:ascii="Cambria Math" w:hAnsi="Cambria Math" w:cs="Times New Roman"/>
                <w:sz w:val="24"/>
                <w:szCs w:val="24"/>
              </w:rPr>
              <m:t>l</m:t>
            </m:r>
          </m:e>
          <m:sub>
            <m:r>
              <w:rPr>
                <w:rFonts w:ascii="Cambria Math" w:hAnsi="Cambria Math" w:cs="Times New Roman"/>
                <w:sz w:val="24"/>
                <w:szCs w:val="24"/>
              </w:rPr>
              <m:t>ϕ</m:t>
            </m:r>
            <w:bookmarkEnd w:id="4"/>
          </m:sub>
        </m:sSub>
      </m:oMath>
      <w:r>
        <w:rPr>
          <w:rFonts w:ascii="Times New Roman" w:hAnsi="Times New Roman" w:cs="Times New Roman"/>
          <w:sz w:val="24"/>
          <w:szCs w:val="24"/>
        </w:rPr>
        <w:t xml:space="preserve">, quantum coherence is lost at larger scales. Thus, the system can be treated as a network of independent classical resistive blocks, each of size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Pr>
          <w:rFonts w:ascii="Times New Roman" w:hAnsi="Times New Roman" w:cs="Times New Roman"/>
          <w:sz w:val="24"/>
          <w:szCs w:val="24"/>
        </w:rPr>
        <w:t xml:space="preserve"> (where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r>
          <w:rPr>
            <w:rFonts w:ascii="Cambria Math" w:hAnsi="Cambria Math" w:cs="Times New Roman"/>
            <w:sz w:val="24"/>
            <w:szCs w:val="24"/>
          </w:rPr>
          <m:t>&gt;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ϕ</m:t>
            </m:r>
          </m:sub>
        </m:sSub>
      </m:oMath>
      <w:r>
        <w:rPr>
          <w:rFonts w:ascii="Times New Roman" w:hAnsi="Times New Roman" w:cs="Times New Roman"/>
          <w:sz w:val="24"/>
          <w:szCs w:val="24"/>
        </w:rPr>
        <w:t xml:space="preserve">). Since quantum interference effects are negligible beyond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ϕ</m:t>
            </m:r>
          </m:sub>
        </m:sSub>
      </m:oMath>
      <w:r>
        <w:rPr>
          <w:rFonts w:ascii="Times New Roman" w:hAnsi="Times New Roman" w:cs="Times New Roman"/>
          <w:sz w:val="24"/>
          <w:szCs w:val="24"/>
        </w:rPr>
        <w:t xml:space="preserve">, these blocks behave as classical resistors connected via Ohm's law. Within the Landauer formalism, we model the network by introducing transmission coefficients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p,q</m:t>
            </m:r>
          </m:sub>
        </m:sSub>
      </m:oMath>
      <w:r>
        <w:rPr>
          <w:rFonts w:ascii="Times New Roman" w:hAnsi="Times New Roman" w:cs="Times New Roman"/>
          <w:sz w:val="24"/>
          <w:szCs w:val="24"/>
        </w:rPr>
        <w:t xml:space="preserve"> between adjacent blocks </w:t>
      </w:r>
      <m:oMath>
        <m:r>
          <m:rPr>
            <m:nor/>
          </m:rPr>
          <w:rPr>
            <w:rFonts w:ascii="Times New Roman" w:hAnsi="Times New Roman" w:cs="Times New Roman"/>
            <w:sz w:val="24"/>
            <w:szCs w:val="24"/>
          </w:rPr>
          <m:t>p</m:t>
        </m:r>
      </m:oMath>
      <w:r>
        <w:rPr>
          <w:rFonts w:ascii="Times New Roman" w:hAnsi="Times New Roman" w:cs="Times New Roman"/>
          <w:sz w:val="24"/>
          <w:szCs w:val="24"/>
        </w:rPr>
        <w:t xml:space="preserve"> and </w:t>
      </w:r>
      <m:oMath>
        <m:r>
          <m:rPr>
            <m:nor/>
          </m:rPr>
          <w:rPr>
            <w:rFonts w:ascii="Times New Roman" w:hAnsi="Times New Roman" w:cs="Times New Roman"/>
            <w:sz w:val="24"/>
            <w:szCs w:val="24"/>
          </w:rPr>
          <m:t>q</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see Fig. S6a). For nearest-neighbor blocks in the bulk, the transmission is symmetric: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p,q</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q,p</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oMath>
      <w:r>
        <w:rPr>
          <w:rFonts w:ascii="Times New Roman" w:hAnsi="Times New Roman" w:cs="Times New Roman"/>
          <w:sz w:val="24"/>
          <w:szCs w:val="24"/>
        </w:rPr>
        <w:t xml:space="preserve">. However, at the edges, chirality and helical modes introduce asymmetry: we have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p,p+</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Sub>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oMath>
      <w:r>
        <w:rPr>
          <w:rFonts w:ascii="Times New Roman" w:hAnsi="Times New Roman" w:cs="Times New Roman"/>
          <w:sz w:val="24"/>
          <w:szCs w:val="24"/>
        </w:rPr>
        <w:t xml:space="preserve"> in the upper edge, and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p+</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oMath>
      <w:r>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p,p+</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Sub>
          </m:sub>
        </m:sSub>
        <m:r>
          <w:rPr>
            <w:rFonts w:ascii="Cambria Math" w:hAnsi="Cambria Math" w:cs="Times New Roman"/>
            <w:sz w:val="24"/>
            <w:szCs w:val="24"/>
          </w:rPr>
          <m:t xml:space="preserve">  =</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oMath>
      <w:r>
        <w:rPr>
          <w:rFonts w:ascii="Times New Roman" w:hAnsi="Times New Roman" w:cs="Times New Roman"/>
          <w:sz w:val="24"/>
          <w:szCs w:val="24"/>
        </w:rPr>
        <w:t xml:space="preserve"> in the lower edge. Here, </w:t>
      </w:r>
      <m:oMath>
        <m:r>
          <w:rPr>
            <w:rFonts w:ascii="Cambria Math" w:hAnsi="Cambria Math" w:cs="Times New Roman"/>
            <w:sz w:val="24"/>
            <w:szCs w:val="24"/>
          </w:rPr>
          <m:t>p+</m:t>
        </m:r>
        <m:sSub>
          <m:sSubPr>
            <m:ctrlPr>
              <w:rPr>
                <w:rFonts w:ascii="Cambria Math" w:hAnsi="Cambria Math" w:cs="Times New Roman"/>
                <w:sz w:val="24"/>
                <w:szCs w:val="24"/>
              </w:rPr>
            </m:ctrlPr>
          </m:sSubPr>
          <m:e>
            <m:acc>
              <m:accPr>
                <m:ctrlPr>
                  <w:rPr>
                    <w:rFonts w:ascii="Cambria Math" w:hAnsi="Cambria Math" w:cs="Times New Roman"/>
                    <w:sz w:val="24"/>
                    <w:szCs w:val="24"/>
                  </w:rPr>
                </m:ctrlPr>
              </m:accPr>
              <m:e>
                <m:r>
                  <w:rPr>
                    <w:rFonts w:ascii="Cambria Math" w:hAnsi="Cambria Math" w:cs="Times New Roman"/>
                    <w:sz w:val="24"/>
                    <w:szCs w:val="24"/>
                  </w:rPr>
                  <m:t>e</m:t>
                </m:r>
              </m:e>
            </m:acc>
          </m:e>
          <m:sub>
            <m:r>
              <w:rPr>
                <w:rFonts w:ascii="Cambria Math" w:hAnsi="Cambria Math" w:cs="Times New Roman"/>
                <w:sz w:val="24"/>
                <w:szCs w:val="24"/>
              </w:rPr>
              <m:t>x</m:t>
            </m:r>
          </m:sub>
        </m:sSub>
      </m:oMath>
      <w:r>
        <w:rPr>
          <w:rFonts w:ascii="Times New Roman" w:hAnsi="Times New Roman" w:cs="Times New Roman"/>
          <w:sz w:val="24"/>
          <w:szCs w:val="24"/>
        </w:rPr>
        <w:t xml:space="preserve"> denotes the block to the right of </w:t>
      </w:r>
      <m:oMath>
        <m:r>
          <m:rPr>
            <m:nor/>
          </m:rPr>
          <w:rPr>
            <w:rFonts w:ascii="Times New Roman" w:hAnsi="Times New Roman" w:cs="Times New Roman"/>
            <w:sz w:val="24"/>
            <w:szCs w:val="24"/>
          </w:rPr>
          <m:t>p</m:t>
        </m:r>
      </m:oMath>
      <w:r>
        <w:rPr>
          <w:rFonts w:ascii="Times New Roman" w:hAnsi="Times New Roman" w:cs="Times New Roman"/>
          <w:sz w:val="24"/>
          <w:szCs w:val="24"/>
        </w:rPr>
        <w:t xml:space="preserve">. The transmission coefficients originate from three distinct conduction channels: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h</m:t>
            </m:r>
          </m:num>
          <m:den>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rPr>
        <w:t xml:space="preserve"> (bulk metallic channels),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h</m:t>
            </m:r>
          </m:num>
          <m:den>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chiral edge channels), and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r>
          <w:rPr>
            <w:rFonts w:ascii="Cambria Math" w:hAnsi="Cambria Math" w:cs="Times New Roman"/>
            <w:sz w:val="24"/>
            <w:szCs w:val="24"/>
          </w:rPr>
          <m:t>=MT/(1-T)</m:t>
        </m:r>
      </m:oMath>
      <w:r>
        <w:rPr>
          <w:rFonts w:ascii="Times New Roman" w:hAnsi="Times New Roman" w:cs="Times New Roman"/>
          <w:sz w:val="24"/>
          <w:szCs w:val="24"/>
        </w:rPr>
        <w:t xml:space="preserve"> (helical edge channels). Here, </w:t>
      </w:r>
      <m:oMath>
        <m:r>
          <w:rPr>
            <w:rFonts w:ascii="Cambria Math" w:hAnsi="Cambria Math" w:cs="Times New Roman"/>
            <w:sz w:val="24"/>
            <w:szCs w:val="24"/>
          </w:rPr>
          <m:t>M</m:t>
        </m:r>
      </m:oMath>
      <w:r>
        <w:rPr>
          <w:rFonts w:ascii="Times New Roman" w:hAnsi="Times New Roman" w:cs="Times New Roman"/>
          <w:sz w:val="24"/>
          <w:szCs w:val="24"/>
        </w:rPr>
        <w:t xml:space="preserve"> counts the number of helical edge modes, and </w:t>
      </w:r>
      <m:oMath>
        <m:r>
          <w:rPr>
            <w:rFonts w:ascii="Cambria Math" w:hAnsi="Cambria Math" w:cs="Times New Roman"/>
            <w:sz w:val="24"/>
            <w:szCs w:val="24"/>
          </w:rPr>
          <m:t>T</m:t>
        </m:r>
      </m:oMath>
      <w:r>
        <w:rPr>
          <w:rFonts w:ascii="Times New Roman" w:hAnsi="Times New Roman" w:cs="Times New Roman"/>
          <w:sz w:val="24"/>
          <w:szCs w:val="24"/>
        </w:rPr>
        <w:t xml:space="preserve"> gives the electron transmission probability between nearest-neighbor blocks through these helical edge channels. </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Given the transmission coefficients between blocks, the six-terminal measured Hall conductivity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can be numerically calculated using the six-terminal </w:t>
      </w:r>
      <w:proofErr w:type="spellStart"/>
      <w:r>
        <w:rPr>
          <w:rFonts w:ascii="Times New Roman" w:hAnsi="Times New Roman" w:cs="Times New Roman"/>
          <w:sz w:val="24"/>
          <w:szCs w:val="24"/>
        </w:rPr>
        <w:t>Landauer-Büttiker</w:t>
      </w:r>
      <w:proofErr w:type="spellEnd"/>
      <w:r>
        <w:rPr>
          <w:rFonts w:ascii="Times New Roman" w:hAnsi="Times New Roman" w:cs="Times New Roman"/>
          <w:sz w:val="24"/>
          <w:szCs w:val="24"/>
        </w:rPr>
        <w:t xml:space="preserve"> formalism. According to </w:t>
      </w:r>
      <w:proofErr w:type="spellStart"/>
      <w:r>
        <w:rPr>
          <w:rFonts w:ascii="Times New Roman" w:hAnsi="Times New Roman" w:cs="Times New Roman"/>
          <w:sz w:val="24"/>
          <w:szCs w:val="24"/>
        </w:rPr>
        <w:t>Landauer-Büttiker</w:t>
      </w:r>
      <w:proofErr w:type="spellEnd"/>
      <w:r>
        <w:rPr>
          <w:rFonts w:ascii="Times New Roman" w:hAnsi="Times New Roman" w:cs="Times New Roman"/>
          <w:sz w:val="24"/>
          <w:szCs w:val="24"/>
        </w:rPr>
        <w:t xml:space="preserve"> formula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{"citationID":"fBcP6Kzw","properties":{"formattedCitation":"\\super 6\\nosupersub{}","plainCitation":"6","noteIndex":0},"citationItems":[{"id":3104,"uris":["http://zotero.org/users/14803691/items/T93FF9RB"],"itemData":{"id":3104,"type":"article-journal","abstract":"The resistance of a conductor measured in a four-probe setup is invariant if the exchange of the voltage and current sources is accompanied by a magnetic field reversal. We present a derivation of this theorem. The reciprocity of the resistances is linked directly to the microscopic reciprocity of the S-matrix, which describes reflection at the sample and transmission through the sample. We demonstrate that this symmetry holds for a conductor with an arbitrary number of leads. Since leads act like inelastic scatterers, consideration of a many-probe conductor also implies that the reciprocity of resistances is valid in the presence of inelastic scattering. Various conductance formulae are discussed in the light of the reciprocity theorem. Finally, we discuss some implications of our results for the nature of a voltage measurement and point to the difference between chemical potentials and the local electric potential.","container-title":"IBM Journal of Research and Development","DOI":"10.1147/rd.323.0317","ISSN":"0018-8646","issue":"3","page":"317-334","source":"IEEE Xplore","title":"Symmetry of electrical conduction","volume":"32","author":[{"family":"Buttiker","given":"M."}],"issued":{"date-parts":[["1988",5]]}}}],"schema":"https://github.com/citation-style-language/schema/raw/master/csl-citation.json"}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 xml:space="preserve">, the current in the lead </w:t>
      </w:r>
      <w:r>
        <w:rPr>
          <w:rFonts w:ascii="Times New Roman" w:hAnsi="Times New Roman" w:cs="Times New Roman"/>
          <w:i/>
          <w:sz w:val="24"/>
          <w:szCs w:val="24"/>
        </w:rPr>
        <w:t>p</w:t>
      </w:r>
      <w:r>
        <w:rPr>
          <w:rFonts w:ascii="Times New Roman" w:hAnsi="Times New Roman" w:cs="Times New Roman"/>
          <w:sz w:val="24"/>
          <w:szCs w:val="24"/>
        </w:rPr>
        <w:t xml:space="preserve"> can be expressed as:</w:t>
      </w:r>
    </w:p>
    <w:p w:rsidR="00723CAE" w:rsidRDefault="00EA6734">
      <w:pPr>
        <w:widowControl/>
        <w:spacing w:line="360" w:lineRule="auto"/>
        <w:ind w:firstLineChars="150" w:firstLine="360"/>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nary>
            <m:naryPr>
              <m:chr m:val="∑"/>
              <m:limLoc m:val="undOvr"/>
              <m:grow m:val="1"/>
              <m:supHide m:val="1"/>
              <m:ctrlPr>
                <w:rPr>
                  <w:rFonts w:ascii="Cambria Math" w:hAnsi="Cambria Math" w:cs="Times New Roman"/>
                  <w:sz w:val="24"/>
                  <w:szCs w:val="24"/>
                </w:rPr>
              </m:ctrlPr>
            </m:naryPr>
            <m:sub>
              <m:r>
                <w:rPr>
                  <w:rFonts w:ascii="Cambria Math" w:hAnsi="Cambria Math" w:cs="Times New Roman"/>
                  <w:sz w:val="24"/>
                  <w:szCs w:val="24"/>
                </w:rPr>
                <m:t>q≠p</m:t>
              </m:r>
            </m:sub>
            <m:sup/>
            <m:e>
              <m:r>
                <w:rPr>
                  <w:rFonts w:ascii="Cambria Math" w:hAnsi="Cambria Math" w:cs="Times New Roman"/>
                  <w:sz w:val="24"/>
                  <w:szCs w:val="24"/>
                </w:rPr>
                <m:t> </m:t>
              </m:r>
            </m:e>
          </m:nary>
          <m:d>
            <m:dPr>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qp</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pq</m:t>
                  </m:r>
                </m:sub>
              </m:sSub>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d>
        </m:oMath>
      </m:oMathPara>
    </w:p>
    <w:p w:rsidR="00723CAE" w:rsidRDefault="00E21C70">
      <w:pPr>
        <w:widowControl/>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oMath>
      <w:r>
        <w:rPr>
          <w:rFonts w:ascii="Times New Roman" w:hAnsi="Times New Roman" w:cs="Times New Roman"/>
          <w:sz w:val="24"/>
          <w:szCs w:val="24"/>
        </w:rPr>
        <w:t xml:space="preserve"> is the voltage in the lead </w:t>
      </w:r>
      <w:r>
        <w:rPr>
          <w:rFonts w:ascii="Times New Roman" w:hAnsi="Times New Roman" w:cs="Times New Roman"/>
          <w:i/>
          <w:sz w:val="24"/>
          <w:szCs w:val="24"/>
        </w:rPr>
        <w:t>p</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In our calculations, the real lead 1 and the real lead 4 act as current electrodes and other real leads act as voltage electrodes. Thus, the longitudinal current </w:t>
      </w:r>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oMath>
      <w:r>
        <w:rPr>
          <w:rFonts w:ascii="Times New Roman" w:hAnsi="Times New Roman" w:cs="Times New Roman"/>
          <w:sz w:val="24"/>
          <w:szCs w:val="24"/>
        </w:rPr>
        <w:t xml:space="preserve"> when an external bias is applied between lead 1 and lead 4 with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=V/2</m:t>
        </m:r>
      </m:oMath>
      <w:r w:rsidRPr="004F4177">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4</m:t>
            </m:r>
          </m:sub>
        </m:sSub>
        <m:r>
          <w:rPr>
            <w:rFonts w:ascii="Cambria Math" w:hAnsi="Cambria Math" w:cs="Times New Roman"/>
            <w:sz w:val="24"/>
            <w:szCs w:val="24"/>
          </w:rPr>
          <m:t>=-V/2</m:t>
        </m:r>
      </m:oMath>
      <w:r w:rsidRPr="004F4177">
        <w:rPr>
          <w:rFonts w:hAnsi="Cambria Math" w:cs="Times New Roman" w:hint="eastAsia"/>
          <w:sz w:val="24"/>
          <w:szCs w:val="24"/>
        </w:rPr>
        <w:t>.</w:t>
      </w:r>
      <w:r w:rsidRPr="004F4177">
        <w:rPr>
          <w:rFonts w:ascii="Times New Roman" w:hAnsi="Times New Roman" w:cs="Times New Roman"/>
          <w:sz w:val="24"/>
          <w:szCs w:val="24"/>
        </w:rPr>
        <w:t xml:space="preserve"> The net current of the blocks is zero due to current conversation. Combining </w:t>
      </w:r>
      <w:proofErr w:type="spellStart"/>
      <w:r w:rsidRPr="004F4177">
        <w:rPr>
          <w:rFonts w:ascii="Times New Roman" w:hAnsi="Times New Roman" w:cs="Times New Roman"/>
          <w:sz w:val="24"/>
          <w:szCs w:val="24"/>
        </w:rPr>
        <w:t>Landauer-Büttike</w:t>
      </w:r>
      <w:r w:rsidR="004F4177" w:rsidRPr="004F4177">
        <w:rPr>
          <w:rFonts w:ascii="Times New Roman" w:hAnsi="Times New Roman" w:cs="Times New Roman"/>
          <w:sz w:val="24"/>
          <w:szCs w:val="24"/>
        </w:rPr>
        <w:t>r</w:t>
      </w:r>
      <w:proofErr w:type="spellEnd"/>
      <w:r w:rsidRPr="004F4177">
        <w:rPr>
          <w:rFonts w:ascii="Times New Roman" w:hAnsi="Times New Roman" w:cs="Times New Roman"/>
          <w:sz w:val="24"/>
          <w:szCs w:val="24"/>
        </w:rPr>
        <w:t xml:space="preserve"> formula with those boundary conditions in the real and the blocks, one can calculate the voltage of each real lead and the longitudinal current </w:t>
      </w:r>
      <m:oMath>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oMath>
      <w:r w:rsidRPr="004F4177">
        <w:rPr>
          <w:rFonts w:ascii="Times New Roman" w:hAnsi="Times New Roman" w:cs="Times New Roman"/>
          <w:sz w:val="24"/>
          <w:szCs w:val="24"/>
        </w:rPr>
        <w:t xml:space="preserve">. Then the Hall resistance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xy</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6</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oMath>
      <w:r w:rsidRPr="004F4177">
        <w:rPr>
          <w:rFonts w:ascii="Times New Roman" w:hAnsi="Times New Roman" w:cs="Times New Roman"/>
          <w:sz w:val="24"/>
          <w:szCs w:val="24"/>
        </w:rPr>
        <w:t xml:space="preserve"> and longitudinal resistance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xx</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I</m:t>
            </m:r>
          </m:e>
          <m:sub>
            <m:r>
              <w:rPr>
                <w:rFonts w:ascii="Cambria Math" w:hAnsi="Cambria Math" w:cs="Times New Roman"/>
                <w:sz w:val="24"/>
                <w:szCs w:val="24"/>
              </w:rPr>
              <m:t>x</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y</m:t>
            </m:r>
          </m:sub>
        </m:sSub>
        <m:r>
          <m:rPr>
            <m:sty m:val="p"/>
          </m:rPr>
          <w:rPr>
            <w:rFonts w:ascii="Cambria Math" w:hAnsi="Cambria Math" w:cs="Times New Roman"/>
            <w:sz w:val="24"/>
            <w:szCs w:val="24"/>
          </w:rPr>
          <m:t>/</m:t>
        </m:r>
        <m:r>
          <w:rPr>
            <w:rFonts w:ascii="Cambria Math" w:hAnsi="Cambria Math" w:cs="Times New Roman"/>
            <w:sz w:val="24"/>
            <w:szCs w:val="24"/>
          </w:rPr>
          <m:t>L</m:t>
        </m:r>
        <m:r>
          <m:rPr>
            <m:sty m:val="p"/>
          </m:rPr>
          <w:rPr>
            <w:rFonts w:ascii="Cambria Math" w:hAnsi="Cambria Math" w:cs="Times New Roman"/>
            <w:sz w:val="24"/>
            <w:szCs w:val="24"/>
          </w:rPr>
          <m:t>)</m:t>
        </m:r>
      </m:oMath>
      <w:r w:rsidRPr="004F4177">
        <w:rPr>
          <w:rFonts w:ascii="Times New Roman" w:hAnsi="Times New Roman" w:cs="Times New Roman"/>
          <w:sz w:val="24"/>
          <w:szCs w:val="24"/>
        </w:rPr>
        <w:t xml:space="preserve"> will b</w:t>
      </w:r>
      <w:r>
        <w:rPr>
          <w:rFonts w:ascii="Times New Roman" w:hAnsi="Times New Roman" w:cs="Times New Roman"/>
          <w:sz w:val="24"/>
          <w:szCs w:val="24"/>
        </w:rPr>
        <w:t xml:space="preserve">e obtained. The six-terminal measured Hall conductivity is given by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ρ</m:t>
            </m:r>
          </m:e>
          <m:sub>
            <m:r>
              <w:rPr>
                <w:rFonts w:ascii="Cambria Math" w:hAnsi="Cambria Math" w:cs="Times New Roman"/>
                <w:sz w:val="24"/>
                <w:szCs w:val="24"/>
              </w:rPr>
              <m:t>xy</m:t>
            </m:r>
          </m:sub>
        </m:sSub>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ρ</m:t>
            </m:r>
          </m:e>
          <m:sub>
            <m:r>
              <w:rPr>
                <w:rFonts w:ascii="Cambria Math" w:hAnsi="Cambria Math" w:cs="Times New Roman"/>
                <w:sz w:val="24"/>
                <w:szCs w:val="24"/>
              </w:rPr>
              <m:t>xx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ρ</m:t>
            </m:r>
          </m:e>
          <m:sub>
            <m:r>
              <w:rPr>
                <w:rFonts w:ascii="Cambria Math" w:hAnsi="Cambria Math" w:cs="Times New Roman"/>
                <w:sz w:val="24"/>
                <w:szCs w:val="24"/>
              </w:rPr>
              <m:t>xy</m:t>
            </m:r>
          </m:sub>
          <m:sup>
            <m:r>
              <w:rPr>
                <w:rFonts w:ascii="Cambria Math" w:hAnsi="Cambria Math" w:cs="Times New Roman"/>
                <w:sz w:val="24"/>
                <w:szCs w:val="24"/>
              </w:rPr>
              <m:t>2</m:t>
            </m:r>
          </m:sup>
        </m:sSubSup>
        <m: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As shown in Fig.S6b, nonzero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causes </w:t>
      </w:r>
      <m:oMath>
        <m:sSubSup>
          <m:sSubSupPr>
            <m:ctrlPr>
              <w:rPr>
                <w:rFonts w:ascii="Cambria Math" w:hAnsi="Cambria Math" w:cs="Times New Roman"/>
                <w:sz w:val="24"/>
                <w:szCs w:val="24"/>
              </w:rPr>
            </m:ctrlPr>
          </m:sSubSupPr>
          <m:e>
            <w:bookmarkStart w:id="5" w:name="_Hlk200619615"/>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w:bookmarkEnd w:id="5"/>
          </m:sup>
        </m:sSubSup>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to exceed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explaining the deviation from quantized Hall conductance in experimental measurements.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σ</m:t>
            </m:r>
          </m:e>
          <m:sub>
            <m:r>
              <w:rPr>
                <w:rFonts w:ascii="Cambria Math" w:hAnsi="Times New Roman" w:cs="Times New Roman"/>
                <w:sz w:val="24"/>
                <w:szCs w:val="24"/>
              </w:rPr>
              <m:t>xy</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fi</w:t>
      </w:r>
      <w:r w:rsidRPr="004F4177">
        <w:rPr>
          <w:rFonts w:ascii="Times New Roman" w:hAnsi="Times New Roman" w:cs="Times New Roman"/>
          <w:sz w:val="24"/>
          <w:szCs w:val="24"/>
        </w:rPr>
        <w:t>rst go</w:t>
      </w:r>
      <w:r w:rsidRPr="004F4177">
        <w:rPr>
          <w:rFonts w:ascii="Times New Roman" w:hAnsi="Times New Roman" w:cs="Times New Roman" w:hint="eastAsia"/>
          <w:sz w:val="24"/>
          <w:szCs w:val="24"/>
        </w:rPr>
        <w:t>es</w:t>
      </w:r>
      <w:r w:rsidRPr="004F4177">
        <w:rPr>
          <w:rFonts w:ascii="Times New Roman" w:hAnsi="Times New Roman" w:cs="Times New Roman"/>
          <w:sz w:val="24"/>
          <w:szCs w:val="24"/>
        </w:rPr>
        <w:t xml:space="preserve"> up and then drop</w:t>
      </w:r>
      <w:r w:rsidRPr="004F4177">
        <w:rPr>
          <w:rFonts w:ascii="Times New Roman" w:hAnsi="Times New Roman" w:cs="Times New Roman" w:hint="eastAsia"/>
          <w:sz w:val="24"/>
          <w:szCs w:val="24"/>
        </w:rPr>
        <w:t>s</w:t>
      </w:r>
      <w:r w:rsidRPr="004F4177">
        <w:rPr>
          <w:rFonts w:ascii="Times New Roman" w:hAnsi="Times New Roman" w:cs="Times New Roman"/>
          <w:sz w:val="24"/>
          <w:szCs w:val="24"/>
        </w:rPr>
        <w:t xml:space="preserve"> a</w:t>
      </w:r>
      <w:r>
        <w:rPr>
          <w:rFonts w:ascii="Times New Roman" w:hAnsi="Times New Roman" w:cs="Times New Roman"/>
          <w:sz w:val="24"/>
          <w:szCs w:val="24"/>
        </w:rPr>
        <w:t xml:space="preserve">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increases.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When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oMath>
      <w:r>
        <w:rPr>
          <w:rFonts w:ascii="Times New Roman" w:hAnsi="Times New Roman" w:cs="Times New Roman" w:hint="eastAsia"/>
          <w:sz w:val="24"/>
          <w:szCs w:val="24"/>
        </w:rPr>
        <w:t>,</w:t>
      </w:r>
      <w:r>
        <w:rPr>
          <w:rFonts w:ascii="Times New Roman" w:hAnsi="Times New Roman" w:cs="Times New Roman"/>
          <w:sz w:val="24"/>
          <w:szCs w:val="24"/>
        </w:rPr>
        <w:t xml:space="preserve"> the influence of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oMath>
      <w:r>
        <w:rPr>
          <w:rFonts w:ascii="Times New Roman" w:hAnsi="Times New Roman" w:cs="Times New Roman"/>
          <w:sz w:val="24"/>
          <w:szCs w:val="24"/>
        </w:rPr>
        <w:t xml:space="preserve"> on the transport is negligible so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Times New Roman" w:cs="Times New Roman"/>
            <w:sz w:val="24"/>
            <w:szCs w:val="24"/>
          </w:rPr>
          <m:t>=1</m:t>
        </m:r>
      </m:oMath>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In order to explain the peak of Hall conductance peaks near QAHE’s in Fig.S5g, we numerically calculate the intrinsic Hall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of the magnetic TI by Kubo formula, and hence calculate the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by </w:t>
      </w:r>
      <w:proofErr w:type="spellStart"/>
      <w:r>
        <w:rPr>
          <w:rFonts w:ascii="Times New Roman" w:hAnsi="Times New Roman" w:cs="Times New Roman"/>
          <w:sz w:val="24"/>
          <w:szCs w:val="24"/>
        </w:rPr>
        <w:t>Landauer-Büttiker</w:t>
      </w:r>
      <w:proofErr w:type="spellEnd"/>
      <w:r>
        <w:rPr>
          <w:rFonts w:ascii="Times New Roman" w:hAnsi="Times New Roman" w:cs="Times New Roman"/>
          <w:sz w:val="24"/>
          <w:szCs w:val="24"/>
        </w:rPr>
        <w:t xml:space="preserve"> formula (see Fig.S6c). In Fig.S6c, we use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r>
          <w:rPr>
            <w:rFonts w:ascii="Cambria Math" w:hAnsi="Cambria Math" w:cs="Times New Roman"/>
            <w:sz w:val="24"/>
            <w:szCs w:val="24"/>
          </w:rPr>
          <m:t>=0.45|</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b</m:t>
            </m:r>
          </m:sub>
        </m:sSub>
        <m:r>
          <w:rPr>
            <w:rFonts w:ascii="Cambria Math" w:hAnsi="Cambria Math" w:cs="Times New Roman"/>
            <w:sz w:val="24"/>
            <w:szCs w:val="24"/>
          </w:rPr>
          <m:t>|</m:t>
        </m:r>
        <m:r>
          <m:rPr>
            <m:sty m:val="p"/>
          </m:rPr>
          <w:rPr>
            <w:rFonts w:ascii="Cambria Math" w:hAnsi="Cambria Math" w:cs="Times New Roman"/>
            <w:sz w:val="24"/>
            <w:szCs w:val="24"/>
          </w:rPr>
          <m:t>Θ</m:t>
        </m:r>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with mobility gap</w:t>
      </w:r>
      <w:r>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1</m:t>
            </m:r>
          </m:sub>
        </m:sSub>
        <m:r>
          <w:rPr>
            <w:rFonts w:ascii="Cambria Math" w:hAnsi="Cambria Math" w:cs="Times New Roman"/>
            <w:sz w:val="24"/>
            <w:szCs w:val="24"/>
          </w:rPr>
          <m:t>=0.07</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to </w:t>
      </w:r>
      <w:r>
        <w:rPr>
          <w:rFonts w:ascii="Times New Roman" w:hAnsi="Times New Roman" w:cs="Times New Roman" w:hint="eastAsia"/>
          <w:sz w:val="24"/>
          <w:szCs w:val="24"/>
        </w:rPr>
        <w:t>ca</w:t>
      </w:r>
      <w:r>
        <w:rPr>
          <w:rFonts w:ascii="Times New Roman" w:hAnsi="Times New Roman" w:cs="Times New Roman"/>
          <w:sz w:val="24"/>
          <w:szCs w:val="24"/>
        </w:rPr>
        <w:t xml:space="preserve">pture the main feature of the longitudinal conductance in experimental results, and </w:t>
      </w:r>
      <m:oMath>
        <m:r>
          <w:rPr>
            <w:rFonts w:ascii="Cambria Math" w:hAnsi="Cambria Math" w:cs="Times New Roman"/>
            <w:sz w:val="24"/>
            <w:szCs w:val="24"/>
          </w:rPr>
          <m:t>M=4</m:t>
        </m:r>
        <m:r>
          <m:rPr>
            <m:sty m:val="p"/>
          </m:rPr>
          <w:rPr>
            <w:rFonts w:ascii="Cambria Math" w:hAnsi="Cambria Math" w:cs="Times New Roman"/>
            <w:sz w:val="24"/>
            <w:szCs w:val="24"/>
          </w:rPr>
          <m:t>Θ</m:t>
        </m:r>
        <m: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V</m:t>
            </m:r>
          </m:e>
          <m:sub>
            <m:r>
              <m:rPr>
                <m:sty m:val="p"/>
              </m:rPr>
              <w:rPr>
                <w:rFonts w:ascii="Cambria Math" w:hAnsi="Cambria Math" w:cs="Times New Roman"/>
                <w:sz w:val="24"/>
                <w:szCs w:val="24"/>
              </w:rPr>
              <m:t>b</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with fine size gap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r>
          <w:rPr>
            <w:rFonts w:ascii="Cambria Math" w:hAnsi="Cambria Math" w:cs="Times New Roman"/>
            <w:sz w:val="24"/>
            <w:szCs w:val="24"/>
          </w:rPr>
          <m:t>=0.08</m:t>
        </m:r>
      </m:oMath>
      <w:r>
        <w:rPr>
          <w:rFonts w:ascii="Times New Roman" w:hAnsi="Times New Roman" w:cs="Times New Roman" w:hint="eastAsia"/>
          <w:sz w:val="24"/>
          <w:szCs w:val="24"/>
        </w:rPr>
        <w:t>.</w:t>
      </w:r>
      <w:r>
        <w:rPr>
          <w:rFonts w:ascii="Times New Roman" w:hAnsi="Times New Roman" w:cs="Times New Roman"/>
          <w:sz w:val="24"/>
          <w:szCs w:val="24"/>
        </w:rPr>
        <w:t xml:space="preserve"> When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r>
          <w:rPr>
            <w:rFonts w:ascii="Cambria Math" w:hAnsi="Cambria Math" w:cs="Times New Roman"/>
            <w:sz w:val="24"/>
            <w:szCs w:val="24"/>
          </w:rPr>
          <m:t>|&lt;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Pr>
          <w:rFonts w:ascii="Times New Roman" w:hAnsi="Times New Roman" w:cs="Times New Roman" w:hint="eastAsia"/>
          <w:sz w:val="24"/>
          <w:szCs w:val="24"/>
        </w:rPr>
        <w:t>,</w:t>
      </w:r>
      <w:r>
        <w:rPr>
          <w:rFonts w:ascii="Times New Roman" w:hAnsi="Times New Roman" w:cs="Times New Roman"/>
          <w:sz w:val="24"/>
          <w:szCs w:val="24"/>
        </w:rPr>
        <w:t xml:space="preserve"> there is no helical edge states, so the measured Hall conductance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oMath>
      <w:r>
        <w:rPr>
          <w:rFonts w:ascii="Times New Roman" w:hAnsi="Times New Roman" w:cs="Times New Roman"/>
          <w:sz w:val="24"/>
          <w:szCs w:val="24"/>
        </w:rPr>
        <w:t xml:space="preserve"> is quantized. When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r>
          <w:rPr>
            <w:rFonts w:ascii="Cambria Math" w:hAnsi="Cambria Math" w:cs="Times New Roman"/>
            <w:sz w:val="24"/>
            <w:szCs w:val="24"/>
          </w:rPr>
          <m:t>|&gt;</m:t>
        </m:r>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2</m:t>
            </m:r>
          </m:sub>
        </m:sSub>
      </m:oMath>
      <w:r>
        <w:rPr>
          <w:rFonts w:ascii="Times New Roman" w:hAnsi="Times New Roman" w:cs="Times New Roman" w:hint="eastAsia"/>
          <w:sz w:val="24"/>
          <w:szCs w:val="24"/>
        </w:rPr>
        <w:t>,</w:t>
      </w:r>
      <w:r>
        <w:rPr>
          <w:rFonts w:ascii="Times New Roman" w:hAnsi="Times New Roman" w:cs="Times New Roman"/>
          <w:sz w:val="24"/>
          <w:szCs w:val="24"/>
        </w:rPr>
        <w:t xml:space="preserve"> the helical edge states participate in transport and </w:t>
      </w:r>
      <m:oMath>
        <m:sSub>
          <m:sSubPr>
            <m:ctrlPr>
              <w:rPr>
                <w:rFonts w:ascii="Cambria Math" w:hAnsi="Cambria Math" w:cs="Times New Roman"/>
                <w:sz w:val="24"/>
                <w:szCs w:val="24"/>
              </w:rPr>
            </m:ctrlPr>
          </m:sSubPr>
          <m:e>
            <m:r>
              <w:rPr>
                <w:rFonts w:ascii="Cambria Math" w:hAnsi="Cambria Math" w:cs="Times New Roman"/>
                <w:sz w:val="24"/>
                <w:szCs w:val="24"/>
              </w:rPr>
              <m:t>t</m:t>
            </m:r>
          </m:e>
          <m:sub>
            <m:r>
              <m:rPr>
                <m:nor/>
              </m:rPr>
              <w:rPr>
                <w:rFonts w:ascii="Times New Roman" w:hAnsi="Times New Roman" w:cs="Times New Roman"/>
                <w:sz w:val="24"/>
                <w:szCs w:val="24"/>
              </w:rPr>
              <m:t>1D</m:t>
            </m:r>
          </m:sub>
        </m:sSub>
      </m:oMath>
      <w:r>
        <w:rPr>
          <w:rFonts w:ascii="Times New Roman" w:hAnsi="Times New Roman" w:cs="Times New Roman"/>
          <w:sz w:val="24"/>
          <w:szCs w:val="24"/>
        </w:rPr>
        <w:t xml:space="preserve"> becomes nonzero. Therefore, we </w:t>
      </w:r>
      <w:r w:rsidRPr="004F4177">
        <w:rPr>
          <w:rFonts w:ascii="Times New Roman" w:hAnsi="Times New Roman" w:cs="Times New Roman"/>
          <w:sz w:val="24"/>
          <w:szCs w:val="24"/>
        </w:rPr>
        <w:t xml:space="preserve">see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oMath>
      <w:r w:rsidRPr="004F4177">
        <w:rPr>
          <w:rFonts w:ascii="Times New Roman" w:hAnsi="Times New Roman" w:cs="Times New Roman"/>
          <w:sz w:val="24"/>
          <w:szCs w:val="24"/>
        </w:rPr>
        <w:t xml:space="preserve"> first go</w:t>
      </w:r>
      <w:r w:rsidRPr="004F4177">
        <w:rPr>
          <w:rFonts w:ascii="Times New Roman" w:hAnsi="Times New Roman" w:cs="Times New Roman" w:hint="eastAsia"/>
          <w:sz w:val="24"/>
          <w:szCs w:val="24"/>
        </w:rPr>
        <w:t>es</w:t>
      </w:r>
      <w:r w:rsidRPr="004F4177">
        <w:rPr>
          <w:rFonts w:ascii="Times New Roman" w:hAnsi="Times New Roman" w:cs="Times New Roman"/>
          <w:sz w:val="24"/>
          <w:szCs w:val="24"/>
        </w:rPr>
        <w:t xml:space="preserve"> up and then drop</w:t>
      </w:r>
      <w:r w:rsidRPr="004F4177">
        <w:rPr>
          <w:rFonts w:ascii="Times New Roman" w:hAnsi="Times New Roman" w:cs="Times New Roman" w:hint="eastAsia"/>
          <w:sz w:val="24"/>
          <w:szCs w:val="24"/>
        </w:rPr>
        <w:t>s</w:t>
      </w:r>
      <w:r w:rsidRPr="004F4177">
        <w:rPr>
          <w:rFonts w:ascii="Times New Roman" w:hAnsi="Times New Roman" w:cs="Times New Roman"/>
          <w:sz w:val="24"/>
          <w:szCs w:val="24"/>
        </w:rPr>
        <w:t xml:space="preserve"> as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r>
          <w:rPr>
            <w:rFonts w:ascii="Cambria Math" w:hAnsi="Cambria Math" w:cs="Times New Roman"/>
            <w:sz w:val="24"/>
            <w:szCs w:val="24"/>
          </w:rPr>
          <m:t>|</m:t>
        </m:r>
      </m:oMath>
      <w:r w:rsidRPr="004F4177">
        <w:rPr>
          <w:rFonts w:ascii="Times New Roman" w:hAnsi="Times New Roman" w:cs="Times New Roman" w:hint="eastAsia"/>
          <w:sz w:val="24"/>
          <w:szCs w:val="24"/>
        </w:rPr>
        <w:t xml:space="preserve"> </w:t>
      </w:r>
      <w:r w:rsidRPr="004F4177">
        <w:rPr>
          <w:rFonts w:ascii="Times New Roman" w:hAnsi="Times New Roman" w:cs="Times New Roman"/>
          <w:sz w:val="24"/>
          <w:szCs w:val="24"/>
        </w:rPr>
        <w:t>increases.</w:t>
      </w:r>
    </w:p>
    <w:p w:rsidR="00723CAE" w:rsidRDefault="00E21C70">
      <w:pPr>
        <w:widowControl/>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 </w:t>
      </w:r>
    </w:p>
    <w:p w:rsidR="00723CAE" w:rsidRDefault="00E21C70">
      <w:pPr>
        <w:widowControl/>
        <w:spacing w:line="360" w:lineRule="auto"/>
        <w:jc w:val="left"/>
        <w:rPr>
          <w:rFonts w:ascii="Times New Roman" w:hAnsi="Times New Roman" w:cs="Times New Roman"/>
          <w:sz w:val="24"/>
          <w:szCs w:val="24"/>
        </w:rPr>
      </w:pPr>
      <w:r>
        <w:lastRenderedPageBreak/>
        <w:t xml:space="preserve"> </w:t>
      </w:r>
      <w:r>
        <w:rPr>
          <w:noProof/>
        </w:rPr>
        <w:drawing>
          <wp:inline distT="0" distB="0" distL="0" distR="0">
            <wp:extent cx="5274310" cy="152273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1522730"/>
                    </a:xfrm>
                    <a:prstGeom prst="rect">
                      <a:avLst/>
                    </a:prstGeom>
                  </pic:spPr>
                </pic:pic>
              </a:graphicData>
            </a:graphic>
          </wp:inline>
        </w:drawing>
      </w:r>
    </w:p>
    <w:p w:rsidR="00723CAE" w:rsidRDefault="00E21C70">
      <w:pPr>
        <w:widowControl/>
        <w:spacing w:line="360" w:lineRule="auto"/>
        <w:rPr>
          <w:rFonts w:ascii="Times New Roman" w:hAnsi="Times New Roman" w:cs="Times New Roman"/>
          <w:sz w:val="24"/>
          <w:szCs w:val="24"/>
        </w:rPr>
      </w:pPr>
      <w:r>
        <w:rPr>
          <w:rFonts w:ascii="Times New Roman" w:hAnsi="Times New Roman" w:cs="Times New Roman"/>
          <w:b/>
          <w:sz w:val="24"/>
          <w:szCs w:val="24"/>
        </w:rPr>
        <w:t xml:space="preserve">Fig. S6 | Numerical calculations of the anomalous Hall conductance affected by quasi-1D </w:t>
      </w:r>
      <w:r>
        <w:rPr>
          <w:rFonts w:ascii="Times New Roman" w:hAnsi="Times New Roman" w:cs="Times New Roman" w:hint="eastAsia"/>
          <w:b/>
          <w:sz w:val="24"/>
          <w:szCs w:val="24"/>
        </w:rPr>
        <w:t>he</w:t>
      </w:r>
      <w:r>
        <w:rPr>
          <w:rFonts w:ascii="Times New Roman" w:hAnsi="Times New Roman" w:cs="Times New Roman"/>
          <w:b/>
          <w:sz w:val="24"/>
          <w:szCs w:val="24"/>
        </w:rPr>
        <w:t xml:space="preserve">lical edge conduction. a, </w:t>
      </w:r>
      <w:r>
        <w:rPr>
          <w:rFonts w:ascii="Times New Roman" w:hAnsi="Times New Roman" w:cs="Times New Roman"/>
          <w:sz w:val="24"/>
          <w:szCs w:val="24"/>
        </w:rPr>
        <w:t xml:space="preserve">Schematic plot of the network model with sized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y</m:t>
            </m:r>
          </m:sub>
        </m:sSub>
      </m:oMath>
      <w:r>
        <w:rPr>
          <w:rFonts w:ascii="Times New Roman" w:hAnsi="Times New Roman" w:cs="Times New Roman"/>
          <w:sz w:val="24"/>
          <w:szCs w:val="24"/>
        </w:rPr>
        <w:t>=600</w:t>
      </w:r>
      <m:oMath>
        <m:r>
          <w:rPr>
            <w:rFonts w:ascii="Cambria Math" w:hAnsi="Cambria Math" w:cs="Times New Roman"/>
            <w:sz w:val="24"/>
            <w:szCs w:val="24"/>
          </w:rPr>
          <m:t>×</m:t>
        </m:r>
        <m:r>
          <w:rPr>
            <w:rFonts w:ascii="Cambria Math" w:hAnsi="Times New Roman" w:cs="Times New Roman"/>
            <w:sz w:val="24"/>
            <w:szCs w:val="24"/>
          </w:rPr>
          <m:t>100</m:t>
        </m:r>
      </m:oMath>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Times New Roman" w:cs="Times New Roman"/>
            <w:sz w:val="24"/>
            <w:szCs w:val="24"/>
          </w:rPr>
          <m:t xml:space="preserve"> </m:t>
        </m:r>
      </m:oMath>
      <w:r>
        <w:rPr>
          <w:rFonts w:ascii="Times New Roman" w:hAnsi="Times New Roman" w:cs="Times New Roman"/>
          <w:sz w:val="24"/>
          <w:szCs w:val="24"/>
        </w:rPr>
        <w:t xml:space="preserve">as function of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with helical mode number </w:t>
      </w:r>
      <m:oMath>
        <m:r>
          <w:rPr>
            <w:rFonts w:ascii="Cambria Math" w:hAnsi="Cambria Math" w:cs="Times New Roman"/>
            <w:sz w:val="24"/>
            <w:szCs w:val="24"/>
          </w:rPr>
          <m:t>M</m:t>
        </m:r>
        <m:r>
          <w:rPr>
            <w:rFonts w:ascii="Cambria Math" w:hAnsi="Times New Roman" w:cs="Times New Roman"/>
            <w:sz w:val="24"/>
            <w:szCs w:val="24"/>
          </w:rPr>
          <m:t>=4</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m:oMath>
        <m:sSub>
          <m:sSubPr>
            <m:ctrlPr>
              <w:rPr>
                <w:rFonts w:ascii="Cambria Math" w:hAnsi="Cambria Math" w:cs="Times New Roman"/>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r>
          <w:rPr>
            <w:rFonts w:ascii="Cambria Math" w:hAnsi="Cambria Math" w:cs="Times New Roman"/>
            <w:sz w:val="24"/>
            <w:szCs w:val="24"/>
          </w:rPr>
          <m:t>=1</m:t>
        </m:r>
      </m:oMath>
      <w:r>
        <w:rPr>
          <w:rFonts w:ascii="Times New Roman" w:hAnsi="Times New Roman" w:cs="Times New Roman"/>
          <w:sz w:val="24"/>
          <w:szCs w:val="24"/>
        </w:rPr>
        <w:t xml:space="preserve">. </w:t>
      </w:r>
      <w:r>
        <w:rPr>
          <w:rFonts w:ascii="Times New Roman" w:hAnsi="Times New Roman" w:cs="Times New Roman"/>
          <w:b/>
          <w:sz w:val="24"/>
          <w:szCs w:val="24"/>
        </w:rPr>
        <w:t>c,</w:t>
      </w:r>
      <w:r>
        <w:rPr>
          <w:rFonts w:ascii="Times New Roman" w:hAnsi="Times New Roman" w:cs="Times New Roman"/>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exp</m:t>
            </m:r>
          </m:sup>
        </m:sSubSup>
      </m:oMath>
      <w:r>
        <w:rPr>
          <w:rFonts w:ascii="Times New Roman" w:hAnsi="Times New Roman" w:cs="Times New Roman"/>
          <w:sz w:val="24"/>
          <w:szCs w:val="24"/>
        </w:rPr>
        <w:t xml:space="preserve"> as function of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m:t>
            </m:r>
          </m:sub>
        </m:sSub>
      </m:oMath>
      <w:r>
        <w:rPr>
          <w:rFonts w:ascii="Times New Roman" w:hAnsi="Times New Roman" w:cs="Times New Roman"/>
          <w:sz w:val="24"/>
          <w:szCs w:val="24"/>
        </w:rPr>
        <w:t xml:space="preserve"> for different transmission probability </w:t>
      </w:r>
      <w:r>
        <w:rPr>
          <w:rFonts w:ascii="Times New Roman" w:hAnsi="Times New Roman" w:cs="Times New Roman"/>
          <w:i/>
          <w:sz w:val="24"/>
          <w:szCs w:val="24"/>
        </w:rPr>
        <w:t xml:space="preserve">T </w:t>
      </w:r>
      <w:r>
        <w:rPr>
          <w:rFonts w:ascii="Times New Roman" w:hAnsi="Times New Roman" w:cs="Times New Roman"/>
          <w:sz w:val="24"/>
          <w:szCs w:val="24"/>
        </w:rPr>
        <w:t>of quasi-1D helical edge channels.</w:t>
      </w:r>
    </w:p>
    <w:p w:rsidR="00723CAE" w:rsidRDefault="00723CAE">
      <w:pPr>
        <w:widowControl/>
        <w:spacing w:line="360" w:lineRule="auto"/>
        <w:rPr>
          <w:rFonts w:ascii="Times New Roman" w:hAnsi="Times New Roman" w:cs="Times New Roman"/>
          <w:sz w:val="24"/>
          <w:szCs w:val="24"/>
        </w:rPr>
      </w:pP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Most of the transport data discussed in the study originate from the topological surface states on the top, bottom, and side surfaces. In order to reveal the role of bulk carriers, we deliberately decrease the </w:t>
      </w:r>
      <w:proofErr w:type="spellStart"/>
      <w:r>
        <w:rPr>
          <w:rFonts w:ascii="Times New Roman" w:hAnsi="Times New Roman" w:cs="Times New Roman"/>
          <w:sz w:val="24"/>
          <w:szCs w:val="24"/>
        </w:rPr>
        <w:t>Bi:Sb</w:t>
      </w:r>
      <w:proofErr w:type="spellEnd"/>
      <w:r>
        <w:rPr>
          <w:rFonts w:ascii="Times New Roman" w:hAnsi="Times New Roman" w:cs="Times New Roman"/>
          <w:sz w:val="24"/>
          <w:szCs w:val="24"/>
        </w:rPr>
        <w:t xml:space="preserve"> ratio </w:t>
      </w:r>
      <w:r>
        <w:rPr>
          <w:rFonts w:ascii="Times New Roman" w:hAnsi="Times New Roman" w:cs="Times New Roman"/>
          <w:i/>
          <w:sz w:val="24"/>
          <w:szCs w:val="24"/>
        </w:rPr>
        <w:t>η</w:t>
      </w:r>
      <w:r>
        <w:rPr>
          <w:rFonts w:ascii="Times New Roman" w:hAnsi="Times New Roman" w:cs="Times New Roman"/>
          <w:sz w:val="24"/>
          <w:szCs w:val="24"/>
        </w:rPr>
        <w:t xml:space="preserve"> of the CBV devices (</w:t>
      </w:r>
      <w:r>
        <w:rPr>
          <w:rFonts w:ascii="Times New Roman" w:hAnsi="Times New Roman" w:cs="Times New Roman"/>
          <w:i/>
          <w:sz w:val="24"/>
          <w:szCs w:val="24"/>
        </w:rPr>
        <w:t>m</w:t>
      </w:r>
      <w:r>
        <w:rPr>
          <w:rFonts w:ascii="Times New Roman" w:hAnsi="Times New Roman" w:cs="Times New Roman"/>
          <w:sz w:val="24"/>
          <w:szCs w:val="24"/>
        </w:rPr>
        <w:t xml:space="preserve"> = 10 QL,</w:t>
      </w:r>
      <w:r>
        <w:rPr>
          <w:rFonts w:ascii="Times New Roman" w:hAnsi="Times New Roman" w:cs="Times New Roman"/>
          <w:i/>
          <w:sz w:val="24"/>
          <w:szCs w:val="24"/>
        </w:rPr>
        <w:t xml:space="preserve"> x</w:t>
      </w:r>
      <w:r>
        <w:rPr>
          <w:rFonts w:ascii="Times New Roman" w:hAnsi="Times New Roman" w:cs="Times New Roman"/>
          <w:sz w:val="24"/>
          <w:szCs w:val="24"/>
        </w:rPr>
        <w:t xml:space="preserve"> = 0.19, </w:t>
      </w:r>
      <w:r>
        <w:rPr>
          <w:rFonts w:ascii="Times New Roman" w:hAnsi="Times New Roman" w:cs="Times New Roman"/>
          <w:i/>
          <w:sz w:val="24"/>
          <w:szCs w:val="24"/>
        </w:rPr>
        <w:t>y</w:t>
      </w:r>
      <w:r>
        <w:rPr>
          <w:rFonts w:ascii="Times New Roman" w:hAnsi="Times New Roman" w:cs="Times New Roman"/>
          <w:sz w:val="24"/>
          <w:szCs w:val="24"/>
        </w:rPr>
        <w:t xml:space="preserve"> = 0.11) so that they shift to the hole-doped regime. Due to the reduced thickness, the hole-doping introduced by Cr is also heavier. The overall transport behaviors of the more heavily hole-doped devices are very similar to that of normal devices, except that they do not exhibit well quantized AHC plateaus.</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As shown in Fig. S7, two CBV devices with </w:t>
      </w:r>
      <w:r>
        <w:rPr>
          <w:rFonts w:ascii="Times New Roman" w:hAnsi="Times New Roman" w:cs="Times New Roman"/>
          <w:i/>
          <w:sz w:val="24"/>
          <w:szCs w:val="24"/>
        </w:rPr>
        <w:t>η</w:t>
      </w:r>
      <w:r>
        <w:rPr>
          <w:rFonts w:ascii="Times New Roman" w:hAnsi="Times New Roman" w:cs="Times New Roman"/>
          <w:sz w:val="24"/>
          <w:szCs w:val="24"/>
        </w:rPr>
        <w:t xml:space="preserve"> = 0.73 and 0.62 does behave like a QAH with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plateaus near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100 V. However, they are much less robust comparing to other devices. Due to the stronger coupling between top and bottom magnetic layers (reduced </w:t>
      </w:r>
      <w:r>
        <w:rPr>
          <w:rFonts w:ascii="Times New Roman" w:hAnsi="Times New Roman" w:cs="Times New Roman"/>
          <w:i/>
          <w:sz w:val="24"/>
          <w:szCs w:val="24"/>
        </w:rPr>
        <w:t>m</w:t>
      </w:r>
      <w:r>
        <w:rPr>
          <w:rFonts w:ascii="Times New Roman" w:hAnsi="Times New Roman" w:cs="Times New Roman"/>
          <w:sz w:val="24"/>
          <w:szCs w:val="24"/>
        </w:rPr>
        <w:t xml:space="preserve"> = 10 and RKKY mechanism from more carriers in the bulk), the 2-step feature as shown in Fig.2a in the main text now degrades into a loop with 2 kinks near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=0</m:t>
        </m:r>
      </m:oMath>
      <w:r>
        <w:rPr>
          <w:rFonts w:ascii="Times New Roman" w:hAnsi="Times New Roman" w:cs="Times New Roman" w:hint="eastAsia"/>
          <w:sz w:val="24"/>
          <w:szCs w:val="24"/>
        </w:rPr>
        <w:t>.</w:t>
      </w:r>
      <w:r>
        <w:rPr>
          <w:rFonts w:ascii="Times New Roman" w:hAnsi="Times New Roman" w:cs="Times New Roman"/>
          <w:sz w:val="24"/>
          <w:szCs w:val="24"/>
        </w:rPr>
        <w:t xml:space="preserve"> When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rPr>
        <w:t xml:space="preserve"> is tuned towards -200 </w:t>
      </w:r>
      <w:r>
        <w:rPr>
          <w:rFonts w:ascii="Times New Roman" w:hAnsi="Times New Roman" w:cs="Times New Roman" w:hint="eastAsia"/>
          <w:sz w:val="24"/>
          <w:szCs w:val="24"/>
        </w:rPr>
        <w:t>V</w:t>
      </w:r>
      <w:r>
        <w:rPr>
          <w:rFonts w:ascii="Times New Roman" w:hAnsi="Times New Roman" w:cs="Times New Roman"/>
          <w:sz w:val="24"/>
          <w:szCs w:val="24"/>
        </w:rPr>
        <w:t xml:space="preserve">, the loops with kinks evolve into single loops, indicating the vanished Hall contribution from the bottom surface states. However, because of the bulk carriers, the </w:t>
      </w:r>
      <w:r>
        <w:rPr>
          <w:rFonts w:ascii="Times New Roman" w:hAnsi="Times New Roman" w:cs="Times New Roman" w:hint="eastAsia"/>
          <w:sz w:val="24"/>
          <w:szCs w:val="24"/>
        </w:rPr>
        <w:t>AHC</w:t>
      </w:r>
      <w:r>
        <w:rPr>
          <w:rFonts w:ascii="Times New Roman" w:hAnsi="Times New Roman" w:cs="Times New Roman"/>
          <w:sz w:val="24"/>
          <w:szCs w:val="24"/>
        </w:rPr>
        <w:t xml:space="preserve"> now becomes much smaller than </w:t>
      </w:r>
      <m:oMath>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rPr>
              <m:t>h</m:t>
            </m:r>
          </m:den>
        </m:f>
      </m:oMath>
      <w:r>
        <w:rPr>
          <w:rFonts w:ascii="Times New Roman" w:hAnsi="Times New Roman" w:cs="Times New Roman" w:hint="eastAsia"/>
          <w:sz w:val="24"/>
          <w:szCs w:val="24"/>
        </w:rPr>
        <w:t>.</w:t>
      </w:r>
      <w:r>
        <w:rPr>
          <w:rFonts w:ascii="Times New Roman" w:hAnsi="Times New Roman" w:cs="Times New Roman"/>
          <w:sz w:val="24"/>
          <w:szCs w:val="24"/>
        </w:rPr>
        <w:t xml:space="preserve"> A</w:t>
      </w:r>
      <w:r>
        <w:rPr>
          <w:rFonts w:ascii="Times New Roman" w:hAnsi="Times New Roman" w:cs="Times New Roman" w:hint="eastAsia"/>
          <w:sz w:val="24"/>
          <w:szCs w:val="24"/>
        </w:rPr>
        <w:t>no</w:t>
      </w:r>
      <w:r>
        <w:rPr>
          <w:rFonts w:ascii="Times New Roman" w:hAnsi="Times New Roman" w:cs="Times New Roman"/>
          <w:sz w:val="24"/>
          <w:szCs w:val="24"/>
        </w:rPr>
        <w:t xml:space="preserve">ther possible explanation is that the Fermi level at the </w:t>
      </w:r>
      <w:r>
        <w:rPr>
          <w:rFonts w:ascii="Times New Roman" w:hAnsi="Times New Roman" w:cs="Times New Roman"/>
          <w:sz w:val="24"/>
          <w:szCs w:val="24"/>
        </w:rPr>
        <w:lastRenderedPageBreak/>
        <w:t>top VBST layers is near the bottom edge of the exchange gap, such that the bottom gate voltage can drive the Fermi level to slightly crossing the valence bands, giving rise to the reduced AHC.</w:t>
      </w:r>
    </w:p>
    <w:p w:rsidR="00723CAE" w:rsidRDefault="00E21C70">
      <w:pPr>
        <w:widowControl/>
        <w:spacing w:line="360" w:lineRule="auto"/>
        <w:jc w:val="center"/>
        <w:rPr>
          <w:rFonts w:ascii="Times New Roman" w:hAnsi="Times New Roman" w:cs="Times New Roman"/>
          <w:b/>
          <w:sz w:val="24"/>
          <w:szCs w:val="24"/>
        </w:rPr>
      </w:pPr>
      <w:r>
        <w:rPr>
          <w:noProof/>
        </w:rPr>
        <w:drawing>
          <wp:inline distT="0" distB="0" distL="0" distR="0">
            <wp:extent cx="3779520" cy="3601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792640" cy="3614104"/>
                    </a:xfrm>
                    <a:prstGeom prst="rect">
                      <a:avLst/>
                    </a:prstGeom>
                  </pic:spPr>
                </pic:pic>
              </a:graphicData>
            </a:graphic>
          </wp:inline>
        </w:drawing>
      </w:r>
    </w:p>
    <w:p w:rsidR="00723CAE" w:rsidRDefault="00E21C70">
      <w:pPr>
        <w:widowControl/>
        <w:spacing w:line="360" w:lineRule="auto"/>
        <w:rPr>
          <w:rFonts w:ascii="Times New Roman" w:hAnsi="Times New Roman" w:cs="Times New Roman"/>
          <w:sz w:val="24"/>
          <w:szCs w:val="24"/>
        </w:rPr>
      </w:pPr>
      <w:r>
        <w:rPr>
          <w:rFonts w:ascii="Times New Roman" w:hAnsi="Times New Roman" w:cs="Times New Roman"/>
          <w:b/>
          <w:sz w:val="24"/>
          <w:szCs w:val="24"/>
        </w:rPr>
        <w:t xml:space="preserve">Fig. S7 | Deviation from HQLHE in the presence of </w:t>
      </w:r>
      <w:r>
        <w:rPr>
          <w:rFonts w:ascii="Times New Roman" w:hAnsi="Times New Roman" w:cs="Times New Roman" w:hint="eastAsia"/>
          <w:b/>
          <w:sz w:val="24"/>
          <w:szCs w:val="24"/>
        </w:rPr>
        <w:t>b</w:t>
      </w:r>
      <w:r>
        <w:rPr>
          <w:rFonts w:ascii="Times New Roman" w:hAnsi="Times New Roman" w:cs="Times New Roman"/>
          <w:b/>
          <w:sz w:val="24"/>
          <w:szCs w:val="24"/>
        </w:rPr>
        <w:t xml:space="preserve">ulk carriers. a, </w:t>
      </w:r>
      <w:bookmarkStart w:id="6" w:name="_Hlk196379030"/>
      <w:bookmarkStart w:id="7" w:name="_Hlk196321044"/>
      <w:r>
        <w:rPr>
          <w:rFonts w:ascii="Times New Roman" w:hAnsi="Times New Roman" w:cs="Times New Roman" w:hint="eastAsia"/>
          <w:sz w:val="24"/>
          <w:szCs w:val="24"/>
        </w:rPr>
        <w:t>De</w:t>
      </w:r>
      <w:r>
        <w:rPr>
          <w:rFonts w:ascii="Times New Roman" w:hAnsi="Times New Roman" w:cs="Times New Roman"/>
          <w:sz w:val="24"/>
          <w:szCs w:val="24"/>
        </w:rPr>
        <w:t>pendence of</w:t>
      </w:r>
      <w:r>
        <w:rPr>
          <w:rFonts w:ascii="Times New Roman" w:hAnsi="Times New Roman" w:cs="Times New Roman"/>
          <w:b/>
          <w:sz w:val="24"/>
          <w:szCs w:val="24"/>
        </w:rPr>
        <w:t xml:space="preserve"> </w:t>
      </w:r>
      <w:r>
        <w:rPr>
          <w:rFonts w:ascii="Times New Roman" w:hAnsi="Times New Roman" w:cs="Times New Roman"/>
          <w:sz w:val="24"/>
          <w:szCs w:val="24"/>
        </w:rPr>
        <w:t>the Hall conductance</w:t>
      </w:r>
      <w:r>
        <w:rPr>
          <w:rFonts w:ascii="Times New Roman" w:hAnsi="Times New Roman" w:cs="Times New Roman"/>
          <w:b/>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hint="eastAsia"/>
          <w:sz w:val="24"/>
          <w:szCs w:val="24"/>
        </w:rPr>
        <w:t xml:space="preserve"> o</w:t>
      </w:r>
      <w:r>
        <w:rPr>
          <w:rFonts w:ascii="Times New Roman" w:hAnsi="Times New Roman" w:cs="Times New Roman"/>
          <w:sz w:val="24"/>
          <w:szCs w:val="24"/>
        </w:rPr>
        <w:t>n the magnetic field</w:t>
      </w:r>
      <w:bookmarkEnd w:id="6"/>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oMath>
      <w:r>
        <w:rPr>
          <w:rFonts w:ascii="Times New Roman" w:hAnsi="Times New Roman" w:cs="Times New Roman" w:hint="eastAsia"/>
          <w:sz w:val="24"/>
          <w:szCs w:val="24"/>
        </w:rPr>
        <w:t xml:space="preserve"> </w:t>
      </w:r>
      <w:r>
        <w:rPr>
          <w:rFonts w:ascii="Times New Roman" w:hAnsi="Times New Roman" w:cs="Times New Roman"/>
          <w:sz w:val="24"/>
          <w:szCs w:val="24"/>
        </w:rPr>
        <w:t>of Device A11 (</w:t>
      </w:r>
      <w:r>
        <w:rPr>
          <w:rFonts w:ascii="Times New Roman" w:hAnsi="Times New Roman" w:cs="Times New Roman"/>
          <w:i/>
          <w:sz w:val="24"/>
          <w:szCs w:val="24"/>
        </w:rPr>
        <w:t>m</w:t>
      </w:r>
      <w:r>
        <w:rPr>
          <w:rFonts w:ascii="Times New Roman" w:hAnsi="Times New Roman" w:cs="Times New Roman"/>
          <w:sz w:val="24"/>
          <w:szCs w:val="24"/>
        </w:rPr>
        <w:t xml:space="preserve"> = 10 QL, </w:t>
      </w:r>
      <w:r>
        <w:rPr>
          <w:rFonts w:ascii="Times New Roman" w:hAnsi="Times New Roman" w:cs="Times New Roman"/>
          <w:i/>
          <w:sz w:val="24"/>
          <w:szCs w:val="24"/>
        </w:rPr>
        <w:t>x</w:t>
      </w:r>
      <w:r>
        <w:rPr>
          <w:rFonts w:ascii="Times New Roman" w:hAnsi="Times New Roman" w:cs="Times New Roman"/>
          <w:sz w:val="24"/>
          <w:szCs w:val="24"/>
        </w:rPr>
        <w:t xml:space="preserve"> = 0.19, </w:t>
      </w:r>
      <w:r>
        <w:rPr>
          <w:rFonts w:ascii="Times New Roman" w:hAnsi="Times New Roman" w:cs="Times New Roman"/>
          <w:i/>
          <w:sz w:val="24"/>
          <w:szCs w:val="24"/>
        </w:rPr>
        <w:t>y</w:t>
      </w:r>
      <w:r>
        <w:rPr>
          <w:rFonts w:ascii="Times New Roman" w:hAnsi="Times New Roman" w:cs="Times New Roman"/>
          <w:sz w:val="24"/>
          <w:szCs w:val="24"/>
        </w:rPr>
        <w:t xml:space="preserve"> = 0.11, </w:t>
      </w:r>
      <w:r>
        <w:rPr>
          <w:rFonts w:ascii="Times New Roman" w:hAnsi="Times New Roman" w:cs="Times New Roman"/>
          <w:i/>
          <w:sz w:val="24"/>
          <w:szCs w:val="24"/>
        </w:rPr>
        <w:t>η</w:t>
      </w:r>
      <w:r>
        <w:rPr>
          <w:rFonts w:ascii="Times New Roman" w:hAnsi="Times New Roman" w:cs="Times New Roman"/>
          <w:sz w:val="24"/>
          <w:szCs w:val="24"/>
        </w:rPr>
        <w:t xml:space="preserve"> = 0.73)</w:t>
      </w:r>
      <w:r>
        <w:rPr>
          <w:rFonts w:ascii="Times New Roman" w:hAnsi="Times New Roman" w:cs="Times New Roman" w:hint="eastAsia"/>
          <w:sz w:val="24"/>
          <w:szCs w:val="24"/>
        </w:rPr>
        <w:t>,</w:t>
      </w:r>
      <w:r>
        <w:rPr>
          <w:rFonts w:ascii="Times New Roman" w:hAnsi="Times New Roman" w:cs="Times New Roman"/>
          <w:sz w:val="24"/>
          <w:szCs w:val="24"/>
        </w:rPr>
        <w:t xml:space="preserve"> measured at different bottom gate voltage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rPr>
        <w:t>.</w:t>
      </w:r>
      <w:bookmarkEnd w:id="7"/>
      <w:r>
        <w:rPr>
          <w:rFonts w:ascii="Times New Roman" w:hAnsi="Times New Roman" w:cs="Times New Roman"/>
          <w:b/>
          <w:sz w:val="24"/>
          <w:szCs w:val="24"/>
        </w:rPr>
        <w:t xml:space="preserve"> b, </w:t>
      </w:r>
      <w:bookmarkStart w:id="8" w:name="_Hlk196321068"/>
      <w:r>
        <w:rPr>
          <w:rFonts w:ascii="Times New Roman" w:hAnsi="Times New Roman" w:cs="Times New Roman"/>
          <w:sz w:val="24"/>
          <w:szCs w:val="24"/>
        </w:rPr>
        <w:t xml:space="preserve">The dependence of the zero field Hall conductance on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rPr>
        <w:t xml:space="preserve"> with parallel magnetization configuration of Device A11.</w:t>
      </w:r>
      <w:bookmarkEnd w:id="8"/>
      <w:r>
        <w:rPr>
          <w:rFonts w:ascii="Times New Roman" w:hAnsi="Times New Roman" w:cs="Times New Roman"/>
          <w:sz w:val="24"/>
          <w:szCs w:val="24"/>
        </w:rPr>
        <w:t xml:space="preserve"> </w:t>
      </w:r>
      <w:r>
        <w:rPr>
          <w:rFonts w:ascii="Times New Roman" w:hAnsi="Times New Roman" w:cs="Times New Roman"/>
          <w:b/>
          <w:sz w:val="24"/>
          <w:szCs w:val="24"/>
        </w:rPr>
        <w:t xml:space="preserve">c, </w:t>
      </w:r>
      <w:r>
        <w:rPr>
          <w:rFonts w:ascii="Times New Roman" w:hAnsi="Times New Roman" w:cs="Times New Roman" w:hint="eastAsia"/>
          <w:sz w:val="24"/>
          <w:szCs w:val="24"/>
        </w:rPr>
        <w:t>De</w:t>
      </w:r>
      <w:r>
        <w:rPr>
          <w:rFonts w:ascii="Times New Roman" w:hAnsi="Times New Roman" w:cs="Times New Roman"/>
          <w:sz w:val="24"/>
          <w:szCs w:val="24"/>
        </w:rPr>
        <w:t>pendence of</w:t>
      </w:r>
      <w:r>
        <w:rPr>
          <w:rFonts w:ascii="Times New Roman" w:hAnsi="Times New Roman" w:cs="Times New Roman"/>
          <w:b/>
          <w:sz w:val="24"/>
          <w:szCs w:val="24"/>
        </w:rPr>
        <w:t xml:space="preserve"> </w:t>
      </w:r>
      <w:r>
        <w:rPr>
          <w:rFonts w:ascii="Times New Roman" w:hAnsi="Times New Roman" w:cs="Times New Roman"/>
          <w:sz w:val="24"/>
          <w:szCs w:val="24"/>
        </w:rPr>
        <w:t>the Hall conductance</w:t>
      </w:r>
      <w:r>
        <w:rPr>
          <w:rFonts w:ascii="Times New Roman" w:hAnsi="Times New Roman" w:cs="Times New Roman"/>
          <w:b/>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hint="eastAsia"/>
          <w:sz w:val="24"/>
          <w:szCs w:val="24"/>
        </w:rPr>
        <w:t xml:space="preserve"> o</w:t>
      </w:r>
      <w:r>
        <w:rPr>
          <w:rFonts w:ascii="Times New Roman" w:hAnsi="Times New Roman" w:cs="Times New Roman"/>
          <w:sz w:val="24"/>
          <w:szCs w:val="24"/>
        </w:rPr>
        <w:t xml:space="preserve">n the magnetic field </w:t>
      </w:r>
      <m:oMath>
        <m:sSub>
          <m:sSubPr>
            <m:ctrlPr>
              <w:rPr>
                <w:rFonts w:ascii="Cambria Math" w:hAnsi="Cambria Math" w:cs="Times New Roman"/>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r>
          <w:rPr>
            <w:rFonts w:ascii="Cambria Math" w:hAnsi="Cambria Math" w:cs="Times New Roman"/>
            <w:sz w:val="24"/>
            <w:szCs w:val="24"/>
          </w:rPr>
          <m:t>H</m:t>
        </m:r>
      </m:oMath>
      <w:r>
        <w:rPr>
          <w:rFonts w:ascii="Times New Roman" w:hAnsi="Times New Roman" w:cs="Times New Roman" w:hint="eastAsia"/>
          <w:sz w:val="24"/>
          <w:szCs w:val="24"/>
        </w:rPr>
        <w:t xml:space="preserve"> </w:t>
      </w:r>
      <w:r>
        <w:rPr>
          <w:rFonts w:ascii="Times New Roman" w:hAnsi="Times New Roman" w:cs="Times New Roman"/>
          <w:sz w:val="24"/>
          <w:szCs w:val="24"/>
        </w:rPr>
        <w:t>of Device A12 (</w:t>
      </w:r>
      <w:r>
        <w:rPr>
          <w:rFonts w:ascii="Times New Roman" w:hAnsi="Times New Roman" w:cs="Times New Roman"/>
          <w:i/>
          <w:sz w:val="24"/>
          <w:szCs w:val="24"/>
        </w:rPr>
        <w:t>m</w:t>
      </w:r>
      <w:r>
        <w:rPr>
          <w:rFonts w:ascii="Times New Roman" w:hAnsi="Times New Roman" w:cs="Times New Roman"/>
          <w:sz w:val="24"/>
          <w:szCs w:val="24"/>
        </w:rPr>
        <w:t xml:space="preserve"> = 10 QL, </w:t>
      </w:r>
      <w:r>
        <w:rPr>
          <w:rFonts w:ascii="Times New Roman" w:hAnsi="Times New Roman" w:cs="Times New Roman"/>
          <w:i/>
          <w:sz w:val="24"/>
          <w:szCs w:val="24"/>
        </w:rPr>
        <w:t>x</w:t>
      </w:r>
      <w:r>
        <w:rPr>
          <w:rFonts w:ascii="Times New Roman" w:hAnsi="Times New Roman" w:cs="Times New Roman"/>
          <w:sz w:val="24"/>
          <w:szCs w:val="24"/>
        </w:rPr>
        <w:t xml:space="preserve"> = 0.19, </w:t>
      </w:r>
      <w:r>
        <w:rPr>
          <w:rFonts w:ascii="Times New Roman" w:hAnsi="Times New Roman" w:cs="Times New Roman"/>
          <w:i/>
          <w:sz w:val="24"/>
          <w:szCs w:val="24"/>
        </w:rPr>
        <w:t>y</w:t>
      </w:r>
      <w:r>
        <w:rPr>
          <w:rFonts w:ascii="Times New Roman" w:hAnsi="Times New Roman" w:cs="Times New Roman"/>
          <w:sz w:val="24"/>
          <w:szCs w:val="24"/>
        </w:rPr>
        <w:t xml:space="preserve"> = 0.11, </w:t>
      </w:r>
      <w:r>
        <w:rPr>
          <w:rFonts w:ascii="Times New Roman" w:hAnsi="Times New Roman" w:cs="Times New Roman"/>
          <w:i/>
          <w:sz w:val="24"/>
          <w:szCs w:val="24"/>
        </w:rPr>
        <w:t>η</w:t>
      </w:r>
      <w:r>
        <w:rPr>
          <w:rFonts w:ascii="Times New Roman" w:hAnsi="Times New Roman" w:cs="Times New Roman"/>
          <w:sz w:val="24"/>
          <w:szCs w:val="24"/>
        </w:rPr>
        <w:t xml:space="preserve"> = 0.62)</w:t>
      </w:r>
      <w:r>
        <w:rPr>
          <w:rFonts w:ascii="Times New Roman" w:hAnsi="Times New Roman" w:cs="Times New Roman" w:hint="eastAsia"/>
          <w:sz w:val="24"/>
          <w:szCs w:val="24"/>
        </w:rPr>
        <w:t>,</w:t>
      </w:r>
      <w:r>
        <w:rPr>
          <w:rFonts w:ascii="Times New Roman" w:hAnsi="Times New Roman" w:cs="Times New Roman"/>
          <w:sz w:val="24"/>
          <w:szCs w:val="24"/>
        </w:rPr>
        <w:t xml:space="preserve"> measured at different bottom gate voltage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rPr>
        <w:t>.</w:t>
      </w:r>
      <w:r>
        <w:rPr>
          <w:rFonts w:ascii="Times New Roman" w:hAnsi="Times New Roman" w:cs="Times New Roman"/>
          <w:b/>
          <w:sz w:val="24"/>
          <w:szCs w:val="24"/>
        </w:rPr>
        <w:t xml:space="preserve"> d,</w:t>
      </w:r>
      <w:r>
        <w:rPr>
          <w:rFonts w:ascii="Times New Roman" w:hAnsi="Times New Roman" w:cs="Times New Roman"/>
          <w:sz w:val="24"/>
          <w:szCs w:val="24"/>
        </w:rPr>
        <w:t xml:space="preserve"> The dependence of the zero field Hall conductance on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oMath>
      <w:r>
        <w:rPr>
          <w:rFonts w:ascii="Times New Roman" w:hAnsi="Times New Roman" w:cs="Times New Roman"/>
          <w:sz w:val="24"/>
          <w:szCs w:val="24"/>
        </w:rPr>
        <w:t xml:space="preserve"> with parallel magnetization configuration of Device A12.</w:t>
      </w:r>
    </w:p>
    <w:p w:rsidR="00723CAE" w:rsidRDefault="00723CAE">
      <w:pPr>
        <w:widowControl/>
        <w:spacing w:line="360" w:lineRule="auto"/>
        <w:rPr>
          <w:rFonts w:ascii="Times New Roman" w:hAnsi="Times New Roman" w:cs="Times New Roman"/>
          <w:b/>
          <w:sz w:val="24"/>
          <w:szCs w:val="24"/>
        </w:rPr>
      </w:pPr>
    </w:p>
    <w:p w:rsidR="00723CAE" w:rsidRDefault="00E21C70">
      <w:pPr>
        <w:pStyle w:val="af"/>
        <w:widowControl/>
        <w:numPr>
          <w:ilvl w:val="0"/>
          <w:numId w:val="2"/>
        </w:numPr>
        <w:spacing w:line="360" w:lineRule="auto"/>
        <w:ind w:firstLineChars="0"/>
        <w:rPr>
          <w:rFonts w:ascii="Times New Roman" w:hAnsi="Times New Roman" w:cs="Times New Roman"/>
          <w:b/>
          <w:sz w:val="24"/>
          <w:szCs w:val="24"/>
        </w:rPr>
      </w:pPr>
      <w:r>
        <w:rPr>
          <w:rFonts w:ascii="Times New Roman" w:hAnsi="Times New Roman" w:cs="Times New Roman"/>
          <w:b/>
          <w:sz w:val="24"/>
          <w:szCs w:val="24"/>
        </w:rPr>
        <w:t>Discussion on other AHC mechanisms</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Contributions to the full AHC can be characterized into three main kinds: intrinsic, skew scattering, and side-jump.</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{"citationID":"fj4ZRaav","properties":{"formattedCitation":"\\super 7\\nosupersub{}","plainCitation":"7","noteIndex":0},"citationItems":[{"id":2923,"uris":["http://zotero.org/users/14803691/items/2W5KJM6C"],"itemData":{"id":2923,"type":"article-journal","abstract":"The anomalous Hall effect (AHE) occurs in solids with broken time-reversal symmetry, typically in a ferromagnetic phase, as a consequence of spin-orbit coupling. Experimental and theoretical studies of the AHE are reviewed, focusing on recent developments that have provided a more complete framework for understanding this subtle phenomenon and have, in many instances, replaced controversy by clarity. Synergy between experimental and theoretical works, both playing a crucial role, has been at the heart of these advances. On the theoretical front, the adoption of the Berry-phase concepts has established a link between the AHE and the topological nature of the Hall currents. On the experimental front, new experimental studies of the AHE in transition metals, transition-metal oxides, spinels, pyrochlores, and metallic dilute magnetic semiconductors have established systematic trends. These two developments, in concert with first-principles electronic structure calculations, strongly favor the dominance of an intrinsic Berry-phase-related AHE mechanism in metallic ferromagnets with moderate conductivity. The intrinsic AHE can be expressed in terms of the Berry-phase curvatures and it is therefore an intrinsic quantum-mechanical property of a perfect crystal. An extrinsic mechanism, skew scattering from disorder, tends to dominate the AHE in highly conductive ferromagnets. The full modern semiclassical treatment of the AHE is reviewed which incorporates an anomalous contribution to wave-packet group velocity due to momentum-space Berry curvatures and correctly combines the roles of intrinsic and extrinsic (skew-scattering and side-jump) scattering-related mechanisms. In addition, more rigorous quantum-mechanical treatments based on the Kubo and Keldysh formalisms are reviewed, taking into account multiband effects, and demonstrate the equivalence of all three linear response theories in the metallic regime. Building on results from recent experiment and theory, a tentative global view of the AHE is proposed which summarizes the roles played by intrinsic and extrinsic contributions in the disorder strength versus temperature plane. Finally outstanding issues and avenues for future investigation are discussed.","container-title":"Reviews of Modern Physics","DOI":"10.1103/RevModPhys.82.1539","issue":"2","journalAbbreviation":"Rev. Mod. Phys.","language":"en-US","note":"publisher: American Physical Society","page":"1539-1592","source":"APS","title":"Anomalous Hall effect","volume":"82","author":[{"family":"Nagaosa","given":"Naoto"},{"family":"Sinova","given":"Jairo"},{"family":"Onoda","given":"Shigeki"},{"family":"MacDonald","given":"A. H."},{"family":"Ong","given":"N. P."}],"issued":{"date-parts":[["2010",5,13]]}}}],"schema":"https://github.com/citation-style-language/schema/raw/master/csl-citation.json"}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vertAlign w:val="superscript"/>
        </w:rPr>
        <w:t>7</w:t>
      </w:r>
      <w:r>
        <w:rPr>
          <w:rFonts w:ascii="Times New Roman" w:hAnsi="Times New Roman" w:cs="Times New Roman"/>
          <w:sz w:val="24"/>
          <w:szCs w:val="24"/>
        </w:rPr>
        <w:fldChar w:fldCharType="end"/>
      </w:r>
      <w:r>
        <w:rPr>
          <w:rFonts w:ascii="Times New Roman" w:hAnsi="Times New Roman" w:cs="Times New Roman"/>
          <w:sz w:val="24"/>
          <w:szCs w:val="24"/>
        </w:rPr>
        <w:t xml:space="preserve"> As described in the main text, the HQLHE exhibits </w:t>
      </w:r>
      <w:r>
        <w:rPr>
          <w:rFonts w:ascii="Times New Roman" w:hAnsi="Times New Roman" w:cs="Times New Roman"/>
          <w:sz w:val="24"/>
          <w:szCs w:val="24"/>
        </w:rPr>
        <w:lastRenderedPageBreak/>
        <w:t xml:space="preserve">significant quantized AHC, which can be naturally explained by the giant Berry curvatures of the topological surface bands (intrinsic AHC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int</m:t>
            </m:r>
          </m:sup>
        </m:sSubSup>
      </m:oMath>
      <w:r>
        <w:rPr>
          <w:rFonts w:ascii="Times New Roman" w:hAnsi="Times New Roman" w:cs="Times New Roman"/>
          <w:sz w:val="24"/>
          <w:szCs w:val="24"/>
        </w:rPr>
        <w:t xml:space="preserve">). </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The skew scattering contribution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skew</m:t>
            </m:r>
          </m:sup>
        </m:sSubSup>
      </m:oMath>
      <w:r>
        <w:rPr>
          <w:rFonts w:ascii="Times New Roman" w:hAnsi="Times New Roman" w:cs="Times New Roman"/>
          <w:sz w:val="24"/>
          <w:szCs w:val="24"/>
        </w:rPr>
        <w:t xml:space="preserve"> starts to play a role when the sample is in the “clean limit”, usually with large mean-free path and high-density carriers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{"citationID":"qg9PmEEQ","properties":{"formattedCitation":"\\super 8\\nosupersub{}","plainCitation":"8","noteIndex":0},"citationItems":[{"id":3105,"uris":["http://zotero.org/users/14803691/items/NPRTVYMN"],"itemData":{"id":3105,"type":"article-journal","abstract":"A unified theory of the anomalous Hall effect (AHE) is presented for multiband ferromagnetic metals with dilute impurities. In the clean limit, the AHE is mostly due to extrinsic skew scattering. When the Fermi level is located around anticrossing of band dispersions split by spin-orbit interaction, the intrinsic AHE to be calculated ab initio is resonantly enhanced by its nonperturbative nature, revealing the extrinsic-to-intrinsic crossover which occurs when the relaxation rate is comparable to the spin-orbit coupling.","container-title":"Physical Review Letters","DOI":"10.1103/PhysRevLett.97.126602","issue":"12","journalAbbreviation":"Phys. Rev. Lett.","note":"publisher: American Physical Society","page":"126602","source":"APS","title":"Intrinsic Versus Extrinsic Anomalous Hall Effect in Ferromagnets","volume":"97","author":[{"family":"Onoda","given":"Shigeki"},{"family":"Sugimoto","given":"Naoyuki"},{"family":"Nagaosa","given":"Naoto"}],"issued":{"date-parts":[["2006",9,18]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vertAlign w:val="superscript"/>
        </w:rPr>
        <w:t>8</w:t>
      </w:r>
      <w:r>
        <w:rPr>
          <w:rFonts w:ascii="Times New Roman" w:hAnsi="Times New Roman" w:cs="Times New Roman"/>
          <w:sz w:val="24"/>
          <w:szCs w:val="24"/>
        </w:rPr>
        <w:fldChar w:fldCharType="end"/>
      </w:r>
      <w:r>
        <w:rPr>
          <w:rFonts w:ascii="Times New Roman" w:hAnsi="Times New Roman" w:cs="Times New Roman"/>
          <w:sz w:val="24"/>
          <w:szCs w:val="24"/>
        </w:rPr>
        <w:t>. The devices in this study with magnetic doping on top and bottom surfaces and near the CNP does not satisfy the “clean limit” condition (</w:t>
      </w:r>
      <m:oMath>
        <m:r>
          <m:rPr>
            <m:sty m:val="p"/>
          </m:rPr>
          <w:rPr>
            <w:rFonts w:ascii="Cambria Math" w:hAnsi="Cambria Math" w:cs="Times New Roman"/>
            <w:sz w:val="24"/>
            <w:szCs w:val="24"/>
          </w:rPr>
          <m:t>τ≫</m:t>
        </m:r>
        <m:f>
          <m:fPr>
            <m:type m:val="lin"/>
            <m:ctrlPr>
              <w:rPr>
                <w:rFonts w:ascii="Cambria Math" w:hAnsi="Cambria Math" w:cs="Times New Roman"/>
                <w:sz w:val="24"/>
                <w:szCs w:val="24"/>
              </w:rPr>
            </m:ctrlPr>
          </m:fPr>
          <m:num>
            <m:r>
              <w:rPr>
                <w:rFonts w:ascii="Cambria Math" w:hAnsi="Cambria Math" w:cs="Times New Roman"/>
                <w:sz w:val="24"/>
                <w:szCs w:val="24"/>
              </w:rPr>
              <m:t>ℏ</m:t>
            </m:r>
          </m:num>
          <m:den>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F</m:t>
                </m:r>
              </m:sub>
            </m:sSub>
          </m:den>
        </m:f>
      </m:oMath>
      <w:r>
        <w:rPr>
          <w:rFonts w:ascii="Times New Roman" w:hAnsi="Times New Roman" w:cs="Times New Roman" w:hint="eastAsia"/>
          <w:sz w:val="24"/>
          <w:szCs w:val="24"/>
        </w:rPr>
        <w:t>,</w:t>
      </w:r>
      <w:r>
        <w:rPr>
          <w:rFonts w:ascii="Times New Roman" w:hAnsi="Times New Roman" w:cs="Times New Roman"/>
          <w:sz w:val="24"/>
          <w:szCs w:val="24"/>
        </w:rPr>
        <w:t xml:space="preserve"> </w:t>
      </w:r>
      <m:oMath>
        <m:r>
          <m:rPr>
            <m:sty m:val="p"/>
          </m:rPr>
          <w:rPr>
            <w:rFonts w:ascii="Cambria Math" w:hAnsi="Cambria Math" w:cs="Times New Roman"/>
            <w:sz w:val="24"/>
            <w:szCs w:val="24"/>
          </w:rPr>
          <m:t>τ</m:t>
        </m:r>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relaxation time, </w:t>
      </w:r>
      <m:oMath>
        <m:sSub>
          <m:sSubPr>
            <m:ctrlPr>
              <w:rPr>
                <w:rFonts w:ascii="Cambria Math" w:hAnsi="Cambria Math" w:cs="Times New Roman"/>
                <w:sz w:val="24"/>
                <w:szCs w:val="24"/>
              </w:rPr>
            </m:ctrlPr>
          </m:sSubPr>
          <m:e>
            <m:r>
              <w:rPr>
                <w:rFonts w:ascii="Cambria Math" w:hAnsi="Cambria Math" w:cs="Times New Roman"/>
                <w:sz w:val="24"/>
                <w:szCs w:val="24"/>
              </w:rPr>
              <m:t>ε</m:t>
            </m:r>
          </m:e>
          <m:sub>
            <m:r>
              <w:rPr>
                <w:rFonts w:ascii="Cambria Math" w:hAnsi="Cambria Math" w:cs="Times New Roman"/>
                <w:sz w:val="24"/>
                <w:szCs w:val="24"/>
              </w:rPr>
              <m:t>F</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is the </w:t>
      </w:r>
      <w:r>
        <w:rPr>
          <w:rFonts w:ascii="Times New Roman" w:hAnsi="Times New Roman" w:cs="Times New Roman" w:hint="eastAsia"/>
          <w:sz w:val="24"/>
          <w:szCs w:val="24"/>
        </w:rPr>
        <w:t>F</w:t>
      </w:r>
      <w:r>
        <w:rPr>
          <w:rFonts w:ascii="Times New Roman" w:hAnsi="Times New Roman" w:cs="Times New Roman"/>
          <w:sz w:val="24"/>
          <w:szCs w:val="24"/>
        </w:rPr>
        <w:t>ermi energy defined with respect to the CNP). T</w:t>
      </w:r>
      <w:r>
        <w:rPr>
          <w:rFonts w:ascii="Times New Roman" w:hAnsi="Times New Roman" w:cs="Times New Roman" w:hint="eastAsia"/>
          <w:sz w:val="24"/>
          <w:szCs w:val="24"/>
        </w:rPr>
        <w:t>he</w:t>
      </w:r>
      <w:r>
        <w:rPr>
          <w:rFonts w:ascii="Times New Roman" w:hAnsi="Times New Roman" w:cs="Times New Roman"/>
          <w:sz w:val="24"/>
          <w:szCs w:val="24"/>
        </w:rPr>
        <w:t xml:space="preserve"> longitudinal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rPr>
        <w:t xml:space="preserve"> at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=-200 </m:t>
        </m:r>
        <m:r>
          <m:rPr>
            <m:sty m:val="p"/>
          </m:rPr>
          <w:rPr>
            <w:rFonts w:ascii="Cambria Math" w:hAnsi="Cambria Math" w:cs="Times New Roman"/>
            <w:sz w:val="24"/>
            <w:szCs w:val="24"/>
          </w:rPr>
          <m:t>V</m:t>
        </m:r>
      </m:oMath>
      <w:r>
        <w:rPr>
          <w:rFonts w:ascii="Times New Roman" w:hAnsi="Times New Roman" w:cs="Times New Roman"/>
          <w:sz w:val="24"/>
          <w:szCs w:val="24"/>
        </w:rPr>
        <w:t xml:space="preserve"> is around </w:t>
      </w:r>
      <m:oMath>
        <m:r>
          <m:rPr>
            <m:sty m:val="p"/>
          </m:rPr>
          <w:rPr>
            <w:rFonts w:ascii="Cambria Math" w:hAnsi="Cambria Math" w:cs="Times New Roman"/>
            <w:sz w:val="24"/>
            <w:szCs w:val="24"/>
          </w:rPr>
          <m:t>3.8</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for a film with ~26 nm thickness, which is much smaller comparing to typical skew scattering dominated case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r>
          <w:rPr>
            <w:rFonts w:ascii="Cambria Math" w:hAnsi="Cambria Math" w:cs="Times New Roman"/>
            <w:sz w:val="24"/>
            <w:szCs w:val="24"/>
          </w:rPr>
          <m:t>&gt;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sSup>
          <m:sSupPr>
            <m:ctrlPr>
              <w:rPr>
                <w:rFonts w:ascii="Cambria Math" w:hAnsi="Cambria Math" w:cs="Times New Roman"/>
                <w:i/>
                <w:sz w:val="24"/>
                <w:szCs w:val="24"/>
              </w:rPr>
            </m:ctrlPr>
          </m:sSupPr>
          <m:e>
            <m:r>
              <w:rPr>
                <w:rFonts w:ascii="Cambria Math" w:hAnsi="Cambria Math" w:cs="Times New Roman"/>
                <w:sz w:val="24"/>
                <w:szCs w:val="24"/>
              </w:rPr>
              <m:t>(</m:t>
            </m:r>
            <m:r>
              <m:rPr>
                <m:sty m:val="p"/>
              </m:rPr>
              <w:rPr>
                <w:rFonts w:ascii="Cambria Math" w:hAnsi="Cambria Math" w:cs="Times New Roman"/>
                <w:sz w:val="24"/>
                <w:szCs w:val="24"/>
              </w:rPr>
              <m:t>Ω</m:t>
            </m:r>
            <m:r>
              <w:rPr>
                <w:rFonts w:ascii="Cambria Math" w:hAnsi="Cambria Math" w:cs="Times New Roman"/>
                <w:sz w:val="24"/>
                <w:szCs w:val="24"/>
              </w:rPr>
              <m:t>cm)</m:t>
            </m:r>
          </m:e>
          <m:sup>
            <m:r>
              <w:rPr>
                <w:rFonts w:ascii="Cambria Math" w:hAnsi="Cambria Math" w:cs="Times New Roman"/>
                <w:sz w:val="24"/>
                <w:szCs w:val="24"/>
              </w:rPr>
              <m:t>-1</m:t>
            </m:r>
          </m:sup>
        </m:sSup>
      </m:oMath>
      <w:r>
        <w:rPr>
          <w:rFonts w:ascii="Times New Roman" w:hAnsi="Times New Roman" w:cs="Times New Roman" w:hint="eastAsia"/>
          <w:sz w:val="24"/>
          <w:szCs w:val="24"/>
        </w:rPr>
        <w:t>.</w:t>
      </w:r>
      <w:r>
        <w:rPr>
          <w:rFonts w:ascii="Times New Roman" w:hAnsi="Times New Roman" w:cs="Times New Roman"/>
          <w:sz w:val="24"/>
          <w:szCs w:val="24"/>
        </w:rPr>
        <w:t xml:space="preserve"> Moreover,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Times New Roman" w:hAnsi="Times New Roman" w:cs="Times New Roman"/>
                <w:sz w:val="24"/>
                <w:szCs w:val="24"/>
              </w:rPr>
              <m:t>skew</m:t>
            </m:r>
          </m:sup>
        </m:sSubSup>
      </m:oMath>
      <w:r>
        <w:rPr>
          <w:rFonts w:ascii="Times New Roman" w:hAnsi="Times New Roman" w:cs="Times New Roman"/>
          <w:sz w:val="24"/>
          <w:szCs w:val="24"/>
        </w:rPr>
        <w:t xml:space="preserve"> is proportional to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r>
          <w:rPr>
            <w:rFonts w:ascii="Cambria Math" w:hAnsi="Times New Roman" w:cs="Times New Roman"/>
            <w:sz w:val="24"/>
            <w:szCs w:val="24"/>
          </w:rPr>
          <m:t xml:space="preserve"> </m:t>
        </m:r>
      </m:oMath>
      <w:r>
        <w:rPr>
          <w:rFonts w:ascii="Times New Roman" w:hAnsi="Times New Roman" w:cs="Times New Roman" w:hint="eastAsia"/>
          <w:sz w:val="24"/>
          <w:szCs w:val="24"/>
        </w:rPr>
        <w:t>,</w:t>
      </w:r>
      <w:r>
        <w:rPr>
          <w:rFonts w:ascii="Times New Roman" w:hAnsi="Times New Roman" w:cs="Times New Roman"/>
          <w:sz w:val="24"/>
          <w:szCs w:val="24"/>
        </w:rPr>
        <w:t>which clearly does not apply in our cases where the AHC near half-quantization is independent of</w:t>
      </w:r>
      <w:r>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rPr>
        <w:t xml:space="preserve">. </w:t>
      </w:r>
    </w:p>
    <w:p w:rsidR="00723CAE" w:rsidRDefault="00E21C70" w:rsidP="00422261">
      <w:pPr>
        <w:widowControl/>
        <w:spacing w:line="360" w:lineRule="auto"/>
        <w:ind w:firstLineChars="50" w:firstLine="120"/>
        <w:rPr>
          <w:rFonts w:ascii="Times New Roman" w:hAnsi="Times New Roman" w:cs="Times New Roman"/>
          <w:sz w:val="24"/>
          <w:szCs w:val="24"/>
        </w:rPr>
      </w:pPr>
      <w:bookmarkStart w:id="9" w:name="OLE_LINK3"/>
      <w:bookmarkStart w:id="10" w:name="OLE_LINK4"/>
      <w:r>
        <w:rPr>
          <w:rFonts w:ascii="Times New Roman" w:hAnsi="Times New Roman" w:cs="Times New Roman"/>
          <w:sz w:val="24"/>
          <w:szCs w:val="24"/>
        </w:rPr>
        <w:t xml:space="preserve">The side jump contribution </w:t>
      </w:r>
      <m:oMath>
        <m:sSubSup>
          <m:sSubSupPr>
            <m:ctrlPr>
              <w:rPr>
                <w:rFonts w:ascii="Cambria Math" w:hAnsi="Cambria Math" w:cs="Times New Roman"/>
                <w:sz w:val="24"/>
                <w:szCs w:val="24"/>
              </w:rPr>
            </m:ctrlPr>
          </m:sSubSupPr>
          <m:e>
            <m:r>
              <w:rPr>
                <w:rFonts w:ascii="Cambria Math" w:hAnsi="Cambria Math" w:cs="Times New Roman"/>
                <w:sz w:val="24"/>
                <w:szCs w:val="24"/>
              </w:rPr>
              <m:t>σ</m:t>
            </m:r>
          </m:e>
          <m:sub>
            <m:r>
              <w:rPr>
                <w:rFonts w:ascii="Cambria Math" w:hAnsi="Cambria Math" w:cs="Times New Roman"/>
                <w:sz w:val="24"/>
                <w:szCs w:val="24"/>
              </w:rPr>
              <m:t>xy</m:t>
            </m:r>
          </m:sub>
          <m:sup>
            <m:r>
              <m:rPr>
                <m:nor/>
              </m:rPr>
              <w:rPr>
                <w:rFonts w:ascii="Cambria Math" w:hAnsi="Times New Roman" w:cs="Times New Roman"/>
                <w:sz w:val="24"/>
                <w:szCs w:val="24"/>
              </w:rPr>
              <m:t>sj</m:t>
            </m:r>
          </m:sup>
        </m:sSubSup>
      </m:oMath>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is rather complicated in the sense that it is also independent of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hint="eastAsia"/>
          <w:sz w:val="24"/>
          <w:szCs w:val="24"/>
        </w:rPr>
        <w:t xml:space="preserve"> </w:t>
      </w:r>
      <w:r>
        <w:rPr>
          <w:rFonts w:ascii="Times New Roman" w:hAnsi="Times New Roman" w:cs="Times New Roman"/>
          <w:sz w:val="24"/>
          <w:szCs w:val="24"/>
        </w:rPr>
        <w:t>and is closely related to the intrinsic Berry curvature in materials with strong spin-orbit coupling.</w:t>
      </w:r>
      <w:bookmarkEnd w:id="9"/>
      <w:bookmarkEnd w:id="10"/>
      <w:r>
        <w:rPr>
          <w:rFonts w:ascii="Times New Roman" w:hAnsi="Times New Roman" w:cs="Times New Roman"/>
          <w:sz w:val="24"/>
          <w:szCs w:val="24"/>
        </w:rPr>
        <w:t xml:space="preserve"> The strong consistency between the experimental AHE data and theoretical models serves as compelling evidence that the intrinsic Berry curvature is the dominant contributor to the observed AHE signals.</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We conclude that the dominating mechanism of AHC in this study is intrinsic, similar to the metallic diluted magnetic semiconductor systems, as confirmed by experiments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{"citationID":"UtCQVdm2","properties":{"formattedCitation":"\\super 9\\nosupersub{}","plainCitation":"9","noteIndex":0},"citationItems":[{"id":2936,"uris":["http://zotero.org/users/14803691/items/F5E5D93P"],"itemData":{"id":2936,"type":"article-journal","abstract":"Investigating the scaling behavior of annealed Ga1−</w:instrText>
      </w:r>
      <w:r>
        <w:rPr>
          <w:rFonts w:ascii="Cambria Math" w:hAnsi="Cambria Math" w:cs="Cambria Math"/>
          <w:sz w:val="24"/>
          <w:szCs w:val="24"/>
        </w:rPr>
        <w:instrText>𝑥</w:instrText>
      </w:r>
      <w:r>
        <w:rPr>
          <w:rFonts w:ascii="Times New Roman" w:hAnsi="Times New Roman" w:cs="Times New Roman"/>
          <w:sz w:val="24"/>
          <w:szCs w:val="24"/>
        </w:rPr>
        <w:instrText>⁢Mn</w:instrText>
      </w:r>
      <w:r>
        <w:rPr>
          <w:rFonts w:ascii="Cambria Math" w:hAnsi="Cambria Math" w:cs="Cambria Math"/>
          <w:sz w:val="24"/>
          <w:szCs w:val="24"/>
        </w:rPr>
        <w:instrText>𝑥</w:instrText>
      </w:r>
      <w:r>
        <w:rPr>
          <w:rFonts w:ascii="Times New Roman" w:hAnsi="Times New Roman" w:cs="Times New Roman"/>
          <w:sz w:val="24"/>
          <w:szCs w:val="24"/>
        </w:rPr>
        <w:instrText xml:space="preserve">⁢As anomalous Hall coefficients, we note a universal crossover regime where the scaling behavior changes from quadratic to linear. Furthermore, measured anomalous Hall conductivities in the quadratic regime when properly scaled by carrier concentration remain constant, spanning nearly a decade in conductivity as well as over 100 K in </w:instrText>
      </w:r>
      <w:r>
        <w:rPr>
          <w:rFonts w:ascii="Cambria Math" w:hAnsi="Cambria Math" w:cs="Cambria Math"/>
          <w:sz w:val="24"/>
          <w:szCs w:val="24"/>
        </w:rPr>
        <w:instrText>𝑇𝐶</w:instrText>
      </w:r>
      <w:r>
        <w:rPr>
          <w:rFonts w:ascii="Times New Roman" w:hAnsi="Times New Roman" w:cs="Times New Roman"/>
          <w:sz w:val="24"/>
          <w:szCs w:val="24"/>
        </w:rPr>
        <w:instrText xml:space="preserve"> and comparing favorably to theoretically predicated values for the intrinsic origins of the anomalous Hall effect. Both qualitative and quantitative agreements strongly point to the validity of new equations of motion including the Berry phase contributions as well as the tunability of the anomalous Hall effect.","container-title":"Physical Review Letters","DOI":"10.1103/PhysRevLett.98.026601","issue":"2","journalAbbreviation":"Phys. Rev. Lett.","language":"en-US","note":"publisher: American Physical Society","page":"026601","source":"APS","title":"Interplay between Carrier and Impurity Concentrations in Annealed Ga 1-x Mn x As: Intrinsic Anomalous Hall Effect","title-short":"Interplay between Carrier and Impurity Concentrations in Annealed ${\\mathrm{Ga}}_{1\\ensuremath{-}x}{\\mathrm{Mn}}_{x}\\mathrm{As}$","volume":"98","author":[{"family":"Chun","given":"S. H."},{"family":"Kim","given":"Y. S."},{"family":"Choi","given":"H. K."},{"family":"Jeong","given":"I. T."},{"family":"Lee","given":"W. O."},{"family":"Suh","given":"K. S."},{"family":"Oh","given":"Y S."},{"family":"Kim","given":"K. H."},{"family":"Khim","given":"Z. G."},{"family":"Woo","given":"J. C."},{"family":"Park","given":"Y. D."}],"issued":{"date-parts":[["2007",1,9]]}}}],"schema":"https://github.com/citation-style-language/schema/raw/master/csl-citation.json"}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vertAlign w:val="superscript"/>
        </w:rPr>
        <w:t>9</w:t>
      </w:r>
      <w:r>
        <w:rPr>
          <w:rFonts w:ascii="Times New Roman" w:hAnsi="Times New Roman" w:cs="Times New Roman"/>
          <w:sz w:val="24"/>
          <w:szCs w:val="24"/>
        </w:rPr>
        <w:fldChar w:fldCharType="end"/>
      </w:r>
      <w:r>
        <w:rPr>
          <w:rFonts w:ascii="Times New Roman" w:hAnsi="Times New Roman" w:cs="Times New Roman"/>
          <w:sz w:val="24"/>
          <w:szCs w:val="24"/>
        </w:rPr>
        <w:t xml:space="preserve">. However, apart from measurement errors, the AHC </w:t>
      </w:r>
      <w:r>
        <w:rPr>
          <w:rFonts w:ascii="Times New Roman" w:hAnsi="Times New Roman" w:cs="Times New Roman" w:hint="eastAsia"/>
          <w:sz w:val="24"/>
          <w:szCs w:val="24"/>
        </w:rPr>
        <w:t>near</w:t>
      </w:r>
      <w:r>
        <w:rPr>
          <w:rFonts w:ascii="Times New Roman" w:hAnsi="Times New Roman" w:cs="Times New Roman"/>
          <w:sz w:val="24"/>
          <w:szCs w:val="24"/>
        </w:rPr>
        <w:t xml:space="preserve"> the HQLHE regime will be half-quantized only when all the AHC contributions from the bottom surface vanish, which is not always the case in reality. </w:t>
      </w:r>
      <w:r>
        <w:rPr>
          <w:rFonts w:ascii="Times New Roman" w:hAnsi="Times New Roman" w:cs="Times New Roman" w:hint="eastAsia"/>
          <w:sz w:val="24"/>
          <w:szCs w:val="24"/>
        </w:rPr>
        <w:t>Some</w:t>
      </w:r>
      <w:r>
        <w:rPr>
          <w:rFonts w:ascii="Times New Roman" w:hAnsi="Times New Roman" w:cs="Times New Roman"/>
          <w:sz w:val="24"/>
          <w:szCs w:val="24"/>
        </w:rPr>
        <w:t xml:space="preserve"> of the CBV devices have some extra features near the coercive field of Cr-doped bottom surface in addition to the HQLHE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rPr>
              <m:t>h</m:t>
            </m:r>
          </m:den>
        </m:f>
      </m:oMath>
      <w:r>
        <w:rPr>
          <w:rFonts w:ascii="Times New Roman" w:hAnsi="Times New Roman" w:cs="Times New Roman" w:hint="eastAsia"/>
          <w:sz w:val="24"/>
          <w:szCs w:val="24"/>
        </w:rPr>
        <w:t xml:space="preserve"> </w:t>
      </w:r>
      <w:r>
        <w:rPr>
          <w:rFonts w:ascii="Times New Roman" w:hAnsi="Times New Roman" w:cs="Times New Roman"/>
          <w:sz w:val="24"/>
          <w:szCs w:val="24"/>
        </w:rPr>
        <w:t xml:space="preserve">plateaus. Fig. S8 shows several examples of magnetic field scan of Hall and longitudinal traces with the minor loops of Cr-doped bottom surfaces (locate near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rPr>
              <m:t>h</m:t>
            </m:r>
          </m:den>
        </m:f>
      </m:oMath>
      <w:r>
        <w:rPr>
          <w:rFonts w:ascii="Times New Roman" w:hAnsi="Times New Roman" w:cs="Times New Roman"/>
          <w:sz w:val="24"/>
          <w:szCs w:val="24"/>
        </w:rPr>
        <w:t xml:space="preserve">) having opposite anomalous Hall sign comparing to the major loops. </w:t>
      </w:r>
    </w:p>
    <w:p w:rsidR="00723CAE" w:rsidRDefault="00E21C70" w:rsidP="00422261">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lastRenderedPageBreak/>
        <w:t>We attribute this effect to the AHC sign reversal effect in magnetic topological insulators, which stems from the intrinsic Berry curvature. First principle calculations of the hole-doped regime of magnetic TI reveal that the band structures and corresponding AHC can be quite complex</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{"citationID":"fm1KvvAF","properties":{"formattedCitation":"\\super 10\\nosupersub{}","plainCitation":"10","noteIndex":0},"citationItems":[{"id":2930,"uris":["http://zotero.org/users/14803691/items/RGG69PI4"],"itemData":{"id":2930,"type":"article-journal","abstract":"The Berry phase picture provides important insights into the electronic properties of condensed matter systems. The intrinsic anomalous Hall (AH) effect can be understood as the consequence of non-zero Berry curvature in momentum space. Here, we fabricate TI/magnetic TI heterostructures and find that the sign of the AH effect in the magnetic TI layer can be changed from being positive to negative with increasing the thickness of the top TI layer. Our first-principles calculations show that the built-in electric fields at the TI/magnetic TI interface influence the band structure of the magnetic TI layer, and thus lead to a reconstruction of the Berry curvature in the heterostructure samples. Based on the interface-induced AH effect with a negative sign in TI/V-doped TI bilayer structures, we create an artificial “topological Hall effect”-like feature in the Hall trace of the V-doped TI/TI/Cr-doped TI sandwich heterostructures. Our study provides a new route to create the Berry curvature change in magnetic topological materials that may lead to potential technological applications.","container-title":"Nature Communications","DOI":"10.1038/s41467-020-20349-z","ISSN":"2041-1723","issue":"1","journalAbbreviation":"Nat Commun","language":"en","license":"2021 The Author(s)","note":"publisher: Nature Publishing Group","page":"79","source":"www.nature.com","title":"Interface-induced sign reversal of the anomalous Hall effect in magnetic topological insulator heterostructures","volume":"12","author":[{"family":"Wang","given":"Fei"},{"family":"Wang","given":"Xuepeng"},{"family":"Zhao","given":"Yi-Fan"},{"family":"Xiao","given":"Di"},{"family":"Zhou","given":"Ling-Jie"},{"family":"Liu","given":"Wei"},{"family":"Zhang","given":"Zhidong"},{"family":"Zhao","given":"Weiwei"},{"family":"Chan","given":"Moses H. W."},{"family":"Samarth","given":"Nitin"},{"family":"Liu","given":"Chaoxing"},{"family":"Zhang","given":"Haijun"},{"family":"Chang","given":"Cui-Zu"}],"issued":{"date-parts":[["2021",1,4]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vertAlign w:val="superscript"/>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This sign reversal effect can be generated by introducing an electric field, which is consistent with our observation that it only shows up at large negative bottom gate voltage (strongly hole doped). It also seems challenging to precisely predict at what conditions this effect would occur. Here we show 3 examples in Fig. S8. The size of this reversed AHC is expected to be affected by multiple factors, including the actual valence band structure, electric field by the bottom gate voltage, built-in electric field at the interfaces, etc. </w:t>
      </w:r>
      <w:r>
        <w:rPr>
          <w:rFonts w:ascii="Times New Roman" w:hAnsi="Times New Roman" w:cs="Times New Roman" w:hint="eastAsia"/>
          <w:sz w:val="24"/>
          <w:szCs w:val="24"/>
        </w:rPr>
        <w:t>Never</w:t>
      </w:r>
      <w:r>
        <w:rPr>
          <w:rFonts w:ascii="Times New Roman" w:hAnsi="Times New Roman" w:cs="Times New Roman"/>
          <w:sz w:val="24"/>
          <w:szCs w:val="24"/>
        </w:rPr>
        <w:t xml:space="preserve">theless, comparing to the large AHC in the HQLHE, this AHC sign reversal effect is quite small (as in Fig. S8b and e) and often negligible (as in Fig. S8h and all other devices presented in this study). </w:t>
      </w:r>
    </w:p>
    <w:p w:rsidR="00723CAE" w:rsidRDefault="00723CAE">
      <w:pPr>
        <w:widowControl/>
        <w:spacing w:line="360" w:lineRule="auto"/>
        <w:ind w:firstLineChars="50" w:firstLine="120"/>
        <w:rPr>
          <w:rFonts w:ascii="Times New Roman" w:hAnsi="Times New Roman" w:cs="Times New Roman"/>
          <w:sz w:val="24"/>
          <w:szCs w:val="24"/>
        </w:rPr>
      </w:pPr>
    </w:p>
    <w:p w:rsidR="00723CAE" w:rsidRDefault="00E21C70">
      <w:pPr>
        <w:widowControl/>
        <w:spacing w:line="360" w:lineRule="auto"/>
        <w:rPr>
          <w:rFonts w:ascii="Times New Roman" w:hAnsi="Times New Roman" w:cs="Times New Roman"/>
          <w:b/>
          <w:sz w:val="24"/>
          <w:szCs w:val="24"/>
        </w:rPr>
      </w:pPr>
      <w:r>
        <w:rPr>
          <w:noProof/>
        </w:rPr>
        <w:drawing>
          <wp:inline distT="0" distB="0" distL="0" distR="0">
            <wp:extent cx="5274310" cy="4568825"/>
            <wp:effectExtent l="0" t="0" r="254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7"/>
                    <a:stretch>
                      <a:fillRect/>
                    </a:stretch>
                  </pic:blipFill>
                  <pic:spPr>
                    <a:xfrm>
                      <a:off x="0" y="0"/>
                      <a:ext cx="5274310" cy="4568825"/>
                    </a:xfrm>
                    <a:prstGeom prst="rect">
                      <a:avLst/>
                    </a:prstGeom>
                  </pic:spPr>
                </pic:pic>
              </a:graphicData>
            </a:graphic>
          </wp:inline>
        </w:drawing>
      </w:r>
    </w:p>
    <w:p w:rsidR="00723CAE" w:rsidRDefault="00E21C70">
      <w:pPr>
        <w:widowControl/>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Fig. S8 | Small contributions from AHC sign reversal effect. Device A13 </w:t>
      </w:r>
      <w:r>
        <w:rPr>
          <w:rFonts w:ascii="Times New Roman" w:hAnsi="Times New Roman" w:cs="Times New Roman"/>
          <w:sz w:val="24"/>
          <w:szCs w:val="24"/>
        </w:rPr>
        <w:t>(</w:t>
      </w:r>
      <w:r>
        <w:rPr>
          <w:rFonts w:ascii="Times New Roman" w:hAnsi="Times New Roman" w:cs="Times New Roman"/>
          <w:i/>
          <w:sz w:val="24"/>
          <w:szCs w:val="24"/>
        </w:rPr>
        <w:t>m</w:t>
      </w:r>
      <w:r>
        <w:rPr>
          <w:rFonts w:ascii="Times New Roman" w:hAnsi="Times New Roman" w:cs="Times New Roman"/>
          <w:sz w:val="24"/>
          <w:szCs w:val="24"/>
        </w:rPr>
        <w:t xml:space="preserve"> = 20 QL, </w:t>
      </w:r>
      <w:r>
        <w:rPr>
          <w:rFonts w:ascii="Times New Roman" w:hAnsi="Times New Roman" w:cs="Times New Roman"/>
          <w:i/>
          <w:sz w:val="24"/>
          <w:szCs w:val="24"/>
        </w:rPr>
        <w:t>x</w:t>
      </w:r>
      <w:r>
        <w:rPr>
          <w:rFonts w:ascii="Times New Roman" w:hAnsi="Times New Roman" w:cs="Times New Roman"/>
          <w:sz w:val="24"/>
          <w:szCs w:val="24"/>
        </w:rPr>
        <w:t xml:space="preserve"> = 0.19, </w:t>
      </w:r>
      <w:r>
        <w:rPr>
          <w:rFonts w:ascii="Times New Roman" w:hAnsi="Times New Roman" w:cs="Times New Roman"/>
          <w:i/>
          <w:sz w:val="24"/>
          <w:szCs w:val="24"/>
        </w:rPr>
        <w:t>y</w:t>
      </w:r>
      <w:r>
        <w:rPr>
          <w:rFonts w:ascii="Times New Roman" w:hAnsi="Times New Roman" w:cs="Times New Roman"/>
          <w:sz w:val="24"/>
          <w:szCs w:val="24"/>
        </w:rPr>
        <w:t xml:space="preserve"> = 0.11, </w:t>
      </w:r>
      <w:r>
        <w:rPr>
          <w:rFonts w:ascii="Times New Roman" w:hAnsi="Times New Roman" w:cs="Times New Roman"/>
          <w:i/>
          <w:sz w:val="24"/>
          <w:szCs w:val="24"/>
        </w:rPr>
        <w:t>η</w:t>
      </w:r>
      <w:r>
        <w:rPr>
          <w:rFonts w:ascii="Times New Roman" w:hAnsi="Times New Roman" w:cs="Times New Roman"/>
          <w:sz w:val="24"/>
          <w:szCs w:val="24"/>
        </w:rPr>
        <w:t xml:space="preserve"> = 0.62):</w:t>
      </w:r>
      <w:r>
        <w:rPr>
          <w:rFonts w:ascii="Times New Roman" w:hAnsi="Times New Roman" w:cs="Times New Roman"/>
          <w:b/>
          <w:sz w:val="24"/>
          <w:szCs w:val="24"/>
        </w:rPr>
        <w:t xml:space="preserve"> a, b,</w:t>
      </w:r>
      <w:r>
        <w:rPr>
          <w:rFonts w:ascii="Times New Roman" w:hAnsi="Times New Roman" w:cs="Times New Roman"/>
          <w:sz w:val="24"/>
          <w:szCs w:val="24"/>
        </w:rPr>
        <w:t xml:space="preserve"> Major and minor loops of Hall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vs magnetic field at (</w:t>
      </w:r>
      <w:r>
        <w:rPr>
          <w:rFonts w:ascii="Times New Roman" w:hAnsi="Times New Roman" w:cs="Times New Roman"/>
          <w:b/>
          <w:sz w:val="24"/>
          <w:szCs w:val="24"/>
        </w:rPr>
        <w:t>a</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=100 </m:t>
        </m:r>
        <m:r>
          <m:rPr>
            <m:sty m:val="p"/>
          </m:rPr>
          <w:rPr>
            <w:rFonts w:ascii="Cambria Math" w:hAnsi="Cambria Math" w:cs="Times New Roman"/>
            <w:sz w:val="24"/>
            <w:szCs w:val="24"/>
          </w:rPr>
          <m:t>V</m:t>
        </m:r>
      </m:oMath>
      <w:r>
        <w:rPr>
          <w:rFonts w:ascii="Times New Roman" w:hAnsi="Times New Roman" w:cs="Times New Roman"/>
          <w:sz w:val="24"/>
          <w:szCs w:val="24"/>
        </w:rPr>
        <w:t>, (</w:t>
      </w:r>
      <w:r>
        <w:rPr>
          <w:rFonts w:ascii="Times New Roman" w:hAnsi="Times New Roman" w:cs="Times New Roman"/>
          <w:b/>
          <w:sz w:val="24"/>
          <w:szCs w:val="24"/>
        </w:rPr>
        <w:t>b</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=-200 </m:t>
        </m:r>
        <m:r>
          <m:rPr>
            <m:sty m:val="p"/>
          </m:rPr>
          <w:rPr>
            <w:rFonts w:ascii="Cambria Math" w:hAnsi="Cambria Math" w:cs="Times New Roman"/>
            <w:sz w:val="24"/>
            <w:szCs w:val="24"/>
          </w:rPr>
          <m:t>V</m:t>
        </m:r>
      </m:oMath>
      <w:r>
        <w:rPr>
          <w:rFonts w:ascii="Times New Roman" w:hAnsi="Times New Roman" w:cs="Times New Roman"/>
          <w:sz w:val="24"/>
          <w:szCs w:val="24"/>
        </w:rPr>
        <w:t xml:space="preserve">. </w:t>
      </w:r>
      <w:r>
        <w:rPr>
          <w:rFonts w:ascii="Times New Roman" w:hAnsi="Times New Roman" w:cs="Times New Roman"/>
          <w:b/>
          <w:sz w:val="24"/>
          <w:szCs w:val="24"/>
        </w:rPr>
        <w:t>c,</w:t>
      </w:r>
      <w:r>
        <w:rPr>
          <w:rFonts w:ascii="Times New Roman" w:hAnsi="Times New Roman" w:cs="Times New Roman"/>
          <w:sz w:val="24"/>
          <w:szCs w:val="24"/>
        </w:rPr>
        <w:t xml:space="preserve"> Longitudinal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vs magnetic field at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=-200 </m:t>
        </m:r>
        <m:r>
          <m:rPr>
            <m:sty m:val="p"/>
          </m:rPr>
          <w:rPr>
            <w:rFonts w:ascii="Cambria Math" w:hAnsi="Cambria Math" w:cs="Times New Roman"/>
            <w:sz w:val="24"/>
            <w:szCs w:val="24"/>
          </w:rPr>
          <m:t>V</m:t>
        </m:r>
      </m:oMath>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Device A14 </w:t>
      </w:r>
      <w:r>
        <w:rPr>
          <w:rFonts w:ascii="Times New Roman" w:hAnsi="Times New Roman" w:cs="Times New Roman"/>
          <w:sz w:val="24"/>
          <w:szCs w:val="24"/>
        </w:rPr>
        <w:t>(</w:t>
      </w:r>
      <w:r>
        <w:rPr>
          <w:rFonts w:ascii="Times New Roman" w:hAnsi="Times New Roman" w:cs="Times New Roman"/>
          <w:i/>
          <w:sz w:val="24"/>
          <w:szCs w:val="24"/>
        </w:rPr>
        <w:t>m</w:t>
      </w:r>
      <w:r>
        <w:rPr>
          <w:rFonts w:ascii="Times New Roman" w:hAnsi="Times New Roman" w:cs="Times New Roman"/>
          <w:sz w:val="24"/>
          <w:szCs w:val="24"/>
        </w:rPr>
        <w:t xml:space="preserve"> = 20 QL, </w:t>
      </w:r>
      <w:r>
        <w:rPr>
          <w:rFonts w:ascii="Times New Roman" w:hAnsi="Times New Roman" w:cs="Times New Roman"/>
          <w:i/>
          <w:sz w:val="24"/>
          <w:szCs w:val="24"/>
        </w:rPr>
        <w:t xml:space="preserve">x </w:t>
      </w:r>
      <w:r>
        <w:rPr>
          <w:rFonts w:ascii="Times New Roman" w:hAnsi="Times New Roman" w:cs="Times New Roman"/>
          <w:sz w:val="24"/>
          <w:szCs w:val="24"/>
        </w:rPr>
        <w:t xml:space="preserve">= 0.19, </w:t>
      </w:r>
      <w:r>
        <w:rPr>
          <w:rFonts w:ascii="Times New Roman" w:hAnsi="Times New Roman" w:cs="Times New Roman"/>
          <w:i/>
          <w:sz w:val="24"/>
          <w:szCs w:val="24"/>
        </w:rPr>
        <w:t>y</w:t>
      </w:r>
      <w:r>
        <w:rPr>
          <w:rFonts w:ascii="Times New Roman" w:hAnsi="Times New Roman" w:cs="Times New Roman"/>
          <w:sz w:val="24"/>
          <w:szCs w:val="24"/>
        </w:rPr>
        <w:t xml:space="preserve"> = 0.11, </w:t>
      </w:r>
      <w:r>
        <w:rPr>
          <w:rFonts w:ascii="Times New Roman" w:hAnsi="Times New Roman" w:cs="Times New Roman"/>
          <w:i/>
          <w:sz w:val="24"/>
          <w:szCs w:val="24"/>
        </w:rPr>
        <w:t>η</w:t>
      </w:r>
      <w:r>
        <w:rPr>
          <w:rFonts w:ascii="Times New Roman" w:hAnsi="Times New Roman" w:cs="Times New Roman"/>
          <w:sz w:val="24"/>
          <w:szCs w:val="24"/>
        </w:rPr>
        <w:t xml:space="preserve"> = 0.83):</w:t>
      </w:r>
      <w:r>
        <w:rPr>
          <w:rFonts w:ascii="Times New Roman" w:hAnsi="Times New Roman" w:cs="Times New Roman"/>
          <w:b/>
          <w:sz w:val="24"/>
          <w:szCs w:val="24"/>
        </w:rPr>
        <w:t xml:space="preserve"> d, e,</w:t>
      </w:r>
      <w:r>
        <w:rPr>
          <w:rFonts w:ascii="Times New Roman" w:hAnsi="Times New Roman" w:cs="Times New Roman"/>
          <w:sz w:val="24"/>
          <w:szCs w:val="24"/>
        </w:rPr>
        <w:t xml:space="preserve"> Major and minor loops of Hall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vs magnetic field at (</w:t>
      </w:r>
      <w:r>
        <w:rPr>
          <w:rFonts w:ascii="Times New Roman" w:hAnsi="Times New Roman" w:cs="Times New Roman"/>
          <w:b/>
          <w:sz w:val="24"/>
          <w:szCs w:val="24"/>
        </w:rPr>
        <w:t>d</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=100 </m:t>
        </m:r>
        <m:r>
          <m:rPr>
            <m:sty m:val="p"/>
          </m:rPr>
          <w:rPr>
            <w:rFonts w:ascii="Cambria Math" w:hAnsi="Cambria Math" w:cs="Times New Roman"/>
            <w:sz w:val="24"/>
            <w:szCs w:val="24"/>
          </w:rPr>
          <m:t>V</m:t>
        </m:r>
      </m:oMath>
      <w:r>
        <w:rPr>
          <w:rFonts w:ascii="Times New Roman" w:hAnsi="Times New Roman" w:cs="Times New Roman"/>
          <w:sz w:val="24"/>
          <w:szCs w:val="24"/>
        </w:rPr>
        <w:t>, (</w:t>
      </w:r>
      <w:r>
        <w:rPr>
          <w:rFonts w:ascii="Times New Roman" w:hAnsi="Times New Roman" w:cs="Times New Roman"/>
          <w:b/>
          <w:sz w:val="24"/>
          <w:szCs w:val="24"/>
        </w:rPr>
        <w:t>e</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=-200 </m:t>
        </m:r>
        <m:r>
          <m:rPr>
            <m:sty m:val="p"/>
          </m:rPr>
          <w:rPr>
            <w:rFonts w:ascii="Cambria Math" w:hAnsi="Cambria Math" w:cs="Times New Roman"/>
            <w:sz w:val="24"/>
            <w:szCs w:val="24"/>
          </w:rPr>
          <m:t>V</m:t>
        </m:r>
      </m:oMath>
      <w:r>
        <w:rPr>
          <w:rFonts w:ascii="Times New Roman" w:hAnsi="Times New Roman" w:cs="Times New Roman"/>
          <w:sz w:val="24"/>
          <w:szCs w:val="24"/>
        </w:rPr>
        <w:t xml:space="preserve">. </w:t>
      </w:r>
      <w:r>
        <w:rPr>
          <w:rFonts w:ascii="Times New Roman" w:hAnsi="Times New Roman" w:cs="Times New Roman"/>
          <w:b/>
          <w:sz w:val="24"/>
          <w:szCs w:val="24"/>
        </w:rPr>
        <w:t>f,</w:t>
      </w:r>
      <w:r>
        <w:rPr>
          <w:rFonts w:ascii="Times New Roman" w:hAnsi="Times New Roman" w:cs="Times New Roman"/>
          <w:sz w:val="24"/>
          <w:szCs w:val="24"/>
        </w:rPr>
        <w:t xml:space="preserve"> Longitudinal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vs magnetic field at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=-200 </m:t>
        </m:r>
        <m:r>
          <m:rPr>
            <m:sty m:val="p"/>
          </m:rPr>
          <w:rPr>
            <w:rFonts w:ascii="Cambria Math" w:hAnsi="Cambria Math" w:cs="Times New Roman"/>
            <w:sz w:val="24"/>
            <w:szCs w:val="24"/>
          </w:rPr>
          <m:t>V</m:t>
        </m:r>
      </m:oMath>
      <w:r>
        <w:rPr>
          <w:rFonts w:ascii="Times New Roman" w:hAnsi="Times New Roman" w:cs="Times New Roman"/>
          <w:sz w:val="24"/>
          <w:szCs w:val="24"/>
        </w:rPr>
        <w:t xml:space="preserve">. </w:t>
      </w:r>
      <w:r>
        <w:rPr>
          <w:rFonts w:ascii="Times New Roman" w:hAnsi="Times New Roman" w:cs="Times New Roman"/>
          <w:b/>
          <w:sz w:val="24"/>
          <w:szCs w:val="24"/>
        </w:rPr>
        <w:t xml:space="preserve">Device A15 </w:t>
      </w:r>
      <w:r>
        <w:rPr>
          <w:rFonts w:ascii="Times New Roman" w:hAnsi="Times New Roman" w:cs="Times New Roman"/>
          <w:sz w:val="24"/>
          <w:szCs w:val="24"/>
        </w:rPr>
        <w:t>(</w:t>
      </w:r>
      <w:r>
        <w:rPr>
          <w:rFonts w:ascii="Times New Roman" w:hAnsi="Times New Roman" w:cs="Times New Roman"/>
          <w:i/>
          <w:sz w:val="24"/>
          <w:szCs w:val="24"/>
        </w:rPr>
        <w:t>m</w:t>
      </w:r>
      <w:r>
        <w:rPr>
          <w:rFonts w:ascii="Times New Roman" w:hAnsi="Times New Roman" w:cs="Times New Roman"/>
          <w:sz w:val="24"/>
          <w:szCs w:val="24"/>
        </w:rPr>
        <w:t xml:space="preserve"> = 20 QL, </w:t>
      </w:r>
      <w:r>
        <w:rPr>
          <w:rFonts w:ascii="Times New Roman" w:hAnsi="Times New Roman" w:cs="Times New Roman"/>
          <w:i/>
          <w:sz w:val="24"/>
          <w:szCs w:val="24"/>
        </w:rPr>
        <w:t>x</w:t>
      </w:r>
      <w:r>
        <w:rPr>
          <w:rFonts w:ascii="Times New Roman" w:hAnsi="Times New Roman" w:cs="Times New Roman"/>
          <w:sz w:val="24"/>
          <w:szCs w:val="24"/>
        </w:rPr>
        <w:t xml:space="preserve"> = 0.19, </w:t>
      </w:r>
      <w:r>
        <w:rPr>
          <w:rFonts w:ascii="Times New Roman" w:hAnsi="Times New Roman" w:cs="Times New Roman"/>
          <w:i/>
          <w:sz w:val="24"/>
          <w:szCs w:val="24"/>
        </w:rPr>
        <w:t>y</w:t>
      </w:r>
      <w:r>
        <w:rPr>
          <w:rFonts w:ascii="Times New Roman" w:hAnsi="Times New Roman" w:cs="Times New Roman"/>
          <w:sz w:val="24"/>
          <w:szCs w:val="24"/>
        </w:rPr>
        <w:t xml:space="preserve"> = 0.11, </w:t>
      </w:r>
      <w:r>
        <w:rPr>
          <w:rFonts w:ascii="Times New Roman" w:hAnsi="Times New Roman" w:cs="Times New Roman"/>
          <w:i/>
          <w:sz w:val="24"/>
          <w:szCs w:val="24"/>
        </w:rPr>
        <w:t>η</w:t>
      </w:r>
      <w:r>
        <w:rPr>
          <w:rFonts w:ascii="Times New Roman" w:hAnsi="Times New Roman" w:cs="Times New Roman"/>
          <w:sz w:val="24"/>
          <w:szCs w:val="24"/>
        </w:rPr>
        <w:t xml:space="preserve"> = 0.62):</w:t>
      </w:r>
      <w:r>
        <w:rPr>
          <w:rFonts w:ascii="Times New Roman" w:hAnsi="Times New Roman" w:cs="Times New Roman"/>
          <w:b/>
          <w:sz w:val="24"/>
          <w:szCs w:val="24"/>
        </w:rPr>
        <w:t xml:space="preserve"> g, h,</w:t>
      </w:r>
      <w:r>
        <w:rPr>
          <w:rFonts w:ascii="Times New Roman" w:hAnsi="Times New Roman" w:cs="Times New Roman"/>
          <w:sz w:val="24"/>
          <w:szCs w:val="24"/>
        </w:rPr>
        <w:t xml:space="preserve"> Major and minor loops of Hall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hAnsi="Times New Roman" w:cs="Times New Roman"/>
          <w:sz w:val="24"/>
          <w:szCs w:val="24"/>
        </w:rPr>
        <w:t xml:space="preserve"> vs magnetic field at (</w:t>
      </w:r>
      <w:r>
        <w:rPr>
          <w:rFonts w:ascii="Times New Roman" w:hAnsi="Times New Roman" w:cs="Times New Roman"/>
          <w:b/>
          <w:sz w:val="24"/>
          <w:szCs w:val="24"/>
        </w:rPr>
        <w:t>g</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=100 </m:t>
        </m:r>
        <m:r>
          <m:rPr>
            <m:sty m:val="p"/>
          </m:rPr>
          <w:rPr>
            <w:rFonts w:ascii="Cambria Math" w:hAnsi="Cambria Math" w:cs="Times New Roman"/>
            <w:sz w:val="24"/>
            <w:szCs w:val="24"/>
          </w:rPr>
          <m:t>V</m:t>
        </m:r>
      </m:oMath>
      <w:r>
        <w:rPr>
          <w:rFonts w:ascii="Times New Roman" w:hAnsi="Times New Roman" w:cs="Times New Roman"/>
          <w:sz w:val="24"/>
          <w:szCs w:val="24"/>
        </w:rPr>
        <w:t>, (</w:t>
      </w:r>
      <w:r>
        <w:rPr>
          <w:rFonts w:ascii="Times New Roman" w:hAnsi="Times New Roman" w:cs="Times New Roman"/>
          <w:b/>
          <w:sz w:val="24"/>
          <w:szCs w:val="24"/>
        </w:rPr>
        <w:t>h</w:t>
      </w:r>
      <w:r>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=-200 </m:t>
        </m:r>
        <m:r>
          <m:rPr>
            <m:sty m:val="p"/>
          </m:rPr>
          <w:rPr>
            <w:rFonts w:ascii="Cambria Math" w:hAnsi="Cambria Math" w:cs="Times New Roman"/>
            <w:sz w:val="24"/>
            <w:szCs w:val="24"/>
          </w:rPr>
          <m:t>V</m:t>
        </m:r>
      </m:oMath>
      <w:r>
        <w:rPr>
          <w:rFonts w:ascii="Times New Roman" w:hAnsi="Times New Roman" w:cs="Times New Roman"/>
          <w:sz w:val="24"/>
          <w:szCs w:val="24"/>
        </w:rPr>
        <w:t xml:space="preserve">. </w:t>
      </w:r>
      <w:r>
        <w:rPr>
          <w:rFonts w:ascii="Times New Roman" w:hAnsi="Times New Roman" w:cs="Times New Roman"/>
          <w:b/>
          <w:sz w:val="24"/>
          <w:szCs w:val="24"/>
        </w:rPr>
        <w:t>i,</w:t>
      </w:r>
      <w:r>
        <w:rPr>
          <w:rFonts w:ascii="Times New Roman" w:hAnsi="Times New Roman" w:cs="Times New Roman"/>
          <w:sz w:val="24"/>
          <w:szCs w:val="24"/>
        </w:rPr>
        <w:t xml:space="preserve"> Longitudinal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xx</m:t>
            </m:r>
          </m:sub>
        </m:sSub>
      </m:oMath>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vs magnetic field at </w:t>
      </w:r>
      <m:oMath>
        <m:sSub>
          <m:sSubPr>
            <m:ctrlPr>
              <w:rPr>
                <w:rFonts w:ascii="Cambria Math" w:hAnsi="Cambria Math" w:cs="Times New Roman"/>
                <w:sz w:val="24"/>
                <w:szCs w:val="24"/>
              </w:rPr>
            </m:ctrlPr>
          </m:sSubPr>
          <m:e>
            <m:r>
              <w:rPr>
                <w:rFonts w:ascii="Cambria Math" w:hAnsi="Cambria Math" w:cs="Times New Roman"/>
                <w:sz w:val="24"/>
                <w:szCs w:val="24"/>
              </w:rPr>
              <m:t>V</m:t>
            </m:r>
          </m:e>
          <m:sub>
            <m:r>
              <m:rPr>
                <m:sty m:val="p"/>
              </m:rPr>
              <w:rPr>
                <w:rFonts w:ascii="Cambria Math" w:hAnsi="Cambria Math" w:cs="Times New Roman"/>
                <w:sz w:val="24"/>
                <w:szCs w:val="24"/>
              </w:rPr>
              <m:t>bg</m:t>
            </m:r>
          </m:sub>
        </m:sSub>
        <m:r>
          <w:rPr>
            <w:rFonts w:ascii="Cambria Math" w:hAnsi="Cambria Math" w:cs="Times New Roman"/>
            <w:sz w:val="24"/>
            <w:szCs w:val="24"/>
          </w:rPr>
          <m:t xml:space="preserve">=-200 </m:t>
        </m:r>
        <m:r>
          <m:rPr>
            <m:sty m:val="p"/>
          </m:rPr>
          <w:rPr>
            <w:rFonts w:ascii="Cambria Math" w:hAnsi="Cambria Math" w:cs="Times New Roman"/>
            <w:sz w:val="24"/>
            <w:szCs w:val="24"/>
          </w:rPr>
          <m:t>V</m:t>
        </m:r>
      </m:oMath>
      <w:r>
        <w:rPr>
          <w:rFonts w:ascii="Times New Roman" w:hAnsi="Times New Roman" w:cs="Times New Roman"/>
          <w:sz w:val="24"/>
          <w:szCs w:val="24"/>
        </w:rPr>
        <w:t>.</w:t>
      </w:r>
    </w:p>
    <w:p w:rsidR="00723CAE" w:rsidRDefault="00723CAE">
      <w:pPr>
        <w:widowControl/>
        <w:spacing w:line="360" w:lineRule="auto"/>
        <w:jc w:val="left"/>
        <w:rPr>
          <w:rFonts w:ascii="Times New Roman" w:hAnsi="Times New Roman" w:cs="Times New Roman"/>
          <w:b/>
          <w:sz w:val="24"/>
          <w:szCs w:val="24"/>
        </w:rPr>
      </w:pPr>
    </w:p>
    <w:p w:rsidR="00723CAE" w:rsidRDefault="00E21C70">
      <w:pPr>
        <w:pStyle w:val="af"/>
        <w:widowControl/>
        <w:numPr>
          <w:ilvl w:val="0"/>
          <w:numId w:val="2"/>
        </w:numPr>
        <w:spacing w:line="360" w:lineRule="auto"/>
        <w:ind w:firstLineChars="0"/>
        <w:jc w:val="left"/>
        <w:rPr>
          <w:rFonts w:ascii="Times New Roman" w:hAnsi="Times New Roman" w:cs="Times New Roman"/>
          <w:b/>
          <w:sz w:val="24"/>
          <w:szCs w:val="24"/>
        </w:rPr>
      </w:pPr>
      <w:r>
        <w:rPr>
          <w:rFonts w:ascii="Times New Roman" w:hAnsi="Times New Roman" w:cs="Times New Roman"/>
          <w:b/>
          <w:sz w:val="24"/>
          <w:szCs w:val="24"/>
        </w:rPr>
        <w:t>Estimation of the exchange gap sizes</w:t>
      </w:r>
    </w:p>
    <w:p w:rsidR="00723CAE" w:rsidRDefault="00E21C70" w:rsidP="00422261">
      <w:pPr>
        <w:widowControl/>
        <w:spacing w:line="360" w:lineRule="auto"/>
        <w:ind w:firstLineChars="50" w:firstLine="120"/>
        <w:rPr>
          <w:rFonts w:ascii="Times New Roman" w:hAnsi="Times New Roman" w:cs="Times New Roman"/>
          <w:b/>
          <w:sz w:val="24"/>
          <w:szCs w:val="24"/>
        </w:rPr>
      </w:pPr>
      <w:bookmarkStart w:id="11" w:name="_GoBack"/>
      <w:bookmarkEnd w:id="11"/>
      <w:r>
        <w:rPr>
          <w:rFonts w:ascii="Times New Roman" w:hAnsi="Times New Roman" w:cs="Times New Roman"/>
          <w:sz w:val="24"/>
          <w:szCs w:val="24"/>
        </w:rPr>
        <w:t xml:space="preserve">We assume that the Fermi level at the specific magnetic TI surface layers resides near the center of the exchange gap, which give rise to the half-quantized anomalous Hall conductance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type m:val="lin"/>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2</m:t>
            </m:r>
            <m:r>
              <w:rPr>
                <w:rFonts w:ascii="Cambria Math" w:hAnsi="Cambria Math" w:cs="Times New Roman"/>
                <w:sz w:val="24"/>
                <w:szCs w:val="24"/>
              </w:rPr>
              <m:t>h</m:t>
            </m:r>
          </m:den>
        </m:f>
      </m:oMath>
      <w:r>
        <w:rPr>
          <w:rFonts w:ascii="Times New Roman" w:hAnsi="Times New Roman" w:cs="Times New Roman"/>
          <w:sz w:val="24"/>
          <w:szCs w:val="24"/>
        </w:rPr>
        <w:t xml:space="preserve"> at zero temperature. At finite temperatures, thermal excitation promotes charge carriers across the exchange gap, resulting in a measurable deviation of the Hall conductance from its quantized value. When thermal effects preserve both the exchange gap magnitude and Berry curvature topology, the change of temperature-dependent Hall conductance can be written as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{"citationID":"XdAvQf4K","properties":{"formattedCitation":"\\super 11\\nosupersub{}","plainCitation":"11","noteIndex":0},"citationItems":[{"id":1723,"uris":["http://zotero.org/users/14803691/items/MUV2BFL8"],"itemData":{"id":1723,"type":"article","abstract":"Quantized anomalous Hall effects (QAHEs) occur in remarkable electronic states which possess not only quantized Hall signals but in some cases regions of dissipationless electron transport. The initial demonstrations of a QAHE in a magnetically-doped topological insulator (TI) required temperatures below 100 mK, and since then a major focus of the field has been to increase the temperature scale. Here, we report quantized Hall signals up to 10 K (in what is known as the parity anomaly state) in TI/magnet bilayers made by mechanical assembly, rather than by conventional deposition techniques. This is a factor of 100 higher temperature than any previous realization of a QAHE in a proximity-coupled TI/magnet heterostructure made by deposition, and approximately twice the previous record for any QAHE system.","language":"en-US","note":"arXiv:2412.05380","number":"arXiv:2412.05380","publisher":"arXiv","source":"arXiv.org","title":"A quantized anomalous Hall effect above 4.2 K in stacked topological insulator/magnet bilayers","URL":"http://arxiv.org/abs/2412.05380","author":[{"family":"Jain","given":"Rakshit"},{"family":"Roddy","given":"Matthew"},{"family":"Gupta","given":"Vishakha"},{"family":"Huang","given":"Benjamin"},{"family":"Sayeed","given":"Hasan M."},{"family":"Alnaser","given":"Husain F."},{"family":"Vashist","given":"Amit"},{"family":"Watanabe","given":"Kenji"},{"family":"Taniguchi","given":"Takashi"},{"family":"Deshpande","given":"Vikram V."},{"family":"Sparks","given":"Taylor D."},{"family":"Ralph","given":"Daniel C."}],"accessed":{"date-parts":[["2024",12,16]]},"issued":{"date-parts":[["2024",12,6]]}}}],"schema":"https://github.com/citation-style-language/schema/raw/master/csl-citation.json"}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kern w:val="0"/>
          <w:sz w:val="24"/>
          <w:szCs w:val="24"/>
          <w:vertAlign w:val="superscript"/>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723CAE" w:rsidRDefault="00E21C70">
      <w:pPr>
        <w:pStyle w:val="af"/>
        <w:spacing w:line="360" w:lineRule="auto"/>
        <w:ind w:left="420" w:firstLineChars="0" w:firstLine="0"/>
        <w:jc w:val="center"/>
        <w:rPr>
          <w:rFonts w:ascii="Times New Roman" w:hAnsi="Times New Roman" w:cs="Times New Roman"/>
          <w:sz w:val="24"/>
          <w:szCs w:val="24"/>
        </w:rPr>
      </w:pPr>
      <m:oMath>
        <m:r>
          <m:rPr>
            <m:sty m:val="p"/>
          </m:rPr>
          <w:rPr>
            <w:rFonts w:ascii="Cambria Math" w:hAnsi="Cambria Math" w:cs="Times New Roman"/>
            <w:sz w:val="24"/>
            <w:szCs w:val="24"/>
          </w:rPr>
          <m:t>Δ</m:t>
        </m:r>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=-2</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nary>
          <m:naryPr>
            <m:limLoc m:val="undOvr"/>
            <m:supHide m:val="1"/>
            <m:ctrlPr>
              <w:rPr>
                <w:rFonts w:ascii="Cambria Math" w:hAnsi="Cambria Math" w:cs="Times New Roman"/>
                <w:sz w:val="24"/>
                <w:szCs w:val="24"/>
              </w:rPr>
            </m:ctrlPr>
          </m:naryPr>
          <m:sub>
            <m:r>
              <w:rPr>
                <w:rFonts w:ascii="Cambria Math" w:hAnsi="Cambria Math" w:cs="Times New Roman"/>
                <w:sz w:val="24"/>
                <w:szCs w:val="24"/>
              </w:rPr>
              <m:t>B.Z.</m:t>
            </m:r>
          </m:sub>
          <m:sup/>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k</m:t>
                </m:r>
              </m:num>
              <m:den>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2π</m:t>
                        </m:r>
                      </m:e>
                    </m:d>
                  </m:e>
                  <m:sup>
                    <m:r>
                      <w:rPr>
                        <w:rFonts w:ascii="Cambria Math" w:hAnsi="Cambria Math" w:cs="Times New Roman"/>
                        <w:sz w:val="24"/>
                        <w:szCs w:val="24"/>
                      </w:rPr>
                      <m:t>2</m:t>
                    </m:r>
                  </m:sup>
                </m:sSup>
              </m:den>
            </m:f>
          </m:e>
        </m:nary>
        <m:r>
          <m:rPr>
            <m:sty m:val="p"/>
          </m:rPr>
          <w:rPr>
            <w:rFonts w:ascii="Cambria Math" w:hAnsi="Cambria Math" w:cs="Times New Roman"/>
            <w:sz w:val="24"/>
            <w:szCs w:val="24"/>
          </w:rPr>
          <m:t>Ω</m:t>
        </m:r>
        <m:r>
          <w:rPr>
            <w:rFonts w:ascii="Cambria Math" w:hAnsi="Cambria Math" w:cs="Times New Roman"/>
            <w:sz w:val="24"/>
            <w:szCs w:val="24"/>
          </w:rPr>
          <m:t>(k)f(E)</m:t>
        </m:r>
      </m:oMath>
      <w:r>
        <w:rPr>
          <w:rFonts w:ascii="Times New Roman" w:hAnsi="Times New Roman" w:cs="Times New Roman" w:hint="eastAsia"/>
          <w:sz w:val="24"/>
          <w:szCs w:val="24"/>
        </w:rPr>
        <w:t>,</w:t>
      </w:r>
    </w:p>
    <w:p w:rsidR="00723CAE" w:rsidRDefault="00E21C70">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m:oMath>
        <m:r>
          <m:rPr>
            <m:sty m:val="p"/>
          </m:rPr>
          <w:rPr>
            <w:rFonts w:ascii="Cambria Math" w:hAnsi="Cambria Math" w:cs="Times New Roman"/>
            <w:sz w:val="24"/>
            <w:szCs w:val="24"/>
          </w:rPr>
          <m:t>Ω</m:t>
        </m:r>
        <m:d>
          <m:dPr>
            <m:ctrlPr>
              <w:rPr>
                <w:rFonts w:ascii="Cambria Math" w:hAnsi="Cambria Math" w:cs="Times New Roman"/>
                <w:i/>
                <w:sz w:val="24"/>
                <w:szCs w:val="24"/>
              </w:rPr>
            </m:ctrlPr>
          </m:dPr>
          <m:e>
            <m:r>
              <w:rPr>
                <w:rFonts w:ascii="Cambria Math" w:hAnsi="Cambria Math" w:cs="Times New Roman"/>
                <w:sz w:val="24"/>
                <w:szCs w:val="24"/>
              </w:rPr>
              <m:t>k</m:t>
            </m:r>
          </m:e>
        </m:d>
      </m:oMath>
      <w:r>
        <w:rPr>
          <w:rFonts w:ascii="Times New Roman" w:hAnsi="Times New Roman" w:cs="Times New Roman"/>
          <w:sz w:val="24"/>
          <w:szCs w:val="24"/>
        </w:rPr>
        <w:t xml:space="preserve"> is the wavevector-dependent Berry curvature,</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E</m:t>
            </m:r>
          </m:e>
        </m:d>
      </m:oMath>
      <w:r>
        <w:rPr>
          <w:rFonts w:ascii="Times New Roman" w:hAnsi="Times New Roman" w:cs="Times New Roman"/>
          <w:sz w:val="24"/>
          <w:szCs w:val="24"/>
        </w:rPr>
        <w:t xml:space="preserve"> is the energy-dependent </w:t>
      </w:r>
      <w:r>
        <w:rPr>
          <w:rFonts w:ascii="Times New Roman" w:hAnsi="Times New Roman" w:cs="Times New Roman" w:hint="eastAsia"/>
          <w:sz w:val="24"/>
          <w:szCs w:val="24"/>
        </w:rPr>
        <w:t>F</w:t>
      </w:r>
      <w:r>
        <w:rPr>
          <w:rFonts w:ascii="Times New Roman" w:hAnsi="Times New Roman" w:cs="Times New Roman"/>
          <w:sz w:val="24"/>
          <w:szCs w:val="24"/>
        </w:rPr>
        <w:t xml:space="preserve">ermi function. Combining with </w:t>
      </w:r>
      <m:oMath>
        <m:r>
          <m:rPr>
            <m:sty m:val="p"/>
          </m:rPr>
          <w:rPr>
            <w:rFonts w:ascii="Cambria Math" w:hAnsi="Cambria Math" w:cs="Times New Roman"/>
            <w:sz w:val="24"/>
            <w:szCs w:val="24"/>
          </w:rPr>
          <m:t>E=</m:t>
        </m:r>
        <m:rad>
          <m:radPr>
            <m:degHide m:val="1"/>
            <m:ctrlPr>
              <w:rPr>
                <w:rFonts w:ascii="Cambria Math" w:hAnsi="Cambria Math" w:cs="Times New Roman"/>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(ℏ</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f</m:t>
                    </m:r>
                  </m:sub>
                </m:sSub>
                <m:r>
                  <w:rPr>
                    <w:rFonts w:ascii="Cambria Math" w:hAnsi="Cambria Math" w:cs="Times New Roman"/>
                    <w:sz w:val="24"/>
                    <w:szCs w:val="24"/>
                  </w:rPr>
                  <m:t>k)</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2</m:t>
                    </m:r>
                  </m:den>
                </m:f>
                <m:r>
                  <w:rPr>
                    <w:rFonts w:ascii="Cambria Math" w:hAnsi="Cambria Math" w:cs="Times New Roman"/>
                    <w:sz w:val="24"/>
                    <w:szCs w:val="24"/>
                  </w:rPr>
                  <m:t>)</m:t>
                </m:r>
              </m:e>
              <m:sup>
                <m:r>
                  <w:rPr>
                    <w:rFonts w:ascii="Cambria Math" w:hAnsi="Cambria Math" w:cs="Times New Roman"/>
                    <w:sz w:val="24"/>
                    <w:szCs w:val="24"/>
                  </w:rPr>
                  <m:t>2</m:t>
                </m:r>
              </m:sup>
            </m:sSup>
          </m:e>
        </m:rad>
        <m:r>
          <w:rPr>
            <w:rFonts w:ascii="Cambria Math" w:hAnsi="Cambria Math" w:cs="Times New Roman"/>
            <w:sz w:val="24"/>
            <w:szCs w:val="24"/>
          </w:rPr>
          <m:t xml:space="preserve"> </m:t>
        </m:r>
      </m:oMath>
      <w:r>
        <w:rPr>
          <w:rFonts w:ascii="Times New Roman" w:hAnsi="Times New Roman" w:cs="Times New Roman"/>
          <w:sz w:val="24"/>
          <w:szCs w:val="24"/>
        </w:rPr>
        <w:t xml:space="preserve">and </w:t>
      </w:r>
      <m:oMath>
        <m:r>
          <m:rPr>
            <m:sty m:val="p"/>
          </m:rPr>
          <w:rPr>
            <w:rFonts w:ascii="Cambria Math" w:hAnsi="Cambria Math" w:cs="Times New Roman"/>
            <w:sz w:val="24"/>
            <w:szCs w:val="24"/>
          </w:rPr>
          <m:t>Ω=</m:t>
        </m:r>
        <m:f>
          <m:fPr>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ℏ</m:t>
                </m:r>
              </m:e>
              <m:sup>
                <m:r>
                  <w:rPr>
                    <w:rFonts w:ascii="Cambria Math" w:hAnsi="Cambria Math" w:cs="Times New Roman"/>
                    <w:sz w:val="24"/>
                    <w:szCs w:val="24"/>
                  </w:rPr>
                  <m:t>2</m:t>
                </m:r>
              </m:sup>
            </m:sSup>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f</m:t>
                </m:r>
              </m:sub>
              <m:sup>
                <m:r>
                  <w:rPr>
                    <w:rFonts w:ascii="Cambria Math" w:hAnsi="Cambria Math" w:cs="Times New Roman"/>
                    <w:sz w:val="24"/>
                    <w:szCs w:val="24"/>
                  </w:rPr>
                  <m:t>2</m:t>
                </m:r>
              </m:sup>
            </m:sSubSup>
            <m:r>
              <w:rPr>
                <w:rFonts w:ascii="Cambria Math" w:hAnsi="Cambria Math" w:cs="Times New Roman"/>
                <w:sz w:val="24"/>
                <w:szCs w:val="24"/>
              </w:rPr>
              <m:t>∆</m:t>
            </m:r>
          </m:num>
          <m:den>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3</m:t>
                </m:r>
              </m:sup>
            </m:sSup>
          </m:den>
        </m:f>
      </m:oMath>
      <w:r>
        <w:rPr>
          <w:rFonts w:ascii="Times New Roman" w:hAnsi="Times New Roman" w:cs="Times New Roman"/>
          <w:sz w:val="24"/>
          <w:szCs w:val="24"/>
        </w:rPr>
        <w:t xml:space="preserve">, the above equation can be simplified as </w:t>
      </w:r>
    </w:p>
    <w:p w:rsidR="00723CAE" w:rsidRDefault="00E21C70">
      <w:pPr>
        <w:pStyle w:val="af"/>
        <w:spacing w:line="360" w:lineRule="auto"/>
        <w:ind w:left="420" w:firstLineChars="0" w:firstLine="0"/>
        <w:jc w:val="center"/>
        <w:rPr>
          <w:rFonts w:ascii="Times New Roman" w:hAnsi="Times New Roman" w:cs="Times New Roman"/>
          <w:sz w:val="24"/>
          <w:szCs w:val="24"/>
        </w:rPr>
      </w:pPr>
      <m:oMath>
        <m:r>
          <m:rPr>
            <m:sty m:val="p"/>
          </m:rPr>
          <w:rPr>
            <w:rFonts w:ascii="Cambria Math" w:hAnsi="Cambria Math" w:cs="Times New Roman"/>
            <w:sz w:val="24"/>
            <w:szCs w:val="24"/>
          </w:rPr>
          <m:t>Δ</m:t>
        </m:r>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nary>
          <m:naryPr>
            <m:limLoc m:val="subSup"/>
            <m:ctrlPr>
              <w:rPr>
                <w:rFonts w:ascii="Cambria Math" w:hAnsi="Cambria Math" w:cs="Times New Roman"/>
                <w:i/>
                <w:sz w:val="24"/>
                <w:szCs w:val="24"/>
              </w:rPr>
            </m:ctrlPr>
          </m:naryPr>
          <m:sub>
            <m:f>
              <m:fPr>
                <m:ctrlPr>
                  <w:rPr>
                    <w:rFonts w:ascii="Cambria Math" w:hAnsi="Cambria Math" w:cs="Times New Roman"/>
                    <w:i/>
                    <w:sz w:val="24"/>
                    <w:szCs w:val="24"/>
                  </w:rPr>
                </m:ctrlPr>
              </m:fPr>
              <m:num>
                <m:r>
                  <w:rPr>
                    <w:rFonts w:ascii="Cambria Math" w:hAnsi="Cambria Math" w:cs="Times New Roman"/>
                    <w:sz w:val="24"/>
                    <w:szCs w:val="24"/>
                  </w:rPr>
                  <m:t>∆</m:t>
                </m:r>
              </m:num>
              <m:den>
                <m:r>
                  <w:rPr>
                    <w:rFonts w:ascii="Cambria Math" w:hAnsi="Cambria Math" w:cs="Times New Roman"/>
                    <w:sz w:val="24"/>
                    <w:szCs w:val="24"/>
                  </w:rPr>
                  <m:t>2</m:t>
                </m:r>
              </m:den>
            </m:f>
          </m:sub>
          <m:sup>
            <m:r>
              <w:rPr>
                <w:rFonts w:ascii="Cambria Math" w:hAnsi="Cambria Math" w:cs="Times New Roman"/>
                <w:sz w:val="24"/>
                <w:szCs w:val="24"/>
              </w:rPr>
              <m:t>∞</m:t>
            </m:r>
          </m:sup>
          <m:e>
            <m:r>
              <w:rPr>
                <w:rFonts w:ascii="Cambria Math" w:hAnsi="Cambria Math" w:cs="Times New Roman"/>
                <w:sz w:val="24"/>
                <w:szCs w:val="24"/>
              </w:rPr>
              <m:t>dE</m:t>
            </m:r>
            <m:f>
              <m:fPr>
                <m:ctrlPr>
                  <w:rPr>
                    <w:rFonts w:ascii="Cambria Math" w:hAnsi="Cambria Math" w:cs="Times New Roman"/>
                    <w:i/>
                    <w:sz w:val="24"/>
                    <w:szCs w:val="24"/>
                  </w:rPr>
                </m:ctrlPr>
              </m:fPr>
              <m:num>
                <m:r>
                  <w:rPr>
                    <w:rFonts w:ascii="Cambria Math" w:hAnsi="Cambria Math" w:cs="Times New Roman"/>
                    <w:sz w:val="24"/>
                    <w:szCs w:val="24"/>
                  </w:rPr>
                  <m:t>f(E)</m:t>
                </m:r>
              </m:num>
              <m:den>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e>
        </m:nary>
      </m:oMath>
      <w:r>
        <w:rPr>
          <w:rFonts w:ascii="Times New Roman" w:hAnsi="Times New Roman" w:cs="Times New Roman" w:hint="eastAsia"/>
          <w:sz w:val="24"/>
          <w:szCs w:val="24"/>
        </w:rPr>
        <w:t>,</w:t>
      </w:r>
    </w:p>
    <w:p w:rsidR="00723CAE" w:rsidRDefault="00E21C70">
      <w:pPr>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m:oMath>
        <m:r>
          <m:rPr>
            <m:sty m:val="p"/>
          </m:rPr>
          <w:rPr>
            <w:rFonts w:ascii="Cambria Math" w:hAnsi="Cambria Math" w:cs="Times New Roman"/>
            <w:sz w:val="24"/>
            <w:szCs w:val="24"/>
          </w:rPr>
          <m:t>∆</m:t>
        </m:r>
      </m:oMath>
      <w:r>
        <w:rPr>
          <w:rFonts w:ascii="Times New Roman" w:hAnsi="Times New Roman" w:cs="Times New Roman"/>
          <w:sz w:val="24"/>
          <w:szCs w:val="24"/>
        </w:rPr>
        <w:t xml:space="preserve"> is the heterostructure exchange gap. This equation enables quantitative determination of </w:t>
      </w:r>
      <m:oMath>
        <m:r>
          <m:rPr>
            <m:sty m:val="p"/>
          </m:rPr>
          <w:rPr>
            <w:rFonts w:ascii="Cambria Math" w:hAnsi="Cambria Math" w:cs="Times New Roman"/>
            <w:sz w:val="24"/>
            <w:szCs w:val="24"/>
          </w:rPr>
          <m:t>∆</m:t>
        </m:r>
      </m:oMath>
      <w:r>
        <w:rPr>
          <w:rFonts w:ascii="Times New Roman" w:hAnsi="Times New Roman" w:cs="Times New Roman"/>
          <w:sz w:val="24"/>
          <w:szCs w:val="24"/>
        </w:rPr>
        <w:t xml:space="preserve"> through temperature-dependent Hall conductance measurements. As shown in Fig.4 in the main text, the exchange gap Δ (</w:t>
      </w:r>
      <m:oMath>
        <m:r>
          <m:rPr>
            <m:sty m:val="p"/>
          </m:rPr>
          <w:rPr>
            <w:rFonts w:ascii="Cambria Math" w:hAnsi="Cambria Math" w:cs="Times New Roman"/>
            <w:sz w:val="24"/>
            <w:szCs w:val="24"/>
          </w:rPr>
          <m:t xml:space="preserve"> 0.77 meV</m:t>
        </m:r>
      </m:oMath>
      <w:r>
        <w:rPr>
          <w:rFonts w:ascii="Times New Roman" w:hAnsi="Times New Roman" w:cs="Times New Roman"/>
          <w:sz w:val="24"/>
          <w:szCs w:val="24"/>
        </w:rPr>
        <w:t xml:space="preserve">) is extracted through </w:t>
      </w:r>
      <w:r>
        <w:rPr>
          <w:rFonts w:ascii="Times New Roman" w:hAnsi="Times New Roman" w:cs="Times New Roman"/>
          <w:sz w:val="24"/>
          <w:szCs w:val="24"/>
        </w:rPr>
        <w:lastRenderedPageBreak/>
        <w:t>the Hall conductance in the 0.1-3 K regime, where we assume that the exchange gap is almost temperature-independent. At temperatures above 3 K</w:t>
      </w:r>
      <w:r>
        <w:rPr>
          <w:rFonts w:ascii="Times New Roman" w:hAnsi="Times New Roman" w:cs="Times New Roman" w:hint="eastAsia"/>
          <w:sz w:val="24"/>
          <w:szCs w:val="24"/>
        </w:rPr>
        <w:t>,</w:t>
      </w:r>
      <w:r>
        <w:rPr>
          <w:rFonts w:ascii="Times New Roman" w:hAnsi="Times New Roman" w:cs="Times New Roman"/>
          <w:sz w:val="24"/>
          <w:szCs w:val="24"/>
        </w:rPr>
        <w:t xml:space="preserve"> the AHC values drop more quickly due to thermally activated randomness of the dilute magnetic moments.</w:t>
      </w:r>
    </w:p>
    <w:p w:rsidR="00723CAE" w:rsidRDefault="00E21C70">
      <w:pPr>
        <w:spacing w:line="360" w:lineRule="auto"/>
        <w:rPr>
          <w:rFonts w:ascii="Times New Roman" w:hAnsi="Times New Roman" w:cs="Times New Roman"/>
          <w:sz w:val="24"/>
          <w:szCs w:val="24"/>
        </w:rPr>
      </w:pPr>
      <w:r>
        <w:rPr>
          <w:rFonts w:ascii="Times New Roman" w:hAnsi="Times New Roman" w:cs="Times New Roman"/>
          <w:sz w:val="24"/>
          <w:szCs w:val="24"/>
        </w:rPr>
        <w:t xml:space="preserve">Notice that the assumption of the Fermi energy centered at the middle of the exchange gap may not apply to all the devices in this study. In fact, devices with nominally the same doping concentration (usually indicating the same magnetic properties) often gives different Δ values. For example, the extracted Δ values of VBST layers of several different CBV devices with the same vanadium concentration </w:t>
      </w:r>
      <w:r>
        <w:rPr>
          <w:rFonts w:ascii="Times New Roman" w:hAnsi="Times New Roman" w:cs="Times New Roman"/>
          <w:i/>
          <w:sz w:val="24"/>
          <w:szCs w:val="24"/>
        </w:rPr>
        <w:t xml:space="preserve">y </w:t>
      </w:r>
      <w:r>
        <w:rPr>
          <w:rFonts w:ascii="Times New Roman" w:hAnsi="Times New Roman" w:cs="Times New Roman"/>
          <w:sz w:val="24"/>
          <w:szCs w:val="24"/>
        </w:rPr>
        <w:t xml:space="preserve">= 0.11, vary from </w:t>
      </w:r>
      <m:oMath>
        <m:r>
          <m:rPr>
            <m:sty m:val="p"/>
          </m:rPr>
          <w:rPr>
            <w:rFonts w:ascii="Cambria Math" w:hAnsi="Cambria Math" w:cs="Times New Roman"/>
            <w:sz w:val="24"/>
            <w:szCs w:val="24"/>
          </w:rPr>
          <m:t>0.27~2.3 meV</m:t>
        </m:r>
      </m:oMath>
      <w:r>
        <w:rPr>
          <w:rFonts w:ascii="Times New Roman" w:hAnsi="Times New Roman" w:cs="Times New Roman" w:hint="eastAsia"/>
          <w:sz w:val="24"/>
          <w:szCs w:val="24"/>
        </w:rPr>
        <w:t>.</w:t>
      </w:r>
      <w:r>
        <w:rPr>
          <w:rFonts w:ascii="Times New Roman" w:hAnsi="Times New Roman" w:cs="Times New Roman"/>
          <w:sz w:val="24"/>
          <w:szCs w:val="24"/>
        </w:rPr>
        <w:t xml:space="preserve"> We attribute these variations to the different Fermi level positions at the specific surfaces. When the Fermi level is near the gap edges, the extracted Δ value will be much smaller than the actual value. Therefore, the extracted Δ value by this method is only a lower bound on the actual exchange gap sizes. See Extended Data Fig. 7 for two more examples of temperature dependence of HQLHE.</w:t>
      </w:r>
    </w:p>
    <w:p w:rsidR="00723CAE" w:rsidRDefault="00723CAE">
      <w:pPr>
        <w:widowControl/>
        <w:spacing w:line="360" w:lineRule="auto"/>
        <w:jc w:val="left"/>
        <w:rPr>
          <w:rFonts w:ascii="Times New Roman" w:hAnsi="Times New Roman" w:cs="Times New Roman"/>
          <w:b/>
          <w:sz w:val="24"/>
          <w:szCs w:val="24"/>
        </w:rPr>
      </w:pPr>
    </w:p>
    <w:p w:rsidR="00723CAE" w:rsidRDefault="00E21C70">
      <w:pPr>
        <w:pStyle w:val="af"/>
        <w:widowControl/>
        <w:numPr>
          <w:ilvl w:val="0"/>
          <w:numId w:val="2"/>
        </w:numPr>
        <w:spacing w:line="360" w:lineRule="auto"/>
        <w:ind w:firstLineChars="0"/>
        <w:jc w:val="left"/>
        <w:rPr>
          <w:rFonts w:ascii="Times New Roman" w:hAnsi="Times New Roman" w:cs="Times New Roman"/>
          <w:b/>
          <w:sz w:val="24"/>
          <w:szCs w:val="24"/>
        </w:rPr>
      </w:pPr>
      <w:r>
        <w:rPr>
          <w:rFonts w:ascii="Times New Roman" w:hAnsi="Times New Roman" w:cs="Times New Roman" w:hint="eastAsia"/>
          <w:b/>
          <w:sz w:val="24"/>
          <w:szCs w:val="24"/>
        </w:rPr>
        <w:t>Chara</w:t>
      </w:r>
      <w:r>
        <w:rPr>
          <w:rFonts w:ascii="Times New Roman" w:hAnsi="Times New Roman" w:cs="Times New Roman"/>
          <w:b/>
          <w:sz w:val="24"/>
          <w:szCs w:val="24"/>
        </w:rPr>
        <w:t>cteristics of all devices measured in this study</w:t>
      </w:r>
    </w:p>
    <w:p w:rsidR="00723CAE" w:rsidRDefault="00E21C70">
      <w:pPr>
        <w:widowControl/>
        <w:jc w:val="left"/>
      </w:pPr>
      <w:r>
        <w:br w:type="page"/>
      </w:r>
    </w:p>
    <w:p w:rsidR="00723CAE" w:rsidRDefault="00E21C70">
      <w:pPr>
        <w:autoSpaceDE w:val="0"/>
        <w:autoSpaceDN w:val="0"/>
        <w:adjustRightInd w:val="0"/>
        <w:jc w:val="left"/>
        <w:rPr>
          <w:rFonts w:ascii="Times New Roman" w:eastAsia="宋体" w:hAnsi="Times New Roman" w:cs="Times New Roman"/>
          <w:b/>
          <w:snapToGrid w:val="0"/>
          <w:kern w:val="0"/>
          <w:sz w:val="24"/>
          <w:szCs w:val="21"/>
        </w:rPr>
      </w:pPr>
      <w:r>
        <w:rPr>
          <w:rFonts w:ascii="Times New Roman" w:eastAsia="宋体" w:hAnsi="Times New Roman" w:cs="Times New Roman" w:hint="eastAsia"/>
          <w:b/>
          <w:snapToGrid w:val="0"/>
          <w:kern w:val="0"/>
          <w:sz w:val="24"/>
          <w:szCs w:val="21"/>
        </w:rPr>
        <w:lastRenderedPageBreak/>
        <w:t xml:space="preserve"> </w:t>
      </w:r>
      <w:r>
        <w:rPr>
          <w:rFonts w:ascii="Times New Roman" w:eastAsia="宋体" w:hAnsi="Times New Roman" w:cs="Times New Roman"/>
          <w:b/>
          <w:snapToGrid w:val="0"/>
          <w:kern w:val="0"/>
          <w:sz w:val="24"/>
          <w:szCs w:val="21"/>
        </w:rPr>
        <w:t xml:space="preserve">                                                                                                                                                                                                                                                                                                                                                                                             </w:t>
      </w:r>
    </w:p>
    <w:tbl>
      <w:tblPr>
        <w:tblW w:w="4972" w:type="pct"/>
        <w:tblLayout w:type="fixed"/>
        <w:tblCellMar>
          <w:left w:w="0" w:type="dxa"/>
          <w:right w:w="0" w:type="dxa"/>
        </w:tblCellMar>
        <w:tblLook w:val="04A0" w:firstRow="1" w:lastRow="0" w:firstColumn="1" w:lastColumn="0" w:noHBand="0" w:noVBand="1"/>
      </w:tblPr>
      <w:tblGrid>
        <w:gridCol w:w="2263"/>
        <w:gridCol w:w="1135"/>
        <w:gridCol w:w="469"/>
        <w:gridCol w:w="601"/>
        <w:gridCol w:w="630"/>
        <w:gridCol w:w="710"/>
        <w:gridCol w:w="1168"/>
        <w:gridCol w:w="1274"/>
      </w:tblGrid>
      <w:tr w:rsidR="00723CAE" w:rsidTr="00003780">
        <w:trPr>
          <w:trHeight w:val="732"/>
        </w:trPr>
        <w:tc>
          <w:tcPr>
            <w:tcW w:w="1372" w:type="pc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b/>
                <w:bCs/>
                <w:color w:val="000000"/>
                <w:kern w:val="24"/>
                <w:sz w:val="16"/>
                <w:szCs w:val="24"/>
              </w:rPr>
              <w:t>Devices in the text</w:t>
            </w:r>
          </w:p>
        </w:tc>
        <w:tc>
          <w:tcPr>
            <w:tcW w:w="688" w:type="pc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b/>
                <w:bCs/>
                <w:color w:val="000000"/>
                <w:kern w:val="24"/>
                <w:sz w:val="16"/>
                <w:szCs w:val="24"/>
              </w:rPr>
              <w:t>Devices structures</w:t>
            </w: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rsidR="00723CAE" w:rsidRDefault="00E21C70">
            <w:pPr>
              <w:widowControl/>
              <w:jc w:val="center"/>
              <w:rPr>
                <w:rFonts w:ascii="Arial" w:eastAsia="宋体" w:hAnsi="Arial" w:cs="Arial"/>
                <w:i/>
                <w:kern w:val="0"/>
                <w:sz w:val="16"/>
                <w:szCs w:val="36"/>
              </w:rPr>
            </w:pPr>
            <w:r>
              <w:rPr>
                <w:rFonts w:ascii="Arial" w:eastAsia="宋体" w:hAnsi="Arial" w:cs="Arial"/>
                <w:b/>
                <w:bCs/>
                <w:i/>
                <w:color w:val="000000"/>
                <w:kern w:val="24"/>
                <w:sz w:val="16"/>
                <w:szCs w:val="24"/>
              </w:rPr>
              <w:t xml:space="preserve">m      </w:t>
            </w:r>
          </w:p>
        </w:tc>
        <w:tc>
          <w:tcPr>
            <w:tcW w:w="364" w:type="pc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rsidR="00723CAE" w:rsidRDefault="00E21C70">
            <w:pPr>
              <w:widowControl/>
              <w:jc w:val="center"/>
              <w:rPr>
                <w:rFonts w:ascii="Arial" w:eastAsia="宋体" w:hAnsi="Arial" w:cs="Arial"/>
                <w:i/>
                <w:kern w:val="0"/>
                <w:sz w:val="16"/>
                <w:szCs w:val="36"/>
              </w:rPr>
            </w:pPr>
            <w:r>
              <w:rPr>
                <w:rFonts w:ascii="Arial" w:eastAsia="宋体" w:hAnsi="Arial" w:cs="Arial"/>
                <w:b/>
                <w:bCs/>
                <w:i/>
                <w:color w:val="000000"/>
                <w:kern w:val="24"/>
                <w:sz w:val="16"/>
                <w:szCs w:val="24"/>
              </w:rPr>
              <w:t xml:space="preserve">x                                                                 </w:t>
            </w:r>
          </w:p>
        </w:tc>
        <w:tc>
          <w:tcPr>
            <w:tcW w:w="382" w:type="pc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rsidR="00723CAE" w:rsidRDefault="00E21C70">
            <w:pPr>
              <w:widowControl/>
              <w:jc w:val="center"/>
              <w:rPr>
                <w:rFonts w:ascii="Arial" w:eastAsia="宋体" w:hAnsi="Arial" w:cs="Arial"/>
                <w:i/>
                <w:kern w:val="0"/>
                <w:sz w:val="16"/>
                <w:szCs w:val="36"/>
              </w:rPr>
            </w:pPr>
            <w:r>
              <w:rPr>
                <w:rFonts w:ascii="Arial" w:eastAsia="宋体" w:hAnsi="Arial" w:cs="Arial"/>
                <w:b/>
                <w:bCs/>
                <w:i/>
                <w:color w:val="000000"/>
                <w:kern w:val="24"/>
                <w:sz w:val="16"/>
                <w:szCs w:val="24"/>
              </w:rPr>
              <w:t>y</w:t>
            </w:r>
          </w:p>
        </w:tc>
        <w:tc>
          <w:tcPr>
            <w:tcW w:w="430" w:type="pc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rsidR="00723CAE" w:rsidRDefault="00E21C70">
            <w:pPr>
              <w:widowControl/>
              <w:jc w:val="center"/>
              <w:rPr>
                <w:rFonts w:ascii="Arial" w:eastAsia="宋体" w:hAnsi="Arial" w:cs="Arial"/>
                <w:i/>
                <w:kern w:val="0"/>
                <w:sz w:val="16"/>
                <w:szCs w:val="36"/>
              </w:rPr>
            </w:pPr>
            <m:oMathPara>
              <m:oMath>
                <m:r>
                  <m:rPr>
                    <m:sty m:val="bi"/>
                  </m:rPr>
                  <w:rPr>
                    <w:rFonts w:ascii="Cambria Math" w:eastAsia="宋体" w:hAnsi="Cambria Math" w:cs="Arial"/>
                    <w:color w:val="000000"/>
                    <w:kern w:val="24"/>
                    <w:sz w:val="16"/>
                    <w:szCs w:val="24"/>
                  </w:rPr>
                  <m:t>η</m:t>
                </m:r>
              </m:oMath>
            </m:oMathPara>
          </w:p>
        </w:tc>
        <w:tc>
          <w:tcPr>
            <w:tcW w:w="708" w:type="pc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rsidR="00723CAE" w:rsidRDefault="00EA6734">
            <w:pPr>
              <w:widowControl/>
              <w:jc w:val="center"/>
              <w:rPr>
                <w:rFonts w:ascii="Arial" w:eastAsia="宋体" w:hAnsi="Arial" w:cs="Arial"/>
                <w:b/>
                <w:bCs/>
                <w:color w:val="000000"/>
                <w:kern w:val="24"/>
                <w:sz w:val="16"/>
                <w:szCs w:val="24"/>
              </w:rPr>
            </w:pPr>
            <m:oMath>
              <m:sSub>
                <m:sSubPr>
                  <m:ctrlPr>
                    <w:rPr>
                      <w:rFonts w:ascii="Cambria Math" w:eastAsia="宋体" w:hAnsi="Cambria Math" w:cs="Arial"/>
                      <w:b/>
                      <w:bCs/>
                      <w:i/>
                      <w:iCs/>
                      <w:color w:val="000000"/>
                      <w:kern w:val="24"/>
                      <w:sz w:val="16"/>
                      <w:szCs w:val="24"/>
                    </w:rPr>
                  </m:ctrlPr>
                </m:sSubPr>
                <m:e>
                  <m:r>
                    <m:rPr>
                      <m:sty m:val="bi"/>
                    </m:rPr>
                    <w:rPr>
                      <w:rFonts w:ascii="Cambria Math" w:eastAsia="宋体" w:hAnsi="Cambria Math" w:cs="Arial"/>
                      <w:color w:val="000000"/>
                      <w:kern w:val="24"/>
                      <w:sz w:val="16"/>
                      <w:szCs w:val="24"/>
                    </w:rPr>
                    <m:t>σ</m:t>
                  </m:r>
                </m:e>
                <m:sub>
                  <m:r>
                    <m:rPr>
                      <m:sty m:val="bi"/>
                    </m:rPr>
                    <w:rPr>
                      <w:rFonts w:ascii="Cambria Math" w:eastAsia="宋体" w:hAnsi="Cambria Math" w:cs="Arial"/>
                      <w:color w:val="000000"/>
                      <w:kern w:val="24"/>
                      <w:sz w:val="16"/>
                      <w:szCs w:val="24"/>
                    </w:rPr>
                    <m:t>xy</m:t>
                  </m:r>
                </m:sub>
              </m:sSub>
            </m:oMath>
            <w:r w:rsidR="00E21C70">
              <w:rPr>
                <w:rFonts w:ascii="Arial" w:eastAsia="宋体" w:hAnsi="Arial" w:cs="Arial"/>
                <w:b/>
                <w:bCs/>
                <w:color w:val="000000"/>
                <w:kern w:val="24"/>
                <w:sz w:val="16"/>
                <w:szCs w:val="24"/>
              </w:rPr>
              <w:t xml:space="preserve"> (</w:t>
            </w:r>
            <m:oMath>
              <m:f>
                <m:fPr>
                  <m:type m:val="lin"/>
                  <m:ctrlPr>
                    <w:rPr>
                      <w:rFonts w:ascii="Cambria Math" w:eastAsia="宋体" w:hAnsi="Cambria Math" w:cs="Arial"/>
                      <w:b/>
                      <w:bCs/>
                      <w:i/>
                      <w:iCs/>
                      <w:color w:val="000000"/>
                      <w:kern w:val="24"/>
                      <w:sz w:val="16"/>
                      <w:szCs w:val="24"/>
                    </w:rPr>
                  </m:ctrlPr>
                </m:fPr>
                <m:num>
                  <m:sSup>
                    <m:sSupPr>
                      <m:ctrlPr>
                        <w:rPr>
                          <w:rFonts w:ascii="Cambria Math" w:eastAsia="宋体" w:hAnsi="Cambria Math" w:cs="Arial"/>
                          <w:b/>
                          <w:bCs/>
                          <w:i/>
                          <w:iCs/>
                          <w:color w:val="000000"/>
                          <w:kern w:val="24"/>
                          <w:sz w:val="16"/>
                          <w:szCs w:val="24"/>
                        </w:rPr>
                      </m:ctrlPr>
                    </m:sSupPr>
                    <m:e>
                      <m:r>
                        <m:rPr>
                          <m:sty m:val="bi"/>
                        </m:rPr>
                        <w:rPr>
                          <w:rFonts w:ascii="Cambria Math" w:eastAsia="宋体" w:hAnsi="Cambria Math" w:cs="Arial"/>
                          <w:color w:val="000000"/>
                          <w:kern w:val="24"/>
                          <w:sz w:val="16"/>
                          <w:szCs w:val="24"/>
                        </w:rPr>
                        <m:t>e</m:t>
                      </m:r>
                    </m:e>
                    <m:sup>
                      <m:r>
                        <m:rPr>
                          <m:sty m:val="bi"/>
                        </m:rPr>
                        <w:rPr>
                          <w:rFonts w:ascii="Cambria Math" w:eastAsia="宋体" w:hAnsi="Cambria Math" w:cs="Arial"/>
                          <w:color w:val="000000"/>
                          <w:kern w:val="24"/>
                          <w:sz w:val="16"/>
                          <w:szCs w:val="24"/>
                        </w:rPr>
                        <m:t>2</m:t>
                      </m:r>
                    </m:sup>
                  </m:sSup>
                </m:num>
                <m:den>
                  <m:r>
                    <m:rPr>
                      <m:sty m:val="bi"/>
                    </m:rPr>
                    <w:rPr>
                      <w:rFonts w:ascii="Cambria Math" w:eastAsia="宋体" w:hAnsi="Cambria Math" w:cs="Arial"/>
                      <w:color w:val="000000"/>
                      <w:kern w:val="24"/>
                      <w:sz w:val="16"/>
                      <w:szCs w:val="24"/>
                    </w:rPr>
                    <m:t>h</m:t>
                  </m:r>
                </m:den>
              </m:f>
            </m:oMath>
            <w:r w:rsidR="00E21C70">
              <w:rPr>
                <w:rFonts w:ascii="Arial" w:eastAsia="宋体" w:hAnsi="Arial" w:cs="Arial"/>
                <w:b/>
                <w:bCs/>
                <w:color w:val="000000"/>
                <w:kern w:val="24"/>
                <w:sz w:val="16"/>
                <w:szCs w:val="24"/>
              </w:rPr>
              <w:t xml:space="preserve">) </w:t>
            </w:r>
          </w:p>
          <w:p w:rsidR="00723CAE" w:rsidRDefault="00E21C70">
            <w:pPr>
              <w:widowControl/>
              <w:jc w:val="center"/>
              <w:rPr>
                <w:rFonts w:ascii="Arial" w:eastAsia="宋体" w:hAnsi="Arial" w:cs="Arial"/>
                <w:kern w:val="0"/>
                <w:sz w:val="16"/>
                <w:szCs w:val="36"/>
              </w:rPr>
            </w:pPr>
            <m:oMath>
              <m:r>
                <m:rPr>
                  <m:sty m:val="b"/>
                </m:rPr>
                <w:rPr>
                  <w:rFonts w:ascii="Cambria Math" w:eastAsia="宋体" w:hAnsi="Cambria Math" w:cs="Arial"/>
                  <w:color w:val="000000"/>
                  <w:kern w:val="24"/>
                  <w:sz w:val="16"/>
                  <w:szCs w:val="24"/>
                </w:rPr>
                <m:t> </m:t>
              </m:r>
            </m:oMath>
            <w:r>
              <w:rPr>
                <w:rFonts w:ascii="Arial" w:eastAsia="宋体" w:hAnsi="Arial" w:cs="Arial"/>
                <w:b/>
                <w:bCs/>
                <w:color w:val="000000"/>
                <w:kern w:val="24"/>
                <w:sz w:val="16"/>
                <w:szCs w:val="24"/>
              </w:rPr>
              <w:t>(parallel)</w:t>
            </w:r>
          </w:p>
        </w:tc>
        <w:tc>
          <w:tcPr>
            <w:tcW w:w="772" w:type="pc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rsidR="00723CAE" w:rsidRDefault="00EA6734">
            <w:pPr>
              <w:widowControl/>
              <w:jc w:val="center"/>
              <w:rPr>
                <w:rFonts w:ascii="Arial" w:eastAsia="宋体" w:hAnsi="Arial" w:cs="Arial"/>
                <w:b/>
                <w:bCs/>
                <w:color w:val="000000"/>
                <w:kern w:val="24"/>
                <w:sz w:val="16"/>
                <w:szCs w:val="24"/>
              </w:rPr>
            </w:pPr>
            <m:oMath>
              <m:sSub>
                <m:sSubPr>
                  <m:ctrlPr>
                    <w:rPr>
                      <w:rFonts w:ascii="Cambria Math" w:eastAsia="宋体" w:hAnsi="Cambria Math" w:cs="Arial"/>
                      <w:b/>
                      <w:bCs/>
                      <w:i/>
                      <w:iCs/>
                      <w:color w:val="000000"/>
                      <w:kern w:val="24"/>
                      <w:sz w:val="16"/>
                      <w:szCs w:val="24"/>
                    </w:rPr>
                  </m:ctrlPr>
                </m:sSubPr>
                <m:e>
                  <m:r>
                    <m:rPr>
                      <m:sty m:val="bi"/>
                    </m:rPr>
                    <w:rPr>
                      <w:rFonts w:ascii="Cambria Math" w:eastAsia="宋体" w:hAnsi="Cambria Math" w:cs="Arial"/>
                      <w:color w:val="000000"/>
                      <w:kern w:val="24"/>
                      <w:sz w:val="16"/>
                      <w:szCs w:val="24"/>
                    </w:rPr>
                    <m:t>σ</m:t>
                  </m:r>
                </m:e>
                <m:sub>
                  <m:r>
                    <m:rPr>
                      <m:sty m:val="bi"/>
                    </m:rPr>
                    <w:rPr>
                      <w:rFonts w:ascii="Cambria Math" w:eastAsia="宋体" w:hAnsi="Cambria Math" w:cs="Arial"/>
                      <w:color w:val="000000"/>
                      <w:kern w:val="24"/>
                      <w:sz w:val="16"/>
                      <w:szCs w:val="24"/>
                    </w:rPr>
                    <m:t>xy</m:t>
                  </m:r>
                </m:sub>
              </m:sSub>
            </m:oMath>
            <w:r w:rsidR="00E21C70">
              <w:rPr>
                <w:rFonts w:ascii="Arial" w:eastAsia="宋体" w:hAnsi="Arial" w:cs="Arial"/>
                <w:b/>
                <w:bCs/>
                <w:color w:val="000000"/>
                <w:kern w:val="24"/>
                <w:sz w:val="16"/>
                <w:szCs w:val="24"/>
              </w:rPr>
              <w:t xml:space="preserve"> (</w:t>
            </w:r>
            <m:oMath>
              <m:f>
                <m:fPr>
                  <m:type m:val="lin"/>
                  <m:ctrlPr>
                    <w:rPr>
                      <w:rFonts w:ascii="Cambria Math" w:eastAsia="宋体" w:hAnsi="Cambria Math" w:cs="Arial"/>
                      <w:b/>
                      <w:bCs/>
                      <w:i/>
                      <w:iCs/>
                      <w:color w:val="000000"/>
                      <w:kern w:val="24"/>
                      <w:sz w:val="16"/>
                      <w:szCs w:val="24"/>
                    </w:rPr>
                  </m:ctrlPr>
                </m:fPr>
                <m:num>
                  <m:sSup>
                    <m:sSupPr>
                      <m:ctrlPr>
                        <w:rPr>
                          <w:rFonts w:ascii="Cambria Math" w:eastAsia="宋体" w:hAnsi="Cambria Math" w:cs="Arial"/>
                          <w:b/>
                          <w:bCs/>
                          <w:i/>
                          <w:iCs/>
                          <w:color w:val="000000"/>
                          <w:kern w:val="24"/>
                          <w:sz w:val="16"/>
                          <w:szCs w:val="24"/>
                        </w:rPr>
                      </m:ctrlPr>
                    </m:sSupPr>
                    <m:e>
                      <m:r>
                        <m:rPr>
                          <m:sty m:val="bi"/>
                        </m:rPr>
                        <w:rPr>
                          <w:rFonts w:ascii="Cambria Math" w:eastAsia="宋体" w:hAnsi="Cambria Math" w:cs="Arial"/>
                          <w:color w:val="000000"/>
                          <w:kern w:val="24"/>
                          <w:sz w:val="16"/>
                          <w:szCs w:val="24"/>
                        </w:rPr>
                        <m:t>e</m:t>
                      </m:r>
                    </m:e>
                    <m:sup>
                      <m:r>
                        <m:rPr>
                          <m:sty m:val="bi"/>
                        </m:rPr>
                        <w:rPr>
                          <w:rFonts w:ascii="Cambria Math" w:eastAsia="宋体" w:hAnsi="Cambria Math" w:cs="Arial"/>
                          <w:color w:val="000000"/>
                          <w:kern w:val="24"/>
                          <w:sz w:val="16"/>
                          <w:szCs w:val="24"/>
                        </w:rPr>
                        <m:t>2</m:t>
                      </m:r>
                    </m:sup>
                  </m:sSup>
                </m:num>
                <m:den>
                  <m:r>
                    <m:rPr>
                      <m:sty m:val="bi"/>
                    </m:rPr>
                    <w:rPr>
                      <w:rFonts w:ascii="Cambria Math" w:eastAsia="宋体" w:hAnsi="Cambria Math" w:cs="Arial"/>
                      <w:color w:val="000000"/>
                      <w:kern w:val="24"/>
                      <w:sz w:val="16"/>
                      <w:szCs w:val="24"/>
                    </w:rPr>
                    <m:t>h</m:t>
                  </m:r>
                </m:den>
              </m:f>
            </m:oMath>
            <w:r w:rsidR="00E21C70">
              <w:rPr>
                <w:rFonts w:ascii="Arial" w:eastAsia="宋体" w:hAnsi="Arial" w:cs="Arial"/>
                <w:b/>
                <w:bCs/>
                <w:color w:val="000000"/>
                <w:kern w:val="24"/>
                <w:sz w:val="16"/>
                <w:szCs w:val="24"/>
              </w:rPr>
              <w:t xml:space="preserve">) </w:t>
            </w:r>
          </w:p>
          <w:p w:rsidR="00723CAE" w:rsidRDefault="00E21C70">
            <w:pPr>
              <w:widowControl/>
              <w:jc w:val="center"/>
              <w:rPr>
                <w:rFonts w:ascii="Arial" w:eastAsia="宋体" w:hAnsi="Arial" w:cs="Arial"/>
                <w:kern w:val="0"/>
                <w:sz w:val="16"/>
                <w:szCs w:val="36"/>
              </w:rPr>
            </w:pPr>
            <w:r>
              <w:rPr>
                <w:rFonts w:ascii="Arial" w:eastAsia="宋体" w:hAnsi="Arial" w:cs="Arial"/>
                <w:b/>
                <w:bCs/>
                <w:color w:val="000000"/>
                <w:kern w:val="24"/>
                <w:sz w:val="16"/>
                <w:szCs w:val="24"/>
              </w:rPr>
              <w:t>(antiparallel)</w:t>
            </w:r>
          </w:p>
        </w:tc>
      </w:tr>
      <w:tr w:rsidR="00723CAE" w:rsidTr="00003780">
        <w:trPr>
          <w:trHeight w:val="137"/>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A1 (Fig.1 &amp; 2)</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0.507</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0.521</w:t>
            </w:r>
          </w:p>
        </w:tc>
      </w:tr>
      <w:tr w:rsidR="00723CAE" w:rsidTr="00003780">
        <w:trPr>
          <w:trHeight w:val="101"/>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B1 (Fig.3)</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Pr="004F4177" w:rsidRDefault="00E21C70" w:rsidP="004F4177">
            <w:pPr>
              <w:widowControl/>
              <w:jc w:val="center"/>
              <w:rPr>
                <w:rFonts w:ascii="Arial" w:eastAsia="宋体" w:hAnsi="Arial" w:cs="Arial"/>
                <w:color w:val="000000"/>
                <w:kern w:val="24"/>
                <w:sz w:val="16"/>
                <w:szCs w:val="24"/>
              </w:rPr>
            </w:pPr>
            <w:r>
              <w:rPr>
                <w:rFonts w:ascii="Arial" w:eastAsia="宋体" w:hAnsi="Arial" w:cs="Arial"/>
                <w:color w:val="000000"/>
                <w:kern w:val="24"/>
                <w:sz w:val="16"/>
                <w:szCs w:val="24"/>
              </w:rPr>
              <w:t>CBV</w:t>
            </w:r>
            <w:r w:rsidR="004F4177">
              <w:rPr>
                <w:rFonts w:ascii="Arial" w:eastAsia="宋体" w:hAnsi="Arial" w:cs="Arial" w:hint="eastAsia"/>
                <w:color w:val="000000"/>
                <w:kern w:val="24"/>
                <w:sz w:val="16"/>
                <w:szCs w:val="24"/>
              </w:rPr>
              <w:t xml:space="preserve"> </w:t>
            </w:r>
            <w:r>
              <w:rPr>
                <w:rFonts w:ascii="Arial" w:eastAsia="宋体" w:hAnsi="Arial" w:cs="Arial" w:hint="eastAsia"/>
                <w:color w:val="000000"/>
                <w:kern w:val="24"/>
                <w:sz w:val="16"/>
                <w:szCs w:val="24"/>
              </w:rPr>
              <w:t>(</w:t>
            </w:r>
            <w:r>
              <w:rPr>
                <w:rFonts w:ascii="Arial" w:eastAsia="宋体" w:hAnsi="Arial" w:cs="Arial"/>
                <w:color w:val="000000"/>
                <w:kern w:val="24"/>
                <w:sz w:val="16"/>
                <w:szCs w:val="24"/>
              </w:rPr>
              <w:t>dual-gated)</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0.463</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0.446</w:t>
            </w:r>
          </w:p>
        </w:tc>
      </w:tr>
      <w:tr w:rsidR="00723CAE" w:rsidTr="00003780">
        <w:trPr>
          <w:trHeight w:val="66"/>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 xml:space="preserve">Device C1 (Fig.4) </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VBC</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0.03</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0.73</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0.522</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A2 (Fig.4</w:t>
            </w:r>
            <w:r w:rsidR="00003780">
              <w:rPr>
                <w:rFonts w:ascii="Arial" w:eastAsia="宋体" w:hAnsi="Arial" w:cs="Arial"/>
                <w:color w:val="000000"/>
                <w:kern w:val="24"/>
                <w:sz w:val="16"/>
                <w:szCs w:val="24"/>
              </w:rPr>
              <w:t xml:space="preserve">&amp;ED </w:t>
            </w:r>
            <w:r w:rsidR="00003780">
              <w:rPr>
                <w:rFonts w:ascii="Arial" w:eastAsia="宋体" w:hAnsi="Arial" w:cs="Arial" w:hint="eastAsia"/>
                <w:color w:val="000000"/>
                <w:kern w:val="24"/>
                <w:sz w:val="16"/>
                <w:szCs w:val="24"/>
              </w:rPr>
              <w:t>Fig</w:t>
            </w:r>
            <w:r w:rsidR="00003780">
              <w:rPr>
                <w:rFonts w:ascii="Arial" w:eastAsia="宋体" w:hAnsi="Arial" w:cs="Arial"/>
                <w:color w:val="000000"/>
                <w:kern w:val="24"/>
                <w:sz w:val="16"/>
                <w:szCs w:val="24"/>
              </w:rPr>
              <w:t>.5</w:t>
            </w:r>
            <w:r>
              <w:rPr>
                <w:rFonts w:ascii="Arial" w:eastAsia="宋体" w:hAnsi="Arial" w:cs="Arial"/>
                <w:color w:val="000000"/>
                <w:kern w:val="24"/>
                <w:sz w:val="16"/>
                <w:szCs w:val="24"/>
              </w:rPr>
              <w:t>)</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0.471</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0.504</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A3 (ED Fig.1)</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0.36</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0.768</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0.351</w:t>
            </w:r>
          </w:p>
        </w:tc>
      </w:tr>
      <w:tr w:rsidR="00723CAE" w:rsidTr="00003780">
        <w:trPr>
          <w:trHeight w:val="85"/>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A4 (ED Fig.3)</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5</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0.455</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0.479</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A5 (ED Fig.3&amp;7)</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10</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0.511</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0.522</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A6 (ED Fig.3)</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30</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0.554</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0.565</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A7 (ED Fig.5)</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0.497</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0.501</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A8 (ED Fig.5)</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0.62</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0.486</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0.519</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D1 (ED Fig.6)</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CBC</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10</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0.515</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D2 (ED Fig.6)</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CBC</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0.538</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A9 (ED Fig.7)</w:t>
            </w:r>
          </w:p>
        </w:tc>
        <w:tc>
          <w:tcPr>
            <w:tcW w:w="68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0.23</w:t>
            </w:r>
          </w:p>
        </w:tc>
        <w:tc>
          <w:tcPr>
            <w:tcW w:w="430"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0.533</w:t>
            </w:r>
          </w:p>
        </w:tc>
        <w:tc>
          <w:tcPr>
            <w:tcW w:w="772" w:type="pct"/>
            <w:tcBorders>
              <w:top w:val="single" w:sz="4" w:space="0" w:color="000000"/>
              <w:left w:val="single" w:sz="4" w:space="0" w:color="000000"/>
              <w:bottom w:val="single" w:sz="4" w:space="0" w:color="000000"/>
              <w:right w:val="single" w:sz="4" w:space="0" w:color="000000"/>
            </w:tcBorders>
            <w:shd w:val="clear" w:color="auto" w:fill="FFFFFF"/>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0.557</w:t>
            </w:r>
          </w:p>
        </w:tc>
      </w:tr>
      <w:tr w:rsidR="00723CAE" w:rsidTr="00003780">
        <w:trPr>
          <w:trHeight w:val="584"/>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A10 (SI Fig.5)</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0.73</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0.764</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w:t>
            </w:r>
          </w:p>
        </w:tc>
      </w:tr>
      <w:tr w:rsidR="00723CAE" w:rsidTr="00003780">
        <w:trPr>
          <w:trHeight w:val="575"/>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A11 (SI Fig.7)</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10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0.73</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0.301</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w:t>
            </w:r>
          </w:p>
        </w:tc>
      </w:tr>
      <w:tr w:rsidR="00723CAE" w:rsidTr="00003780">
        <w:trPr>
          <w:trHeight w:val="38"/>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A12 (SI Fig.7)</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10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0.62</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0.227</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A13 (SI Fig.8)</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0.62</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0.478</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0.552</w:t>
            </w:r>
          </w:p>
        </w:tc>
      </w:tr>
      <w:tr w:rsidR="00723CAE" w:rsidTr="00003780">
        <w:trPr>
          <w:trHeight w:val="93"/>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A14 (SI Fig.8)</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0.83</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0.496</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0.519</w:t>
            </w:r>
          </w:p>
        </w:tc>
      </w:tr>
      <w:tr w:rsidR="00723CAE" w:rsidTr="00003780">
        <w:trPr>
          <w:trHeight w:val="18"/>
        </w:trPr>
        <w:tc>
          <w:tcPr>
            <w:tcW w:w="13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left"/>
              <w:rPr>
                <w:rFonts w:ascii="Arial" w:eastAsia="宋体" w:hAnsi="Arial" w:cs="Arial"/>
                <w:kern w:val="0"/>
                <w:sz w:val="16"/>
                <w:szCs w:val="36"/>
              </w:rPr>
            </w:pPr>
            <w:r>
              <w:rPr>
                <w:rFonts w:ascii="Arial" w:eastAsia="宋体" w:hAnsi="Arial" w:cs="Arial"/>
                <w:color w:val="000000"/>
                <w:kern w:val="24"/>
                <w:sz w:val="16"/>
                <w:szCs w:val="24"/>
              </w:rPr>
              <w:t>Device A15 (SI Fig.8)</w:t>
            </w:r>
          </w:p>
        </w:tc>
        <w:tc>
          <w:tcPr>
            <w:tcW w:w="68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CBV</w:t>
            </w:r>
          </w:p>
        </w:tc>
        <w:tc>
          <w:tcPr>
            <w:tcW w:w="28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20</w:t>
            </w:r>
          </w:p>
        </w:tc>
        <w:tc>
          <w:tcPr>
            <w:tcW w:w="364"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0.19</w:t>
            </w:r>
          </w:p>
        </w:tc>
        <w:tc>
          <w:tcPr>
            <w:tcW w:w="38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0.11</w:t>
            </w:r>
          </w:p>
        </w:tc>
        <w:tc>
          <w:tcPr>
            <w:tcW w:w="430"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kern w:val="0"/>
                <w:sz w:val="16"/>
                <w:szCs w:val="36"/>
              </w:rPr>
            </w:pPr>
            <w:r>
              <w:rPr>
                <w:rFonts w:ascii="Arial" w:eastAsia="宋体" w:hAnsi="Arial" w:cs="Arial"/>
                <w:color w:val="000000"/>
                <w:kern w:val="24"/>
                <w:sz w:val="16"/>
                <w:szCs w:val="24"/>
              </w:rPr>
              <w:t>0.62</w:t>
            </w:r>
          </w:p>
        </w:tc>
        <w:tc>
          <w:tcPr>
            <w:tcW w:w="708"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0.494</w:t>
            </w:r>
          </w:p>
        </w:tc>
        <w:tc>
          <w:tcPr>
            <w:tcW w:w="772" w:type="pct"/>
            <w:tcBorders>
              <w:top w:val="single" w:sz="4" w:space="0" w:color="000000"/>
              <w:left w:val="single" w:sz="4" w:space="0" w:color="000000"/>
              <w:bottom w:val="single" w:sz="4" w:space="0" w:color="000000"/>
              <w:right w:val="single" w:sz="4" w:space="0" w:color="000000"/>
            </w:tcBorders>
            <w:shd w:val="clear" w:color="auto" w:fill="DAE3F3"/>
            <w:tcMar>
              <w:top w:w="72" w:type="dxa"/>
              <w:left w:w="144" w:type="dxa"/>
              <w:bottom w:w="72" w:type="dxa"/>
              <w:right w:w="144" w:type="dxa"/>
            </w:tcMar>
            <w:vAlign w:val="center"/>
          </w:tcPr>
          <w:p w:rsidR="00723CAE" w:rsidRDefault="00E21C70">
            <w:pPr>
              <w:widowControl/>
              <w:jc w:val="center"/>
              <w:rPr>
                <w:rFonts w:ascii="Arial" w:eastAsia="宋体" w:hAnsi="Arial" w:cs="Arial"/>
                <w:color w:val="FF0000"/>
                <w:kern w:val="0"/>
                <w:sz w:val="16"/>
                <w:szCs w:val="36"/>
              </w:rPr>
            </w:pPr>
            <w:r>
              <w:rPr>
                <w:rFonts w:ascii="Arial" w:eastAsia="宋体" w:hAnsi="Arial" w:cs="Arial"/>
                <w:color w:val="FF0000"/>
                <w:kern w:val="24"/>
                <w:sz w:val="16"/>
                <w:szCs w:val="24"/>
              </w:rPr>
              <w:t>0.498</w:t>
            </w:r>
          </w:p>
        </w:tc>
      </w:tr>
    </w:tbl>
    <w:p w:rsidR="00723CAE" w:rsidRDefault="00E21C70">
      <w:pPr>
        <w:autoSpaceDE w:val="0"/>
        <w:autoSpaceDN w:val="0"/>
        <w:adjustRightInd w:val="0"/>
        <w:spacing w:line="360" w:lineRule="auto"/>
        <w:jc w:val="left"/>
        <w:rPr>
          <w:rFonts w:ascii="Times New Roman" w:eastAsia="宋体" w:hAnsi="Times New Roman" w:cs="Times New Roman"/>
          <w:snapToGrid w:val="0"/>
          <w:kern w:val="0"/>
          <w:sz w:val="24"/>
          <w:szCs w:val="21"/>
        </w:rPr>
      </w:pPr>
      <w:r>
        <w:rPr>
          <w:rFonts w:ascii="Times New Roman" w:eastAsia="宋体" w:hAnsi="Times New Roman" w:cs="Times New Roman"/>
          <w:b/>
          <w:snapToGrid w:val="0"/>
          <w:kern w:val="0"/>
          <w:sz w:val="24"/>
          <w:szCs w:val="21"/>
        </w:rPr>
        <w:t xml:space="preserve">Table S1. Device characteristics of all devices measured in the article. </w:t>
      </w:r>
      <w:r>
        <w:rPr>
          <w:rFonts w:ascii="Times New Roman" w:eastAsia="宋体" w:hAnsi="Times New Roman" w:cs="Times New Roman"/>
          <w:snapToGrid w:val="0"/>
          <w:kern w:val="0"/>
          <w:sz w:val="24"/>
          <w:szCs w:val="21"/>
        </w:rPr>
        <w:t xml:space="preserve">All measurements of the AHC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sz w:val="24"/>
                <w:szCs w:val="24"/>
              </w:rPr>
              <m:t>xy</m:t>
            </m:r>
          </m:sub>
        </m:sSub>
      </m:oMath>
      <w:r>
        <w:rPr>
          <w:rFonts w:ascii="Times New Roman" w:eastAsia="宋体" w:hAnsi="Times New Roman" w:cs="Times New Roman"/>
          <w:snapToGrid w:val="0"/>
          <w:kern w:val="0"/>
          <w:sz w:val="24"/>
          <w:szCs w:val="21"/>
        </w:rPr>
        <w:t xml:space="preserve"> were performed at T = 30 </w:t>
      </w:r>
      <w:proofErr w:type="spellStart"/>
      <w:r>
        <w:rPr>
          <w:rFonts w:ascii="Times New Roman" w:eastAsia="宋体" w:hAnsi="Times New Roman" w:cs="Times New Roman"/>
          <w:snapToGrid w:val="0"/>
          <w:kern w:val="0"/>
          <w:sz w:val="24"/>
          <w:szCs w:val="21"/>
        </w:rPr>
        <w:t>mK</w:t>
      </w:r>
      <w:proofErr w:type="spellEnd"/>
      <w:r>
        <w:rPr>
          <w:rFonts w:ascii="Times New Roman" w:eastAsia="宋体" w:hAnsi="Times New Roman" w:cs="Times New Roman"/>
          <w:snapToGrid w:val="0"/>
          <w:kern w:val="0"/>
          <w:sz w:val="24"/>
          <w:szCs w:val="21"/>
        </w:rPr>
        <w:t xml:space="preserve"> and </w:t>
      </w:r>
      <w:proofErr w:type="spellStart"/>
      <w:r>
        <w:rPr>
          <w:rFonts w:ascii="Times New Roman" w:eastAsia="宋体" w:hAnsi="Times New Roman" w:cs="Times New Roman"/>
          <w:i/>
          <w:snapToGrid w:val="0"/>
          <w:kern w:val="0"/>
          <w:sz w:val="24"/>
          <w:szCs w:val="21"/>
        </w:rPr>
        <w:t>V</w:t>
      </w:r>
      <w:r>
        <w:rPr>
          <w:rFonts w:ascii="Times New Roman" w:eastAsia="宋体" w:hAnsi="Times New Roman" w:cs="Times New Roman"/>
          <w:snapToGrid w:val="0"/>
          <w:kern w:val="0"/>
          <w:sz w:val="24"/>
          <w:szCs w:val="21"/>
          <w:vertAlign w:val="subscript"/>
        </w:rPr>
        <w:t>bg</w:t>
      </w:r>
      <w:proofErr w:type="spellEnd"/>
      <w:r>
        <w:rPr>
          <w:rFonts w:ascii="Times New Roman" w:eastAsia="宋体" w:hAnsi="Times New Roman" w:cs="Times New Roman"/>
          <w:snapToGrid w:val="0"/>
          <w:kern w:val="0"/>
          <w:sz w:val="24"/>
          <w:szCs w:val="21"/>
        </w:rPr>
        <w:t xml:space="preserve"> = -200 V except for Device C1 (</w:t>
      </w:r>
      <w:proofErr w:type="spellStart"/>
      <w:r>
        <w:rPr>
          <w:rFonts w:ascii="Times New Roman" w:eastAsia="宋体" w:hAnsi="Times New Roman" w:cs="Times New Roman"/>
          <w:i/>
          <w:snapToGrid w:val="0"/>
          <w:kern w:val="0"/>
          <w:sz w:val="24"/>
          <w:szCs w:val="21"/>
        </w:rPr>
        <w:t>V</w:t>
      </w:r>
      <w:r>
        <w:rPr>
          <w:rFonts w:ascii="Times New Roman" w:eastAsia="宋体" w:hAnsi="Times New Roman" w:cs="Times New Roman"/>
          <w:snapToGrid w:val="0"/>
          <w:kern w:val="0"/>
          <w:sz w:val="24"/>
          <w:szCs w:val="21"/>
          <w:vertAlign w:val="subscript"/>
        </w:rPr>
        <w:t>bg</w:t>
      </w:r>
      <w:proofErr w:type="spellEnd"/>
      <w:r>
        <w:rPr>
          <w:rFonts w:ascii="Times New Roman" w:eastAsia="宋体" w:hAnsi="Times New Roman" w:cs="Times New Roman"/>
          <w:snapToGrid w:val="0"/>
          <w:kern w:val="0"/>
          <w:sz w:val="24"/>
          <w:szCs w:val="21"/>
        </w:rPr>
        <w:t xml:space="preserve"> = 200 V). </w:t>
      </w:r>
      <w:r>
        <w:rPr>
          <w:rFonts w:ascii="Times New Roman" w:eastAsia="宋体" w:hAnsi="Times New Roman" w:cs="Times New Roman" w:hint="eastAsia"/>
          <w:snapToGrid w:val="0"/>
          <w:kern w:val="0"/>
          <w:sz w:val="24"/>
          <w:szCs w:val="21"/>
        </w:rPr>
        <w:t>T</w:t>
      </w:r>
      <w:r>
        <w:rPr>
          <w:rFonts w:ascii="Times New Roman" w:eastAsia="宋体" w:hAnsi="Times New Roman" w:cs="Times New Roman"/>
          <w:snapToGrid w:val="0"/>
          <w:kern w:val="0"/>
          <w:sz w:val="24"/>
          <w:szCs w:val="21"/>
        </w:rPr>
        <w:t xml:space="preserve">he averaged AHC of HQLHE in the main text with </w:t>
      </w:r>
      <m:oMath>
        <m:sSub>
          <m:sSubPr>
            <m:ctrlPr>
              <w:rPr>
                <w:rFonts w:ascii="Cambria Math" w:hAnsi="Cambria Math" w:cs="Times New Roman"/>
                <w:sz w:val="24"/>
                <w:szCs w:val="24"/>
              </w:rPr>
            </m:ctrlPr>
          </m:sSubPr>
          <m:e>
            <m:r>
              <w:rPr>
                <w:rFonts w:ascii="Cambria Math" w:hAnsi="Cambria Math" w:cs="Times New Roman"/>
                <w:sz w:val="24"/>
                <w:szCs w:val="24"/>
              </w:rPr>
              <m:t>σ</m:t>
            </m:r>
          </m:e>
          <m:sub>
            <m:r>
              <w:rPr>
                <w:rFonts w:ascii="Cambria Math" w:hAnsi="Cambria Math" w:cs="Times New Roman" w:hint="eastAsia"/>
                <w:sz w:val="24"/>
                <w:szCs w:val="24"/>
              </w:rPr>
              <m:t>xy</m:t>
            </m:r>
          </m:sub>
        </m:sSub>
        <m:r>
          <w:rPr>
            <w:rFonts w:ascii="Cambria Math" w:hAnsi="Cambria Math" w:cs="Times New Roman"/>
            <w:sz w:val="24"/>
            <w:szCs w:val="24"/>
          </w:rPr>
          <m:t>=0.505±0.019</m:t>
        </m:r>
        <m:r>
          <m:rPr>
            <m:sty m:val="p"/>
          </m:rPr>
          <w:rPr>
            <w:rFonts w:ascii="Cambria Math" w:hAnsi="Cambria Math" w:cs="Times New Roman"/>
            <w:sz w:val="24"/>
            <w:szCs w:val="24"/>
          </w:rPr>
          <m:t xml:space="preserve"> </m:t>
        </m:r>
        <m:f>
          <m:fPr>
            <m:type m:val="lin"/>
            <m:ctrlPr>
              <w:rPr>
                <w:rFonts w:ascii="Cambria Math" w:hAnsi="Cambria Math" w:cs="Times New Roman"/>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num>
          <m:den>
            <m:r>
              <w:rPr>
                <w:rFonts w:ascii="Cambria Math" w:hAnsi="Cambria Math" w:cs="Times New Roman"/>
                <w:sz w:val="24"/>
                <w:szCs w:val="24"/>
              </w:rPr>
              <m:t>h</m:t>
            </m:r>
          </m:den>
        </m:f>
      </m:oMath>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is calculated from the data in red (devices with </w:t>
      </w:r>
      <w:r>
        <w:rPr>
          <w:rFonts w:ascii="Times New Roman" w:hAnsi="Times New Roman" w:cs="Times New Roman"/>
          <w:sz w:val="24"/>
          <w:szCs w:val="24"/>
        </w:rPr>
        <w:t xml:space="preserve">spacer thickness </w:t>
      </w:r>
      <m:oMath>
        <m:r>
          <m:rPr>
            <m:sty m:val="p"/>
          </m:rPr>
          <w:rPr>
            <w:rFonts w:ascii="Cambria Math" w:hAnsi="Cambria Math" w:cs="Times New Roman"/>
            <w:sz w:val="24"/>
            <w:szCs w:val="24"/>
          </w:rPr>
          <m:t>10≤</m:t>
        </m:r>
        <m:r>
          <w:rPr>
            <w:rFonts w:ascii="Cambria Math" w:hAnsi="Cambria Math" w:cs="Times New Roman"/>
            <w:sz w:val="24"/>
            <w:szCs w:val="24"/>
          </w:rPr>
          <m:t>m</m:t>
        </m:r>
        <m:r>
          <m:rPr>
            <m:sty m:val="p"/>
          </m:rPr>
          <w:rPr>
            <w:rFonts w:ascii="Cambria Math" w:hAnsi="Cambria Math" w:cs="Times New Roman"/>
            <w:sz w:val="24"/>
            <w:szCs w:val="24"/>
          </w:rPr>
          <m:t>≤20</m:t>
        </m:r>
      </m:oMath>
      <w:r>
        <w:rPr>
          <w:rFonts w:ascii="Times New Roman" w:eastAsia="宋体" w:hAnsi="Times New Roman" w:cs="Times New Roman"/>
          <w:sz w:val="24"/>
          <w:szCs w:val="24"/>
        </w:rPr>
        <w:t>).</w:t>
      </w:r>
    </w:p>
    <w:p w:rsidR="00723CAE" w:rsidRDefault="00723CAE">
      <w:pPr>
        <w:widowControl/>
        <w:jc w:val="left"/>
      </w:pPr>
    </w:p>
    <w:p w:rsidR="00723CAE" w:rsidRDefault="00E21C70">
      <w:pPr>
        <w:pStyle w:val="1"/>
        <w:rPr>
          <w:rFonts w:ascii="等线" w:eastAsia="等线" w:hAnsi="等线"/>
        </w:rPr>
      </w:pPr>
      <w:r>
        <w:lastRenderedPageBreak/>
        <w:fldChar w:fldCharType="begin"/>
      </w:r>
      <w:r>
        <w:instrText xml:space="preserve"> ADDIN ZOTERO_BIBL {"uncited":[],"omitted":[],"custom":[]} CSL_BIBLIOGRAPHY </w:instrText>
      </w:r>
      <w:r>
        <w:fldChar w:fldCharType="separate"/>
      </w:r>
      <w:r>
        <w:rPr>
          <w:rFonts w:ascii="等线" w:eastAsia="等线" w:hAnsi="等线"/>
        </w:rPr>
        <w:t>1.</w:t>
      </w:r>
      <w:r>
        <w:rPr>
          <w:rFonts w:ascii="等线" w:eastAsia="等线" w:hAnsi="等线"/>
        </w:rPr>
        <w:tab/>
        <w:t xml:space="preserve">Akkermans, E. &amp; Montambaux, G. </w:t>
      </w:r>
      <w:r>
        <w:rPr>
          <w:rFonts w:ascii="等线" w:eastAsia="等线" w:hAnsi="等线"/>
          <w:i/>
          <w:iCs/>
        </w:rPr>
        <w:t>Mesoscopic Physics of Electrons and Photons</w:t>
      </w:r>
      <w:r>
        <w:rPr>
          <w:rFonts w:ascii="等线" w:eastAsia="等线" w:hAnsi="等线"/>
        </w:rPr>
        <w:t>. (Cambridge University Press, 2007).</w:t>
      </w:r>
    </w:p>
    <w:p w:rsidR="00723CAE" w:rsidRDefault="00E21C70">
      <w:pPr>
        <w:pStyle w:val="1"/>
        <w:rPr>
          <w:rFonts w:ascii="等线" w:eastAsia="等线" w:hAnsi="等线"/>
        </w:rPr>
      </w:pPr>
      <w:r>
        <w:rPr>
          <w:rFonts w:ascii="等线" w:eastAsia="等线" w:hAnsi="等线"/>
        </w:rPr>
        <w:t>2.</w:t>
      </w:r>
      <w:r>
        <w:rPr>
          <w:rFonts w:ascii="等线" w:eastAsia="等线" w:hAnsi="等线"/>
        </w:rPr>
        <w:tab/>
        <w:t xml:space="preserve">Kirkpatrick, S. Classical Transport in Disordered Media: Scaling and Effective-Medium Theories. </w:t>
      </w:r>
      <w:r>
        <w:rPr>
          <w:rFonts w:ascii="等线" w:eastAsia="等线" w:hAnsi="等线"/>
          <w:i/>
          <w:iCs/>
        </w:rPr>
        <w:t>Phys. Rev. Lett.</w:t>
      </w:r>
      <w:r>
        <w:rPr>
          <w:rFonts w:ascii="等线" w:eastAsia="等线" w:hAnsi="等线"/>
        </w:rPr>
        <w:t xml:space="preserve"> </w:t>
      </w:r>
      <w:r>
        <w:rPr>
          <w:rFonts w:ascii="等线" w:eastAsia="等线" w:hAnsi="等线"/>
          <w:b/>
          <w:bCs/>
        </w:rPr>
        <w:t>27</w:t>
      </w:r>
      <w:r>
        <w:rPr>
          <w:rFonts w:ascii="等线" w:eastAsia="等线" w:hAnsi="等线"/>
        </w:rPr>
        <w:t>, 1722–1725 (1971).</w:t>
      </w:r>
    </w:p>
    <w:p w:rsidR="00723CAE" w:rsidRDefault="00E21C70">
      <w:pPr>
        <w:pStyle w:val="1"/>
        <w:rPr>
          <w:rFonts w:ascii="等线" w:eastAsia="等线" w:hAnsi="等线"/>
        </w:rPr>
      </w:pPr>
      <w:r>
        <w:rPr>
          <w:rFonts w:ascii="等线" w:eastAsia="等线" w:hAnsi="等线"/>
        </w:rPr>
        <w:t>3.</w:t>
      </w:r>
      <w:r>
        <w:rPr>
          <w:rFonts w:ascii="等线" w:eastAsia="等线" w:hAnsi="等线"/>
        </w:rPr>
        <w:tab/>
        <w:t xml:space="preserve">Erdös, P. &amp; Haley, S. B. Random-network models of the conductance of disordered condensed matter. </w:t>
      </w:r>
      <w:r>
        <w:rPr>
          <w:rFonts w:ascii="等线" w:eastAsia="等线" w:hAnsi="等线"/>
          <w:i/>
          <w:iCs/>
        </w:rPr>
        <w:t>Phys. Rev. B</w:t>
      </w:r>
      <w:r>
        <w:rPr>
          <w:rFonts w:ascii="等线" w:eastAsia="等线" w:hAnsi="等线"/>
        </w:rPr>
        <w:t xml:space="preserve"> </w:t>
      </w:r>
      <w:r>
        <w:rPr>
          <w:rFonts w:ascii="等线" w:eastAsia="等线" w:hAnsi="等线"/>
          <w:b/>
          <w:bCs/>
        </w:rPr>
        <w:t>13</w:t>
      </w:r>
      <w:r>
        <w:rPr>
          <w:rFonts w:ascii="等线" w:eastAsia="等线" w:hAnsi="等线"/>
        </w:rPr>
        <w:t>, 1720–1727 (1976).</w:t>
      </w:r>
    </w:p>
    <w:p w:rsidR="00723CAE" w:rsidRDefault="00E21C70">
      <w:pPr>
        <w:pStyle w:val="1"/>
        <w:rPr>
          <w:rFonts w:ascii="等线" w:eastAsia="等线" w:hAnsi="等线"/>
        </w:rPr>
      </w:pPr>
      <w:r>
        <w:rPr>
          <w:rFonts w:ascii="等线" w:eastAsia="等线" w:hAnsi="等线"/>
        </w:rPr>
        <w:t>4.</w:t>
      </w:r>
      <w:r>
        <w:rPr>
          <w:rFonts w:ascii="等线" w:eastAsia="等线" w:hAnsi="等线"/>
        </w:rPr>
        <w:tab/>
        <w:t xml:space="preserve">Zhou, H., Chen, C.-Z., Sun, Q.-F. &amp; Xie, X. C. Dissipative chiral channels, Ohmic scaling, and half-integer Hall conductivity from relativistic quantum Hall effect. </w:t>
      </w:r>
      <w:r>
        <w:rPr>
          <w:rFonts w:ascii="等线" w:eastAsia="等线" w:hAnsi="等线"/>
          <w:i/>
          <w:iCs/>
        </w:rPr>
        <w:t>Phys. Rev. B</w:t>
      </w:r>
      <w:r>
        <w:rPr>
          <w:rFonts w:ascii="等线" w:eastAsia="等线" w:hAnsi="等线"/>
        </w:rPr>
        <w:t xml:space="preserve"> </w:t>
      </w:r>
      <w:r>
        <w:rPr>
          <w:rFonts w:ascii="等线" w:eastAsia="等线" w:hAnsi="等线"/>
          <w:b/>
          <w:bCs/>
        </w:rPr>
        <w:t>109</w:t>
      </w:r>
      <w:r>
        <w:rPr>
          <w:rFonts w:ascii="等线" w:eastAsia="等线" w:hAnsi="等线"/>
        </w:rPr>
        <w:t>, 115305 (2024).</w:t>
      </w:r>
    </w:p>
    <w:p w:rsidR="00723CAE" w:rsidRDefault="00E21C70">
      <w:pPr>
        <w:pStyle w:val="1"/>
        <w:rPr>
          <w:rFonts w:ascii="等线" w:eastAsia="等线" w:hAnsi="等线"/>
        </w:rPr>
      </w:pPr>
      <w:r>
        <w:rPr>
          <w:rFonts w:ascii="等线" w:eastAsia="等线" w:hAnsi="等线"/>
        </w:rPr>
        <w:t>5.</w:t>
      </w:r>
      <w:r>
        <w:rPr>
          <w:rFonts w:ascii="等线" w:eastAsia="等线" w:hAnsi="等线"/>
        </w:rPr>
        <w:tab/>
        <w:t xml:space="preserve">Zhou, H. </w:t>
      </w:r>
      <w:r>
        <w:rPr>
          <w:rFonts w:ascii="等线" w:eastAsia="等线" w:hAnsi="等线"/>
          <w:i/>
          <w:iCs/>
        </w:rPr>
        <w:t>et al.</w:t>
      </w:r>
      <w:r>
        <w:rPr>
          <w:rFonts w:ascii="等线" w:eastAsia="等线" w:hAnsi="等线"/>
        </w:rPr>
        <w:t xml:space="preserve"> Transport Theory of Half-Quantized Hall Conductance in a Semimagnetic Topological Insulator. </w:t>
      </w:r>
      <w:r>
        <w:rPr>
          <w:rFonts w:ascii="等线" w:eastAsia="等线" w:hAnsi="等线"/>
          <w:i/>
          <w:iCs/>
        </w:rPr>
        <w:t>Phys. Rev. Lett.</w:t>
      </w:r>
      <w:r>
        <w:rPr>
          <w:rFonts w:ascii="等线" w:eastAsia="等线" w:hAnsi="等线"/>
        </w:rPr>
        <w:t xml:space="preserve"> </w:t>
      </w:r>
      <w:r>
        <w:rPr>
          <w:rFonts w:ascii="等线" w:eastAsia="等线" w:hAnsi="等线"/>
          <w:b/>
          <w:bCs/>
        </w:rPr>
        <w:t>129</w:t>
      </w:r>
      <w:r>
        <w:rPr>
          <w:rFonts w:ascii="等线" w:eastAsia="等线" w:hAnsi="等线"/>
        </w:rPr>
        <w:t>, 096601 (2022).</w:t>
      </w:r>
    </w:p>
    <w:p w:rsidR="00723CAE" w:rsidRDefault="00E21C70">
      <w:pPr>
        <w:pStyle w:val="1"/>
        <w:rPr>
          <w:rFonts w:ascii="等线" w:eastAsia="等线" w:hAnsi="等线"/>
        </w:rPr>
      </w:pPr>
      <w:r>
        <w:rPr>
          <w:rFonts w:ascii="等线" w:eastAsia="等线" w:hAnsi="等线"/>
        </w:rPr>
        <w:t>6.</w:t>
      </w:r>
      <w:r>
        <w:rPr>
          <w:rFonts w:ascii="等线" w:eastAsia="等线" w:hAnsi="等线"/>
        </w:rPr>
        <w:tab/>
        <w:t xml:space="preserve">Buttiker, M. Symmetry of electrical conduction. </w:t>
      </w:r>
      <w:r>
        <w:rPr>
          <w:rFonts w:ascii="等线" w:eastAsia="等线" w:hAnsi="等线"/>
          <w:i/>
          <w:iCs/>
        </w:rPr>
        <w:t>IBM Journal of Research and Development</w:t>
      </w:r>
      <w:r>
        <w:rPr>
          <w:rFonts w:ascii="等线" w:eastAsia="等线" w:hAnsi="等线"/>
        </w:rPr>
        <w:t xml:space="preserve"> </w:t>
      </w:r>
      <w:r>
        <w:rPr>
          <w:rFonts w:ascii="等线" w:eastAsia="等线" w:hAnsi="等线"/>
          <w:b/>
          <w:bCs/>
        </w:rPr>
        <w:t>32</w:t>
      </w:r>
      <w:r>
        <w:rPr>
          <w:rFonts w:ascii="等线" w:eastAsia="等线" w:hAnsi="等线"/>
        </w:rPr>
        <w:t>, 317–334 (1988).</w:t>
      </w:r>
    </w:p>
    <w:p w:rsidR="00723CAE" w:rsidRDefault="00E21C70">
      <w:pPr>
        <w:pStyle w:val="1"/>
        <w:rPr>
          <w:rFonts w:ascii="等线" w:eastAsia="等线" w:hAnsi="等线"/>
        </w:rPr>
      </w:pPr>
      <w:r>
        <w:rPr>
          <w:rFonts w:ascii="等线" w:eastAsia="等线" w:hAnsi="等线"/>
        </w:rPr>
        <w:t>7.</w:t>
      </w:r>
      <w:r>
        <w:rPr>
          <w:rFonts w:ascii="等线" w:eastAsia="等线" w:hAnsi="等线"/>
        </w:rPr>
        <w:tab/>
        <w:t xml:space="preserve">Nagaosa, N., Sinova, J., Onoda, S., MacDonald, A. H. &amp; Ong, N. P. Anomalous Hall effect. </w:t>
      </w:r>
      <w:r>
        <w:rPr>
          <w:rFonts w:ascii="等线" w:eastAsia="等线" w:hAnsi="等线"/>
          <w:i/>
          <w:iCs/>
        </w:rPr>
        <w:t>Rev. Mod. Phys.</w:t>
      </w:r>
      <w:r>
        <w:rPr>
          <w:rFonts w:ascii="等线" w:eastAsia="等线" w:hAnsi="等线"/>
        </w:rPr>
        <w:t xml:space="preserve"> </w:t>
      </w:r>
      <w:r>
        <w:rPr>
          <w:rFonts w:ascii="等线" w:eastAsia="等线" w:hAnsi="等线"/>
          <w:b/>
          <w:bCs/>
        </w:rPr>
        <w:t>82</w:t>
      </w:r>
      <w:r>
        <w:rPr>
          <w:rFonts w:ascii="等线" w:eastAsia="等线" w:hAnsi="等线"/>
        </w:rPr>
        <w:t>, 1539–1592 (2010).</w:t>
      </w:r>
    </w:p>
    <w:p w:rsidR="00723CAE" w:rsidRDefault="00E21C70">
      <w:pPr>
        <w:pStyle w:val="1"/>
        <w:rPr>
          <w:rFonts w:ascii="等线" w:eastAsia="等线" w:hAnsi="等线"/>
        </w:rPr>
      </w:pPr>
      <w:r>
        <w:rPr>
          <w:rFonts w:ascii="等线" w:eastAsia="等线" w:hAnsi="等线"/>
        </w:rPr>
        <w:t>8.</w:t>
      </w:r>
      <w:r>
        <w:rPr>
          <w:rFonts w:ascii="等线" w:eastAsia="等线" w:hAnsi="等线"/>
        </w:rPr>
        <w:tab/>
        <w:t xml:space="preserve">Onoda, S., Sugimoto, N. &amp; Nagaosa, N. Intrinsic Versus Extrinsic Anomalous Hall Effect in Ferromagnets. </w:t>
      </w:r>
      <w:r>
        <w:rPr>
          <w:rFonts w:ascii="等线" w:eastAsia="等线" w:hAnsi="等线"/>
          <w:i/>
          <w:iCs/>
        </w:rPr>
        <w:t>Phys. Rev. Lett.</w:t>
      </w:r>
      <w:r>
        <w:rPr>
          <w:rFonts w:ascii="等线" w:eastAsia="等线" w:hAnsi="等线"/>
        </w:rPr>
        <w:t xml:space="preserve"> </w:t>
      </w:r>
      <w:r>
        <w:rPr>
          <w:rFonts w:ascii="等线" w:eastAsia="等线" w:hAnsi="等线"/>
          <w:b/>
          <w:bCs/>
        </w:rPr>
        <w:t>97</w:t>
      </w:r>
      <w:r>
        <w:rPr>
          <w:rFonts w:ascii="等线" w:eastAsia="等线" w:hAnsi="等线"/>
        </w:rPr>
        <w:t>, 126602 (2006).</w:t>
      </w:r>
    </w:p>
    <w:p w:rsidR="00723CAE" w:rsidRDefault="00E21C70">
      <w:pPr>
        <w:pStyle w:val="1"/>
        <w:rPr>
          <w:rFonts w:ascii="等线" w:eastAsia="等线" w:hAnsi="等线"/>
        </w:rPr>
      </w:pPr>
      <w:r>
        <w:rPr>
          <w:rFonts w:ascii="等线" w:eastAsia="等线" w:hAnsi="等线"/>
        </w:rPr>
        <w:t>9.</w:t>
      </w:r>
      <w:r>
        <w:rPr>
          <w:rFonts w:ascii="等线" w:eastAsia="等线" w:hAnsi="等线"/>
        </w:rPr>
        <w:tab/>
        <w:t xml:space="preserve">Chun, S. H. </w:t>
      </w:r>
      <w:r>
        <w:rPr>
          <w:rFonts w:ascii="等线" w:eastAsia="等线" w:hAnsi="等线"/>
          <w:i/>
          <w:iCs/>
        </w:rPr>
        <w:t>et al.</w:t>
      </w:r>
      <w:r>
        <w:rPr>
          <w:rFonts w:ascii="等线" w:eastAsia="等线" w:hAnsi="等线"/>
        </w:rPr>
        <w:t xml:space="preserve"> Interplay between Carrier and Impurity Concentrations in Annealed Ga 1-x Mn x As: Intrinsic Anomalous Hall Effect. </w:t>
      </w:r>
      <w:r>
        <w:rPr>
          <w:rFonts w:ascii="等线" w:eastAsia="等线" w:hAnsi="等线"/>
          <w:i/>
          <w:iCs/>
        </w:rPr>
        <w:t>Phys. Rev. Lett.</w:t>
      </w:r>
      <w:r>
        <w:rPr>
          <w:rFonts w:ascii="等线" w:eastAsia="等线" w:hAnsi="等线"/>
        </w:rPr>
        <w:t xml:space="preserve"> </w:t>
      </w:r>
      <w:r>
        <w:rPr>
          <w:rFonts w:ascii="等线" w:eastAsia="等线" w:hAnsi="等线"/>
          <w:b/>
          <w:bCs/>
        </w:rPr>
        <w:t>98</w:t>
      </w:r>
      <w:r>
        <w:rPr>
          <w:rFonts w:ascii="等线" w:eastAsia="等线" w:hAnsi="等线"/>
        </w:rPr>
        <w:t>, 026601 (2007).</w:t>
      </w:r>
    </w:p>
    <w:p w:rsidR="00723CAE" w:rsidRDefault="00E21C70">
      <w:pPr>
        <w:pStyle w:val="1"/>
        <w:rPr>
          <w:rFonts w:ascii="等线" w:eastAsia="等线" w:hAnsi="等线"/>
        </w:rPr>
      </w:pPr>
      <w:r>
        <w:rPr>
          <w:rFonts w:ascii="等线" w:eastAsia="等线" w:hAnsi="等线"/>
        </w:rPr>
        <w:t>10.</w:t>
      </w:r>
      <w:r>
        <w:rPr>
          <w:rFonts w:ascii="等线" w:eastAsia="等线" w:hAnsi="等线"/>
        </w:rPr>
        <w:tab/>
        <w:t xml:space="preserve">Wang, F. </w:t>
      </w:r>
      <w:r>
        <w:rPr>
          <w:rFonts w:ascii="等线" w:eastAsia="等线" w:hAnsi="等线"/>
          <w:i/>
          <w:iCs/>
        </w:rPr>
        <w:t>et al.</w:t>
      </w:r>
      <w:r>
        <w:rPr>
          <w:rFonts w:ascii="等线" w:eastAsia="等线" w:hAnsi="等线"/>
        </w:rPr>
        <w:t xml:space="preserve"> Interface-induced sign reversal of the anomalous Hall effect in magnetic topological insulator heterostructures. </w:t>
      </w:r>
      <w:r>
        <w:rPr>
          <w:rFonts w:ascii="等线" w:eastAsia="等线" w:hAnsi="等线"/>
          <w:i/>
          <w:iCs/>
        </w:rPr>
        <w:t>Nat Commun</w:t>
      </w:r>
      <w:r>
        <w:rPr>
          <w:rFonts w:ascii="等线" w:eastAsia="等线" w:hAnsi="等线"/>
        </w:rPr>
        <w:t xml:space="preserve"> </w:t>
      </w:r>
      <w:r>
        <w:rPr>
          <w:rFonts w:ascii="等线" w:eastAsia="等线" w:hAnsi="等线"/>
          <w:b/>
          <w:bCs/>
        </w:rPr>
        <w:t>12</w:t>
      </w:r>
      <w:r>
        <w:rPr>
          <w:rFonts w:ascii="等线" w:eastAsia="等线" w:hAnsi="等线"/>
        </w:rPr>
        <w:t>, 79 (2021).</w:t>
      </w:r>
    </w:p>
    <w:p w:rsidR="00723CAE" w:rsidRDefault="00E21C70">
      <w:pPr>
        <w:pStyle w:val="1"/>
        <w:rPr>
          <w:rFonts w:ascii="等线" w:eastAsia="等线" w:hAnsi="等线"/>
        </w:rPr>
      </w:pPr>
      <w:r>
        <w:rPr>
          <w:rFonts w:ascii="等线" w:eastAsia="等线" w:hAnsi="等线"/>
        </w:rPr>
        <w:t>11.</w:t>
      </w:r>
      <w:r>
        <w:rPr>
          <w:rFonts w:ascii="等线" w:eastAsia="等线" w:hAnsi="等线"/>
        </w:rPr>
        <w:tab/>
        <w:t xml:space="preserve">Jain, R. </w:t>
      </w:r>
      <w:r>
        <w:rPr>
          <w:rFonts w:ascii="等线" w:eastAsia="等线" w:hAnsi="等线"/>
          <w:i/>
          <w:iCs/>
        </w:rPr>
        <w:t>et al.</w:t>
      </w:r>
      <w:r>
        <w:rPr>
          <w:rFonts w:ascii="等线" w:eastAsia="等线" w:hAnsi="等线"/>
        </w:rPr>
        <w:t xml:space="preserve"> A quantized anomalous Hall effect above 4.2 K in stacked topological insulator/magnet bilayers. Preprint at http://arxiv.org/abs/2412.05380 (2024).</w:t>
      </w:r>
    </w:p>
    <w:p w:rsidR="00723CAE" w:rsidRDefault="00E21C70">
      <w:pPr>
        <w:widowControl/>
        <w:spacing w:line="360" w:lineRule="auto"/>
        <w:jc w:val="left"/>
      </w:pPr>
      <w:r>
        <w:rPr>
          <w:rFonts w:ascii="Times New Roman" w:hAnsi="Times New Roman" w:cs="Times New Roman"/>
        </w:rPr>
        <w:fldChar w:fldCharType="end"/>
      </w:r>
    </w:p>
    <w:sectPr w:rsidR="00723CA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734" w:rsidRDefault="00EA6734" w:rsidP="00E21C70">
      <w:r>
        <w:separator/>
      </w:r>
    </w:p>
  </w:endnote>
  <w:endnote w:type="continuationSeparator" w:id="0">
    <w:p w:rsidR="00EA6734" w:rsidRDefault="00EA6734" w:rsidP="00E2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734" w:rsidRDefault="00EA6734" w:rsidP="00E21C70">
      <w:r>
        <w:separator/>
      </w:r>
    </w:p>
  </w:footnote>
  <w:footnote w:type="continuationSeparator" w:id="0">
    <w:p w:rsidR="00EA6734" w:rsidRDefault="00EA6734" w:rsidP="00E21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856B4"/>
    <w:multiLevelType w:val="multilevel"/>
    <w:tmpl w:val="196856B4"/>
    <w:lvl w:ilvl="0">
      <w:start w:val="1"/>
      <w:numFmt w:val="lowerRoman"/>
      <w:lvlText w:val="%1."/>
      <w:lvlJc w:val="righ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4584278"/>
    <w:multiLevelType w:val="multilevel"/>
    <w:tmpl w:val="64584278"/>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5B7"/>
    <w:rsid w:val="00001C10"/>
    <w:rsid w:val="00003780"/>
    <w:rsid w:val="00007A9A"/>
    <w:rsid w:val="000256B0"/>
    <w:rsid w:val="00033DDC"/>
    <w:rsid w:val="00040A8D"/>
    <w:rsid w:val="000469D5"/>
    <w:rsid w:val="00073965"/>
    <w:rsid w:val="00073A27"/>
    <w:rsid w:val="000A1DC7"/>
    <w:rsid w:val="000A7887"/>
    <w:rsid w:val="000C3BBD"/>
    <w:rsid w:val="000E493F"/>
    <w:rsid w:val="000F5887"/>
    <w:rsid w:val="00115723"/>
    <w:rsid w:val="001447CE"/>
    <w:rsid w:val="00145CD5"/>
    <w:rsid w:val="001659F7"/>
    <w:rsid w:val="00176179"/>
    <w:rsid w:val="001A61CE"/>
    <w:rsid w:val="001C07CB"/>
    <w:rsid w:val="001C1283"/>
    <w:rsid w:val="001C307D"/>
    <w:rsid w:val="001C30E4"/>
    <w:rsid w:val="001C37B0"/>
    <w:rsid w:val="001D0642"/>
    <w:rsid w:val="001D5D3C"/>
    <w:rsid w:val="001E3FC4"/>
    <w:rsid w:val="001F2EE3"/>
    <w:rsid w:val="002115F3"/>
    <w:rsid w:val="0023383C"/>
    <w:rsid w:val="0024225C"/>
    <w:rsid w:val="00244D65"/>
    <w:rsid w:val="00257026"/>
    <w:rsid w:val="00267100"/>
    <w:rsid w:val="0027510F"/>
    <w:rsid w:val="00286BDD"/>
    <w:rsid w:val="00291284"/>
    <w:rsid w:val="00293145"/>
    <w:rsid w:val="002A46D3"/>
    <w:rsid w:val="002C4D19"/>
    <w:rsid w:val="003213A7"/>
    <w:rsid w:val="00333B3A"/>
    <w:rsid w:val="00342FBB"/>
    <w:rsid w:val="00351E21"/>
    <w:rsid w:val="00362A1A"/>
    <w:rsid w:val="00370CB9"/>
    <w:rsid w:val="00392A71"/>
    <w:rsid w:val="003A7339"/>
    <w:rsid w:val="003C5658"/>
    <w:rsid w:val="003D21E5"/>
    <w:rsid w:val="003E432E"/>
    <w:rsid w:val="003F2AA1"/>
    <w:rsid w:val="00402E01"/>
    <w:rsid w:val="00410FD6"/>
    <w:rsid w:val="00411539"/>
    <w:rsid w:val="00417F11"/>
    <w:rsid w:val="004217B8"/>
    <w:rsid w:val="00422261"/>
    <w:rsid w:val="004254AC"/>
    <w:rsid w:val="00432740"/>
    <w:rsid w:val="00452A57"/>
    <w:rsid w:val="00462924"/>
    <w:rsid w:val="00482A95"/>
    <w:rsid w:val="00484D74"/>
    <w:rsid w:val="00490081"/>
    <w:rsid w:val="004A5506"/>
    <w:rsid w:val="004A5D06"/>
    <w:rsid w:val="004B4B03"/>
    <w:rsid w:val="004C562D"/>
    <w:rsid w:val="004C7EA2"/>
    <w:rsid w:val="004D7382"/>
    <w:rsid w:val="004E2066"/>
    <w:rsid w:val="004E4A4C"/>
    <w:rsid w:val="004F4177"/>
    <w:rsid w:val="004F5F10"/>
    <w:rsid w:val="00531D55"/>
    <w:rsid w:val="00540656"/>
    <w:rsid w:val="00545C5E"/>
    <w:rsid w:val="005865B7"/>
    <w:rsid w:val="00595D24"/>
    <w:rsid w:val="005B29FA"/>
    <w:rsid w:val="005C028B"/>
    <w:rsid w:val="005C185F"/>
    <w:rsid w:val="00602DFA"/>
    <w:rsid w:val="006109BA"/>
    <w:rsid w:val="006311DF"/>
    <w:rsid w:val="006471BB"/>
    <w:rsid w:val="006502F2"/>
    <w:rsid w:val="00653A94"/>
    <w:rsid w:val="00661B62"/>
    <w:rsid w:val="006939DA"/>
    <w:rsid w:val="006A3183"/>
    <w:rsid w:val="006C24E7"/>
    <w:rsid w:val="006C2CB3"/>
    <w:rsid w:val="006C499F"/>
    <w:rsid w:val="006C7317"/>
    <w:rsid w:val="00706DA1"/>
    <w:rsid w:val="00723CAE"/>
    <w:rsid w:val="00725090"/>
    <w:rsid w:val="00741B3E"/>
    <w:rsid w:val="007440B2"/>
    <w:rsid w:val="00744691"/>
    <w:rsid w:val="00752517"/>
    <w:rsid w:val="00752EDB"/>
    <w:rsid w:val="007530D7"/>
    <w:rsid w:val="00757BFB"/>
    <w:rsid w:val="00766B52"/>
    <w:rsid w:val="00771666"/>
    <w:rsid w:val="007731B7"/>
    <w:rsid w:val="00775B47"/>
    <w:rsid w:val="00776C16"/>
    <w:rsid w:val="00786AE2"/>
    <w:rsid w:val="00792BE5"/>
    <w:rsid w:val="007A0BD6"/>
    <w:rsid w:val="007B61D6"/>
    <w:rsid w:val="007C0B1B"/>
    <w:rsid w:val="007C11F9"/>
    <w:rsid w:val="007E3B1C"/>
    <w:rsid w:val="00804A2B"/>
    <w:rsid w:val="008307FE"/>
    <w:rsid w:val="00835F2C"/>
    <w:rsid w:val="008439AD"/>
    <w:rsid w:val="008735F9"/>
    <w:rsid w:val="008842D5"/>
    <w:rsid w:val="008932D5"/>
    <w:rsid w:val="00895883"/>
    <w:rsid w:val="008A57F9"/>
    <w:rsid w:val="008B2408"/>
    <w:rsid w:val="008C29D5"/>
    <w:rsid w:val="008C4655"/>
    <w:rsid w:val="008D0FBB"/>
    <w:rsid w:val="008E2E75"/>
    <w:rsid w:val="008E30D1"/>
    <w:rsid w:val="008E721B"/>
    <w:rsid w:val="008F0B8E"/>
    <w:rsid w:val="008F671F"/>
    <w:rsid w:val="00900C88"/>
    <w:rsid w:val="00945813"/>
    <w:rsid w:val="00950EF3"/>
    <w:rsid w:val="009560CC"/>
    <w:rsid w:val="009570DD"/>
    <w:rsid w:val="009730FE"/>
    <w:rsid w:val="00975C75"/>
    <w:rsid w:val="00995670"/>
    <w:rsid w:val="009A78C9"/>
    <w:rsid w:val="009C1886"/>
    <w:rsid w:val="009C5384"/>
    <w:rsid w:val="009C7152"/>
    <w:rsid w:val="009D1E74"/>
    <w:rsid w:val="009D7AFE"/>
    <w:rsid w:val="009E1266"/>
    <w:rsid w:val="009E56CD"/>
    <w:rsid w:val="009E5E2D"/>
    <w:rsid w:val="009E7CE1"/>
    <w:rsid w:val="009F2A63"/>
    <w:rsid w:val="00A003BB"/>
    <w:rsid w:val="00A052B1"/>
    <w:rsid w:val="00A06062"/>
    <w:rsid w:val="00A06CE5"/>
    <w:rsid w:val="00A074DB"/>
    <w:rsid w:val="00A24060"/>
    <w:rsid w:val="00A374D1"/>
    <w:rsid w:val="00A41EA2"/>
    <w:rsid w:val="00A46CA7"/>
    <w:rsid w:val="00A53EB9"/>
    <w:rsid w:val="00A829AD"/>
    <w:rsid w:val="00A82CEC"/>
    <w:rsid w:val="00A864AD"/>
    <w:rsid w:val="00A86819"/>
    <w:rsid w:val="00A938B4"/>
    <w:rsid w:val="00A9687D"/>
    <w:rsid w:val="00AA50BB"/>
    <w:rsid w:val="00AA543B"/>
    <w:rsid w:val="00AB3E94"/>
    <w:rsid w:val="00AB547F"/>
    <w:rsid w:val="00AD22C2"/>
    <w:rsid w:val="00AD47FB"/>
    <w:rsid w:val="00AE070F"/>
    <w:rsid w:val="00B23FB2"/>
    <w:rsid w:val="00B258D9"/>
    <w:rsid w:val="00B40C51"/>
    <w:rsid w:val="00B649E8"/>
    <w:rsid w:val="00B700DE"/>
    <w:rsid w:val="00B73773"/>
    <w:rsid w:val="00B80714"/>
    <w:rsid w:val="00B9677D"/>
    <w:rsid w:val="00BA3B42"/>
    <w:rsid w:val="00BA5323"/>
    <w:rsid w:val="00BA7B47"/>
    <w:rsid w:val="00BC0F92"/>
    <w:rsid w:val="00BE51C4"/>
    <w:rsid w:val="00BE5F64"/>
    <w:rsid w:val="00C07398"/>
    <w:rsid w:val="00C210CE"/>
    <w:rsid w:val="00C37FFA"/>
    <w:rsid w:val="00C415B5"/>
    <w:rsid w:val="00C545BE"/>
    <w:rsid w:val="00C629EC"/>
    <w:rsid w:val="00C72E5D"/>
    <w:rsid w:val="00C74029"/>
    <w:rsid w:val="00C82A13"/>
    <w:rsid w:val="00C945BE"/>
    <w:rsid w:val="00CB202C"/>
    <w:rsid w:val="00CB7F7E"/>
    <w:rsid w:val="00CD61A9"/>
    <w:rsid w:val="00CF01D4"/>
    <w:rsid w:val="00D32BBC"/>
    <w:rsid w:val="00D37DD4"/>
    <w:rsid w:val="00D424D4"/>
    <w:rsid w:val="00D72734"/>
    <w:rsid w:val="00D76AC0"/>
    <w:rsid w:val="00D855B1"/>
    <w:rsid w:val="00D90AEE"/>
    <w:rsid w:val="00DA1341"/>
    <w:rsid w:val="00DB33A4"/>
    <w:rsid w:val="00DE0CA4"/>
    <w:rsid w:val="00DE1096"/>
    <w:rsid w:val="00DE4146"/>
    <w:rsid w:val="00DE5A26"/>
    <w:rsid w:val="00DE7628"/>
    <w:rsid w:val="00DF667B"/>
    <w:rsid w:val="00E028FF"/>
    <w:rsid w:val="00E0595A"/>
    <w:rsid w:val="00E21C70"/>
    <w:rsid w:val="00E2299E"/>
    <w:rsid w:val="00E27CD1"/>
    <w:rsid w:val="00E34270"/>
    <w:rsid w:val="00E3464C"/>
    <w:rsid w:val="00E417EE"/>
    <w:rsid w:val="00E4545C"/>
    <w:rsid w:val="00E6385A"/>
    <w:rsid w:val="00E73BD6"/>
    <w:rsid w:val="00E9717E"/>
    <w:rsid w:val="00EA6734"/>
    <w:rsid w:val="00EA69F4"/>
    <w:rsid w:val="00EB6C9F"/>
    <w:rsid w:val="00EB7759"/>
    <w:rsid w:val="00EC3CB4"/>
    <w:rsid w:val="00ED2749"/>
    <w:rsid w:val="00ED6959"/>
    <w:rsid w:val="00EE1DDD"/>
    <w:rsid w:val="00EF33EB"/>
    <w:rsid w:val="00F064F1"/>
    <w:rsid w:val="00F128A0"/>
    <w:rsid w:val="00F2662F"/>
    <w:rsid w:val="00F37FB6"/>
    <w:rsid w:val="00F5506D"/>
    <w:rsid w:val="00F94A5E"/>
    <w:rsid w:val="00FB0BF8"/>
    <w:rsid w:val="00FB4C5A"/>
    <w:rsid w:val="00FC02CF"/>
    <w:rsid w:val="597F021A"/>
    <w:rsid w:val="5A187C33"/>
    <w:rsid w:val="63735ABE"/>
    <w:rsid w:val="6A217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DF2BB1-79FA-4C12-B2CC-C78E646F5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unhideWhenUsed/>
    <w:qFormat/>
    <w:rPr>
      <w:b/>
      <w:bCs/>
    </w:rPr>
  </w:style>
  <w:style w:type="character" w:styleId="ad">
    <w:name w:val="Hyperlink"/>
    <w:basedOn w:val="a0"/>
    <w:uiPriority w:val="99"/>
    <w:unhideWhenUsed/>
    <w:qFormat/>
    <w:rPr>
      <w:color w:val="0563C1" w:themeColor="hyperlink"/>
      <w:u w:val="single"/>
    </w:rPr>
  </w:style>
  <w:style w:type="character" w:styleId="ae">
    <w:name w:val="annotation reference"/>
    <w:basedOn w:val="a0"/>
    <w:uiPriority w:val="99"/>
    <w:semiHidden/>
    <w:unhideWhenUsed/>
    <w:qFormat/>
    <w:rPr>
      <w:sz w:val="21"/>
      <w:szCs w:val="21"/>
    </w:rPr>
  </w:style>
  <w:style w:type="paragraph" w:styleId="af">
    <w:name w:val="List Paragraph"/>
    <w:basedOn w:val="a"/>
    <w:uiPriority w:val="34"/>
    <w:qFormat/>
    <w:pPr>
      <w:ind w:firstLineChars="200" w:firstLine="420"/>
    </w:pPr>
  </w:style>
  <w:style w:type="character" w:styleId="af0">
    <w:name w:val="Placeholder Text"/>
    <w:basedOn w:val="a0"/>
    <w:uiPriority w:val="99"/>
    <w:semiHidden/>
    <w:qFormat/>
    <w:rPr>
      <w:color w:val="808080"/>
    </w:rPr>
  </w:style>
  <w:style w:type="paragraph" w:customStyle="1" w:styleId="1">
    <w:name w:val="书目1"/>
    <w:basedOn w:val="a"/>
    <w:next w:val="a"/>
    <w:uiPriority w:val="37"/>
    <w:unhideWhenUsed/>
    <w:qFormat/>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semiHidden/>
    <w:qFormat/>
  </w:style>
  <w:style w:type="character" w:customStyle="1" w:styleId="ac">
    <w:name w:val="批注主题 字符"/>
    <w:basedOn w:val="a4"/>
    <w:link w:val="ab"/>
    <w:uiPriority w:val="99"/>
    <w:semiHidden/>
    <w:qFormat/>
    <w:rPr>
      <w:b/>
      <w:bCs/>
    </w:rPr>
  </w:style>
  <w:style w:type="character" w:customStyle="1" w:styleId="a6">
    <w:name w:val="批注框文本 字符"/>
    <w:basedOn w:val="a0"/>
    <w:link w:val="a5"/>
    <w:uiPriority w:val="99"/>
    <w:semiHidden/>
    <w:qFormat/>
    <w:rPr>
      <w:sz w:val="18"/>
      <w:szCs w:val="18"/>
    </w:rPr>
  </w:style>
  <w:style w:type="paragraph" w:customStyle="1" w:styleId="10">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czchen@suda.edu.cn"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xiaodi12@hisilicon.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2A59C-D4D8-49AF-8048-3B2B60D96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19</Pages>
  <Words>7322</Words>
  <Characters>41741</Characters>
  <Application>Microsoft Office Word</Application>
  <DocSecurity>0</DocSecurity>
  <Lines>347</Lines>
  <Paragraphs>97</Paragraphs>
  <ScaleCrop>false</ScaleCrop>
  <Company>Huawei Technologies Co., Ltd.</Company>
  <LinksUpToDate>false</LinksUpToDate>
  <CharactersWithSpaces>48966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xiaodi (C)</dc:creator>
  <cp:lastModifiedBy>xiaodi (C)</cp:lastModifiedBy>
  <cp:revision>11</cp:revision>
  <dcterms:created xsi:type="dcterms:W3CDTF">2025-06-18T01:27:00Z</dcterms:created>
  <dcterms:modified xsi:type="dcterms:W3CDTF">2025-07-01T12:06:00Z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id="1yHxNByi"/&gt;&lt;style id="http://www.zotero.org/styles/nature" hasBibliography="1" bibliographyStyleHasBeenSet="1"/&gt;&lt;prefs&gt;&lt;pref name="fieldType" value="Field"/&gt;&lt;/prefs&gt;&lt;/data&gt;</vt:lpwstr>
  </property>
  <property fmtid="{D5CDD505-2E9C-101B-9397-08002B2CF9AE}" pid="3" name="KSOProductBuildVer">
    <vt:lpwstr>2052-12.1.0.21541</vt:lpwstr>
  </property>
  <property fmtid="{D5CDD505-2E9C-101B-9397-08002B2CF9AE}" pid="4" name="ICV">
    <vt:lpwstr>A856AB145DA346F9863826E9E131C8C1_12</vt:lpwstr>
  </property>
  <property fmtid="{D5CDD505-2E9C-101B-9397-08002B2CF9AE}" pid="5" name="KSOTemplateDocerSaveRecord">
    <vt:lpwstr>eyJoZGlkIjoiMzRmY2VlYTRhMTZhOTMzMzhlYjYxMGJmNzRlNGZmZjYiLCJ1c2VySWQiOiIyNTQzMjMzNjQifQ==</vt:lpwstr>
  </property>
</Properties>
</file>