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DCF" w:rsidRDefault="008D0F5D" w:rsidP="008D0F5D">
      <w:pPr>
        <w:keepNext/>
        <w:jc w:val="center"/>
      </w:pPr>
      <w:bookmarkStart w:id="0" w:name="_GoBack"/>
      <w:bookmarkEnd w:id="0"/>
      <w:r w:rsidRPr="008D0F5D">
        <w:rPr>
          <w:noProof/>
        </w:rPr>
        <w:drawing>
          <wp:inline distT="0" distB="0" distL="0" distR="0">
            <wp:extent cx="2521205" cy="52805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1205" cy="5280508"/>
                    </a:xfrm>
                    <a:prstGeom prst="rect">
                      <a:avLst/>
                    </a:prstGeom>
                    <a:noFill/>
                    <a:ln>
                      <a:noFill/>
                    </a:ln>
                  </pic:spPr>
                </pic:pic>
              </a:graphicData>
            </a:graphic>
          </wp:inline>
        </w:drawing>
      </w:r>
    </w:p>
    <w:p w:rsidR="00F30DCF" w:rsidRPr="00361851" w:rsidRDefault="00F30DCF" w:rsidP="003A5B64">
      <w:pPr>
        <w:pStyle w:val="Caption"/>
        <w:spacing w:line="360" w:lineRule="auto"/>
        <w:rPr>
          <w:i w:val="0"/>
          <w:color w:val="000000" w:themeColor="text1"/>
          <w:sz w:val="22"/>
        </w:rPr>
      </w:pPr>
      <w:r w:rsidRPr="00361851">
        <w:rPr>
          <w:b/>
          <w:i w:val="0"/>
          <w:color w:val="000000" w:themeColor="text1"/>
          <w:sz w:val="22"/>
        </w:rPr>
        <w:t xml:space="preserve">Figure </w:t>
      </w:r>
      <w:r w:rsidR="00B3168C" w:rsidRPr="00361851">
        <w:rPr>
          <w:b/>
          <w:i w:val="0"/>
          <w:color w:val="000000" w:themeColor="text1"/>
          <w:sz w:val="22"/>
        </w:rPr>
        <w:t>S</w:t>
      </w:r>
      <w:r w:rsidR="00127BE5" w:rsidRPr="00361851">
        <w:rPr>
          <w:b/>
          <w:i w:val="0"/>
          <w:color w:val="000000" w:themeColor="text1"/>
          <w:sz w:val="22"/>
        </w:rPr>
        <w:fldChar w:fldCharType="begin"/>
      </w:r>
      <w:r w:rsidR="00127BE5" w:rsidRPr="00361851">
        <w:rPr>
          <w:b/>
          <w:i w:val="0"/>
          <w:color w:val="000000" w:themeColor="text1"/>
          <w:sz w:val="22"/>
        </w:rPr>
        <w:instrText xml:space="preserve"> SEQ Figure \* ARABIC </w:instrText>
      </w:r>
      <w:r w:rsidR="00127BE5" w:rsidRPr="00361851">
        <w:rPr>
          <w:b/>
          <w:i w:val="0"/>
          <w:color w:val="000000" w:themeColor="text1"/>
          <w:sz w:val="22"/>
        </w:rPr>
        <w:fldChar w:fldCharType="separate"/>
      </w:r>
      <w:r w:rsidRPr="00361851">
        <w:rPr>
          <w:b/>
          <w:i w:val="0"/>
          <w:noProof/>
          <w:color w:val="000000" w:themeColor="text1"/>
          <w:sz w:val="22"/>
        </w:rPr>
        <w:t>1</w:t>
      </w:r>
      <w:r w:rsidR="00127BE5" w:rsidRPr="00361851">
        <w:rPr>
          <w:b/>
          <w:i w:val="0"/>
          <w:noProof/>
          <w:color w:val="000000" w:themeColor="text1"/>
          <w:sz w:val="22"/>
        </w:rPr>
        <w:fldChar w:fldCharType="end"/>
      </w:r>
      <w:r w:rsidRPr="00361851">
        <w:rPr>
          <w:b/>
          <w:i w:val="0"/>
          <w:color w:val="000000" w:themeColor="text1"/>
          <w:sz w:val="22"/>
        </w:rPr>
        <w:t xml:space="preserve"> </w:t>
      </w:r>
      <w:r w:rsidR="00B3168C" w:rsidRPr="00361851">
        <w:rPr>
          <w:b/>
          <w:i w:val="0"/>
          <w:color w:val="000000" w:themeColor="text1"/>
          <w:sz w:val="22"/>
        </w:rPr>
        <w:t xml:space="preserve">Differential colonization efficiency of bacterial isolates in adult </w:t>
      </w:r>
      <w:r w:rsidR="00B3168C" w:rsidRPr="00361851">
        <w:rPr>
          <w:b/>
          <w:color w:val="000000" w:themeColor="text1"/>
          <w:sz w:val="22"/>
        </w:rPr>
        <w:t>Nematostella</w:t>
      </w:r>
      <w:r w:rsidR="00B3168C" w:rsidRPr="00361851">
        <w:rPr>
          <w:b/>
          <w:i w:val="0"/>
          <w:color w:val="000000" w:themeColor="text1"/>
          <w:sz w:val="22"/>
        </w:rPr>
        <w:t xml:space="preserve"> polyps at 2 days post recolonization</w:t>
      </w:r>
      <w:r w:rsidR="00633AD9" w:rsidRPr="00361851">
        <w:rPr>
          <w:b/>
          <w:i w:val="0"/>
          <w:color w:val="000000" w:themeColor="text1"/>
          <w:sz w:val="22"/>
        </w:rPr>
        <w:t xml:space="preserve"> (2dpr)</w:t>
      </w:r>
      <w:r w:rsidR="00B3168C" w:rsidRPr="00361851">
        <w:rPr>
          <w:b/>
          <w:i w:val="0"/>
          <w:color w:val="000000" w:themeColor="text1"/>
          <w:sz w:val="22"/>
        </w:rPr>
        <w:t>.</w:t>
      </w:r>
      <w:r w:rsidR="00B3168C" w:rsidRPr="00361851">
        <w:rPr>
          <w:i w:val="0"/>
          <w:color w:val="000000" w:themeColor="text1"/>
          <w:sz w:val="22"/>
        </w:rPr>
        <w:t xml:space="preserve"> Boxplot showing bacterial colonization levels expressed as log10 colony-forming units (CFU) per polyp after </w:t>
      </w:r>
      <w:r w:rsidR="00633AD9" w:rsidRPr="00361851">
        <w:rPr>
          <w:i w:val="0"/>
          <w:color w:val="000000" w:themeColor="text1"/>
          <w:sz w:val="22"/>
        </w:rPr>
        <w:t>recolonization</w:t>
      </w:r>
      <w:r w:rsidR="00B3168C" w:rsidRPr="00361851">
        <w:rPr>
          <w:i w:val="0"/>
          <w:color w:val="000000" w:themeColor="text1"/>
          <w:sz w:val="22"/>
        </w:rPr>
        <w:t xml:space="preserve"> with </w:t>
      </w:r>
      <w:r w:rsidR="00633AD9" w:rsidRPr="00361851">
        <w:rPr>
          <w:i w:val="0"/>
          <w:color w:val="000000" w:themeColor="text1"/>
          <w:sz w:val="22"/>
        </w:rPr>
        <w:t>isolates</w:t>
      </w:r>
      <w:r w:rsidR="00B3168C" w:rsidRPr="00361851">
        <w:rPr>
          <w:i w:val="0"/>
          <w:color w:val="000000" w:themeColor="text1"/>
          <w:sz w:val="22"/>
        </w:rPr>
        <w:t xml:space="preserve"> NJ1, NJ33, NA11 (blue), and Hal025, Hal281 (red). N=5 polyps each, Kruskal-Wallis ANOVA revealed significant differences between </w:t>
      </w:r>
      <w:r w:rsidR="00DB3D1F" w:rsidRPr="00361851">
        <w:rPr>
          <w:i w:val="0"/>
          <w:color w:val="000000" w:themeColor="text1"/>
          <w:sz w:val="22"/>
        </w:rPr>
        <w:t>recolonization succession of</w:t>
      </w:r>
      <w:r w:rsidR="00B3168C" w:rsidRPr="00361851">
        <w:rPr>
          <w:i w:val="0"/>
          <w:color w:val="000000" w:themeColor="text1"/>
          <w:sz w:val="22"/>
        </w:rPr>
        <w:t xml:space="preserve"> native (blue) and foreign (red) isolates, * p&lt;=0,05 ** p&lt;=0,01 *** p&lt;=0,001.</w:t>
      </w:r>
    </w:p>
    <w:p w:rsidR="00F30DCF" w:rsidRDefault="00F30DCF" w:rsidP="00F27EAE">
      <w:pPr>
        <w:keepNext/>
      </w:pPr>
    </w:p>
    <w:p w:rsidR="00F27EAE" w:rsidRDefault="00F27EAE" w:rsidP="00F27EAE">
      <w:pPr>
        <w:keepNext/>
      </w:pPr>
      <w:r>
        <w:rPr>
          <w:noProof/>
        </w:rPr>
        <w:drawing>
          <wp:inline distT="0" distB="0" distL="0" distR="0" wp14:anchorId="39D147AA">
            <wp:extent cx="5681980" cy="2712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1980" cy="2712720"/>
                    </a:xfrm>
                    <a:prstGeom prst="rect">
                      <a:avLst/>
                    </a:prstGeom>
                    <a:noFill/>
                  </pic:spPr>
                </pic:pic>
              </a:graphicData>
            </a:graphic>
          </wp:inline>
        </w:drawing>
      </w:r>
    </w:p>
    <w:p w:rsidR="00595631" w:rsidRPr="003A5B64" w:rsidRDefault="00F27EAE" w:rsidP="003A5B64">
      <w:pPr>
        <w:pStyle w:val="Caption"/>
        <w:spacing w:line="360" w:lineRule="auto"/>
        <w:rPr>
          <w:rFonts w:cs="Arial"/>
          <w:i w:val="0"/>
          <w:color w:val="000000" w:themeColor="text1"/>
          <w:sz w:val="22"/>
          <w:szCs w:val="22"/>
        </w:rPr>
      </w:pPr>
      <w:r w:rsidRPr="003A5B64">
        <w:rPr>
          <w:rFonts w:cs="Arial"/>
          <w:b/>
          <w:i w:val="0"/>
          <w:color w:val="000000" w:themeColor="text1"/>
          <w:sz w:val="22"/>
          <w:szCs w:val="22"/>
        </w:rPr>
        <w:t xml:space="preserve">Figure </w:t>
      </w:r>
      <w:r w:rsidR="00A63C9D" w:rsidRPr="003A5B64">
        <w:rPr>
          <w:rFonts w:cs="Arial"/>
          <w:b/>
          <w:i w:val="0"/>
          <w:color w:val="000000" w:themeColor="text1"/>
          <w:sz w:val="22"/>
          <w:szCs w:val="22"/>
        </w:rPr>
        <w:t>S</w:t>
      </w:r>
      <w:r w:rsidR="00F30DCF" w:rsidRPr="003A5B64">
        <w:rPr>
          <w:rFonts w:cs="Arial"/>
          <w:b/>
          <w:i w:val="0"/>
          <w:color w:val="000000" w:themeColor="text1"/>
          <w:sz w:val="22"/>
          <w:szCs w:val="22"/>
        </w:rPr>
        <w:fldChar w:fldCharType="begin"/>
      </w:r>
      <w:r w:rsidR="00F30DCF" w:rsidRPr="003A5B64">
        <w:rPr>
          <w:rFonts w:cs="Arial"/>
          <w:b/>
          <w:i w:val="0"/>
          <w:color w:val="000000" w:themeColor="text1"/>
          <w:sz w:val="22"/>
          <w:szCs w:val="22"/>
        </w:rPr>
        <w:instrText xml:space="preserve"> SEQ Figure \* ARABIC </w:instrText>
      </w:r>
      <w:r w:rsidR="00F30DCF" w:rsidRPr="003A5B64">
        <w:rPr>
          <w:rFonts w:cs="Arial"/>
          <w:b/>
          <w:i w:val="0"/>
          <w:color w:val="000000" w:themeColor="text1"/>
          <w:sz w:val="22"/>
          <w:szCs w:val="22"/>
        </w:rPr>
        <w:fldChar w:fldCharType="separate"/>
      </w:r>
      <w:r w:rsidR="00F30DCF" w:rsidRPr="003A5B64">
        <w:rPr>
          <w:rFonts w:cs="Arial"/>
          <w:b/>
          <w:i w:val="0"/>
          <w:noProof/>
          <w:color w:val="000000" w:themeColor="text1"/>
          <w:sz w:val="22"/>
          <w:szCs w:val="22"/>
        </w:rPr>
        <w:t>2</w:t>
      </w:r>
      <w:r w:rsidR="00F30DCF" w:rsidRPr="003A5B64">
        <w:rPr>
          <w:rFonts w:cs="Arial"/>
          <w:b/>
          <w:i w:val="0"/>
          <w:noProof/>
          <w:color w:val="000000" w:themeColor="text1"/>
          <w:sz w:val="22"/>
          <w:szCs w:val="22"/>
        </w:rPr>
        <w:fldChar w:fldCharType="end"/>
      </w:r>
      <w:r w:rsidRPr="003A5B64">
        <w:rPr>
          <w:rFonts w:cs="Arial"/>
          <w:b/>
          <w:i w:val="0"/>
          <w:color w:val="000000" w:themeColor="text1"/>
          <w:sz w:val="22"/>
          <w:szCs w:val="22"/>
        </w:rPr>
        <w:t xml:space="preserve"> </w:t>
      </w:r>
      <w:r w:rsidR="00FD4781" w:rsidRPr="003A5B64">
        <w:rPr>
          <w:rFonts w:cs="Arial"/>
          <w:b/>
          <w:i w:val="0"/>
          <w:color w:val="000000" w:themeColor="text1"/>
          <w:sz w:val="22"/>
          <w:szCs w:val="22"/>
        </w:rPr>
        <w:t xml:space="preserve">Proteomic response of </w:t>
      </w:r>
      <w:r w:rsidR="001B193E" w:rsidRPr="003A5B64">
        <w:rPr>
          <w:rFonts w:cs="Arial"/>
          <w:b/>
          <w:i w:val="0"/>
          <w:color w:val="000000" w:themeColor="text1"/>
          <w:sz w:val="22"/>
          <w:szCs w:val="22"/>
        </w:rPr>
        <w:t>n</w:t>
      </w:r>
      <w:r w:rsidR="00FD4781" w:rsidRPr="003A5B64">
        <w:rPr>
          <w:rFonts w:cs="Arial"/>
          <w:b/>
          <w:i w:val="0"/>
          <w:color w:val="000000" w:themeColor="text1"/>
          <w:sz w:val="22"/>
          <w:szCs w:val="22"/>
        </w:rPr>
        <w:t>ematosomes following treatment with bacterial isolates NJ1 and Hal281</w:t>
      </w:r>
      <w:r w:rsidR="00A1117F" w:rsidRPr="003A5B64">
        <w:rPr>
          <w:rFonts w:cs="Arial"/>
          <w:b/>
          <w:i w:val="0"/>
          <w:color w:val="000000" w:themeColor="text1"/>
          <w:sz w:val="22"/>
          <w:szCs w:val="22"/>
        </w:rPr>
        <w:t>.</w:t>
      </w:r>
      <w:r w:rsidR="00FD4781" w:rsidRPr="003A5B64">
        <w:rPr>
          <w:rFonts w:cs="Arial"/>
          <w:b/>
          <w:i w:val="0"/>
          <w:color w:val="000000" w:themeColor="text1"/>
          <w:sz w:val="22"/>
          <w:szCs w:val="22"/>
        </w:rPr>
        <w:t xml:space="preserve"> </w:t>
      </w:r>
      <w:r w:rsidR="008F7762" w:rsidRPr="003A5B64">
        <w:rPr>
          <w:rFonts w:cs="Arial"/>
          <w:b/>
          <w:i w:val="0"/>
          <w:color w:val="000000" w:themeColor="text1"/>
          <w:sz w:val="22"/>
          <w:szCs w:val="22"/>
        </w:rPr>
        <w:t xml:space="preserve">A) </w:t>
      </w:r>
      <w:r w:rsidR="008F7762" w:rsidRPr="003A5B64">
        <w:rPr>
          <w:rFonts w:cs="Arial"/>
          <w:i w:val="0"/>
          <w:color w:val="000000" w:themeColor="text1"/>
          <w:sz w:val="22"/>
          <w:szCs w:val="22"/>
        </w:rPr>
        <w:t>Principal component analysis (PCA) of proteomic profiles showing distinct clustering patterns among nematosomes treated with isolates NJ1 (blue), Hal281 (red), and control nematosomes without bacterial chall</w:t>
      </w:r>
      <w:r w:rsidR="006B6B59" w:rsidRPr="003A5B64">
        <w:rPr>
          <w:rFonts w:cs="Arial"/>
          <w:i w:val="0"/>
          <w:color w:val="000000" w:themeColor="text1"/>
          <w:sz w:val="22"/>
          <w:szCs w:val="22"/>
        </w:rPr>
        <w:t>e</w:t>
      </w:r>
      <w:r w:rsidR="008F7762" w:rsidRPr="003A5B64">
        <w:rPr>
          <w:rFonts w:cs="Arial"/>
          <w:i w:val="0"/>
          <w:color w:val="000000" w:themeColor="text1"/>
          <w:sz w:val="22"/>
          <w:szCs w:val="22"/>
        </w:rPr>
        <w:t>nge (grey). Percentages indicate the explained variance for each principal component.</w:t>
      </w:r>
      <w:r w:rsidR="006B6B59" w:rsidRPr="003A5B64">
        <w:rPr>
          <w:rFonts w:cs="Arial"/>
          <w:i w:val="0"/>
          <w:color w:val="000000" w:themeColor="text1"/>
          <w:sz w:val="22"/>
          <w:szCs w:val="22"/>
        </w:rPr>
        <w:t xml:space="preserve"> </w:t>
      </w:r>
      <w:r w:rsidR="006B6B59" w:rsidRPr="003A5B64">
        <w:rPr>
          <w:rFonts w:cs="Arial"/>
          <w:b/>
          <w:i w:val="0"/>
          <w:color w:val="000000" w:themeColor="text1"/>
          <w:sz w:val="22"/>
          <w:szCs w:val="22"/>
        </w:rPr>
        <w:t xml:space="preserve">B) </w:t>
      </w:r>
      <w:r w:rsidR="006B6B59" w:rsidRPr="003A5B64">
        <w:rPr>
          <w:rFonts w:cs="Arial"/>
          <w:i w:val="0"/>
          <w:color w:val="000000" w:themeColor="text1"/>
          <w:sz w:val="22"/>
          <w:szCs w:val="22"/>
        </w:rPr>
        <w:t>Volcano plot illustrating differentially abundant proteins identified between NJ1- and Hal281-treated nematosomes. Proteins significantly enriched (p&lt;0.05, log</w:t>
      </w:r>
      <w:r w:rsidR="006B6B59" w:rsidRPr="003A5B64">
        <w:rPr>
          <w:rFonts w:ascii="Cambria Math" w:hAnsi="Cambria Math" w:cs="Cambria Math"/>
          <w:i w:val="0"/>
          <w:color w:val="000000" w:themeColor="text1"/>
          <w:sz w:val="22"/>
          <w:szCs w:val="22"/>
        </w:rPr>
        <w:t>₂</w:t>
      </w:r>
      <w:r w:rsidR="006B6B59" w:rsidRPr="003A5B64">
        <w:rPr>
          <w:rFonts w:cs="Arial"/>
          <w:i w:val="0"/>
          <w:color w:val="000000" w:themeColor="text1"/>
          <w:sz w:val="22"/>
          <w:szCs w:val="22"/>
        </w:rPr>
        <w:t xml:space="preserve"> fold-change &gt; 0.5) in NJ1-treated nematosomes are shown in blue, those enriched in Hal281-treated nematosomes are in red, and proteins with no significant difference are represented in grey. Selected proteins with strong differential expression are labeled explicitly on the plot.</w:t>
      </w:r>
    </w:p>
    <w:p w:rsidR="00DC1938" w:rsidRDefault="00DE1A03" w:rsidP="00DC1938">
      <w:pPr>
        <w:jc w:val="center"/>
      </w:pPr>
      <w:r>
        <w:rPr>
          <w:noProof/>
        </w:rPr>
        <w:lastRenderedPageBreak/>
        <w:drawing>
          <wp:inline distT="0" distB="0" distL="0" distR="0">
            <wp:extent cx="6088121" cy="6239865"/>
            <wp:effectExtent l="0" t="0" r="825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7647" cy="6300874"/>
                    </a:xfrm>
                    <a:prstGeom prst="rect">
                      <a:avLst/>
                    </a:prstGeom>
                    <a:noFill/>
                    <a:ln>
                      <a:noFill/>
                    </a:ln>
                  </pic:spPr>
                </pic:pic>
              </a:graphicData>
            </a:graphic>
          </wp:inline>
        </w:drawing>
      </w:r>
    </w:p>
    <w:p w:rsidR="005631E0" w:rsidRPr="003A5B64" w:rsidRDefault="0058700A" w:rsidP="003A5B64">
      <w:pPr>
        <w:pStyle w:val="Caption"/>
        <w:spacing w:line="360" w:lineRule="auto"/>
        <w:rPr>
          <w:i w:val="0"/>
          <w:color w:val="000000" w:themeColor="text1"/>
          <w:sz w:val="22"/>
          <w:szCs w:val="22"/>
        </w:rPr>
      </w:pPr>
      <w:r w:rsidRPr="003A5B64">
        <w:rPr>
          <w:b/>
          <w:i w:val="0"/>
          <w:color w:val="000000" w:themeColor="text1"/>
          <w:sz w:val="22"/>
          <w:szCs w:val="22"/>
        </w:rPr>
        <w:t xml:space="preserve">Figure </w:t>
      </w:r>
      <w:r w:rsidR="006F5427" w:rsidRPr="003A5B64">
        <w:rPr>
          <w:b/>
          <w:i w:val="0"/>
          <w:color w:val="000000" w:themeColor="text1"/>
          <w:sz w:val="22"/>
          <w:szCs w:val="22"/>
        </w:rPr>
        <w:t>S</w:t>
      </w:r>
      <w:r w:rsidR="00F30DCF" w:rsidRPr="003A5B64">
        <w:rPr>
          <w:b/>
          <w:i w:val="0"/>
          <w:color w:val="000000" w:themeColor="text1"/>
          <w:sz w:val="22"/>
          <w:szCs w:val="22"/>
        </w:rPr>
        <w:fldChar w:fldCharType="begin"/>
      </w:r>
      <w:r w:rsidR="00F30DCF" w:rsidRPr="003A5B64">
        <w:rPr>
          <w:b/>
          <w:i w:val="0"/>
          <w:color w:val="000000" w:themeColor="text1"/>
          <w:sz w:val="22"/>
          <w:szCs w:val="22"/>
        </w:rPr>
        <w:instrText xml:space="preserve"> SEQ Figure \* ARABIC </w:instrText>
      </w:r>
      <w:r w:rsidR="00F30DCF" w:rsidRPr="003A5B64">
        <w:rPr>
          <w:b/>
          <w:i w:val="0"/>
          <w:color w:val="000000" w:themeColor="text1"/>
          <w:sz w:val="22"/>
          <w:szCs w:val="22"/>
        </w:rPr>
        <w:fldChar w:fldCharType="separate"/>
      </w:r>
      <w:r w:rsidR="00F30DCF" w:rsidRPr="003A5B64">
        <w:rPr>
          <w:b/>
          <w:i w:val="0"/>
          <w:noProof/>
          <w:color w:val="000000" w:themeColor="text1"/>
          <w:sz w:val="22"/>
          <w:szCs w:val="22"/>
        </w:rPr>
        <w:t>3</w:t>
      </w:r>
      <w:r w:rsidR="00F30DCF" w:rsidRPr="003A5B64">
        <w:rPr>
          <w:b/>
          <w:i w:val="0"/>
          <w:noProof/>
          <w:color w:val="000000" w:themeColor="text1"/>
          <w:sz w:val="22"/>
          <w:szCs w:val="22"/>
        </w:rPr>
        <w:fldChar w:fldCharType="end"/>
      </w:r>
      <w:r w:rsidRPr="003A5B64">
        <w:rPr>
          <w:b/>
          <w:i w:val="0"/>
          <w:color w:val="000000" w:themeColor="text1"/>
          <w:sz w:val="22"/>
          <w:szCs w:val="22"/>
        </w:rPr>
        <w:t xml:space="preserve"> </w:t>
      </w:r>
      <w:r w:rsidR="00B85414" w:rsidRPr="003A5B64">
        <w:rPr>
          <w:b/>
          <w:i w:val="0"/>
          <w:color w:val="000000" w:themeColor="text1"/>
          <w:sz w:val="22"/>
          <w:szCs w:val="22"/>
        </w:rPr>
        <w:t xml:space="preserve">Impact of </w:t>
      </w:r>
      <w:r w:rsidR="00B85414" w:rsidRPr="003A5B64">
        <w:rPr>
          <w:b/>
          <w:color w:val="000000" w:themeColor="text1"/>
          <w:sz w:val="22"/>
          <w:szCs w:val="22"/>
        </w:rPr>
        <w:t>cJUN</w:t>
      </w:r>
      <w:r w:rsidR="00B85414" w:rsidRPr="003A5B64">
        <w:rPr>
          <w:b/>
          <w:i w:val="0"/>
          <w:color w:val="000000" w:themeColor="text1"/>
          <w:sz w:val="22"/>
          <w:szCs w:val="22"/>
        </w:rPr>
        <w:t xml:space="preserve"> KO on microbial diversity and abundance of specific taxa in </w:t>
      </w:r>
      <w:r w:rsidR="00B85414" w:rsidRPr="003A5B64">
        <w:rPr>
          <w:b/>
          <w:color w:val="000000" w:themeColor="text1"/>
          <w:sz w:val="22"/>
          <w:szCs w:val="22"/>
        </w:rPr>
        <w:t>Nematostella</w:t>
      </w:r>
      <w:r w:rsidR="00B85414" w:rsidRPr="003A5B64">
        <w:rPr>
          <w:b/>
          <w:i w:val="0"/>
          <w:color w:val="000000" w:themeColor="text1"/>
          <w:sz w:val="22"/>
          <w:szCs w:val="22"/>
        </w:rPr>
        <w:t xml:space="preserve"> polyps. </w:t>
      </w:r>
      <w:r w:rsidR="005631E0" w:rsidRPr="003A5B64">
        <w:rPr>
          <w:b/>
          <w:i w:val="0"/>
          <w:color w:val="000000" w:themeColor="text1"/>
          <w:sz w:val="22"/>
          <w:szCs w:val="22"/>
        </w:rPr>
        <w:t xml:space="preserve">A) </w:t>
      </w:r>
      <w:r w:rsidR="005631E0" w:rsidRPr="003A5B64">
        <w:rPr>
          <w:i w:val="0"/>
          <w:color w:val="auto"/>
          <w:sz w:val="22"/>
          <w:szCs w:val="22"/>
        </w:rPr>
        <w:t xml:space="preserve">Principal Coordinate Analysis (PCoA) plot based on weighted UniFrac distances, comparing the microbial communities of </w:t>
      </w:r>
      <w:r w:rsidR="005631E0" w:rsidRPr="003A5B64">
        <w:rPr>
          <w:color w:val="auto"/>
          <w:sz w:val="22"/>
          <w:szCs w:val="22"/>
        </w:rPr>
        <w:t>cJUN</w:t>
      </w:r>
      <w:r w:rsidR="005631E0" w:rsidRPr="003A5B64">
        <w:rPr>
          <w:color w:val="auto"/>
          <w:sz w:val="22"/>
          <w:szCs w:val="22"/>
          <w:vertAlign w:val="superscript"/>
        </w:rPr>
        <w:t>+/+</w:t>
      </w:r>
      <w:r w:rsidR="005631E0" w:rsidRPr="003A5B64">
        <w:rPr>
          <w:i w:val="0"/>
          <w:color w:val="auto"/>
          <w:sz w:val="22"/>
          <w:szCs w:val="22"/>
          <w:vertAlign w:val="superscript"/>
        </w:rPr>
        <w:t xml:space="preserve"> </w:t>
      </w:r>
      <w:r w:rsidR="005631E0" w:rsidRPr="003A5B64">
        <w:rPr>
          <w:i w:val="0"/>
          <w:color w:val="auto"/>
          <w:sz w:val="22"/>
          <w:szCs w:val="22"/>
        </w:rPr>
        <w:t xml:space="preserve">and </w:t>
      </w:r>
      <w:r w:rsidR="005631E0" w:rsidRPr="003A5B64">
        <w:rPr>
          <w:color w:val="auto"/>
          <w:sz w:val="22"/>
          <w:szCs w:val="22"/>
        </w:rPr>
        <w:t>cJUN</w:t>
      </w:r>
      <w:r w:rsidR="005631E0" w:rsidRPr="003A5B64">
        <w:rPr>
          <w:color w:val="auto"/>
          <w:sz w:val="22"/>
          <w:szCs w:val="22"/>
          <w:vertAlign w:val="superscript"/>
        </w:rPr>
        <w:t>-/-</w:t>
      </w:r>
      <w:r w:rsidR="005631E0" w:rsidRPr="003A5B64">
        <w:rPr>
          <w:i w:val="0"/>
          <w:color w:val="auto"/>
          <w:sz w:val="22"/>
          <w:szCs w:val="22"/>
          <w:vertAlign w:val="superscript"/>
        </w:rPr>
        <w:t xml:space="preserve"> </w:t>
      </w:r>
      <w:r w:rsidR="005631E0" w:rsidRPr="003A5B64">
        <w:rPr>
          <w:i w:val="0"/>
          <w:color w:val="auto"/>
          <w:sz w:val="22"/>
          <w:szCs w:val="22"/>
        </w:rPr>
        <w:t xml:space="preserve">polyps. The two groups form distinct clusters, indicating significant differences in microbial community composition. </w:t>
      </w:r>
      <w:r w:rsidR="005631E0" w:rsidRPr="003A5B64">
        <w:rPr>
          <w:b/>
          <w:i w:val="0"/>
          <w:color w:val="auto"/>
          <w:sz w:val="22"/>
          <w:szCs w:val="22"/>
        </w:rPr>
        <w:t>B)</w:t>
      </w:r>
      <w:r w:rsidR="005631E0" w:rsidRPr="003A5B64">
        <w:rPr>
          <w:i w:val="0"/>
          <w:color w:val="auto"/>
          <w:sz w:val="22"/>
          <w:szCs w:val="22"/>
        </w:rPr>
        <w:t xml:space="preserve"> </w:t>
      </w:r>
      <w:r w:rsidR="005631E0" w:rsidRPr="003A5B64">
        <w:rPr>
          <w:i w:val="0"/>
          <w:color w:val="000000" w:themeColor="text1"/>
          <w:sz w:val="22"/>
          <w:szCs w:val="22"/>
        </w:rPr>
        <w:t xml:space="preserve">Weighted UniFrac distance demonstrates distinct microbial community composition in </w:t>
      </w:r>
      <w:r w:rsidR="005631E0" w:rsidRPr="003A5B64">
        <w:rPr>
          <w:color w:val="000000" w:themeColor="text1"/>
          <w:sz w:val="22"/>
          <w:szCs w:val="22"/>
        </w:rPr>
        <w:t>cJUN</w:t>
      </w:r>
      <w:r w:rsidR="0001422F" w:rsidRPr="003A5B64">
        <w:rPr>
          <w:color w:val="000000" w:themeColor="text1"/>
          <w:sz w:val="22"/>
          <w:szCs w:val="22"/>
          <w:vertAlign w:val="superscript"/>
        </w:rPr>
        <w:t>-</w:t>
      </w:r>
      <w:r w:rsidR="005631E0" w:rsidRPr="003A5B64">
        <w:rPr>
          <w:color w:val="000000" w:themeColor="text1"/>
          <w:sz w:val="22"/>
          <w:szCs w:val="22"/>
          <w:vertAlign w:val="superscript"/>
        </w:rPr>
        <w:t>/-</w:t>
      </w:r>
      <w:r w:rsidR="005631E0" w:rsidRPr="003A5B64">
        <w:rPr>
          <w:i w:val="0"/>
          <w:color w:val="000000" w:themeColor="text1"/>
          <w:sz w:val="22"/>
          <w:szCs w:val="22"/>
        </w:rPr>
        <w:t xml:space="preserve"> versus </w:t>
      </w:r>
      <w:r w:rsidR="005631E0" w:rsidRPr="003A5B64">
        <w:rPr>
          <w:color w:val="000000" w:themeColor="text1"/>
          <w:sz w:val="22"/>
          <w:szCs w:val="22"/>
        </w:rPr>
        <w:t>cJUN</w:t>
      </w:r>
      <w:r w:rsidR="005631E0" w:rsidRPr="003A5B64">
        <w:rPr>
          <w:color w:val="000000" w:themeColor="text1"/>
          <w:sz w:val="22"/>
          <w:szCs w:val="22"/>
          <w:vertAlign w:val="superscript"/>
        </w:rPr>
        <w:t>+/+</w:t>
      </w:r>
      <w:r w:rsidR="005631E0" w:rsidRPr="003A5B64">
        <w:rPr>
          <w:i w:val="0"/>
          <w:color w:val="000000" w:themeColor="text1"/>
          <w:sz w:val="22"/>
          <w:szCs w:val="22"/>
        </w:rPr>
        <w:t xml:space="preserve"> polyps. </w:t>
      </w:r>
      <w:r w:rsidR="005631E0" w:rsidRPr="003A5B64">
        <w:rPr>
          <w:b/>
          <w:i w:val="0"/>
          <w:color w:val="000000" w:themeColor="text1"/>
          <w:sz w:val="22"/>
          <w:szCs w:val="22"/>
        </w:rPr>
        <w:t>C)</w:t>
      </w:r>
      <w:r w:rsidR="005631E0" w:rsidRPr="003A5B64">
        <w:rPr>
          <w:i w:val="0"/>
          <w:color w:val="000000" w:themeColor="text1"/>
          <w:sz w:val="22"/>
          <w:szCs w:val="22"/>
        </w:rPr>
        <w:t xml:space="preserve"> </w:t>
      </w:r>
      <w:r w:rsidR="005631E0" w:rsidRPr="003A5B64">
        <w:rPr>
          <w:i w:val="0"/>
          <w:color w:val="auto"/>
          <w:sz w:val="22"/>
          <w:szCs w:val="22"/>
        </w:rPr>
        <w:t xml:space="preserve">Alpha diversity analysis using Faith’s Phylogenetic Diversity (PD) index revealed a significant reduction in microbiome richness in </w:t>
      </w:r>
      <w:r w:rsidR="005631E0" w:rsidRPr="003A5B64">
        <w:rPr>
          <w:color w:val="auto"/>
          <w:sz w:val="22"/>
          <w:szCs w:val="22"/>
        </w:rPr>
        <w:t>cJUN</w:t>
      </w:r>
      <w:r w:rsidR="005631E0" w:rsidRPr="003A5B64">
        <w:rPr>
          <w:color w:val="auto"/>
          <w:sz w:val="22"/>
          <w:szCs w:val="22"/>
          <w:vertAlign w:val="superscript"/>
        </w:rPr>
        <w:t>-/-</w:t>
      </w:r>
      <w:r w:rsidR="005631E0" w:rsidRPr="003A5B64">
        <w:rPr>
          <w:i w:val="0"/>
          <w:color w:val="auto"/>
          <w:sz w:val="22"/>
          <w:szCs w:val="22"/>
          <w:vertAlign w:val="superscript"/>
        </w:rPr>
        <w:t xml:space="preserve"> </w:t>
      </w:r>
      <w:r w:rsidR="005631E0" w:rsidRPr="003A5B64">
        <w:rPr>
          <w:i w:val="0"/>
          <w:color w:val="auto"/>
          <w:sz w:val="22"/>
          <w:szCs w:val="22"/>
        </w:rPr>
        <w:t xml:space="preserve">polyps compared to </w:t>
      </w:r>
      <w:r w:rsidR="005631E0" w:rsidRPr="003A5B64">
        <w:rPr>
          <w:color w:val="auto"/>
          <w:sz w:val="22"/>
          <w:szCs w:val="22"/>
        </w:rPr>
        <w:t>cJUN</w:t>
      </w:r>
      <w:r w:rsidR="005631E0" w:rsidRPr="003A5B64">
        <w:rPr>
          <w:color w:val="auto"/>
          <w:sz w:val="22"/>
          <w:szCs w:val="22"/>
          <w:vertAlign w:val="superscript"/>
        </w:rPr>
        <w:t>+/+</w:t>
      </w:r>
      <w:r w:rsidR="005631E0" w:rsidRPr="003A5B64">
        <w:rPr>
          <w:i w:val="0"/>
          <w:color w:val="auto"/>
          <w:sz w:val="22"/>
          <w:szCs w:val="22"/>
        </w:rPr>
        <w:t xml:space="preserve"> polyps. N=20/genotype, t</w:t>
      </w:r>
      <w:r w:rsidR="005631E0" w:rsidRPr="003A5B64">
        <w:rPr>
          <w:rFonts w:cs="Arial"/>
          <w:i w:val="0"/>
          <w:color w:val="auto"/>
          <w:sz w:val="22"/>
          <w:szCs w:val="22"/>
        </w:rPr>
        <w:t xml:space="preserve">wo-sample t-test, * p&lt;=0,05 ** p&lt;=0,01 *** p&lt;=0,001. </w:t>
      </w:r>
      <w:r w:rsidR="005631E0" w:rsidRPr="003A5B64">
        <w:rPr>
          <w:rFonts w:cs="Arial"/>
          <w:b/>
          <w:i w:val="0"/>
          <w:color w:val="auto"/>
          <w:sz w:val="22"/>
          <w:szCs w:val="22"/>
        </w:rPr>
        <w:t>D)</w:t>
      </w:r>
      <w:r w:rsidR="005631E0" w:rsidRPr="003A5B64">
        <w:rPr>
          <w:rFonts w:cs="Arial"/>
          <w:i w:val="0"/>
          <w:color w:val="auto"/>
          <w:sz w:val="22"/>
          <w:szCs w:val="22"/>
        </w:rPr>
        <w:t xml:space="preserve"> </w:t>
      </w:r>
      <w:r w:rsidR="005631E0" w:rsidRPr="003A5B64">
        <w:rPr>
          <w:i w:val="0"/>
          <w:color w:val="000000" w:themeColor="text1"/>
          <w:sz w:val="22"/>
          <w:szCs w:val="22"/>
        </w:rPr>
        <w:t xml:space="preserve">Microbial community evenness (Pielou’s evenness index) significantly decreases in cJUN mutant polyps </w:t>
      </w:r>
      <w:r w:rsidR="005631E0" w:rsidRPr="003A5B64">
        <w:rPr>
          <w:i w:val="0"/>
          <w:color w:val="000000" w:themeColor="text1"/>
          <w:sz w:val="22"/>
          <w:szCs w:val="22"/>
        </w:rPr>
        <w:lastRenderedPageBreak/>
        <w:t xml:space="preserve">compared to wildtype control. </w:t>
      </w:r>
      <w:r w:rsidR="005631E0" w:rsidRPr="003A5B64">
        <w:rPr>
          <w:b/>
          <w:i w:val="0"/>
          <w:color w:val="000000" w:themeColor="text1"/>
          <w:sz w:val="22"/>
          <w:szCs w:val="22"/>
        </w:rPr>
        <w:t>E)</w:t>
      </w:r>
      <w:r w:rsidR="005631E0" w:rsidRPr="003A5B64">
        <w:rPr>
          <w:i w:val="0"/>
          <w:color w:val="000000" w:themeColor="text1"/>
          <w:sz w:val="22"/>
          <w:szCs w:val="22"/>
        </w:rPr>
        <w:t xml:space="preserve"> </w:t>
      </w:r>
      <w:r w:rsidR="005631E0" w:rsidRPr="003A5B64">
        <w:rPr>
          <w:rFonts w:cs="Arial"/>
          <w:i w:val="0"/>
          <w:color w:val="auto"/>
          <w:sz w:val="22"/>
          <w:szCs w:val="22"/>
        </w:rPr>
        <w:t xml:space="preserve">Bar plots representing the relative abundance of bacterial taxa in </w:t>
      </w:r>
      <w:r w:rsidR="005631E0" w:rsidRPr="003A5B64">
        <w:rPr>
          <w:rFonts w:cs="Arial"/>
          <w:color w:val="auto"/>
          <w:sz w:val="22"/>
          <w:szCs w:val="22"/>
        </w:rPr>
        <w:t>cJUN</w:t>
      </w:r>
      <w:r w:rsidR="005631E0" w:rsidRPr="003A5B64">
        <w:rPr>
          <w:rFonts w:cs="Arial"/>
          <w:color w:val="auto"/>
          <w:sz w:val="22"/>
          <w:szCs w:val="22"/>
          <w:vertAlign w:val="superscript"/>
        </w:rPr>
        <w:t>+/+</w:t>
      </w:r>
      <w:r w:rsidR="005631E0" w:rsidRPr="003A5B64">
        <w:rPr>
          <w:rFonts w:cs="Arial"/>
          <w:i w:val="0"/>
          <w:color w:val="auto"/>
          <w:sz w:val="22"/>
          <w:szCs w:val="22"/>
        </w:rPr>
        <w:t xml:space="preserve"> and </w:t>
      </w:r>
      <w:r w:rsidR="005631E0" w:rsidRPr="003A5B64">
        <w:rPr>
          <w:rFonts w:cs="Arial"/>
          <w:color w:val="auto"/>
          <w:sz w:val="22"/>
          <w:szCs w:val="22"/>
        </w:rPr>
        <w:t>cJUN</w:t>
      </w:r>
      <w:r w:rsidR="005631E0" w:rsidRPr="003A5B64">
        <w:rPr>
          <w:rFonts w:cs="Arial"/>
          <w:color w:val="auto"/>
          <w:sz w:val="22"/>
          <w:szCs w:val="22"/>
          <w:vertAlign w:val="superscript"/>
        </w:rPr>
        <w:t>-/-</w:t>
      </w:r>
      <w:r w:rsidR="005631E0" w:rsidRPr="003A5B64">
        <w:rPr>
          <w:rFonts w:cs="Arial"/>
          <w:i w:val="0"/>
          <w:color w:val="auto"/>
          <w:sz w:val="22"/>
          <w:szCs w:val="22"/>
        </w:rPr>
        <w:t xml:space="preserve"> animals. Each bar shows the mean relative abundance of taxa, including Alphaproteobacteria, Gammaproteobacteria, Bacteroidota, Spirochaetota, Actinobacteria, and Firmicutes, across samples for each genotype, highlighting differences in the microbial community composition between the two groups.</w:t>
      </w:r>
    </w:p>
    <w:p w:rsidR="00F27EAE" w:rsidRDefault="003C7927" w:rsidP="003C7927">
      <w:pPr>
        <w:jc w:val="center"/>
      </w:pPr>
      <w:r>
        <w:rPr>
          <w:noProof/>
        </w:rPr>
        <w:drawing>
          <wp:inline distT="0" distB="0" distL="0" distR="0">
            <wp:extent cx="3610950" cy="6850505"/>
            <wp:effectExtent l="0" t="0" r="889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8673" cy="6903099"/>
                    </a:xfrm>
                    <a:prstGeom prst="rect">
                      <a:avLst/>
                    </a:prstGeom>
                    <a:noFill/>
                    <a:ln>
                      <a:noFill/>
                    </a:ln>
                  </pic:spPr>
                </pic:pic>
              </a:graphicData>
            </a:graphic>
          </wp:inline>
        </w:drawing>
      </w:r>
    </w:p>
    <w:p w:rsidR="001F7874" w:rsidRPr="003A5B64" w:rsidRDefault="001F7874" w:rsidP="003A5B64">
      <w:pPr>
        <w:pStyle w:val="Caption"/>
        <w:spacing w:line="360" w:lineRule="auto"/>
        <w:rPr>
          <w:i w:val="0"/>
          <w:color w:val="000000" w:themeColor="text1"/>
          <w:sz w:val="22"/>
          <w:szCs w:val="22"/>
        </w:rPr>
      </w:pPr>
      <w:r w:rsidRPr="003A5B64">
        <w:rPr>
          <w:b/>
          <w:i w:val="0"/>
          <w:color w:val="000000" w:themeColor="text1"/>
          <w:sz w:val="22"/>
          <w:szCs w:val="22"/>
        </w:rPr>
        <w:lastRenderedPageBreak/>
        <w:t xml:space="preserve">Figure </w:t>
      </w:r>
      <w:r w:rsidR="00127BE5" w:rsidRPr="003A5B64">
        <w:rPr>
          <w:b/>
          <w:i w:val="0"/>
          <w:color w:val="000000" w:themeColor="text1"/>
          <w:sz w:val="22"/>
          <w:szCs w:val="22"/>
        </w:rPr>
        <w:t>S</w:t>
      </w:r>
      <w:r w:rsidR="00F30DCF" w:rsidRPr="003A5B64">
        <w:rPr>
          <w:b/>
          <w:i w:val="0"/>
          <w:color w:val="000000" w:themeColor="text1"/>
          <w:sz w:val="22"/>
          <w:szCs w:val="22"/>
        </w:rPr>
        <w:fldChar w:fldCharType="begin"/>
      </w:r>
      <w:r w:rsidR="00F30DCF" w:rsidRPr="003A5B64">
        <w:rPr>
          <w:b/>
          <w:i w:val="0"/>
          <w:color w:val="000000" w:themeColor="text1"/>
          <w:sz w:val="22"/>
          <w:szCs w:val="22"/>
        </w:rPr>
        <w:instrText xml:space="preserve"> SEQ Figure \* ARABIC </w:instrText>
      </w:r>
      <w:r w:rsidR="00F30DCF" w:rsidRPr="003A5B64">
        <w:rPr>
          <w:b/>
          <w:i w:val="0"/>
          <w:color w:val="000000" w:themeColor="text1"/>
          <w:sz w:val="22"/>
          <w:szCs w:val="22"/>
        </w:rPr>
        <w:fldChar w:fldCharType="separate"/>
      </w:r>
      <w:r w:rsidR="00F30DCF" w:rsidRPr="003A5B64">
        <w:rPr>
          <w:b/>
          <w:i w:val="0"/>
          <w:noProof/>
          <w:color w:val="000000" w:themeColor="text1"/>
          <w:sz w:val="22"/>
          <w:szCs w:val="22"/>
        </w:rPr>
        <w:t>4</w:t>
      </w:r>
      <w:r w:rsidR="00F30DCF" w:rsidRPr="003A5B64">
        <w:rPr>
          <w:b/>
          <w:i w:val="0"/>
          <w:noProof/>
          <w:color w:val="000000" w:themeColor="text1"/>
          <w:sz w:val="22"/>
          <w:szCs w:val="22"/>
        </w:rPr>
        <w:fldChar w:fldCharType="end"/>
      </w:r>
      <w:r w:rsidRPr="003A5B64">
        <w:rPr>
          <w:b/>
          <w:i w:val="0"/>
          <w:color w:val="000000" w:themeColor="text1"/>
          <w:sz w:val="22"/>
          <w:szCs w:val="22"/>
        </w:rPr>
        <w:t xml:space="preserve"> </w:t>
      </w:r>
      <w:r w:rsidR="00592A84" w:rsidRPr="003A5B64">
        <w:rPr>
          <w:b/>
          <w:i w:val="0"/>
          <w:color w:val="000000" w:themeColor="text1"/>
          <w:sz w:val="22"/>
          <w:szCs w:val="22"/>
        </w:rPr>
        <w:t xml:space="preserve">Temporal dynamics of differentially abundant bacterial taxa in </w:t>
      </w:r>
      <w:r w:rsidR="00592A84" w:rsidRPr="003A5B64">
        <w:rPr>
          <w:b/>
          <w:color w:val="000000" w:themeColor="text1"/>
          <w:sz w:val="22"/>
          <w:szCs w:val="22"/>
        </w:rPr>
        <w:t>cJUN</w:t>
      </w:r>
      <w:r w:rsidR="00592A84" w:rsidRPr="003A5B64">
        <w:rPr>
          <w:b/>
          <w:color w:val="000000" w:themeColor="text1"/>
          <w:sz w:val="22"/>
          <w:szCs w:val="22"/>
          <w:vertAlign w:val="superscript"/>
        </w:rPr>
        <w:t>-/-</w:t>
      </w:r>
      <w:r w:rsidR="00592A84" w:rsidRPr="003A5B64">
        <w:rPr>
          <w:b/>
          <w:i w:val="0"/>
          <w:color w:val="000000" w:themeColor="text1"/>
          <w:sz w:val="22"/>
          <w:szCs w:val="22"/>
          <w:vertAlign w:val="superscript"/>
        </w:rPr>
        <w:t xml:space="preserve"> </w:t>
      </w:r>
      <w:r w:rsidR="00592A84" w:rsidRPr="003A5B64">
        <w:rPr>
          <w:b/>
          <w:i w:val="0"/>
          <w:color w:val="000000" w:themeColor="text1"/>
          <w:sz w:val="22"/>
          <w:szCs w:val="22"/>
        </w:rPr>
        <w:t xml:space="preserve">and </w:t>
      </w:r>
      <w:r w:rsidR="00592A84" w:rsidRPr="003A5B64">
        <w:rPr>
          <w:b/>
          <w:color w:val="000000" w:themeColor="text1"/>
          <w:sz w:val="22"/>
          <w:szCs w:val="22"/>
        </w:rPr>
        <w:t>cJUN</w:t>
      </w:r>
      <w:r w:rsidR="00592A84" w:rsidRPr="003A5B64">
        <w:rPr>
          <w:b/>
          <w:color w:val="000000" w:themeColor="text1"/>
          <w:sz w:val="22"/>
          <w:szCs w:val="22"/>
          <w:vertAlign w:val="superscript"/>
        </w:rPr>
        <w:t>+/+</w:t>
      </w:r>
      <w:r w:rsidR="00592A84" w:rsidRPr="003A5B64">
        <w:rPr>
          <w:b/>
          <w:i w:val="0"/>
          <w:color w:val="000000" w:themeColor="text1"/>
          <w:sz w:val="22"/>
          <w:szCs w:val="22"/>
        </w:rPr>
        <w:t xml:space="preserve"> polyps</w:t>
      </w:r>
      <w:r w:rsidR="00592A84" w:rsidRPr="003A5B64">
        <w:rPr>
          <w:i w:val="0"/>
          <w:color w:val="000000" w:themeColor="text1"/>
          <w:sz w:val="22"/>
          <w:szCs w:val="22"/>
        </w:rPr>
        <w:t xml:space="preserve">. Relative abundances of specific bacterial taxa over time (2, 7, 14, and 28 days post-recolonization [dpr]) in cJUN knockout (red) and wildtype (black) polyps. </w:t>
      </w:r>
      <w:r w:rsidR="00592A84" w:rsidRPr="003A5B64">
        <w:rPr>
          <w:b/>
          <w:i w:val="0"/>
          <w:color w:val="000000" w:themeColor="text1"/>
          <w:sz w:val="22"/>
          <w:szCs w:val="22"/>
        </w:rPr>
        <w:t>(A)</w:t>
      </w:r>
      <w:r w:rsidR="00592A84" w:rsidRPr="003A5B64">
        <w:rPr>
          <w:i w:val="0"/>
          <w:color w:val="000000" w:themeColor="text1"/>
          <w:sz w:val="22"/>
          <w:szCs w:val="22"/>
        </w:rPr>
        <w:t xml:space="preserve"> Kiloniella (Alphaproteobacteria), </w:t>
      </w:r>
      <w:r w:rsidR="00592A84" w:rsidRPr="003A5B64">
        <w:rPr>
          <w:b/>
          <w:i w:val="0"/>
          <w:color w:val="000000" w:themeColor="text1"/>
          <w:sz w:val="22"/>
          <w:szCs w:val="22"/>
        </w:rPr>
        <w:t>(B)</w:t>
      </w:r>
      <w:r w:rsidR="00592A84" w:rsidRPr="003A5B64">
        <w:rPr>
          <w:i w:val="0"/>
          <w:color w:val="000000" w:themeColor="text1"/>
          <w:sz w:val="22"/>
          <w:szCs w:val="22"/>
        </w:rPr>
        <w:t xml:space="preserve"> Mf105b01 (Alphaproteobacteria), </w:t>
      </w:r>
      <w:r w:rsidR="00592A84" w:rsidRPr="003A5B64">
        <w:rPr>
          <w:b/>
          <w:i w:val="0"/>
          <w:color w:val="000000" w:themeColor="text1"/>
          <w:sz w:val="22"/>
          <w:szCs w:val="22"/>
        </w:rPr>
        <w:t>(C)</w:t>
      </w:r>
      <w:r w:rsidR="00592A84" w:rsidRPr="003A5B64">
        <w:rPr>
          <w:i w:val="0"/>
          <w:color w:val="000000" w:themeColor="text1"/>
          <w:sz w:val="22"/>
          <w:szCs w:val="22"/>
        </w:rPr>
        <w:t xml:space="preserve"> Rhizobiales (Alphaproteobacteria), and </w:t>
      </w:r>
      <w:r w:rsidR="00592A84" w:rsidRPr="003A5B64">
        <w:rPr>
          <w:b/>
          <w:i w:val="0"/>
          <w:color w:val="000000" w:themeColor="text1"/>
          <w:sz w:val="22"/>
          <w:szCs w:val="22"/>
        </w:rPr>
        <w:t>(D)</w:t>
      </w:r>
      <w:r w:rsidR="00592A84" w:rsidRPr="003A5B64">
        <w:rPr>
          <w:i w:val="0"/>
          <w:color w:val="000000" w:themeColor="text1"/>
          <w:sz w:val="22"/>
          <w:szCs w:val="22"/>
        </w:rPr>
        <w:t xml:space="preserve"> Alcanivorax (Gammaproteobacteria) show distinct colonization patterns between genotypes. Significant differences between groups at specific time points are indicated (*p&lt;0.05, **p&lt;0.01, ***p&lt;0.001; ANCOM). </w:t>
      </w:r>
    </w:p>
    <w:sectPr w:rsidR="001F7874" w:rsidRPr="003A5B64" w:rsidSect="00F639D0">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D2"/>
    <w:rsid w:val="0001422F"/>
    <w:rsid w:val="0004477D"/>
    <w:rsid w:val="00080DB8"/>
    <w:rsid w:val="00086ACD"/>
    <w:rsid w:val="00126EFE"/>
    <w:rsid w:val="00127BE5"/>
    <w:rsid w:val="001817D9"/>
    <w:rsid w:val="001B193E"/>
    <w:rsid w:val="001E7AC6"/>
    <w:rsid w:val="001F7874"/>
    <w:rsid w:val="00267E18"/>
    <w:rsid w:val="00361851"/>
    <w:rsid w:val="00363E08"/>
    <w:rsid w:val="0037134B"/>
    <w:rsid w:val="00396E4C"/>
    <w:rsid w:val="003A5B64"/>
    <w:rsid w:val="003C7927"/>
    <w:rsid w:val="0041511E"/>
    <w:rsid w:val="00467C8B"/>
    <w:rsid w:val="005157B6"/>
    <w:rsid w:val="005631E0"/>
    <w:rsid w:val="0058700A"/>
    <w:rsid w:val="00592A84"/>
    <w:rsid w:val="00595631"/>
    <w:rsid w:val="005D41FF"/>
    <w:rsid w:val="00622274"/>
    <w:rsid w:val="00633AD9"/>
    <w:rsid w:val="006B6B59"/>
    <w:rsid w:val="006D2EE7"/>
    <w:rsid w:val="006F5427"/>
    <w:rsid w:val="00782766"/>
    <w:rsid w:val="008144F9"/>
    <w:rsid w:val="008B66EF"/>
    <w:rsid w:val="008D0F5D"/>
    <w:rsid w:val="008F7762"/>
    <w:rsid w:val="00A1117F"/>
    <w:rsid w:val="00A57CD2"/>
    <w:rsid w:val="00A63C9D"/>
    <w:rsid w:val="00AE0045"/>
    <w:rsid w:val="00B3168C"/>
    <w:rsid w:val="00B47B29"/>
    <w:rsid w:val="00B85414"/>
    <w:rsid w:val="00C10A6D"/>
    <w:rsid w:val="00C273CB"/>
    <w:rsid w:val="00C42811"/>
    <w:rsid w:val="00C46EB2"/>
    <w:rsid w:val="00CF6462"/>
    <w:rsid w:val="00DB3D1F"/>
    <w:rsid w:val="00DC1938"/>
    <w:rsid w:val="00DE1A03"/>
    <w:rsid w:val="00E2589F"/>
    <w:rsid w:val="00E57F32"/>
    <w:rsid w:val="00E74C55"/>
    <w:rsid w:val="00E85406"/>
    <w:rsid w:val="00F27EAE"/>
    <w:rsid w:val="00F30DCF"/>
    <w:rsid w:val="00F639D0"/>
    <w:rsid w:val="00FC7FE6"/>
    <w:rsid w:val="00FD47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FA698-F669-4A68-9B16-74FCF138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274"/>
    <w:pPr>
      <w:spacing w:line="240" w:lineRule="auto"/>
      <w:jc w:val="both"/>
    </w:pPr>
    <w:rPr>
      <w:rFonts w:ascii="Arial" w:hAnsi="Arial"/>
    </w:rPr>
  </w:style>
  <w:style w:type="paragraph" w:styleId="Heading1">
    <w:name w:val="heading 1"/>
    <w:basedOn w:val="Normal"/>
    <w:next w:val="Normal"/>
    <w:link w:val="Heading1Char"/>
    <w:uiPriority w:val="9"/>
    <w:qFormat/>
    <w:rsid w:val="00AE00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AE0045"/>
    <w:pPr>
      <w:keepNext/>
      <w:keepLines/>
      <w:spacing w:before="40" w:after="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AE0045"/>
    <w:pPr>
      <w:keepNext/>
      <w:keepLines/>
      <w:spacing w:before="40" w:after="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0045"/>
    <w:rPr>
      <w:rFonts w:ascii="Arial" w:eastAsiaTheme="majorEastAsia" w:hAnsi="Arial" w:cstheme="majorBidi"/>
      <w:b/>
      <w:color w:val="000000" w:themeColor="text1"/>
      <w:sz w:val="24"/>
      <w:szCs w:val="26"/>
    </w:rPr>
  </w:style>
  <w:style w:type="paragraph" w:customStyle="1" w:styleId="EndNoteBibliographyTitle">
    <w:name w:val="EndNote Bibliography Title"/>
    <w:basedOn w:val="Normal"/>
    <w:link w:val="EndNoteBibliographyTitleChar"/>
    <w:rsid w:val="00AE0045"/>
    <w:pPr>
      <w:spacing w:after="0"/>
      <w:jc w:val="center"/>
    </w:pPr>
    <w:rPr>
      <w:rFonts w:ascii="Calibri Light" w:hAnsi="Calibri Light" w:cs="Calibri Light"/>
      <w:noProof/>
      <w:sz w:val="32"/>
    </w:rPr>
  </w:style>
  <w:style w:type="character" w:customStyle="1" w:styleId="EndNoteBibliographyTitleChar">
    <w:name w:val="EndNote Bibliography Title Char"/>
    <w:basedOn w:val="DefaultParagraphFont"/>
    <w:link w:val="EndNoteBibliographyTitle"/>
    <w:rsid w:val="00AE0045"/>
    <w:rPr>
      <w:rFonts w:ascii="Calibri Light" w:hAnsi="Calibri Light" w:cs="Calibri Light"/>
      <w:noProof/>
      <w:sz w:val="32"/>
    </w:rPr>
  </w:style>
  <w:style w:type="paragraph" w:customStyle="1" w:styleId="EndNoteBibliography">
    <w:name w:val="EndNote Bibliography"/>
    <w:basedOn w:val="Normal"/>
    <w:link w:val="EndNoteBibliographyChar"/>
    <w:rsid w:val="00AE0045"/>
    <w:rPr>
      <w:rFonts w:ascii="Calibri Light" w:hAnsi="Calibri Light" w:cs="Calibri Light"/>
      <w:noProof/>
      <w:sz w:val="32"/>
    </w:rPr>
  </w:style>
  <w:style w:type="character" w:customStyle="1" w:styleId="EndNoteBibliographyChar">
    <w:name w:val="EndNote Bibliography Char"/>
    <w:basedOn w:val="DefaultParagraphFont"/>
    <w:link w:val="EndNoteBibliography"/>
    <w:rsid w:val="00AE0045"/>
    <w:rPr>
      <w:rFonts w:ascii="Calibri Light" w:hAnsi="Calibri Light" w:cs="Calibri Light"/>
      <w:noProof/>
      <w:sz w:val="32"/>
    </w:rPr>
  </w:style>
  <w:style w:type="character" w:customStyle="1" w:styleId="Heading1Char">
    <w:name w:val="Heading 1 Char"/>
    <w:basedOn w:val="DefaultParagraphFont"/>
    <w:link w:val="Heading1"/>
    <w:uiPriority w:val="9"/>
    <w:rsid w:val="00AE00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E0045"/>
    <w:rPr>
      <w:rFonts w:ascii="Arial" w:eastAsiaTheme="majorEastAsia" w:hAnsi="Arial" w:cstheme="majorBidi"/>
      <w:szCs w:val="24"/>
    </w:rPr>
  </w:style>
  <w:style w:type="paragraph" w:styleId="Caption">
    <w:name w:val="caption"/>
    <w:basedOn w:val="Normal"/>
    <w:next w:val="Normal"/>
    <w:uiPriority w:val="35"/>
    <w:unhideWhenUsed/>
    <w:qFormat/>
    <w:rsid w:val="00AE0045"/>
    <w:pPr>
      <w:spacing w:after="200"/>
    </w:pPr>
    <w:rPr>
      <w:i/>
      <w:iCs/>
      <w:color w:val="44546A" w:themeColor="text2"/>
      <w:sz w:val="18"/>
      <w:szCs w:val="18"/>
    </w:rPr>
  </w:style>
  <w:style w:type="character" w:styleId="LineNumber">
    <w:name w:val="line number"/>
    <w:basedOn w:val="DefaultParagraphFont"/>
    <w:uiPriority w:val="99"/>
    <w:semiHidden/>
    <w:unhideWhenUsed/>
    <w:rsid w:val="00AE0045"/>
  </w:style>
  <w:style w:type="paragraph" w:styleId="Title">
    <w:name w:val="Title"/>
    <w:basedOn w:val="Normal"/>
    <w:next w:val="Normal"/>
    <w:link w:val="TitleChar"/>
    <w:uiPriority w:val="10"/>
    <w:qFormat/>
    <w:rsid w:val="00AE004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04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E0045"/>
    <w:rPr>
      <w:color w:val="0563C1" w:themeColor="hyperlink"/>
      <w:u w:val="single"/>
    </w:rPr>
  </w:style>
  <w:style w:type="table" w:styleId="TableGrid">
    <w:name w:val="Table Grid"/>
    <w:basedOn w:val="TableNormal"/>
    <w:uiPriority w:val="39"/>
    <w:rsid w:val="00AE0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0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E6409-329C-4E98-BF36-D07BF68E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 Hatice Kaya</dc:creator>
  <cp:keywords/>
  <dc:description/>
  <cp:lastModifiedBy>Nida Hatice Kaya</cp:lastModifiedBy>
  <cp:revision>2</cp:revision>
  <dcterms:created xsi:type="dcterms:W3CDTF">2025-02-14T14:01:00Z</dcterms:created>
  <dcterms:modified xsi:type="dcterms:W3CDTF">2025-06-30T09:46:00Z</dcterms:modified>
</cp:coreProperties>
</file>