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4E7F9" w14:textId="19AE35DC" w:rsidR="00AB6070" w:rsidRDefault="00B06AC2" w:rsidP="00AB6070">
      <w:pPr>
        <w:widowControl w:val="0"/>
        <w:spacing w:line="480" w:lineRule="auto"/>
      </w:pPr>
      <w:r>
        <w:rPr>
          <w:noProof/>
        </w:rPr>
        <w:drawing>
          <wp:inline distT="0" distB="0" distL="0" distR="0" wp14:anchorId="4B550832" wp14:editId="5C2EEC65">
            <wp:extent cx="6108700" cy="426720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dd17cm 20200928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56CBD" w14:textId="77777777" w:rsidR="005605F1" w:rsidRPr="001650F4" w:rsidRDefault="005605F1" w:rsidP="005605F1">
      <w:pPr>
        <w:spacing w:line="480" w:lineRule="auto"/>
        <w:rPr>
          <w:color w:val="FF0000"/>
        </w:rPr>
      </w:pPr>
      <w:r w:rsidRPr="00247298">
        <w:rPr>
          <w:b/>
          <w:color w:val="000000" w:themeColor="text1"/>
        </w:rPr>
        <w:t>Supplementary</w:t>
      </w:r>
      <w:r w:rsidRPr="00247298">
        <w:rPr>
          <w:b/>
          <w:color w:val="000000" w:themeColor="text1"/>
        </w:rPr>
        <w:t xml:space="preserve"> </w:t>
      </w:r>
      <w:r w:rsidRPr="00247298">
        <w:rPr>
          <w:b/>
          <w:color w:val="000000" w:themeColor="text1"/>
        </w:rPr>
        <w:t>Figure</w:t>
      </w:r>
      <w:r w:rsidRPr="00247298">
        <w:rPr>
          <w:b/>
          <w:color w:val="000000" w:themeColor="text1"/>
        </w:rPr>
        <w:t xml:space="preserve"> 1: Figure S1.</w:t>
      </w:r>
      <w:r w:rsidRPr="00247298">
        <w:rPr>
          <w:color w:val="000000" w:themeColor="text1"/>
        </w:rPr>
        <w:t xml:space="preserve"> (</w:t>
      </w:r>
      <w:r w:rsidRPr="00247298">
        <w:rPr>
          <w:b/>
          <w:color w:val="000000" w:themeColor="text1"/>
        </w:rPr>
        <w:t>a)</w:t>
      </w:r>
      <w:r w:rsidRPr="00247298">
        <w:rPr>
          <w:color w:val="000000" w:themeColor="text1"/>
        </w:rPr>
        <w:t xml:space="preserve"> Flow cytometric analysis of ADSC immunophenotypes. Cells were stained with </w:t>
      </w:r>
      <w:r w:rsidRPr="00247298">
        <w:rPr>
          <w:color w:val="000000" w:themeColor="text1"/>
        </w:rPr>
        <w:t>immunoglobulin</w:t>
      </w:r>
      <w:r w:rsidRPr="00247298">
        <w:rPr>
          <w:color w:val="000000" w:themeColor="text1"/>
        </w:rPr>
        <w:t xml:space="preserve"> G (IgG) isotype-matched control antibodies or antibodies against CD29, CD34, CD44, CD45, or CD90. (</w:t>
      </w:r>
      <w:r w:rsidRPr="00247298">
        <w:rPr>
          <w:b/>
          <w:color w:val="000000" w:themeColor="text1"/>
        </w:rPr>
        <w:t>b)</w:t>
      </w:r>
      <w:r w:rsidRPr="00247298">
        <w:rPr>
          <w:color w:val="000000" w:themeColor="text1"/>
        </w:rPr>
        <w:t xml:space="preserve"> Expression of the exosome markers CD63, CD9, CD81, and β-actin confirmed by immunoblotting. (</w:t>
      </w:r>
      <w:r w:rsidRPr="00247298">
        <w:rPr>
          <w:b/>
          <w:color w:val="000000" w:themeColor="text1"/>
        </w:rPr>
        <w:t>c)</w:t>
      </w:r>
      <w:r w:rsidRPr="00247298">
        <w:rPr>
          <w:color w:val="000000" w:themeColor="text1"/>
        </w:rPr>
        <w:t xml:space="preserve"> Size distribution of </w:t>
      </w:r>
      <w:r w:rsidRPr="00247298">
        <w:rPr>
          <w:color w:val="000000" w:themeColor="text1"/>
        </w:rPr>
        <w:t>exosomes</w:t>
      </w:r>
      <w:r w:rsidRPr="00247298">
        <w:rPr>
          <w:color w:val="000000" w:themeColor="text1"/>
        </w:rPr>
        <w:t xml:space="preserve"> determined by dynamic light scattering. The x-axis on a size distribution plot shows the estimated distribution of particle radii (nm), with the y-axis showing the relative percentages. </w:t>
      </w:r>
      <w:r w:rsidRPr="00247298">
        <w:rPr>
          <w:b/>
          <w:color w:val="000000" w:themeColor="text1"/>
        </w:rPr>
        <w:t>(d)</w:t>
      </w:r>
      <w:r w:rsidRPr="00247298">
        <w:rPr>
          <w:color w:val="000000" w:themeColor="text1"/>
        </w:rPr>
        <w:t xml:space="preserve"> </w:t>
      </w:r>
      <w:r w:rsidRPr="00247298">
        <w:rPr>
          <w:color w:val="000000" w:themeColor="text1"/>
        </w:rPr>
        <w:t>Relative</w:t>
      </w:r>
      <w:r w:rsidRPr="00247298">
        <w:rPr>
          <w:color w:val="000000" w:themeColor="text1"/>
        </w:rPr>
        <w:t xml:space="preserve"> cell viability of HUVECs exposed </w:t>
      </w:r>
      <w:r w:rsidRPr="00247298">
        <w:rPr>
          <w:color w:val="000000" w:themeColor="text1"/>
        </w:rPr>
        <w:t>to</w:t>
      </w:r>
      <w:r w:rsidRPr="00247298">
        <w:rPr>
          <w:color w:val="000000" w:themeColor="text1"/>
        </w:rPr>
        <w:t xml:space="preserve"> histones (0, 25, 50, 75, 100 μg/mL in each) for 4 </w:t>
      </w:r>
      <w:r w:rsidRPr="00247298">
        <w:rPr>
          <w:color w:val="000000" w:themeColor="text1"/>
        </w:rPr>
        <w:t>h</w:t>
      </w:r>
      <w:r w:rsidRPr="00247298">
        <w:rPr>
          <w:color w:val="000000" w:themeColor="text1"/>
        </w:rPr>
        <w:t xml:space="preserve"> was measured by </w:t>
      </w:r>
      <w:r>
        <w:rPr>
          <w:rFonts w:eastAsia="ＭＳ 明朝"/>
          <w:color w:val="000000"/>
        </w:rPr>
        <w:t xml:space="preserve">the </w:t>
      </w:r>
      <w:r>
        <w:rPr>
          <w:rFonts w:eastAsia="ＭＳ 明朝"/>
          <w:color w:val="000000"/>
        </w:rPr>
        <w:t>Cell Titer-Glo</w:t>
      </w:r>
      <w:bookmarkStart w:id="0" w:name="_GoBack"/>
      <w:bookmarkEnd w:id="0"/>
      <w:r>
        <w:rPr>
          <w:rFonts w:eastAsia="ＭＳ 明朝"/>
          <w:color w:val="000000"/>
        </w:rPr>
        <w:t xml:space="preserve"> luminescent cell viability assay. Each sample was analyzed in </w:t>
      </w:r>
      <w:r w:rsidRPr="00247298">
        <w:rPr>
          <w:color w:val="000000" w:themeColor="text1"/>
        </w:rPr>
        <w:t>triplicates</w:t>
      </w:r>
      <w:r w:rsidRPr="00247298">
        <w:rPr>
          <w:color w:val="000000" w:themeColor="text1"/>
        </w:rPr>
        <w:t xml:space="preserve">. </w:t>
      </w:r>
      <w:r w:rsidRPr="00247298">
        <w:rPr>
          <w:color w:val="000000" w:themeColor="text1"/>
          <w:vertAlign w:val="superscript"/>
        </w:rPr>
        <w:t>*</w:t>
      </w:r>
      <w:r w:rsidRPr="00247298">
        <w:rPr>
          <w:i/>
          <w:color w:val="000000" w:themeColor="text1"/>
        </w:rPr>
        <w:t>p</w:t>
      </w:r>
      <w:r w:rsidRPr="00247298">
        <w:rPr>
          <w:color w:val="000000" w:themeColor="text1"/>
        </w:rPr>
        <w:t>&lt;0.05,</w:t>
      </w:r>
      <w:r w:rsidRPr="00247298">
        <w:rPr>
          <w:i/>
          <w:color w:val="000000" w:themeColor="text1"/>
        </w:rPr>
        <w:t xml:space="preserve"> </w:t>
      </w:r>
      <w:r w:rsidRPr="00247298">
        <w:rPr>
          <w:color w:val="000000" w:themeColor="text1"/>
          <w:vertAlign w:val="superscript"/>
        </w:rPr>
        <w:t>**</w:t>
      </w:r>
      <w:r w:rsidRPr="00247298">
        <w:rPr>
          <w:i/>
          <w:color w:val="000000" w:themeColor="text1"/>
        </w:rPr>
        <w:t>p</w:t>
      </w:r>
      <w:r w:rsidRPr="00247298">
        <w:rPr>
          <w:color w:val="000000" w:themeColor="text1"/>
        </w:rPr>
        <w:t xml:space="preserve">&lt;0.01 vs. control. </w:t>
      </w:r>
      <w:r w:rsidRPr="00247298">
        <w:rPr>
          <w:b/>
          <w:color w:val="000000" w:themeColor="text1"/>
        </w:rPr>
        <w:t>(e)</w:t>
      </w:r>
      <w:r w:rsidRPr="00247298">
        <w:rPr>
          <w:color w:val="000000" w:themeColor="text1"/>
        </w:rPr>
        <w:t xml:space="preserve"> </w:t>
      </w:r>
      <w:r w:rsidRPr="00247298">
        <w:rPr>
          <w:color w:val="000000" w:themeColor="text1"/>
        </w:rPr>
        <w:t>Schematic</w:t>
      </w:r>
      <w:r w:rsidRPr="00247298">
        <w:rPr>
          <w:color w:val="000000" w:themeColor="text1"/>
        </w:rPr>
        <w:t xml:space="preserve"> of the co-culture experiments of HUVECs with ADSCs using Falcon Cell Culture Inserts. </w:t>
      </w:r>
      <w:r w:rsidRPr="00247298">
        <w:rPr>
          <w:b/>
          <w:color w:val="000000" w:themeColor="text1"/>
        </w:rPr>
        <w:t>(f)</w:t>
      </w:r>
      <w:r w:rsidRPr="00247298">
        <w:rPr>
          <w:color w:val="000000" w:themeColor="text1"/>
        </w:rPr>
        <w:t xml:space="preserve"> Expression of CD81 marker from media exposed to GW4869 or DMSO.</w:t>
      </w:r>
      <w:r w:rsidRPr="003F54C1">
        <w:rPr>
          <w:b/>
          <w:color w:val="000000" w:themeColor="text1"/>
        </w:rPr>
        <w:t xml:space="preserve"> </w:t>
      </w:r>
      <w:r w:rsidRPr="001650F4">
        <w:rPr>
          <w:b/>
          <w:color w:val="FF0000"/>
        </w:rPr>
        <w:t>(g)</w:t>
      </w:r>
      <w:r w:rsidRPr="001650F4">
        <w:rPr>
          <w:color w:val="FF0000"/>
        </w:rPr>
        <w:t xml:space="preserve"> The relative cell viability of HUVECs after co-culture with or without </w:t>
      </w:r>
      <w:r>
        <w:rPr>
          <w:color w:val="FF0000"/>
        </w:rPr>
        <w:t>histone-exposed</w:t>
      </w:r>
      <w:r w:rsidRPr="001650F4">
        <w:rPr>
          <w:color w:val="FF0000"/>
        </w:rPr>
        <w:t xml:space="preserve"> (100 μg/mL) </w:t>
      </w:r>
      <w:r w:rsidRPr="001650F4">
        <w:rPr>
          <w:color w:val="FF0000"/>
        </w:rPr>
        <w:t xml:space="preserve">ADSCs or exosomes for 4 </w:t>
      </w:r>
      <w:r w:rsidRPr="001650F4">
        <w:rPr>
          <w:color w:val="FF0000"/>
        </w:rPr>
        <w:t>h</w:t>
      </w:r>
      <w:r w:rsidRPr="001650F4">
        <w:rPr>
          <w:color w:val="FF0000"/>
        </w:rPr>
        <w:t>. In</w:t>
      </w:r>
      <w:r>
        <w:rPr>
          <w:color w:val="FF0000"/>
        </w:rPr>
        <w:t xml:space="preserve"> </w:t>
      </w:r>
      <w:r>
        <w:rPr>
          <w:rFonts w:eastAsia="ＭＳ 明朝"/>
          <w:color w:val="FF0000"/>
        </w:rPr>
        <w:t xml:space="preserve">the </w:t>
      </w:r>
      <w:r w:rsidRPr="001650F4">
        <w:rPr>
          <w:color w:val="FF0000"/>
        </w:rPr>
        <w:t>exosome</w:t>
      </w:r>
      <w:r w:rsidRPr="001650F4">
        <w:rPr>
          <w:color w:val="FF0000"/>
        </w:rPr>
        <w:t xml:space="preserve"> group, exosomes </w:t>
      </w:r>
      <w:r>
        <w:rPr>
          <w:color w:val="FF0000"/>
        </w:rPr>
        <w:t xml:space="preserve">derived </w:t>
      </w:r>
      <w:r w:rsidRPr="001650F4">
        <w:rPr>
          <w:color w:val="FF0000"/>
        </w:rPr>
        <w:t>from 1×10</w:t>
      </w:r>
      <w:r w:rsidRPr="001650F4">
        <w:rPr>
          <w:color w:val="FF0000"/>
          <w:vertAlign w:val="superscript"/>
        </w:rPr>
        <w:t xml:space="preserve">4 </w:t>
      </w:r>
      <w:r w:rsidRPr="001650F4">
        <w:rPr>
          <w:color w:val="FF0000"/>
        </w:rPr>
        <w:t xml:space="preserve">ADSCs (same </w:t>
      </w:r>
      <w:r w:rsidRPr="001650F4">
        <w:rPr>
          <w:color w:val="FF0000"/>
        </w:rPr>
        <w:t>as</w:t>
      </w:r>
      <w:r w:rsidRPr="001650F4">
        <w:rPr>
          <w:color w:val="FF0000"/>
        </w:rPr>
        <w:t xml:space="preserve"> </w:t>
      </w:r>
      <w:r>
        <w:rPr>
          <w:rFonts w:eastAsia="ＭＳ 明朝"/>
          <w:color w:val="FF0000"/>
        </w:rPr>
        <w:lastRenderedPageBreak/>
        <w:t xml:space="preserve">the </w:t>
      </w:r>
      <w:r>
        <w:rPr>
          <w:rFonts w:eastAsia="ＭＳ 明朝"/>
          <w:color w:val="FF0000"/>
        </w:rPr>
        <w:t xml:space="preserve">ADSCs group) were added </w:t>
      </w:r>
      <w:r w:rsidRPr="001650F4">
        <w:rPr>
          <w:color w:val="FF0000"/>
        </w:rPr>
        <w:t>to</w:t>
      </w:r>
      <w:r w:rsidRPr="001650F4">
        <w:rPr>
          <w:color w:val="FF0000"/>
        </w:rPr>
        <w:t xml:space="preserve"> </w:t>
      </w:r>
      <w:r>
        <w:rPr>
          <w:rFonts w:eastAsia="ＭＳ 明朝"/>
          <w:color w:val="FF0000"/>
        </w:rPr>
        <w:t xml:space="preserve">the </w:t>
      </w:r>
      <w:r>
        <w:rPr>
          <w:color w:val="FF0000"/>
        </w:rPr>
        <w:t xml:space="preserve">HUVECs’ </w:t>
      </w:r>
      <w:r w:rsidRPr="001650F4">
        <w:rPr>
          <w:color w:val="FF0000"/>
        </w:rPr>
        <w:t>medium. N=6 in each group.</w:t>
      </w:r>
      <w:r w:rsidRPr="001650F4">
        <w:rPr>
          <w:i/>
          <w:color w:val="FF0000"/>
        </w:rPr>
        <w:t xml:space="preserve"> </w:t>
      </w:r>
      <w:r w:rsidRPr="001650F4">
        <w:rPr>
          <w:color w:val="FF0000"/>
          <w:vertAlign w:val="superscript"/>
        </w:rPr>
        <w:t>**</w:t>
      </w:r>
      <w:r w:rsidRPr="001650F4">
        <w:rPr>
          <w:i/>
          <w:color w:val="FF0000"/>
        </w:rPr>
        <w:t>p</w:t>
      </w:r>
      <w:r w:rsidRPr="001650F4">
        <w:rPr>
          <w:color w:val="FF0000"/>
        </w:rPr>
        <w:t xml:space="preserve">&lt;0.01 vs. control, </w:t>
      </w:r>
      <w:r w:rsidRPr="001650F4">
        <w:rPr>
          <w:color w:val="FF0000"/>
          <w:vertAlign w:val="superscript"/>
        </w:rPr>
        <w:t>†</w:t>
      </w:r>
      <w:r w:rsidRPr="001650F4">
        <w:rPr>
          <w:i/>
          <w:color w:val="FF0000"/>
        </w:rPr>
        <w:t>p</w:t>
      </w:r>
      <w:r w:rsidRPr="001650F4">
        <w:rPr>
          <w:color w:val="FF0000"/>
        </w:rPr>
        <w:t>&lt;0.05 vs. histones.</w:t>
      </w:r>
      <w:r w:rsidRPr="001650F4">
        <w:rPr>
          <w:b/>
          <w:color w:val="FF0000"/>
        </w:rPr>
        <w:t xml:space="preserve"> (h, </w:t>
      </w:r>
      <w:proofErr w:type="spellStart"/>
      <w:r w:rsidRPr="001650F4">
        <w:rPr>
          <w:b/>
          <w:color w:val="FF0000"/>
        </w:rPr>
        <w:t>i</w:t>
      </w:r>
      <w:proofErr w:type="spellEnd"/>
      <w:r w:rsidRPr="001650F4">
        <w:rPr>
          <w:b/>
          <w:color w:val="FF0000"/>
        </w:rPr>
        <w:t xml:space="preserve">) </w:t>
      </w:r>
      <w:r w:rsidRPr="001650F4">
        <w:rPr>
          <w:color w:val="FF0000"/>
        </w:rPr>
        <w:t xml:space="preserve">Representative immunoblots and </w:t>
      </w:r>
      <w:r w:rsidRPr="001650F4">
        <w:rPr>
          <w:color w:val="FF0000"/>
        </w:rPr>
        <w:t>densitometry</w:t>
      </w:r>
      <w:r w:rsidRPr="001650F4">
        <w:rPr>
          <w:color w:val="FF0000"/>
        </w:rPr>
        <w:t xml:space="preserve"> analysis of phosphorylated Akt in HUVECs 4 </w:t>
      </w:r>
      <w:r w:rsidRPr="001650F4">
        <w:rPr>
          <w:color w:val="FF0000"/>
        </w:rPr>
        <w:t>h</w:t>
      </w:r>
      <w:r w:rsidRPr="001650F4">
        <w:rPr>
          <w:color w:val="FF0000"/>
        </w:rPr>
        <w:t xml:space="preserve"> after </w:t>
      </w:r>
      <w:r>
        <w:rPr>
          <w:color w:val="FF0000"/>
        </w:rPr>
        <w:t xml:space="preserve">exposure to </w:t>
      </w:r>
      <w:r w:rsidRPr="001650F4">
        <w:rPr>
          <w:color w:val="FF0000"/>
        </w:rPr>
        <w:t>histone</w:t>
      </w:r>
      <w:r>
        <w:rPr>
          <w:color w:val="FF0000"/>
        </w:rPr>
        <w:t xml:space="preserve">s, </w:t>
      </w:r>
      <w:r w:rsidRPr="001650F4">
        <w:rPr>
          <w:color w:val="FF0000"/>
        </w:rPr>
        <w:t xml:space="preserve">with or without ADSCs and exosomes. N=4 in each group. </w:t>
      </w:r>
      <w:r w:rsidRPr="001650F4">
        <w:rPr>
          <w:color w:val="FF0000"/>
          <w:vertAlign w:val="superscript"/>
        </w:rPr>
        <w:t>*</w:t>
      </w:r>
      <w:r w:rsidRPr="001650F4">
        <w:rPr>
          <w:i/>
          <w:color w:val="FF0000"/>
        </w:rPr>
        <w:t>p</w:t>
      </w:r>
      <w:r w:rsidRPr="001650F4">
        <w:rPr>
          <w:color w:val="FF0000"/>
        </w:rPr>
        <w:t>&lt;0.05 vs. histones.</w:t>
      </w:r>
    </w:p>
    <w:p w14:paraId="0693AF85" w14:textId="1F88740C" w:rsidR="009F31D2" w:rsidRPr="00B06AC2" w:rsidRDefault="009F31D2" w:rsidP="005605F1">
      <w:pPr>
        <w:spacing w:line="480" w:lineRule="auto"/>
        <w:rPr>
          <w:color w:val="FF0000"/>
        </w:rPr>
      </w:pPr>
    </w:p>
    <w:sectPr w:rsidR="009F31D2" w:rsidRPr="00B06AC2" w:rsidSect="006C3365">
      <w:footerReference w:type="even" r:id="rId8"/>
      <w:footerReference w:type="default" r:id="rId9"/>
      <w:pgSz w:w="11900" w:h="16840"/>
      <w:pgMar w:top="1440" w:right="1077" w:bottom="1440" w:left="1077" w:header="851" w:footer="992" w:gutter="0"/>
      <w:lnNumType w:countBy="1" w:restart="continuous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703275" w14:textId="77777777" w:rsidR="005B616F" w:rsidRDefault="005B616F">
      <w:r>
        <w:separator/>
      </w:r>
    </w:p>
  </w:endnote>
  <w:endnote w:type="continuationSeparator" w:id="0">
    <w:p w14:paraId="79F24CC6" w14:textId="77777777" w:rsidR="005B616F" w:rsidRDefault="005B6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3AF94" w14:textId="77777777" w:rsidR="00A02A1A" w:rsidRDefault="00A02A1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end"/>
    </w:r>
  </w:p>
  <w:p w14:paraId="0693AF95" w14:textId="77777777" w:rsidR="00A02A1A" w:rsidRDefault="00A02A1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3AF96" w14:textId="2A6BF7BE" w:rsidR="00A02A1A" w:rsidRDefault="00A02A1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>
      <w:rPr>
        <w:rFonts w:eastAsia="Times New Roman"/>
        <w:noProof/>
        <w:color w:val="000000"/>
      </w:rPr>
      <w:t>1</w:t>
    </w:r>
    <w:r>
      <w:rPr>
        <w:color w:val="000000"/>
      </w:rPr>
      <w:fldChar w:fldCharType="end"/>
    </w:r>
  </w:p>
  <w:p w14:paraId="0693AF97" w14:textId="77777777" w:rsidR="00A02A1A" w:rsidRDefault="00A02A1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CAA192" w14:textId="77777777" w:rsidR="005B616F" w:rsidRDefault="005B616F">
      <w:r>
        <w:separator/>
      </w:r>
    </w:p>
  </w:footnote>
  <w:footnote w:type="continuationSeparator" w:id="0">
    <w:p w14:paraId="3701B40F" w14:textId="77777777" w:rsidR="005B616F" w:rsidRDefault="005B61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bordersDoNotSurroundHeader/>
  <w:bordersDoNotSurroundFooter/>
  <w:proofState w:spelling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Anesthes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9F31D2"/>
    <w:rsid w:val="00011422"/>
    <w:rsid w:val="00011E8D"/>
    <w:rsid w:val="00013BA3"/>
    <w:rsid w:val="00033AB6"/>
    <w:rsid w:val="00043443"/>
    <w:rsid w:val="00050FE2"/>
    <w:rsid w:val="000515FB"/>
    <w:rsid w:val="000558A4"/>
    <w:rsid w:val="000C2311"/>
    <w:rsid w:val="000D491D"/>
    <w:rsid w:val="000D7D35"/>
    <w:rsid w:val="000E2298"/>
    <w:rsid w:val="000F1FAB"/>
    <w:rsid w:val="001037C4"/>
    <w:rsid w:val="001131A8"/>
    <w:rsid w:val="00115BE1"/>
    <w:rsid w:val="00115D87"/>
    <w:rsid w:val="00116599"/>
    <w:rsid w:val="001206E5"/>
    <w:rsid w:val="00132608"/>
    <w:rsid w:val="00152F4F"/>
    <w:rsid w:val="00157452"/>
    <w:rsid w:val="00162616"/>
    <w:rsid w:val="00175A31"/>
    <w:rsid w:val="00180784"/>
    <w:rsid w:val="00186BA2"/>
    <w:rsid w:val="001A7050"/>
    <w:rsid w:val="001C0DD1"/>
    <w:rsid w:val="001C3972"/>
    <w:rsid w:val="001C68A8"/>
    <w:rsid w:val="001D6E38"/>
    <w:rsid w:val="002247D6"/>
    <w:rsid w:val="002336FE"/>
    <w:rsid w:val="002346E1"/>
    <w:rsid w:val="00247298"/>
    <w:rsid w:val="00251828"/>
    <w:rsid w:val="00256F92"/>
    <w:rsid w:val="002660AF"/>
    <w:rsid w:val="00277220"/>
    <w:rsid w:val="00277A3D"/>
    <w:rsid w:val="00284615"/>
    <w:rsid w:val="00286642"/>
    <w:rsid w:val="00297766"/>
    <w:rsid w:val="002A1233"/>
    <w:rsid w:val="002B0F17"/>
    <w:rsid w:val="002C026C"/>
    <w:rsid w:val="002E197E"/>
    <w:rsid w:val="002E216B"/>
    <w:rsid w:val="003177E6"/>
    <w:rsid w:val="00321514"/>
    <w:rsid w:val="00323614"/>
    <w:rsid w:val="00333E02"/>
    <w:rsid w:val="003369C0"/>
    <w:rsid w:val="003434F0"/>
    <w:rsid w:val="0034434B"/>
    <w:rsid w:val="00355255"/>
    <w:rsid w:val="003626EB"/>
    <w:rsid w:val="003701C0"/>
    <w:rsid w:val="00373B0F"/>
    <w:rsid w:val="003A039E"/>
    <w:rsid w:val="003B3A3C"/>
    <w:rsid w:val="003B65BF"/>
    <w:rsid w:val="003C3294"/>
    <w:rsid w:val="003D18CF"/>
    <w:rsid w:val="003D5D9B"/>
    <w:rsid w:val="003E5D5A"/>
    <w:rsid w:val="003F5D0E"/>
    <w:rsid w:val="004157F0"/>
    <w:rsid w:val="00452BE5"/>
    <w:rsid w:val="00455705"/>
    <w:rsid w:val="00456D6B"/>
    <w:rsid w:val="00471488"/>
    <w:rsid w:val="00472721"/>
    <w:rsid w:val="00485717"/>
    <w:rsid w:val="004925FE"/>
    <w:rsid w:val="004B624E"/>
    <w:rsid w:val="004C6842"/>
    <w:rsid w:val="004D0AEE"/>
    <w:rsid w:val="004D372E"/>
    <w:rsid w:val="004E3C7C"/>
    <w:rsid w:val="004E4B39"/>
    <w:rsid w:val="00503DEF"/>
    <w:rsid w:val="0050400B"/>
    <w:rsid w:val="00530215"/>
    <w:rsid w:val="005360D5"/>
    <w:rsid w:val="00551E0E"/>
    <w:rsid w:val="005531D3"/>
    <w:rsid w:val="005601E6"/>
    <w:rsid w:val="005605F1"/>
    <w:rsid w:val="005800D8"/>
    <w:rsid w:val="00595132"/>
    <w:rsid w:val="005A42A5"/>
    <w:rsid w:val="005B19FD"/>
    <w:rsid w:val="005B616F"/>
    <w:rsid w:val="005C23F0"/>
    <w:rsid w:val="005D47F6"/>
    <w:rsid w:val="005E53B9"/>
    <w:rsid w:val="005F1915"/>
    <w:rsid w:val="006270F8"/>
    <w:rsid w:val="006412CF"/>
    <w:rsid w:val="00642161"/>
    <w:rsid w:val="00661336"/>
    <w:rsid w:val="00664CE1"/>
    <w:rsid w:val="00665C79"/>
    <w:rsid w:val="006841C4"/>
    <w:rsid w:val="006A1020"/>
    <w:rsid w:val="006A51C7"/>
    <w:rsid w:val="006C3365"/>
    <w:rsid w:val="00742A43"/>
    <w:rsid w:val="00751A26"/>
    <w:rsid w:val="0075609B"/>
    <w:rsid w:val="00766449"/>
    <w:rsid w:val="0076670C"/>
    <w:rsid w:val="00771455"/>
    <w:rsid w:val="0077782F"/>
    <w:rsid w:val="00777ADE"/>
    <w:rsid w:val="00782E61"/>
    <w:rsid w:val="00790264"/>
    <w:rsid w:val="007A012C"/>
    <w:rsid w:val="007C2145"/>
    <w:rsid w:val="007C4BA2"/>
    <w:rsid w:val="007C52B0"/>
    <w:rsid w:val="007C5571"/>
    <w:rsid w:val="007E5A35"/>
    <w:rsid w:val="007F160D"/>
    <w:rsid w:val="007F1F21"/>
    <w:rsid w:val="007F4A82"/>
    <w:rsid w:val="00801628"/>
    <w:rsid w:val="00802DA1"/>
    <w:rsid w:val="00802F1C"/>
    <w:rsid w:val="00803AD9"/>
    <w:rsid w:val="00806881"/>
    <w:rsid w:val="00816981"/>
    <w:rsid w:val="0082477D"/>
    <w:rsid w:val="00836E05"/>
    <w:rsid w:val="00846CA0"/>
    <w:rsid w:val="00864CAE"/>
    <w:rsid w:val="00864F06"/>
    <w:rsid w:val="008672E1"/>
    <w:rsid w:val="00876F9B"/>
    <w:rsid w:val="008852A4"/>
    <w:rsid w:val="00892705"/>
    <w:rsid w:val="00894BD5"/>
    <w:rsid w:val="008A403E"/>
    <w:rsid w:val="008B2404"/>
    <w:rsid w:val="008C16FB"/>
    <w:rsid w:val="008C3FA3"/>
    <w:rsid w:val="008C67C7"/>
    <w:rsid w:val="008D01B4"/>
    <w:rsid w:val="008D3BD6"/>
    <w:rsid w:val="008E71F4"/>
    <w:rsid w:val="008F09CF"/>
    <w:rsid w:val="008F214B"/>
    <w:rsid w:val="009040D0"/>
    <w:rsid w:val="00926E30"/>
    <w:rsid w:val="009462F4"/>
    <w:rsid w:val="009669DE"/>
    <w:rsid w:val="00966DA2"/>
    <w:rsid w:val="009726F5"/>
    <w:rsid w:val="009842A4"/>
    <w:rsid w:val="009854FA"/>
    <w:rsid w:val="0098592C"/>
    <w:rsid w:val="009901BB"/>
    <w:rsid w:val="009A2D32"/>
    <w:rsid w:val="009A60E1"/>
    <w:rsid w:val="009B1D67"/>
    <w:rsid w:val="009F31D2"/>
    <w:rsid w:val="00A01DC6"/>
    <w:rsid w:val="00A02A1A"/>
    <w:rsid w:val="00A034FB"/>
    <w:rsid w:val="00A14EBA"/>
    <w:rsid w:val="00A17592"/>
    <w:rsid w:val="00A30F17"/>
    <w:rsid w:val="00A32C55"/>
    <w:rsid w:val="00A4068B"/>
    <w:rsid w:val="00A45FC5"/>
    <w:rsid w:val="00A52A90"/>
    <w:rsid w:val="00A52D16"/>
    <w:rsid w:val="00A5715B"/>
    <w:rsid w:val="00A57636"/>
    <w:rsid w:val="00A60174"/>
    <w:rsid w:val="00A74379"/>
    <w:rsid w:val="00A761A7"/>
    <w:rsid w:val="00A77675"/>
    <w:rsid w:val="00A81792"/>
    <w:rsid w:val="00AA7571"/>
    <w:rsid w:val="00AB6070"/>
    <w:rsid w:val="00AB6639"/>
    <w:rsid w:val="00AB665D"/>
    <w:rsid w:val="00AD2B64"/>
    <w:rsid w:val="00AD743F"/>
    <w:rsid w:val="00B027BE"/>
    <w:rsid w:val="00B06AC2"/>
    <w:rsid w:val="00B07C8F"/>
    <w:rsid w:val="00B241A6"/>
    <w:rsid w:val="00B438F5"/>
    <w:rsid w:val="00B46769"/>
    <w:rsid w:val="00B62173"/>
    <w:rsid w:val="00B63AFA"/>
    <w:rsid w:val="00B645A2"/>
    <w:rsid w:val="00B66116"/>
    <w:rsid w:val="00B735E5"/>
    <w:rsid w:val="00B80965"/>
    <w:rsid w:val="00B84A68"/>
    <w:rsid w:val="00B8709D"/>
    <w:rsid w:val="00B93A8C"/>
    <w:rsid w:val="00BB104F"/>
    <w:rsid w:val="00BB38C7"/>
    <w:rsid w:val="00BB60CC"/>
    <w:rsid w:val="00BC2652"/>
    <w:rsid w:val="00BD3164"/>
    <w:rsid w:val="00BD3492"/>
    <w:rsid w:val="00BD4304"/>
    <w:rsid w:val="00BD53DB"/>
    <w:rsid w:val="00BE6DEC"/>
    <w:rsid w:val="00BF736B"/>
    <w:rsid w:val="00C01D33"/>
    <w:rsid w:val="00C023A4"/>
    <w:rsid w:val="00C07ADC"/>
    <w:rsid w:val="00C24640"/>
    <w:rsid w:val="00C25F64"/>
    <w:rsid w:val="00C26487"/>
    <w:rsid w:val="00C4004A"/>
    <w:rsid w:val="00C60468"/>
    <w:rsid w:val="00C63C34"/>
    <w:rsid w:val="00C64707"/>
    <w:rsid w:val="00C85D16"/>
    <w:rsid w:val="00C91DF9"/>
    <w:rsid w:val="00C91EAF"/>
    <w:rsid w:val="00C94F83"/>
    <w:rsid w:val="00CB51E0"/>
    <w:rsid w:val="00CB76FE"/>
    <w:rsid w:val="00CD5FCE"/>
    <w:rsid w:val="00CD7304"/>
    <w:rsid w:val="00CE0935"/>
    <w:rsid w:val="00CE4FF2"/>
    <w:rsid w:val="00D032A4"/>
    <w:rsid w:val="00D12707"/>
    <w:rsid w:val="00D13FF1"/>
    <w:rsid w:val="00D20012"/>
    <w:rsid w:val="00D246ED"/>
    <w:rsid w:val="00D246EE"/>
    <w:rsid w:val="00D3045C"/>
    <w:rsid w:val="00D34862"/>
    <w:rsid w:val="00D428AE"/>
    <w:rsid w:val="00D4363D"/>
    <w:rsid w:val="00D502DE"/>
    <w:rsid w:val="00D50957"/>
    <w:rsid w:val="00D61EA3"/>
    <w:rsid w:val="00D62229"/>
    <w:rsid w:val="00D63EDA"/>
    <w:rsid w:val="00D7419C"/>
    <w:rsid w:val="00D817A0"/>
    <w:rsid w:val="00D837B4"/>
    <w:rsid w:val="00D939C2"/>
    <w:rsid w:val="00D948DF"/>
    <w:rsid w:val="00DA12B8"/>
    <w:rsid w:val="00DA6770"/>
    <w:rsid w:val="00DB7B3C"/>
    <w:rsid w:val="00DC6FE5"/>
    <w:rsid w:val="00DD785B"/>
    <w:rsid w:val="00DE0332"/>
    <w:rsid w:val="00DE17C7"/>
    <w:rsid w:val="00DF0726"/>
    <w:rsid w:val="00E10DEB"/>
    <w:rsid w:val="00E14DE4"/>
    <w:rsid w:val="00E226BC"/>
    <w:rsid w:val="00E24465"/>
    <w:rsid w:val="00E34FD8"/>
    <w:rsid w:val="00E3569D"/>
    <w:rsid w:val="00E55A53"/>
    <w:rsid w:val="00E62CE5"/>
    <w:rsid w:val="00E66FCC"/>
    <w:rsid w:val="00E74F24"/>
    <w:rsid w:val="00E811C4"/>
    <w:rsid w:val="00E84EFE"/>
    <w:rsid w:val="00E85CF5"/>
    <w:rsid w:val="00E95655"/>
    <w:rsid w:val="00EB2082"/>
    <w:rsid w:val="00EB2833"/>
    <w:rsid w:val="00EB367D"/>
    <w:rsid w:val="00EB7EFF"/>
    <w:rsid w:val="00EC1924"/>
    <w:rsid w:val="00EC4B4A"/>
    <w:rsid w:val="00ED7E5D"/>
    <w:rsid w:val="00EF093C"/>
    <w:rsid w:val="00EF6732"/>
    <w:rsid w:val="00F0052A"/>
    <w:rsid w:val="00F030BB"/>
    <w:rsid w:val="00F113A0"/>
    <w:rsid w:val="00F23DF0"/>
    <w:rsid w:val="00F24413"/>
    <w:rsid w:val="00F350D8"/>
    <w:rsid w:val="00F72291"/>
    <w:rsid w:val="00F725F0"/>
    <w:rsid w:val="00F73002"/>
    <w:rsid w:val="00F76A93"/>
    <w:rsid w:val="00FB1598"/>
    <w:rsid w:val="00FB4435"/>
    <w:rsid w:val="00FC1CEB"/>
    <w:rsid w:val="00FC25C2"/>
    <w:rsid w:val="00FD2FA6"/>
    <w:rsid w:val="00FD5F69"/>
    <w:rsid w:val="00FD641E"/>
    <w:rsid w:val="00FE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693AEAC"/>
  <w15:docId w15:val="{312C78F1-4ECC-4AA1-A136-5A00F1B9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outlineLvl w:val="0"/>
    </w:pPr>
    <w:rPr>
      <w:rFonts w:ascii="游ゴシック Light" w:eastAsia="游ゴシック Light" w:hAnsi="游ゴシック Light" w:cs="游ゴシック Light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EndNoteBibliographyTitle">
    <w:name w:val="EndNote Bibliography Title"/>
    <w:basedOn w:val="a"/>
    <w:link w:val="EndNoteBibliographyTitle0"/>
    <w:rsid w:val="005B19FD"/>
    <w:pPr>
      <w:jc w:val="center"/>
    </w:pPr>
  </w:style>
  <w:style w:type="character" w:customStyle="1" w:styleId="EndNoteBibliographyTitle0">
    <w:name w:val="EndNote Bibliography Title (文字)"/>
    <w:basedOn w:val="a0"/>
    <w:link w:val="EndNoteBibliographyTitle"/>
    <w:rsid w:val="005B19FD"/>
  </w:style>
  <w:style w:type="paragraph" w:customStyle="1" w:styleId="EndNoteBibliography">
    <w:name w:val="EndNote Bibliography"/>
    <w:basedOn w:val="a"/>
    <w:link w:val="EndNoteBibliography0"/>
    <w:rsid w:val="005B19FD"/>
  </w:style>
  <w:style w:type="character" w:customStyle="1" w:styleId="EndNoteBibliography0">
    <w:name w:val="EndNote Bibliography (文字)"/>
    <w:basedOn w:val="a0"/>
    <w:link w:val="EndNoteBibliography"/>
    <w:rsid w:val="005B19FD"/>
  </w:style>
  <w:style w:type="paragraph" w:styleId="a5">
    <w:name w:val="header"/>
    <w:basedOn w:val="a"/>
    <w:link w:val="a6"/>
    <w:uiPriority w:val="99"/>
    <w:unhideWhenUsed/>
    <w:rsid w:val="00D817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817A0"/>
  </w:style>
  <w:style w:type="paragraph" w:styleId="a7">
    <w:name w:val="footer"/>
    <w:basedOn w:val="a"/>
    <w:link w:val="a8"/>
    <w:uiPriority w:val="99"/>
    <w:unhideWhenUsed/>
    <w:rsid w:val="00D817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817A0"/>
  </w:style>
  <w:style w:type="character" w:styleId="a9">
    <w:name w:val="line number"/>
    <w:basedOn w:val="a0"/>
    <w:uiPriority w:val="99"/>
    <w:semiHidden/>
    <w:unhideWhenUsed/>
    <w:rsid w:val="006C3365"/>
  </w:style>
  <w:style w:type="table" w:customStyle="1" w:styleId="TableNormal0">
    <w:name w:val="Table Normal_0"/>
    <w:rsid w:val="000558A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558A4"/>
    <w:rPr>
      <w:rFonts w:ascii="Tahoma" w:hAnsi="Tahoma" w:cs="Tahoma"/>
      <w:sz w:val="16"/>
      <w:szCs w:val="16"/>
    </w:rPr>
  </w:style>
  <w:style w:type="character" w:customStyle="1" w:styleId="ab">
    <w:name w:val="吹き出し (文字)"/>
    <w:basedOn w:val="a0"/>
    <w:link w:val="aa"/>
    <w:uiPriority w:val="99"/>
    <w:semiHidden/>
    <w:rsid w:val="000558A4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0558A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558A4"/>
    <w:rPr>
      <w:sz w:val="20"/>
      <w:szCs w:val="20"/>
    </w:rPr>
  </w:style>
  <w:style w:type="character" w:customStyle="1" w:styleId="ae">
    <w:name w:val="コメント文字列 (文字)"/>
    <w:basedOn w:val="a0"/>
    <w:link w:val="ad"/>
    <w:uiPriority w:val="99"/>
    <w:semiHidden/>
    <w:rsid w:val="000558A4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558A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0558A4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055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845F0-9698-0E4F-B46C-C7A7D7383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水田 幸恵</cp:lastModifiedBy>
  <cp:revision>4</cp:revision>
  <dcterms:created xsi:type="dcterms:W3CDTF">2020-10-13T06:37:00Z</dcterms:created>
  <dcterms:modified xsi:type="dcterms:W3CDTF">2020-10-17T02:08:00Z</dcterms:modified>
</cp:coreProperties>
</file>