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9168DA">
      <w:pPr>
        <w:rPr>
          <w:rFonts w:hint="eastAsia" w:eastAsiaTheme="minorEastAsia"/>
          <w:lang w:eastAsia="zh-CN"/>
        </w:rPr>
      </w:pPr>
    </w:p>
    <w:p w14:paraId="363A2175">
      <w:pPr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Supporting Information for</w:t>
      </w:r>
    </w:p>
    <w:p w14:paraId="18FA0545">
      <w:pPr>
        <w:jc w:val="center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KDM6B Inhibition Enhances Chemotherapeutic Response in Small Cell Lung Cancer via Epigenetic Regulation of Apoptosis and Ferroptosis</w:t>
      </w:r>
    </w:p>
    <w:p w14:paraId="3B465A73">
      <w:pPr>
        <w:rPr>
          <w:b/>
          <w:bCs/>
          <w:sz w:val="24"/>
        </w:rPr>
      </w:pPr>
    </w:p>
    <w:p w14:paraId="0D8CB859">
      <w:pPr>
        <w:jc w:val="left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Supplementary</w:t>
      </w:r>
      <w:r>
        <w:rPr>
          <w:rFonts w:hint="eastAsia"/>
          <w:b/>
          <w:bCs/>
          <w:sz w:val="28"/>
          <w:szCs w:val="28"/>
          <w:lang w:val="en-US" w:eastAsia="zh-CN"/>
        </w:rPr>
        <w:t xml:space="preserve"> Figure captions</w:t>
      </w:r>
      <w:bookmarkStart w:id="1" w:name="_GoBack"/>
      <w:bookmarkEnd w:id="1"/>
    </w:p>
    <w:p w14:paraId="213F0C1F">
      <w:pPr>
        <w:rPr>
          <w:rFonts w:hint="eastAsia" w:ascii="Calibri" w:hAnsi="Calibri" w:eastAsia="宋体" w:cs="Calibri"/>
          <w:b/>
          <w:bCs/>
          <w:kern w:val="2"/>
          <w:sz w:val="21"/>
          <w:szCs w:val="21"/>
          <w:lang w:val="en-US" w:eastAsia="zh-CN" w:bidi="ar"/>
        </w:rPr>
      </w:pPr>
    </w:p>
    <w:p w14:paraId="54CA0E10">
      <w:pPr>
        <w:rPr>
          <w:rFonts w:hint="eastAsia" w:eastAsiaTheme="minorEastAsia"/>
          <w:lang w:eastAsia="zh-CN"/>
        </w:rPr>
      </w:pPr>
      <w:r>
        <w:rPr>
          <w:rFonts w:hint="eastAsia" w:ascii="Calibri" w:hAnsi="Calibri" w:eastAsia="宋体" w:cs="Calibri"/>
          <w:b/>
          <w:bCs/>
          <w:kern w:val="2"/>
          <w:sz w:val="21"/>
          <w:szCs w:val="21"/>
          <w:lang w:val="en-US" w:eastAsia="zh-CN" w:bidi="ar"/>
        </w:rPr>
        <w:t>Fig. S1 Confirmation of drug-resistant cells and expression of KDM6B in pan-cancer.</w:t>
      </w:r>
      <w:r>
        <w:rPr>
          <w:rFonts w:hint="eastAsia"/>
          <w:lang w:val="en-US" w:eastAsia="zh-CN"/>
        </w:rPr>
        <w:t xml:space="preserve"> </w:t>
      </w:r>
      <w:r>
        <w:rPr>
          <w:rFonts w:hint="eastAsia"/>
          <w:b/>
          <w:bCs/>
          <w:lang w:val="en-US" w:eastAsia="zh-CN"/>
        </w:rPr>
        <w:t xml:space="preserve">A </w:t>
      </w:r>
      <w:r>
        <w:rPr>
          <w:rFonts w:hint="eastAsia"/>
          <w:b w:val="0"/>
          <w:bCs w:val="0"/>
          <w:lang w:val="en-US" w:eastAsia="zh-CN"/>
        </w:rPr>
        <w:t>Survival curves for groups with high and low levels of KDM6B expression in melanoma</w:t>
      </w:r>
      <w:r>
        <w:t xml:space="preserve"> </w:t>
      </w:r>
      <w:r>
        <w:rPr>
          <w:rFonts w:hint="eastAsia"/>
          <w:b/>
          <w:bCs/>
          <w:lang w:val="en-US" w:eastAsia="zh-CN"/>
        </w:rPr>
        <w:t xml:space="preserve">B </w:t>
      </w:r>
      <w:r>
        <w:t>Expression differences of KDM6B between normal tissue and cancer tissue in pan-cancer, data obtained from TIMER</w:t>
      </w:r>
      <w:r>
        <w:rPr>
          <w:rFonts w:hint="eastAsia"/>
          <w:lang w:eastAsia="zh-CN"/>
        </w:rPr>
        <w:t xml:space="preserve"> </w:t>
      </w:r>
      <w:r>
        <w:rPr>
          <w:rFonts w:hint="eastAsia"/>
          <w:b/>
          <w:bCs/>
          <w:lang w:val="en-US" w:eastAsia="zh-CN"/>
        </w:rPr>
        <w:t xml:space="preserve">C </w:t>
      </w:r>
      <w:r>
        <w:rPr>
          <w:rFonts w:hint="eastAsia"/>
          <w:b w:val="0"/>
          <w:bCs w:val="0"/>
          <w:lang w:val="en-US" w:eastAsia="zh-CN"/>
        </w:rPr>
        <w:t>Immunohistochemical staining of KDM6B protein expression in lung cancer tissues and normal tissues</w:t>
      </w:r>
      <w:r>
        <w:rPr>
          <w:rFonts w:hint="eastAsia"/>
          <w:b/>
          <w:bCs/>
          <w:lang w:val="en-US" w:eastAsia="zh-CN"/>
        </w:rPr>
        <w:t xml:space="preserve"> D </w:t>
      </w:r>
      <w:r>
        <w:rPr>
          <w:rFonts w:hint="eastAsia"/>
          <w:b w:val="0"/>
          <w:bCs w:val="0"/>
          <w:lang w:val="en-US" w:eastAsia="zh-CN"/>
        </w:rPr>
        <w:t>Immunohistochemical staining of IDO1 protein expression in lung cancer tissues and normal tissues</w:t>
      </w:r>
    </w:p>
    <w:p w14:paraId="5DA54739">
      <w:pPr>
        <w:rPr>
          <w:rFonts w:hint="eastAsia" w:ascii="Calibri" w:hAnsi="Calibri" w:eastAsia="宋体" w:cs="Calibri"/>
          <w:b/>
          <w:bCs/>
          <w:kern w:val="2"/>
          <w:sz w:val="21"/>
          <w:szCs w:val="21"/>
          <w:lang w:val="en-US" w:eastAsia="zh-CN" w:bidi="ar"/>
        </w:rPr>
      </w:pPr>
    </w:p>
    <w:p w14:paraId="6846407F">
      <w:pPr>
        <w:rPr>
          <w:rFonts w:hint="eastAsia" w:eastAsiaTheme="minorEastAsia"/>
          <w:lang w:eastAsia="zh-CN"/>
        </w:rPr>
      </w:pPr>
      <w:r>
        <w:rPr>
          <w:rFonts w:hint="eastAsia" w:ascii="Calibri" w:hAnsi="Calibri" w:eastAsia="宋体" w:cs="Calibri"/>
          <w:b/>
          <w:bCs/>
          <w:kern w:val="2"/>
          <w:sz w:val="21"/>
          <w:szCs w:val="21"/>
          <w:lang w:val="en-US" w:eastAsia="zh-CN" w:bidi="ar"/>
        </w:rPr>
        <w:t xml:space="preserve">Fig. S2 </w:t>
      </w:r>
      <w:bookmarkStart w:id="0" w:name="OLE_LINK1"/>
      <w:r>
        <w:rPr>
          <w:rFonts w:hint="eastAsia" w:ascii="Calibri" w:hAnsi="Calibri" w:eastAsia="宋体" w:cs="Calibri"/>
          <w:b/>
          <w:bCs/>
          <w:kern w:val="2"/>
          <w:sz w:val="21"/>
          <w:szCs w:val="21"/>
          <w:lang w:val="en-US" w:eastAsia="zh-CN" w:bidi="ar"/>
        </w:rPr>
        <w:t>Identification of drug-resistant cells at the cellular level and synergistic effects and combined effects of GSKJ1 and VP16.</w:t>
      </w:r>
      <w:bookmarkEnd w:id="0"/>
      <w:r>
        <w:rPr>
          <w:rFonts w:hint="eastAsia"/>
          <w:b/>
          <w:bCs/>
          <w:lang w:val="en-US" w:eastAsia="zh-CN"/>
        </w:rPr>
        <w:t xml:space="preserve"> A</w:t>
      </w:r>
      <w:r>
        <w:t xml:space="preserve"> </w:t>
      </w:r>
      <w:r>
        <w:rPr>
          <w:rFonts w:hint="eastAsia"/>
        </w:rPr>
        <w:t xml:space="preserve">Changes in IC50 values for DDP vs. VP16 for H69 vs. H69-AR and </w:t>
      </w:r>
      <w:r>
        <w:rPr>
          <w:rFonts w:hint="eastAsia"/>
          <w:lang w:val="en-US" w:eastAsia="zh-CN"/>
        </w:rPr>
        <w:t>(</w:t>
      </w:r>
      <w:r>
        <w:rPr>
          <w:rFonts w:hint="eastAsia"/>
          <w:b/>
          <w:bCs/>
          <w:lang w:val="en-US" w:eastAsia="zh-CN"/>
        </w:rPr>
        <w:t>B</w:t>
      </w:r>
      <w:r>
        <w:rPr>
          <w:rFonts w:hint="eastAsia"/>
          <w:lang w:val="en-US" w:eastAsia="zh-CN"/>
        </w:rPr>
        <w:t xml:space="preserve">) </w:t>
      </w:r>
      <w:r>
        <w:rPr>
          <w:rFonts w:hint="eastAsia"/>
        </w:rPr>
        <w:t>H446 vs. H446-DDP, respectively</w:t>
      </w:r>
      <w:r>
        <w:rPr>
          <w:rFonts w:hint="eastAsia"/>
          <w:lang w:val="en-US" w:eastAsia="zh-CN"/>
        </w:rPr>
        <w:t xml:space="preserve">. </w:t>
      </w:r>
      <w:r>
        <w:rPr>
          <w:rFonts w:hint="eastAsia"/>
          <w:b/>
          <w:bCs/>
          <w:sz w:val="21"/>
          <w:szCs w:val="21"/>
          <w:lang w:val="en-US" w:eastAsia="zh-CN"/>
        </w:rPr>
        <w:t>C</w:t>
      </w:r>
      <w:r>
        <w:rPr>
          <w:rFonts w:hint="eastAsia"/>
          <w:b/>
          <w:bCs/>
          <w:lang w:val="en-US" w:eastAsia="zh-CN"/>
        </w:rPr>
        <w:t xml:space="preserve"> </w:t>
      </w:r>
      <w:r>
        <w:rPr>
          <w:sz w:val="21"/>
          <w:szCs w:val="21"/>
        </w:rPr>
        <w:t xml:space="preserve">Comparison of IC50 values of </w:t>
      </w:r>
      <w:r>
        <w:rPr>
          <w:rFonts w:hint="eastAsia"/>
          <w:sz w:val="21"/>
          <w:szCs w:val="21"/>
        </w:rPr>
        <w:t>VP16</w:t>
      </w:r>
      <w:r>
        <w:rPr>
          <w:sz w:val="21"/>
          <w:szCs w:val="21"/>
        </w:rPr>
        <w:t xml:space="preserve"> with or without </w:t>
      </w:r>
      <w:r>
        <w:rPr>
          <w:rFonts w:hint="eastAsia"/>
          <w:sz w:val="21"/>
          <w:szCs w:val="21"/>
        </w:rPr>
        <w:t>GSKJ1</w:t>
      </w:r>
      <w:r>
        <w:rPr>
          <w:sz w:val="21"/>
          <w:szCs w:val="21"/>
        </w:rPr>
        <w:t xml:space="preserve"> in H69-AR (GSKJ1, 50 μM) and </w:t>
      </w:r>
      <w:r>
        <w:rPr>
          <w:rFonts w:hint="eastAsia"/>
          <w:sz w:val="21"/>
          <w:szCs w:val="21"/>
          <w:lang w:val="en-US" w:eastAsia="zh-CN"/>
        </w:rPr>
        <w:t>(</w:t>
      </w:r>
      <w:r>
        <w:rPr>
          <w:rFonts w:hint="eastAsia"/>
          <w:b/>
          <w:bCs/>
          <w:sz w:val="21"/>
          <w:szCs w:val="21"/>
          <w:lang w:val="en-US" w:eastAsia="zh-CN"/>
        </w:rPr>
        <w:t>E</w:t>
      </w:r>
      <w:r>
        <w:rPr>
          <w:rFonts w:hint="eastAsia"/>
          <w:sz w:val="21"/>
          <w:szCs w:val="21"/>
          <w:lang w:val="en-US" w:eastAsia="zh-CN"/>
        </w:rPr>
        <w:t xml:space="preserve">) </w:t>
      </w:r>
      <w:r>
        <w:rPr>
          <w:sz w:val="21"/>
          <w:szCs w:val="21"/>
        </w:rPr>
        <w:t>H446-DDP (GSKJ1, 50 μM) and (</w:t>
      </w:r>
      <w:r>
        <w:rPr>
          <w:rFonts w:hint="eastAsia"/>
          <w:b/>
          <w:bCs/>
          <w:sz w:val="21"/>
          <w:szCs w:val="21"/>
          <w:lang w:val="en-US" w:eastAsia="zh-CN"/>
        </w:rPr>
        <w:t>D</w:t>
      </w:r>
      <w:r>
        <w:rPr>
          <w:b/>
          <w:bCs/>
          <w:sz w:val="21"/>
          <w:szCs w:val="21"/>
        </w:rPr>
        <w:t xml:space="preserve">, </w:t>
      </w:r>
      <w:r>
        <w:rPr>
          <w:rFonts w:hint="eastAsia"/>
          <w:b/>
          <w:bCs/>
          <w:sz w:val="21"/>
          <w:szCs w:val="21"/>
          <w:lang w:val="en-US" w:eastAsia="zh-CN"/>
        </w:rPr>
        <w:t>F</w:t>
      </w:r>
      <w:r>
        <w:rPr>
          <w:sz w:val="21"/>
          <w:szCs w:val="21"/>
        </w:rPr>
        <w:t>)</w:t>
      </w:r>
      <w:r>
        <w:rPr>
          <w:rFonts w:hint="eastAsia"/>
          <w:sz w:val="21"/>
          <w:szCs w:val="21"/>
          <w:lang w:val="en-US" w:eastAsia="zh-CN"/>
        </w:rPr>
        <w:t xml:space="preserve"> </w:t>
      </w:r>
      <w:r>
        <w:rPr>
          <w:sz w:val="21"/>
          <w:szCs w:val="21"/>
        </w:rPr>
        <w:t>corresponding statistical analysis of IC50 values.</w:t>
      </w:r>
      <w:r>
        <w:rPr>
          <w:rFonts w:hint="eastAsia"/>
          <w:sz w:val="21"/>
          <w:szCs w:val="21"/>
          <w:lang w:val="en-US" w:eastAsia="zh-CN"/>
        </w:rPr>
        <w:t xml:space="preserve"> </w:t>
      </w:r>
      <w:r>
        <w:rPr>
          <w:rFonts w:hint="eastAsia"/>
          <w:b/>
          <w:bCs/>
          <w:sz w:val="21"/>
          <w:szCs w:val="21"/>
          <w:lang w:val="en-US" w:eastAsia="zh-CN"/>
        </w:rPr>
        <w:t xml:space="preserve">G </w:t>
      </w:r>
      <w:r>
        <w:rPr>
          <w:sz w:val="21"/>
          <w:szCs w:val="21"/>
        </w:rPr>
        <w:t>Heat maps of the HSA model for DDP or VP16 and GSKJ1 in H69-AR and (</w:t>
      </w:r>
      <w:r>
        <w:rPr>
          <w:rFonts w:hint="eastAsia"/>
          <w:b/>
          <w:bCs/>
          <w:sz w:val="21"/>
          <w:szCs w:val="21"/>
          <w:lang w:val="en-US" w:eastAsia="zh-CN"/>
        </w:rPr>
        <w:t>H</w:t>
      </w:r>
      <w:r>
        <w:rPr>
          <w:sz w:val="21"/>
          <w:szCs w:val="21"/>
        </w:rPr>
        <w:t>) H446-DDP, with drug synergy scores of</w:t>
      </w:r>
      <w:r>
        <w:rPr>
          <w:rFonts w:hint="eastAsia"/>
          <w:sz w:val="21"/>
          <w:szCs w:val="21"/>
          <w:lang w:val="en-US" w:eastAsia="zh-CN"/>
        </w:rPr>
        <w:t xml:space="preserve"> </w:t>
      </w:r>
      <w:r>
        <w:rPr>
          <w:sz w:val="21"/>
          <w:szCs w:val="21"/>
        </w:rPr>
        <w:t>27.376 and 11.436 for</w:t>
      </w:r>
      <w:r>
        <w:rPr>
          <w:rFonts w:hint="eastAsia"/>
          <w:sz w:val="21"/>
          <w:szCs w:val="21"/>
          <w:lang w:val="en-US" w:eastAsia="zh-CN"/>
        </w:rPr>
        <w:t xml:space="preserve"> (E)</w:t>
      </w:r>
      <w:r>
        <w:rPr>
          <w:sz w:val="21"/>
          <w:szCs w:val="21"/>
        </w:rPr>
        <w:t xml:space="preserve"> and </w:t>
      </w:r>
      <w:r>
        <w:rPr>
          <w:rFonts w:hint="eastAsia"/>
          <w:sz w:val="21"/>
          <w:szCs w:val="21"/>
          <w:lang w:val="en-US" w:eastAsia="zh-CN"/>
        </w:rPr>
        <w:t>(F)</w:t>
      </w:r>
      <w:r>
        <w:rPr>
          <w:sz w:val="21"/>
          <w:szCs w:val="21"/>
        </w:rPr>
        <w:t>, respectively.</w:t>
      </w:r>
    </w:p>
    <w:p w14:paraId="50EA35FE">
      <w:pPr>
        <w:widowControl/>
        <w:spacing w:beforeAutospacing="1" w:afterAutospacing="1"/>
        <w:jc w:val="left"/>
        <w:rPr>
          <w:rFonts w:hint="default" w:eastAsiaTheme="minorEastAsia"/>
          <w:lang w:val="en-US" w:eastAsia="zh-CN"/>
        </w:rPr>
      </w:pPr>
      <w:r>
        <w:rPr>
          <w:rFonts w:hint="eastAsia" w:ascii="Calibri" w:hAnsi="Calibri" w:eastAsia="宋体" w:cs="Calibri"/>
          <w:b/>
          <w:bCs/>
          <w:kern w:val="2"/>
          <w:sz w:val="21"/>
          <w:szCs w:val="21"/>
          <w:lang w:val="en-US" w:eastAsia="zh-CN" w:bidi="ar"/>
        </w:rPr>
        <w:t xml:space="preserve">Fig. S3  Wound-healing assay showed that GSKJ1 had a synergistic effect on H446DDP.   A </w:t>
      </w:r>
      <w:r>
        <w:rPr>
          <w:rFonts w:eastAsiaTheme="minorEastAsia"/>
        </w:rPr>
        <w:t>Scratch wound healing experiment for H446-DDP with negative control, GSKJ1, DDP, VP16, and combination treatment. Photographs were taken under an optical microscope at 0h, 12h, and 24h, with statistical analysis of healing rates at (</w:t>
      </w:r>
      <w:r>
        <w:rPr>
          <w:rFonts w:eastAsiaTheme="minorEastAsia"/>
          <w:b/>
          <w:bCs/>
        </w:rPr>
        <w:t>B</w:t>
      </w:r>
      <w:r>
        <w:rPr>
          <w:rFonts w:eastAsiaTheme="minorEastAsia"/>
        </w:rPr>
        <w:t>)12h and 24h.</w:t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="Calibri" w:hAnsi="Calibri" w:eastAsia="宋体" w:cs="Calibri"/>
          <w:b/>
          <w:bCs/>
          <w:kern w:val="2"/>
          <w:sz w:val="21"/>
          <w:szCs w:val="21"/>
          <w:lang w:val="en-US" w:eastAsia="zh-CN" w:bidi="ar"/>
        </w:rPr>
        <w:t>C</w:t>
      </w:r>
      <w:r>
        <w:rPr>
          <w:rFonts w:hint="eastAsia" w:eastAsiaTheme="minorEastAsia"/>
          <w:lang w:val="en-US" w:eastAsia="zh-CN"/>
        </w:rPr>
        <w:t xml:space="preserve"> Tumor-forming HE sections of nude mice</w:t>
      </w:r>
      <w:r>
        <w:rPr>
          <w:rFonts w:hint="eastAsia"/>
          <w:lang w:val="en-US" w:eastAsia="zh-CN"/>
        </w:rPr>
        <w:t>.</w:t>
      </w:r>
    </w:p>
    <w:p w14:paraId="7DA625C5">
      <w:pPr>
        <w:rPr>
          <w:rFonts w:hint="eastAsia" w:eastAsiaTheme="minorEastAsia"/>
          <w:lang w:eastAsia="zh-CN"/>
        </w:rPr>
      </w:pPr>
      <w:r>
        <w:rPr>
          <w:rFonts w:hint="default" w:ascii="Calibri" w:hAnsi="Calibri" w:eastAsia="宋体" w:cs="Calibri"/>
          <w:b/>
          <w:bCs/>
          <w:kern w:val="2"/>
          <w:sz w:val="21"/>
          <w:szCs w:val="21"/>
          <w:lang w:val="en-US" w:eastAsia="zh-CN" w:bidi="ar"/>
        </w:rPr>
        <w:t>Fig. S</w:t>
      </w:r>
      <w:r>
        <w:rPr>
          <w:rFonts w:hint="eastAsia" w:ascii="Calibri" w:hAnsi="Calibri" w:eastAsia="宋体" w:cs="Calibri"/>
          <w:b/>
          <w:bCs/>
          <w:kern w:val="2"/>
          <w:sz w:val="21"/>
          <w:szCs w:val="21"/>
          <w:lang w:val="en-US" w:eastAsia="zh-CN" w:bidi="ar"/>
        </w:rPr>
        <w:t>4 RT-qPCR for genes involved in the RAP1 signaling pathway after KDM6B knockdown.  A,B</w:t>
      </w:r>
      <w:r>
        <w:rPr>
          <w:rFonts w:hint="eastAsia"/>
          <w:lang w:val="en-US" w:eastAsia="zh-CN"/>
        </w:rPr>
        <w:t xml:space="preserve">. Enrichment analysis of RNA-seq differential genes by KEGG and GSVA </w:t>
      </w:r>
      <w:r>
        <w:rPr>
          <w:rFonts w:hint="eastAsia" w:ascii="Calibri" w:hAnsi="Calibri" w:eastAsia="宋体" w:cs="Calibri"/>
          <w:b/>
          <w:bCs/>
          <w:kern w:val="2"/>
          <w:sz w:val="21"/>
          <w:szCs w:val="21"/>
          <w:lang w:val="en-US" w:eastAsia="zh-CN" w:bidi="ar"/>
        </w:rPr>
        <w:t xml:space="preserve">C </w:t>
      </w:r>
      <w:r>
        <w:rPr>
          <w:rFonts w:hint="eastAsia"/>
          <w:lang w:val="en-US" w:eastAsia="zh-CN"/>
        </w:rPr>
        <w:t xml:space="preserve">Schematic diagram of the protein-protein interaction between KDM6B and differentially expressed genes </w:t>
      </w:r>
      <w:r>
        <w:rPr>
          <w:rFonts w:hint="eastAsia" w:ascii="Calibri" w:hAnsi="Calibri" w:eastAsia="宋体" w:cs="Calibri"/>
          <w:b/>
          <w:bCs/>
          <w:kern w:val="2"/>
          <w:sz w:val="21"/>
          <w:szCs w:val="21"/>
          <w:lang w:val="en-US" w:eastAsia="zh-CN" w:bidi="ar"/>
        </w:rPr>
        <w:t xml:space="preserve">D,E </w:t>
      </w:r>
      <w:r>
        <w:rPr>
          <w:rFonts w:hint="eastAsia"/>
          <w:lang w:val="en-US" w:eastAsia="zh-CN"/>
        </w:rPr>
        <w:t>RT-qPCR quantification of enriched gene expression level after whether or not the KDM6B gene is down-regulated</w:t>
      </w:r>
      <w:r>
        <w:rPr>
          <w:rFonts w:hint="eastAsia" w:ascii="Calibri" w:hAnsi="Calibri" w:eastAsia="宋体" w:cs="Calibri"/>
          <w:b/>
          <w:bCs/>
          <w:kern w:val="2"/>
          <w:sz w:val="21"/>
          <w:szCs w:val="21"/>
          <w:lang w:val="en-US" w:eastAsia="zh-CN" w:bidi="ar"/>
        </w:rPr>
        <w:t xml:space="preserve"> </w:t>
      </w:r>
    </w:p>
    <w:p w14:paraId="21E9C7AC">
      <w:pPr>
        <w:rPr>
          <w:rFonts w:hint="eastAsia" w:eastAsiaTheme="minorEastAsia"/>
          <w:lang w:eastAsia="zh-CN"/>
        </w:rPr>
      </w:pPr>
    </w:p>
    <w:p w14:paraId="7ED28D95">
      <w:pPr>
        <w:rPr>
          <w:rFonts w:hint="default" w:eastAsiaTheme="minorEastAsia"/>
          <w:lang w:val="en-US" w:eastAsia="zh-CN"/>
        </w:rPr>
      </w:pPr>
    </w:p>
    <w:p w14:paraId="5BC46280">
      <w:pPr>
        <w:rPr>
          <w:rFonts w:hint="eastAsia" w:eastAsiaTheme="minorEastAsia"/>
          <w:lang w:eastAsia="zh-CN"/>
        </w:rPr>
      </w:pPr>
    </w:p>
    <w:p w14:paraId="5AD08301">
      <w:pPr>
        <w:rPr>
          <w:rFonts w:hint="eastAsia" w:eastAsiaTheme="minorEastAsia"/>
          <w:lang w:eastAsia="zh-CN"/>
        </w:rPr>
      </w:pPr>
    </w:p>
    <w:p w14:paraId="492B70E0">
      <w:pPr>
        <w:rPr>
          <w:rFonts w:hint="eastAsia" w:eastAsiaTheme="minorEastAsia"/>
          <w:lang w:eastAsia="zh-CN"/>
        </w:rPr>
      </w:pPr>
    </w:p>
    <w:p w14:paraId="789ED696">
      <w:pPr>
        <w:rPr>
          <w:rFonts w:hint="eastAsia" w:eastAsiaTheme="minorEastAsia"/>
          <w:lang w:eastAsia="zh-CN"/>
        </w:rPr>
      </w:pPr>
    </w:p>
    <w:p w14:paraId="42031DB0">
      <w:pPr>
        <w:rPr>
          <w:rFonts w:hint="eastAsia" w:eastAsiaTheme="minorEastAsia"/>
          <w:lang w:eastAsia="zh-CN"/>
        </w:rPr>
      </w:pPr>
    </w:p>
    <w:p w14:paraId="7A778A64">
      <w:pPr>
        <w:rPr>
          <w:rFonts w:hint="eastAsia" w:eastAsiaTheme="minorEastAsia"/>
          <w:lang w:eastAsia="zh-CN"/>
        </w:rPr>
      </w:pPr>
    </w:p>
    <w:p w14:paraId="27B432A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45100" cy="6562725"/>
            <wp:effectExtent l="0" t="0" r="0" b="3175"/>
            <wp:docPr id="3" name="图片 3" descr="sfi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fig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5100" cy="656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F27C25">
      <w:pPr>
        <w:rPr>
          <w:rFonts w:hint="eastAsia" w:eastAsiaTheme="minorEastAsia"/>
          <w:lang w:eastAsia="zh-CN"/>
        </w:rPr>
      </w:pPr>
    </w:p>
    <w:p w14:paraId="60A726E2">
      <w:pPr>
        <w:rPr>
          <w:rFonts w:hint="eastAsia" w:eastAsiaTheme="minorEastAsia"/>
          <w:lang w:eastAsia="zh-CN"/>
        </w:rPr>
      </w:pPr>
    </w:p>
    <w:p w14:paraId="68CBD4AC">
      <w:pPr>
        <w:rPr>
          <w:rFonts w:hint="eastAsia" w:eastAsiaTheme="minorEastAsia"/>
          <w:lang w:eastAsia="zh-CN"/>
        </w:rPr>
      </w:pPr>
    </w:p>
    <w:p w14:paraId="273D946F">
      <w:pPr>
        <w:rPr>
          <w:rFonts w:hint="eastAsia" w:eastAsiaTheme="minorEastAsia"/>
          <w:lang w:eastAsia="zh-CN"/>
        </w:rPr>
      </w:pPr>
    </w:p>
    <w:p w14:paraId="66BBF3DA">
      <w:pPr>
        <w:rPr>
          <w:rFonts w:hint="eastAsia" w:eastAsiaTheme="minorEastAsia"/>
          <w:lang w:eastAsia="zh-CN"/>
        </w:rPr>
      </w:pPr>
    </w:p>
    <w:p w14:paraId="4B47F036">
      <w:pPr>
        <w:rPr>
          <w:rFonts w:hint="eastAsia" w:eastAsiaTheme="minorEastAsia"/>
          <w:lang w:eastAsia="zh-CN"/>
        </w:rPr>
      </w:pPr>
    </w:p>
    <w:p w14:paraId="54C5FB34">
      <w:pPr>
        <w:rPr>
          <w:rFonts w:hint="eastAsia" w:eastAsiaTheme="minorEastAsia"/>
          <w:lang w:eastAsia="zh-CN"/>
        </w:rPr>
      </w:pPr>
    </w:p>
    <w:p w14:paraId="63757500">
      <w:pPr>
        <w:rPr>
          <w:rFonts w:hint="eastAsia" w:eastAsiaTheme="minorEastAsia"/>
          <w:lang w:eastAsia="zh-CN"/>
        </w:rPr>
      </w:pPr>
    </w:p>
    <w:p w14:paraId="45782AE0">
      <w:pPr>
        <w:rPr>
          <w:rFonts w:hint="eastAsia" w:eastAsiaTheme="minorEastAsia"/>
          <w:lang w:eastAsia="zh-CN"/>
        </w:rPr>
      </w:pPr>
    </w:p>
    <w:p w14:paraId="536EB0C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45100" cy="6968490"/>
            <wp:effectExtent l="0" t="0" r="0" b="3810"/>
            <wp:docPr id="4" name="图片 4" descr="sfi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sfig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45100" cy="696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6CDCB5">
      <w:pPr>
        <w:rPr>
          <w:rFonts w:hint="eastAsia" w:eastAsiaTheme="minorEastAsia"/>
          <w:lang w:eastAsia="zh-CN"/>
        </w:rPr>
      </w:pPr>
    </w:p>
    <w:p w14:paraId="2DDDFF78">
      <w:pPr>
        <w:rPr>
          <w:rFonts w:hint="eastAsia" w:eastAsiaTheme="minorEastAsia"/>
          <w:lang w:eastAsia="zh-CN"/>
        </w:rPr>
      </w:pPr>
    </w:p>
    <w:p w14:paraId="60C16B78">
      <w:pPr>
        <w:rPr>
          <w:rFonts w:hint="eastAsia" w:eastAsiaTheme="minorEastAsia"/>
          <w:lang w:eastAsia="zh-CN"/>
        </w:rPr>
      </w:pPr>
    </w:p>
    <w:p w14:paraId="5C5182E4">
      <w:pPr>
        <w:rPr>
          <w:rFonts w:hint="eastAsia" w:eastAsiaTheme="minorEastAsia"/>
          <w:lang w:eastAsia="zh-CN"/>
        </w:rPr>
      </w:pPr>
    </w:p>
    <w:p w14:paraId="603F22FD">
      <w:pPr>
        <w:rPr>
          <w:rFonts w:hint="eastAsia" w:eastAsiaTheme="minorEastAsia"/>
          <w:lang w:eastAsia="zh-CN"/>
        </w:rPr>
      </w:pPr>
    </w:p>
    <w:p w14:paraId="03F6AA86">
      <w:pPr>
        <w:rPr>
          <w:rFonts w:hint="eastAsia" w:eastAsiaTheme="minorEastAsia"/>
          <w:lang w:eastAsia="zh-CN"/>
        </w:rPr>
      </w:pPr>
    </w:p>
    <w:p w14:paraId="5AD106B4">
      <w:pPr>
        <w:rPr>
          <w:rFonts w:hint="eastAsia" w:eastAsiaTheme="minorEastAsia"/>
          <w:lang w:eastAsia="zh-CN"/>
        </w:rPr>
      </w:pPr>
    </w:p>
    <w:p w14:paraId="18227AC2">
      <w:pPr>
        <w:rPr>
          <w:rFonts w:hint="eastAsia" w:eastAsiaTheme="minorEastAsia"/>
          <w:lang w:eastAsia="zh-CN"/>
        </w:rPr>
      </w:pPr>
    </w:p>
    <w:p w14:paraId="3C47FF39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45100" cy="6968490"/>
            <wp:effectExtent l="0" t="0" r="0" b="3810"/>
            <wp:docPr id="5" name="图片 5" descr="sfi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fig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45100" cy="696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DB8FE2">
      <w:pPr>
        <w:rPr>
          <w:rFonts w:hint="eastAsia" w:eastAsiaTheme="minorEastAsia"/>
          <w:lang w:eastAsia="zh-CN"/>
        </w:rPr>
      </w:pPr>
    </w:p>
    <w:p w14:paraId="59386767">
      <w:pPr>
        <w:rPr>
          <w:rFonts w:hint="eastAsia" w:eastAsiaTheme="minorEastAsia"/>
          <w:lang w:eastAsia="zh-CN"/>
        </w:rPr>
      </w:pPr>
    </w:p>
    <w:p w14:paraId="4A9EAE8C">
      <w:pPr>
        <w:rPr>
          <w:rFonts w:hint="eastAsia" w:eastAsiaTheme="minorEastAsia"/>
          <w:lang w:eastAsia="zh-CN"/>
        </w:rPr>
      </w:pPr>
    </w:p>
    <w:p w14:paraId="658D36C2">
      <w:pPr>
        <w:rPr>
          <w:rFonts w:hint="eastAsia" w:eastAsiaTheme="minorEastAsia"/>
          <w:lang w:eastAsia="zh-CN"/>
        </w:rPr>
      </w:pPr>
    </w:p>
    <w:p w14:paraId="47D95CC7">
      <w:pPr>
        <w:rPr>
          <w:rFonts w:hint="eastAsia" w:eastAsiaTheme="minorEastAsia"/>
          <w:lang w:eastAsia="zh-CN"/>
        </w:rPr>
      </w:pPr>
    </w:p>
    <w:p w14:paraId="40F9ADFB">
      <w:pPr>
        <w:rPr>
          <w:rFonts w:hint="eastAsia" w:eastAsiaTheme="minorEastAsia"/>
          <w:lang w:eastAsia="zh-CN"/>
        </w:rPr>
      </w:pPr>
    </w:p>
    <w:p w14:paraId="7E101CE1">
      <w:pPr>
        <w:rPr>
          <w:rFonts w:hint="eastAsia" w:eastAsiaTheme="minorEastAsia"/>
          <w:lang w:eastAsia="zh-CN"/>
        </w:rPr>
      </w:pPr>
    </w:p>
    <w:p w14:paraId="07109F11">
      <w:pPr>
        <w:rPr>
          <w:rFonts w:hint="eastAsia" w:eastAsiaTheme="minorEastAsia"/>
          <w:lang w:eastAsia="zh-CN"/>
        </w:rPr>
      </w:pPr>
    </w:p>
    <w:p w14:paraId="39972C2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45100" cy="6968490"/>
            <wp:effectExtent l="0" t="0" r="0" b="3810"/>
            <wp:docPr id="6" name="图片 6" descr="sfi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fig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45100" cy="696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0MmQ0MmE1YWE4MTIwYjI1NTI3Y2I3Y2ZjYzU3OGMifQ=="/>
  </w:docVars>
  <w:rsids>
    <w:rsidRoot w:val="DEFE4FAF"/>
    <w:rsid w:val="03416E83"/>
    <w:rsid w:val="05CF73D2"/>
    <w:rsid w:val="073A6CFD"/>
    <w:rsid w:val="11B71419"/>
    <w:rsid w:val="123F4CA3"/>
    <w:rsid w:val="18B6016A"/>
    <w:rsid w:val="210D5C83"/>
    <w:rsid w:val="22BC6E29"/>
    <w:rsid w:val="29D55AC6"/>
    <w:rsid w:val="2CAD4FED"/>
    <w:rsid w:val="3177E9B4"/>
    <w:rsid w:val="32637C74"/>
    <w:rsid w:val="341A5F7A"/>
    <w:rsid w:val="3AEC28F6"/>
    <w:rsid w:val="3BBB6649"/>
    <w:rsid w:val="49FA1BE6"/>
    <w:rsid w:val="58043274"/>
    <w:rsid w:val="59C06A66"/>
    <w:rsid w:val="5FFE9E5E"/>
    <w:rsid w:val="692D6D25"/>
    <w:rsid w:val="6A8C490A"/>
    <w:rsid w:val="713842F5"/>
    <w:rsid w:val="76B95312"/>
    <w:rsid w:val="7D1451FA"/>
    <w:rsid w:val="B7F645CD"/>
    <w:rsid w:val="B9DF0737"/>
    <w:rsid w:val="DEFE4FAF"/>
    <w:rsid w:val="FB97D6C3"/>
    <w:rsid w:val="FCFD92A0"/>
    <w:rsid w:val="FFD503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309</Words>
  <Characters>1692</Characters>
  <Lines>1</Lines>
  <Paragraphs>1</Paragraphs>
  <TotalTime>12</TotalTime>
  <ScaleCrop>false</ScaleCrop>
  <LinksUpToDate>false</LinksUpToDate>
  <CharactersWithSpaces>1999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2024-03-22T05:48:00Z</dcterms:created>
  <dc:creator>嫩草</dc:creator>
  <cp:lastModifiedBy>嫩草</cp:lastModifiedBy>
  <dcterms:modified xsi:type="dcterms:W3CDTF">2025-06-24T07:53:51Z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3FC784A4B42CCEF349E9FA651AE8B93F_41</vt:lpwstr>
  </property>
  <property fmtid="{D5CDD505-2E9C-101B-9397-08002B2CF9AE}" pid="4" name="KSOTemplateDocerSaveRecord">
    <vt:lpwstr>eyJoZGlkIjoiMzY0MmQ0MmE1YWE4MTIwYjI1NTI3Y2I3Y2ZjYzU3OGMiLCJ1c2VySWQiOiI0Mjc3NzQ3MzMifQ==</vt:lpwstr>
  </property>
</Properties>
</file>