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E5719" w14:textId="4D5E5A7C" w:rsidR="00E94523" w:rsidRPr="00C27684" w:rsidRDefault="00E94523" w:rsidP="00E94523">
      <w:pPr>
        <w:pStyle w:val="RSCH01PaperTitle"/>
        <w:jc w:val="center"/>
        <w:rPr>
          <w:rFonts w:cstheme="minorHAnsi"/>
          <w:sz w:val="24"/>
          <w:szCs w:val="24"/>
        </w:rPr>
      </w:pPr>
      <w:r w:rsidRPr="00C27684">
        <w:rPr>
          <w:rFonts w:cstheme="minorHAnsi"/>
          <w:b w:val="0"/>
          <w:bCs/>
          <w:sz w:val="24"/>
          <w:szCs w:val="24"/>
          <w:lang w:val="en-US"/>
        </w:rPr>
        <w:t>Electronic Supplementary Information</w:t>
      </w:r>
    </w:p>
    <w:p w14:paraId="63239275" w14:textId="09A380F3" w:rsidR="00C27684" w:rsidRPr="005829C0" w:rsidRDefault="00C27684" w:rsidP="00C27684">
      <w:pPr>
        <w:pStyle w:val="RSCH01PaperTitle"/>
        <w:jc w:val="center"/>
        <w:rPr>
          <w:rFonts w:cstheme="minorHAnsi"/>
          <w:sz w:val="28"/>
          <w:szCs w:val="28"/>
        </w:rPr>
      </w:pPr>
      <w:r w:rsidRPr="005829C0">
        <w:rPr>
          <w:rFonts w:cstheme="minorHAnsi"/>
          <w:sz w:val="28"/>
          <w:szCs w:val="28"/>
        </w:rPr>
        <w:t>Tailoring Band Gap and Light Absorption in M-</w:t>
      </w:r>
      <w:proofErr w:type="spellStart"/>
      <w:r w:rsidRPr="005829C0">
        <w:rPr>
          <w:rFonts w:cstheme="minorHAnsi"/>
          <w:sz w:val="28"/>
          <w:szCs w:val="28"/>
        </w:rPr>
        <w:t>TiNT</w:t>
      </w:r>
      <w:proofErr w:type="spellEnd"/>
      <w:r w:rsidRPr="005829C0">
        <w:rPr>
          <w:rFonts w:cstheme="minorHAnsi"/>
          <w:sz w:val="28"/>
          <w:szCs w:val="28"/>
        </w:rPr>
        <w:t xml:space="preserve"> (M= Cu</w:t>
      </w:r>
      <w:r w:rsidRPr="005829C0">
        <w:rPr>
          <w:rFonts w:cstheme="minorHAnsi"/>
          <w:sz w:val="28"/>
          <w:szCs w:val="28"/>
          <w:vertAlign w:val="superscript"/>
        </w:rPr>
        <w:t>2+</w:t>
      </w:r>
      <w:r w:rsidRPr="005829C0">
        <w:rPr>
          <w:rFonts w:cstheme="minorHAnsi"/>
          <w:sz w:val="28"/>
          <w:szCs w:val="28"/>
        </w:rPr>
        <w:t>, Ni</w:t>
      </w:r>
      <w:r w:rsidRPr="005829C0">
        <w:rPr>
          <w:rFonts w:cstheme="minorHAnsi"/>
          <w:sz w:val="28"/>
          <w:szCs w:val="28"/>
          <w:vertAlign w:val="superscript"/>
        </w:rPr>
        <w:t>2+</w:t>
      </w:r>
      <w:r w:rsidRPr="005829C0">
        <w:rPr>
          <w:rFonts w:cstheme="minorHAnsi"/>
          <w:sz w:val="28"/>
          <w:szCs w:val="28"/>
        </w:rPr>
        <w:t>, Co</w:t>
      </w:r>
      <w:r w:rsidRPr="005829C0">
        <w:rPr>
          <w:rFonts w:cstheme="minorHAnsi"/>
          <w:sz w:val="28"/>
          <w:szCs w:val="28"/>
          <w:vertAlign w:val="superscript"/>
        </w:rPr>
        <w:t>2+</w:t>
      </w:r>
      <w:r w:rsidRPr="005829C0">
        <w:rPr>
          <w:rFonts w:cstheme="minorHAnsi"/>
          <w:sz w:val="28"/>
          <w:szCs w:val="28"/>
        </w:rPr>
        <w:t xml:space="preserve"> and Fe</w:t>
      </w:r>
      <w:r w:rsidRPr="005829C0">
        <w:rPr>
          <w:rFonts w:cstheme="minorHAnsi"/>
          <w:sz w:val="28"/>
          <w:szCs w:val="28"/>
          <w:vertAlign w:val="superscript"/>
        </w:rPr>
        <w:t>3+</w:t>
      </w:r>
      <w:r w:rsidRPr="005829C0">
        <w:rPr>
          <w:rFonts w:cstheme="minorHAnsi"/>
          <w:sz w:val="28"/>
          <w:szCs w:val="28"/>
        </w:rPr>
        <w:t xml:space="preserve">) for </w:t>
      </w:r>
      <w:r w:rsidR="007336B4" w:rsidRPr="005829C0">
        <w:rPr>
          <w:rFonts w:cstheme="minorHAnsi"/>
          <w:sz w:val="28"/>
          <w:szCs w:val="28"/>
        </w:rPr>
        <w:t>Water Remediation</w:t>
      </w:r>
    </w:p>
    <w:p w14:paraId="66B6769B" w14:textId="3FCCF9AE" w:rsidR="00C27684" w:rsidRDefault="00C27684" w:rsidP="00C27684">
      <w:pPr>
        <w:pStyle w:val="RSCB01ARTAbstract"/>
        <w:jc w:val="center"/>
        <w:rPr>
          <w:rFonts w:cstheme="minorHAnsi"/>
          <w:b/>
          <w:noProof w:val="0"/>
          <w:sz w:val="20"/>
          <w:szCs w:val="32"/>
          <w:lang w:val="es-MX" w:eastAsia="en-US"/>
        </w:rPr>
      </w:pPr>
      <w:r w:rsidRPr="004A4A00">
        <w:rPr>
          <w:rFonts w:cstheme="minorHAnsi"/>
          <w:b/>
          <w:noProof w:val="0"/>
          <w:sz w:val="20"/>
          <w:szCs w:val="32"/>
          <w:lang w:val="es-MX" w:eastAsia="en-US"/>
        </w:rPr>
        <w:t>Melissa Méndez-Galván*, César L</w:t>
      </w:r>
      <w:r w:rsidR="00506CC8">
        <w:rPr>
          <w:rFonts w:cstheme="minorHAnsi"/>
          <w:b/>
          <w:noProof w:val="0"/>
          <w:sz w:val="20"/>
          <w:szCs w:val="32"/>
          <w:lang w:val="es-MX" w:eastAsia="en-US"/>
        </w:rPr>
        <w:t>.</w:t>
      </w:r>
      <w:r w:rsidRPr="004A4A00">
        <w:rPr>
          <w:rFonts w:cstheme="minorHAnsi"/>
          <w:b/>
          <w:noProof w:val="0"/>
          <w:sz w:val="20"/>
          <w:szCs w:val="32"/>
          <w:lang w:val="es-MX" w:eastAsia="en-US"/>
        </w:rPr>
        <w:t xml:space="preserve"> Ordoñez-Romero, Hugo A. Lara-García* and Gabriela Díaz*</w:t>
      </w:r>
    </w:p>
    <w:p w14:paraId="0D2C0B68" w14:textId="77777777" w:rsidR="00FA6877" w:rsidRPr="00FA6877" w:rsidRDefault="00FA6877" w:rsidP="00FA6877">
      <w:pPr>
        <w:pStyle w:val="RSCF02FootnotestoTitleAuthors"/>
        <w:jc w:val="left"/>
        <w:rPr>
          <w:lang w:val="es-MX"/>
        </w:rPr>
      </w:pPr>
      <w:r w:rsidRPr="00D81279">
        <w:rPr>
          <w:rFonts w:ascii="Calibri" w:hAnsi="Calibri" w:cs="Calibri"/>
          <w:i/>
          <w:sz w:val="16"/>
          <w:szCs w:val="16"/>
          <w:vertAlign w:val="superscript"/>
          <w:lang w:val="es-MX"/>
        </w:rPr>
        <w:t>a</w:t>
      </w:r>
      <w:r w:rsidRPr="00D81279">
        <w:rPr>
          <w:rFonts w:ascii="Calibri" w:hAnsi="Calibri" w:cs="Calibri"/>
          <w:i/>
          <w:sz w:val="16"/>
          <w:szCs w:val="16"/>
          <w:lang w:val="es-MX"/>
        </w:rPr>
        <w:t xml:space="preserve"> Instituto de Física, Depto. Física Química, Universidad Nacional Autónoma de México, Cd. Universitaria, A.P. 20-364, 01000 CDMX, México. </w:t>
      </w:r>
      <w:r w:rsidRPr="00FA6877">
        <w:rPr>
          <w:rFonts w:ascii="Calibri" w:hAnsi="Calibri" w:cs="Calibri"/>
          <w:i/>
          <w:sz w:val="16"/>
          <w:szCs w:val="16"/>
          <w:lang w:val="es-MX"/>
        </w:rPr>
        <w:t xml:space="preserve">Email: </w:t>
      </w:r>
      <w:hyperlink r:id="rId5" w:history="1">
        <w:r w:rsidRPr="00FA6877">
          <w:rPr>
            <w:rStyle w:val="Hipervnculo"/>
            <w:rFonts w:ascii="Calibri" w:hAnsi="Calibri" w:cs="Calibri"/>
            <w:i/>
            <w:color w:val="auto"/>
            <w:sz w:val="16"/>
            <w:szCs w:val="16"/>
            <w:u w:val="none"/>
            <w:lang w:val="es-MX"/>
          </w:rPr>
          <w:t>hugo.lara@fisica.unam.mx</w:t>
        </w:r>
      </w:hyperlink>
    </w:p>
    <w:p w14:paraId="6DBE3E97" w14:textId="77777777" w:rsidR="00FA6877" w:rsidRPr="00FA6877" w:rsidRDefault="00FA6877" w:rsidP="00FA6877">
      <w:pPr>
        <w:pStyle w:val="RSCF02FootnotestoTitleAuthors"/>
        <w:jc w:val="left"/>
        <w:rPr>
          <w:rFonts w:ascii="Calibri" w:hAnsi="Calibri" w:cs="Calibri"/>
          <w:i/>
          <w:sz w:val="16"/>
          <w:szCs w:val="16"/>
          <w:lang w:val="es-MX"/>
        </w:rPr>
      </w:pPr>
      <w:r w:rsidRPr="00FA6877">
        <w:t xml:space="preserve">Corresponding Author: </w:t>
      </w:r>
      <w:r w:rsidRPr="00FA6877">
        <w:rPr>
          <w:rFonts w:ascii="Calibri" w:hAnsi="Calibri" w:cs="Calibri"/>
          <w:szCs w:val="16"/>
          <w:lang w:val="es-MX"/>
        </w:rPr>
        <w:t>Hugo A. Lara-García</w:t>
      </w:r>
    </w:p>
    <w:p w14:paraId="25ECEC25" w14:textId="77777777" w:rsidR="00FA6877" w:rsidRDefault="00FA6877" w:rsidP="00C27684">
      <w:pPr>
        <w:pStyle w:val="RSCB01ARTAbstract"/>
        <w:jc w:val="center"/>
        <w:rPr>
          <w:rFonts w:cstheme="minorHAnsi"/>
          <w:b/>
          <w:noProof w:val="0"/>
          <w:sz w:val="20"/>
          <w:szCs w:val="32"/>
          <w:lang w:val="es-MX" w:eastAsia="en-US"/>
        </w:rPr>
      </w:pPr>
    </w:p>
    <w:p w14:paraId="7EFA42AC" w14:textId="77777777" w:rsidR="00C27684" w:rsidRPr="004A4A00" w:rsidRDefault="00C27684" w:rsidP="00C27684">
      <w:pPr>
        <w:pStyle w:val="RSCB01ARTAbstract"/>
        <w:jc w:val="center"/>
        <w:rPr>
          <w:rFonts w:cstheme="minorHAnsi"/>
          <w:b/>
          <w:noProof w:val="0"/>
          <w:sz w:val="20"/>
          <w:szCs w:val="32"/>
          <w:lang w:val="es-MX" w:eastAsia="en-US"/>
        </w:rPr>
      </w:pPr>
    </w:p>
    <w:p w14:paraId="310F879A" w14:textId="18E3EE46" w:rsidR="006C0F85" w:rsidRPr="00EB7349" w:rsidRDefault="007C2661" w:rsidP="00E94523">
      <w:pPr>
        <w:jc w:val="center"/>
        <w:rPr>
          <w:rFonts w:cstheme="minorHAnsi"/>
          <w:sz w:val="18"/>
          <w:szCs w:val="18"/>
        </w:rPr>
      </w:pPr>
      <w:r w:rsidRPr="00EB7349">
        <w:rPr>
          <w:rFonts w:cstheme="minorHAnsi"/>
          <w:noProof/>
          <w:sz w:val="18"/>
          <w:szCs w:val="18"/>
        </w:rPr>
        <w:drawing>
          <wp:inline distT="0" distB="0" distL="0" distR="0" wp14:anchorId="552F035F" wp14:editId="6E76F63C">
            <wp:extent cx="3092400" cy="2700000"/>
            <wp:effectExtent l="0" t="0" r="0" b="5715"/>
            <wp:docPr id="1207455070" name="Imagen 2"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55070" name="Imagen 2" descr="Gráfico&#10;&#10;El contenido generado por IA puede ser incorrect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015" t="10095" r="11897" b="3179"/>
                    <a:stretch/>
                  </pic:blipFill>
                  <pic:spPr bwMode="auto">
                    <a:xfrm>
                      <a:off x="0" y="0"/>
                      <a:ext cx="3092400"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7DE3AF7C" w14:textId="019B07CC" w:rsidR="006C0F85" w:rsidRPr="00EB7349" w:rsidRDefault="00C216FD" w:rsidP="000F3FF6">
      <w:pPr>
        <w:autoSpaceDE w:val="0"/>
        <w:autoSpaceDN w:val="0"/>
        <w:adjustRightInd w:val="0"/>
        <w:spacing w:after="0" w:line="240" w:lineRule="auto"/>
        <w:jc w:val="center"/>
        <w:rPr>
          <w:rFonts w:cstheme="minorHAnsi"/>
          <w:sz w:val="18"/>
          <w:szCs w:val="18"/>
          <w:lang w:val="en-US"/>
        </w:rPr>
      </w:pPr>
      <w:r w:rsidRPr="00EB7349">
        <w:rPr>
          <w:rFonts w:cstheme="minorHAnsi"/>
          <w:sz w:val="18"/>
          <w:szCs w:val="18"/>
          <w:lang w:val="en-US"/>
        </w:rPr>
        <w:t>Figure S1. Experimental XRD patterns and smoothed-free background XRD patterns by Rietveld refinement</w:t>
      </w:r>
      <w:r w:rsidR="008E533D" w:rsidRPr="00EB7349">
        <w:rPr>
          <w:rFonts w:cstheme="minorHAnsi"/>
          <w:sz w:val="18"/>
          <w:szCs w:val="18"/>
          <w:lang w:val="en-US"/>
        </w:rPr>
        <w:t xml:space="preserve"> of as-prepared </w:t>
      </w:r>
      <w:proofErr w:type="spellStart"/>
      <w:r w:rsidR="008E533D" w:rsidRPr="00EB7349">
        <w:rPr>
          <w:rFonts w:cstheme="minorHAnsi"/>
          <w:sz w:val="18"/>
          <w:szCs w:val="18"/>
          <w:lang w:val="en-US"/>
        </w:rPr>
        <w:t>TiNT</w:t>
      </w:r>
      <w:proofErr w:type="spellEnd"/>
      <w:r w:rsidR="00592250" w:rsidRPr="00EB7349">
        <w:rPr>
          <w:rFonts w:cstheme="minorHAnsi"/>
          <w:sz w:val="18"/>
          <w:szCs w:val="18"/>
          <w:lang w:val="en-US"/>
        </w:rPr>
        <w:t>.</w:t>
      </w:r>
      <w:r w:rsidR="002E770B">
        <w:rPr>
          <w:rFonts w:cstheme="minorHAnsi"/>
          <w:sz w:val="18"/>
          <w:szCs w:val="18"/>
          <w:lang w:val="en-US"/>
        </w:rPr>
        <w:t xml:space="preserve"> </w:t>
      </w:r>
    </w:p>
    <w:p w14:paraId="27E122C6" w14:textId="2980E50C" w:rsidR="006C0F85" w:rsidRPr="00EB7349" w:rsidRDefault="006C0F85" w:rsidP="00E94523">
      <w:pPr>
        <w:jc w:val="center"/>
        <w:rPr>
          <w:rFonts w:cstheme="minorHAnsi"/>
          <w:sz w:val="18"/>
          <w:szCs w:val="18"/>
        </w:rPr>
      </w:pPr>
      <w:r w:rsidRPr="00EB7349">
        <w:rPr>
          <w:rFonts w:cstheme="minorHAnsi"/>
          <w:noProof/>
          <w:sz w:val="18"/>
          <w:szCs w:val="18"/>
        </w:rPr>
        <w:lastRenderedPageBreak/>
        <w:drawing>
          <wp:inline distT="0" distB="0" distL="0" distR="0" wp14:anchorId="50DFC5BE" wp14:editId="41622D77">
            <wp:extent cx="2887200" cy="3780000"/>
            <wp:effectExtent l="0" t="0" r="8890" b="0"/>
            <wp:docPr id="21210690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69001" name="Imagen 2121069001"/>
                    <pic:cNvPicPr/>
                  </pic:nvPicPr>
                  <pic:blipFill rotWithShape="1">
                    <a:blip r:embed="rId7" cstate="print">
                      <a:extLst>
                        <a:ext uri="{28A0092B-C50C-407E-A947-70E740481C1C}">
                          <a14:useLocalDpi xmlns:a14="http://schemas.microsoft.com/office/drawing/2010/main" val="0"/>
                        </a:ext>
                      </a:extLst>
                    </a:blip>
                    <a:srcRect l="1270" r="1817"/>
                    <a:stretch/>
                  </pic:blipFill>
                  <pic:spPr bwMode="auto">
                    <a:xfrm>
                      <a:off x="0" y="0"/>
                      <a:ext cx="2887200" cy="3780000"/>
                    </a:xfrm>
                    <a:prstGeom prst="rect">
                      <a:avLst/>
                    </a:prstGeom>
                    <a:ln>
                      <a:noFill/>
                    </a:ln>
                    <a:extLst>
                      <a:ext uri="{53640926-AAD7-44D8-BBD7-CCE9431645EC}">
                        <a14:shadowObscured xmlns:a14="http://schemas.microsoft.com/office/drawing/2010/main"/>
                      </a:ext>
                    </a:extLst>
                  </pic:spPr>
                </pic:pic>
              </a:graphicData>
            </a:graphic>
          </wp:inline>
        </w:drawing>
      </w:r>
    </w:p>
    <w:p w14:paraId="2B0EDAF3" w14:textId="3EBFD999" w:rsidR="00C216FD" w:rsidRPr="00EB7349" w:rsidRDefault="00C216FD" w:rsidP="00C216FD">
      <w:pPr>
        <w:jc w:val="center"/>
        <w:rPr>
          <w:rFonts w:cstheme="minorHAnsi"/>
          <w:sz w:val="18"/>
          <w:szCs w:val="18"/>
          <w:lang w:val="en-US"/>
        </w:rPr>
      </w:pPr>
      <w:r w:rsidRPr="00EB7349">
        <w:rPr>
          <w:rFonts w:cstheme="minorHAnsi"/>
          <w:sz w:val="18"/>
          <w:szCs w:val="18"/>
          <w:lang w:val="en-US"/>
        </w:rPr>
        <w:t xml:space="preserve">Figure S2. </w:t>
      </w:r>
      <w:r w:rsidR="008E533D" w:rsidRPr="00EB7349">
        <w:rPr>
          <w:rFonts w:cstheme="minorHAnsi"/>
          <w:sz w:val="18"/>
          <w:szCs w:val="18"/>
          <w:lang w:val="en-US"/>
        </w:rPr>
        <w:t>Representative HRTEM image of: (a) Ni-</w:t>
      </w:r>
      <w:proofErr w:type="spellStart"/>
      <w:r w:rsidR="008E533D" w:rsidRPr="00EB7349">
        <w:rPr>
          <w:rFonts w:cstheme="minorHAnsi"/>
          <w:sz w:val="18"/>
          <w:szCs w:val="18"/>
          <w:lang w:val="en-US"/>
        </w:rPr>
        <w:t>TiNT</w:t>
      </w:r>
      <w:proofErr w:type="spellEnd"/>
      <w:r w:rsidR="008E533D" w:rsidRPr="00EB7349">
        <w:rPr>
          <w:rFonts w:cstheme="minorHAnsi"/>
          <w:sz w:val="18"/>
          <w:szCs w:val="18"/>
          <w:lang w:val="en-US"/>
        </w:rPr>
        <w:t xml:space="preserve">, showing nucleated nanoparticles on the walls of the </w:t>
      </w:r>
      <w:proofErr w:type="spellStart"/>
      <w:r w:rsidR="008E533D" w:rsidRPr="00EB7349">
        <w:rPr>
          <w:rFonts w:cstheme="minorHAnsi"/>
          <w:sz w:val="18"/>
          <w:szCs w:val="18"/>
          <w:lang w:val="en-US"/>
        </w:rPr>
        <w:t>TiNT</w:t>
      </w:r>
      <w:proofErr w:type="spellEnd"/>
      <w:r w:rsidR="008E533D" w:rsidRPr="00EB7349">
        <w:rPr>
          <w:rFonts w:cstheme="minorHAnsi"/>
          <w:sz w:val="18"/>
          <w:szCs w:val="18"/>
          <w:lang w:val="en-US"/>
        </w:rPr>
        <w:t>, and (b) Co-</w:t>
      </w:r>
      <w:proofErr w:type="spellStart"/>
      <w:r w:rsidR="008E533D" w:rsidRPr="00EB7349">
        <w:rPr>
          <w:rFonts w:cstheme="minorHAnsi"/>
          <w:sz w:val="18"/>
          <w:szCs w:val="18"/>
          <w:lang w:val="en-US"/>
        </w:rPr>
        <w:t>TiNT</w:t>
      </w:r>
      <w:proofErr w:type="spellEnd"/>
      <w:r w:rsidR="008E533D" w:rsidRPr="00EB7349">
        <w:rPr>
          <w:rFonts w:cstheme="minorHAnsi"/>
          <w:sz w:val="18"/>
          <w:szCs w:val="18"/>
          <w:lang w:val="en-US"/>
        </w:rPr>
        <w:t xml:space="preserve"> presenting a moiré pattern</w:t>
      </w:r>
      <w:r w:rsidR="0038276D">
        <w:rPr>
          <w:rFonts w:cstheme="minorHAnsi"/>
          <w:sz w:val="18"/>
          <w:szCs w:val="18"/>
          <w:lang w:val="en-US"/>
        </w:rPr>
        <w:t>.</w:t>
      </w:r>
    </w:p>
    <w:p w14:paraId="03F15913" w14:textId="77777777" w:rsidR="008E533D" w:rsidRPr="00EB7349" w:rsidRDefault="00D04B85" w:rsidP="00E94523">
      <w:pPr>
        <w:jc w:val="center"/>
        <w:rPr>
          <w:rFonts w:cstheme="minorHAnsi"/>
          <w:sz w:val="18"/>
          <w:szCs w:val="18"/>
          <w:lang w:val="en-US"/>
        </w:rPr>
      </w:pPr>
      <w:r w:rsidRPr="00EB7349">
        <w:rPr>
          <w:rFonts w:cstheme="minorHAnsi"/>
          <w:sz w:val="18"/>
          <w:szCs w:val="18"/>
          <w:lang w:val="en-US"/>
        </w:rPr>
        <w:br/>
      </w:r>
      <w:r w:rsidR="00CF17BA" w:rsidRPr="00EB7349">
        <w:rPr>
          <w:rFonts w:cstheme="minorHAnsi"/>
          <w:sz w:val="18"/>
          <w:szCs w:val="18"/>
          <w:lang w:val="en-US"/>
        </w:rPr>
        <w:br/>
      </w:r>
      <w:r w:rsidR="00BA09E8" w:rsidRPr="00EB7349">
        <w:rPr>
          <w:rFonts w:cstheme="minorHAnsi"/>
          <w:sz w:val="18"/>
          <w:szCs w:val="18"/>
          <w:lang w:val="en-US"/>
        </w:rPr>
        <w:br/>
      </w:r>
    </w:p>
    <w:p w14:paraId="6C839A7F" w14:textId="77777777" w:rsidR="008E533D" w:rsidRPr="00EB7349" w:rsidRDefault="008E533D" w:rsidP="00E94523">
      <w:pPr>
        <w:jc w:val="center"/>
        <w:rPr>
          <w:rFonts w:cstheme="minorHAnsi"/>
          <w:sz w:val="18"/>
          <w:szCs w:val="18"/>
          <w:lang w:val="en-US"/>
        </w:rPr>
      </w:pPr>
    </w:p>
    <w:p w14:paraId="62A7F00A" w14:textId="5CF2DFE1" w:rsidR="00372AEC" w:rsidRPr="00EB7349" w:rsidRDefault="00D04B85" w:rsidP="00E94523">
      <w:pPr>
        <w:jc w:val="center"/>
        <w:rPr>
          <w:rFonts w:cstheme="minorHAnsi"/>
          <w:sz w:val="18"/>
          <w:szCs w:val="18"/>
          <w:lang w:val="en-US"/>
        </w:rPr>
      </w:pPr>
      <w:r w:rsidRPr="00EB7349">
        <w:rPr>
          <w:rFonts w:cstheme="minorHAnsi"/>
          <w:sz w:val="18"/>
          <w:szCs w:val="18"/>
          <w:lang w:val="en-US"/>
        </w:rPr>
        <w:br/>
      </w:r>
      <w:r w:rsidR="00A32710" w:rsidRPr="00EB7349">
        <w:rPr>
          <w:rFonts w:cstheme="minorHAnsi"/>
          <w:sz w:val="18"/>
          <w:szCs w:val="18"/>
          <w:lang w:val="en-US"/>
        </w:rPr>
        <w:br/>
      </w:r>
      <w:r w:rsidR="00573694" w:rsidRPr="00EB7349">
        <w:rPr>
          <w:rFonts w:cstheme="minorHAnsi"/>
          <w:noProof/>
          <w:sz w:val="18"/>
          <w:szCs w:val="18"/>
        </w:rPr>
        <w:lastRenderedPageBreak/>
        <w:drawing>
          <wp:inline distT="0" distB="0" distL="0" distR="0" wp14:anchorId="52419CFF" wp14:editId="19A7AFFB">
            <wp:extent cx="3182400" cy="2700000"/>
            <wp:effectExtent l="0" t="0" r="0" b="5715"/>
            <wp:docPr id="1604348415" name="Imagen 1604348415"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48415" name="Imagen 1604348415" descr="Gráfico, Histograma&#10;&#10;El contenido generado por IA puede ser incorrecto."/>
                    <pic:cNvPicPr/>
                  </pic:nvPicPr>
                  <pic:blipFill rotWithShape="1">
                    <a:blip r:embed="rId8" cstate="print">
                      <a:extLst>
                        <a:ext uri="{28A0092B-C50C-407E-A947-70E740481C1C}">
                          <a14:useLocalDpi xmlns:a14="http://schemas.microsoft.com/office/drawing/2010/main" val="0"/>
                        </a:ext>
                      </a:extLst>
                    </a:blip>
                    <a:srcRect l="10911" t="10282" r="11896" b="4187"/>
                    <a:stretch/>
                  </pic:blipFill>
                  <pic:spPr bwMode="auto">
                    <a:xfrm>
                      <a:off x="0" y="0"/>
                      <a:ext cx="3182400" cy="2700000"/>
                    </a:xfrm>
                    <a:prstGeom prst="rect">
                      <a:avLst/>
                    </a:prstGeom>
                    <a:ln>
                      <a:noFill/>
                    </a:ln>
                    <a:extLst>
                      <a:ext uri="{53640926-AAD7-44D8-BBD7-CCE9431645EC}">
                        <a14:shadowObscured xmlns:a14="http://schemas.microsoft.com/office/drawing/2010/main"/>
                      </a:ext>
                    </a:extLst>
                  </pic:spPr>
                </pic:pic>
              </a:graphicData>
            </a:graphic>
          </wp:inline>
        </w:drawing>
      </w:r>
      <w:r w:rsidR="00DF3D52" w:rsidRPr="00EB7349">
        <w:rPr>
          <w:rFonts w:cstheme="minorHAnsi"/>
          <w:sz w:val="18"/>
          <w:szCs w:val="18"/>
        </w:rPr>
        <w:br/>
      </w:r>
    </w:p>
    <w:p w14:paraId="1590765C" w14:textId="4EB9D600" w:rsidR="00372AEC" w:rsidRPr="00EB7349" w:rsidRDefault="00A27507" w:rsidP="00E94523">
      <w:pPr>
        <w:jc w:val="center"/>
        <w:rPr>
          <w:rFonts w:cstheme="minorHAnsi"/>
          <w:sz w:val="18"/>
          <w:szCs w:val="18"/>
        </w:rPr>
      </w:pPr>
      <w:r w:rsidRPr="00EB7349">
        <w:rPr>
          <w:rFonts w:cstheme="minorHAnsi"/>
          <w:noProof/>
          <w:sz w:val="18"/>
          <w:szCs w:val="18"/>
        </w:rPr>
        <w:drawing>
          <wp:inline distT="0" distB="0" distL="0" distR="0" wp14:anchorId="4A53A421" wp14:editId="2F3DEEC5">
            <wp:extent cx="3103200" cy="2700000"/>
            <wp:effectExtent l="0" t="0" r="2540" b="5715"/>
            <wp:docPr id="1331938551" name="Imagen 1331938551"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38551" name="Imagen 1331938551" descr="Gráfico, Histograma&#10;&#10;El contenido generado por IA puede ser incorrecto."/>
                    <pic:cNvPicPr/>
                  </pic:nvPicPr>
                  <pic:blipFill rotWithShape="1">
                    <a:blip r:embed="rId9" cstate="print">
                      <a:extLst>
                        <a:ext uri="{28A0092B-C50C-407E-A947-70E740481C1C}">
                          <a14:useLocalDpi xmlns:a14="http://schemas.microsoft.com/office/drawing/2010/main" val="0"/>
                        </a:ext>
                      </a:extLst>
                    </a:blip>
                    <a:srcRect l="11602" t="10281" r="11896" b="2744"/>
                    <a:stretch/>
                  </pic:blipFill>
                  <pic:spPr bwMode="auto">
                    <a:xfrm>
                      <a:off x="0" y="0"/>
                      <a:ext cx="3103200" cy="2700000"/>
                    </a:xfrm>
                    <a:prstGeom prst="rect">
                      <a:avLst/>
                    </a:prstGeom>
                    <a:ln>
                      <a:noFill/>
                    </a:ln>
                    <a:extLst>
                      <a:ext uri="{53640926-AAD7-44D8-BBD7-CCE9431645EC}">
                        <a14:shadowObscured xmlns:a14="http://schemas.microsoft.com/office/drawing/2010/main"/>
                      </a:ext>
                    </a:extLst>
                  </pic:spPr>
                </pic:pic>
              </a:graphicData>
            </a:graphic>
          </wp:inline>
        </w:drawing>
      </w:r>
    </w:p>
    <w:p w14:paraId="1154B189" w14:textId="64289C81" w:rsidR="00C216FD" w:rsidRPr="00EB7349" w:rsidRDefault="00C216FD" w:rsidP="00C216FD">
      <w:pPr>
        <w:jc w:val="center"/>
        <w:rPr>
          <w:rFonts w:cstheme="minorHAnsi"/>
          <w:sz w:val="18"/>
          <w:szCs w:val="18"/>
          <w:lang w:val="en-US"/>
        </w:rPr>
      </w:pPr>
      <w:r w:rsidRPr="00EB7349">
        <w:rPr>
          <w:rFonts w:cstheme="minorHAnsi"/>
          <w:sz w:val="18"/>
          <w:szCs w:val="18"/>
          <w:lang w:val="en-US"/>
        </w:rPr>
        <w:t xml:space="preserve">Figure S3. </w:t>
      </w:r>
      <w:r w:rsidR="008E533D" w:rsidRPr="00EB7349">
        <w:rPr>
          <w:rFonts w:cstheme="minorHAnsi"/>
          <w:sz w:val="18"/>
          <w:szCs w:val="18"/>
          <w:lang w:val="en-US"/>
        </w:rPr>
        <w:t xml:space="preserve">a) </w:t>
      </w:r>
      <w:r w:rsidRPr="00EB7349">
        <w:rPr>
          <w:rFonts w:cstheme="minorHAnsi"/>
          <w:sz w:val="18"/>
          <w:szCs w:val="18"/>
          <w:lang w:val="en-US"/>
        </w:rPr>
        <w:t xml:space="preserve">XPS spectra and fitting curves of </w:t>
      </w:r>
      <w:r w:rsidR="0025609C" w:rsidRPr="00EB7349">
        <w:rPr>
          <w:rFonts w:cstheme="minorHAnsi"/>
          <w:sz w:val="18"/>
          <w:szCs w:val="18"/>
          <w:lang w:val="en-US"/>
        </w:rPr>
        <w:t>2p Ti</w:t>
      </w:r>
      <w:r w:rsidR="008E533D" w:rsidRPr="00EB7349">
        <w:rPr>
          <w:rFonts w:cstheme="minorHAnsi"/>
          <w:sz w:val="18"/>
          <w:szCs w:val="18"/>
          <w:lang w:val="en-US"/>
        </w:rPr>
        <w:t xml:space="preserve">, </w:t>
      </w:r>
      <w:r w:rsidRPr="00EB7349">
        <w:rPr>
          <w:rFonts w:cstheme="minorHAnsi"/>
          <w:sz w:val="18"/>
          <w:szCs w:val="18"/>
          <w:lang w:val="en-US"/>
        </w:rPr>
        <w:t>and</w:t>
      </w:r>
      <w:r w:rsidR="008E533D" w:rsidRPr="00EB7349">
        <w:rPr>
          <w:rFonts w:cstheme="minorHAnsi"/>
          <w:sz w:val="18"/>
          <w:szCs w:val="18"/>
          <w:lang w:val="en-US"/>
        </w:rPr>
        <w:t xml:space="preserve"> b)</w:t>
      </w:r>
      <w:r w:rsidRPr="00EB7349">
        <w:rPr>
          <w:rFonts w:cstheme="minorHAnsi"/>
          <w:sz w:val="18"/>
          <w:szCs w:val="18"/>
          <w:lang w:val="en-US"/>
        </w:rPr>
        <w:t xml:space="preserve"> </w:t>
      </w:r>
      <w:r w:rsidR="0025609C" w:rsidRPr="00EB7349">
        <w:rPr>
          <w:rFonts w:cstheme="minorHAnsi"/>
          <w:sz w:val="18"/>
          <w:szCs w:val="18"/>
          <w:lang w:val="en-US"/>
        </w:rPr>
        <w:t>1s O</w:t>
      </w:r>
      <w:r w:rsidRPr="00EB7349">
        <w:rPr>
          <w:rFonts w:cstheme="minorHAnsi"/>
          <w:sz w:val="18"/>
          <w:szCs w:val="18"/>
          <w:vertAlign w:val="subscript"/>
          <w:lang w:val="en-US"/>
        </w:rPr>
        <w:t xml:space="preserve"> </w:t>
      </w:r>
      <w:r w:rsidRPr="00EB7349">
        <w:rPr>
          <w:rFonts w:cstheme="minorHAnsi"/>
          <w:sz w:val="18"/>
          <w:szCs w:val="18"/>
          <w:lang w:val="en-US"/>
        </w:rPr>
        <w:t>region</w:t>
      </w:r>
      <w:r w:rsidR="0025609C" w:rsidRPr="00EB7349">
        <w:rPr>
          <w:rFonts w:cstheme="minorHAnsi"/>
          <w:sz w:val="18"/>
          <w:szCs w:val="18"/>
          <w:lang w:val="en-US"/>
        </w:rPr>
        <w:t>s</w:t>
      </w:r>
      <w:r w:rsidRPr="00EB7349">
        <w:rPr>
          <w:rFonts w:cstheme="minorHAnsi"/>
          <w:sz w:val="18"/>
          <w:szCs w:val="18"/>
          <w:lang w:val="en-US"/>
        </w:rPr>
        <w:t xml:space="preserve"> </w:t>
      </w:r>
      <w:r w:rsidR="0025609C" w:rsidRPr="00EB7349">
        <w:rPr>
          <w:rFonts w:cstheme="minorHAnsi"/>
          <w:sz w:val="18"/>
          <w:szCs w:val="18"/>
          <w:lang w:val="en-US"/>
        </w:rPr>
        <w:t xml:space="preserve">of the </w:t>
      </w:r>
      <w:proofErr w:type="spellStart"/>
      <w:r w:rsidRPr="00EB7349">
        <w:rPr>
          <w:rFonts w:cstheme="minorHAnsi"/>
          <w:sz w:val="18"/>
          <w:szCs w:val="18"/>
          <w:lang w:val="en-US"/>
        </w:rPr>
        <w:t>TiNT</w:t>
      </w:r>
      <w:proofErr w:type="spellEnd"/>
      <w:r w:rsidRPr="00EB7349">
        <w:rPr>
          <w:rFonts w:cstheme="minorHAnsi"/>
          <w:sz w:val="18"/>
          <w:szCs w:val="18"/>
          <w:lang w:val="en-US"/>
        </w:rPr>
        <w:t>.</w:t>
      </w:r>
    </w:p>
    <w:p w14:paraId="402CFD30" w14:textId="77777777" w:rsidR="00372AEC" w:rsidRPr="00EB7349" w:rsidRDefault="00372AEC" w:rsidP="00E94523">
      <w:pPr>
        <w:jc w:val="center"/>
        <w:rPr>
          <w:rFonts w:cstheme="minorHAnsi"/>
          <w:sz w:val="18"/>
          <w:szCs w:val="18"/>
          <w:lang w:val="en-US"/>
        </w:rPr>
      </w:pPr>
    </w:p>
    <w:p w14:paraId="456B3881" w14:textId="77777777" w:rsidR="00372AEC" w:rsidRPr="00EB7349" w:rsidRDefault="00372AEC" w:rsidP="00E94523">
      <w:pPr>
        <w:jc w:val="center"/>
        <w:rPr>
          <w:rFonts w:cstheme="minorHAnsi"/>
          <w:sz w:val="18"/>
          <w:szCs w:val="18"/>
          <w:lang w:val="en-US"/>
        </w:rPr>
      </w:pPr>
    </w:p>
    <w:p w14:paraId="4FB34D9F" w14:textId="3AC6CF6D" w:rsidR="006522FF" w:rsidRPr="00EB7349" w:rsidRDefault="008C5805" w:rsidP="008C5805">
      <w:pPr>
        <w:jc w:val="center"/>
        <w:rPr>
          <w:rFonts w:cstheme="minorHAnsi"/>
          <w:sz w:val="18"/>
          <w:szCs w:val="18"/>
        </w:rPr>
      </w:pPr>
      <w:r w:rsidRPr="00EB7349">
        <w:rPr>
          <w:rFonts w:cstheme="minorHAnsi"/>
          <w:noProof/>
          <w:sz w:val="18"/>
          <w:szCs w:val="18"/>
        </w:rPr>
        <w:lastRenderedPageBreak/>
        <w:drawing>
          <wp:inline distT="0" distB="0" distL="0" distR="0" wp14:anchorId="32CCA6DF" wp14:editId="78882907">
            <wp:extent cx="2494800" cy="2160000"/>
            <wp:effectExtent l="0" t="0" r="1270" b="0"/>
            <wp:docPr id="1310155553" name="Imagen 1310155553"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55553" name="Imagen 1310155553" descr="Gráfico, Histograma&#10;&#10;El contenido generado por IA puede ser incorrecto."/>
                    <pic:cNvPicPr/>
                  </pic:nvPicPr>
                  <pic:blipFill rotWithShape="1">
                    <a:blip r:embed="rId10" cstate="print">
                      <a:extLst>
                        <a:ext uri="{28A0092B-C50C-407E-A947-70E740481C1C}">
                          <a14:useLocalDpi xmlns:a14="http://schemas.microsoft.com/office/drawing/2010/main" val="0"/>
                        </a:ext>
                      </a:extLst>
                    </a:blip>
                    <a:srcRect l="12846" t="10824" r="11062" b="3105"/>
                    <a:stretch/>
                  </pic:blipFill>
                  <pic:spPr bwMode="auto">
                    <a:xfrm>
                      <a:off x="0" y="0"/>
                      <a:ext cx="2494800" cy="2160000"/>
                    </a:xfrm>
                    <a:prstGeom prst="rect">
                      <a:avLst/>
                    </a:prstGeom>
                    <a:ln>
                      <a:noFill/>
                    </a:ln>
                    <a:extLst>
                      <a:ext uri="{53640926-AAD7-44D8-BBD7-CCE9431645EC}">
                        <a14:shadowObscured xmlns:a14="http://schemas.microsoft.com/office/drawing/2010/main"/>
                      </a:ext>
                    </a:extLst>
                  </pic:spPr>
                </pic:pic>
              </a:graphicData>
            </a:graphic>
          </wp:inline>
        </w:drawing>
      </w:r>
      <w:r w:rsidR="00BE3F2F" w:rsidRPr="00EB7349">
        <w:rPr>
          <w:rFonts w:cstheme="minorHAnsi"/>
          <w:noProof/>
          <w:sz w:val="18"/>
          <w:szCs w:val="18"/>
        </w:rPr>
        <w:drawing>
          <wp:inline distT="0" distB="0" distL="0" distR="0" wp14:anchorId="21D3B2D4" wp14:editId="68B4BB73">
            <wp:extent cx="2494800" cy="2160000"/>
            <wp:effectExtent l="0" t="0" r="1270" b="0"/>
            <wp:docPr id="353847707" name="Imagen 353847707"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47707" name="Imagen 353847707" descr="Gráfico, Histograma&#10;&#10;El contenido generado por IA puede ser incorrecto."/>
                    <pic:cNvPicPr/>
                  </pic:nvPicPr>
                  <pic:blipFill rotWithShape="1">
                    <a:blip r:embed="rId11" cstate="print">
                      <a:extLst>
                        <a:ext uri="{28A0092B-C50C-407E-A947-70E740481C1C}">
                          <a14:useLocalDpi xmlns:a14="http://schemas.microsoft.com/office/drawing/2010/main" val="0"/>
                        </a:ext>
                      </a:extLst>
                    </a:blip>
                    <a:srcRect l="12293" t="9381" r="11620" b="4543"/>
                    <a:stretch/>
                  </pic:blipFill>
                  <pic:spPr bwMode="auto">
                    <a:xfrm>
                      <a:off x="0" y="0"/>
                      <a:ext cx="2494800" cy="2160000"/>
                    </a:xfrm>
                    <a:prstGeom prst="rect">
                      <a:avLst/>
                    </a:prstGeom>
                    <a:ln>
                      <a:noFill/>
                    </a:ln>
                    <a:extLst>
                      <a:ext uri="{53640926-AAD7-44D8-BBD7-CCE9431645EC}">
                        <a14:shadowObscured xmlns:a14="http://schemas.microsoft.com/office/drawing/2010/main"/>
                      </a:ext>
                    </a:extLst>
                  </pic:spPr>
                </pic:pic>
              </a:graphicData>
            </a:graphic>
          </wp:inline>
        </w:drawing>
      </w:r>
      <w:r w:rsidR="00A90DBA" w:rsidRPr="00EB7349">
        <w:rPr>
          <w:rFonts w:cstheme="minorHAnsi"/>
          <w:noProof/>
          <w:sz w:val="18"/>
          <w:szCs w:val="18"/>
        </w:rPr>
        <w:drawing>
          <wp:inline distT="0" distB="0" distL="0" distR="0" wp14:anchorId="00CB96B1" wp14:editId="580591BC">
            <wp:extent cx="2404800" cy="2160000"/>
            <wp:effectExtent l="0" t="0" r="0" b="0"/>
            <wp:docPr id="638873581" name="Imagen 638873581"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73581" name="Imagen 638873581" descr="Gráfico, Histograma&#10;&#10;El contenido generado por IA puede ser incorrecto."/>
                    <pic:cNvPicPr/>
                  </pic:nvPicPr>
                  <pic:blipFill rotWithShape="1">
                    <a:blip r:embed="rId12" cstate="print">
                      <a:extLst>
                        <a:ext uri="{28A0092B-C50C-407E-A947-70E740481C1C}">
                          <a14:useLocalDpi xmlns:a14="http://schemas.microsoft.com/office/drawing/2010/main" val="0"/>
                        </a:ext>
                      </a:extLst>
                    </a:blip>
                    <a:srcRect l="12707" t="9921" r="12581" b="2383"/>
                    <a:stretch/>
                  </pic:blipFill>
                  <pic:spPr bwMode="auto">
                    <a:xfrm>
                      <a:off x="0" y="0"/>
                      <a:ext cx="2404800" cy="2160000"/>
                    </a:xfrm>
                    <a:prstGeom prst="rect">
                      <a:avLst/>
                    </a:prstGeom>
                    <a:ln>
                      <a:noFill/>
                    </a:ln>
                    <a:extLst>
                      <a:ext uri="{53640926-AAD7-44D8-BBD7-CCE9431645EC}">
                        <a14:shadowObscured xmlns:a14="http://schemas.microsoft.com/office/drawing/2010/main"/>
                      </a:ext>
                    </a:extLst>
                  </pic:spPr>
                </pic:pic>
              </a:graphicData>
            </a:graphic>
          </wp:inline>
        </w:drawing>
      </w:r>
      <w:r w:rsidR="00540A33" w:rsidRPr="00EB7349">
        <w:rPr>
          <w:rFonts w:cstheme="minorHAnsi"/>
          <w:noProof/>
          <w:sz w:val="18"/>
          <w:szCs w:val="18"/>
        </w:rPr>
        <w:drawing>
          <wp:inline distT="0" distB="0" distL="0" distR="0" wp14:anchorId="7810565F" wp14:editId="7D0ED761">
            <wp:extent cx="2458800" cy="2160000"/>
            <wp:effectExtent l="0" t="0" r="0" b="0"/>
            <wp:docPr id="1057298083" name="Imagen 105729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430" t="10282" r="12586" b="3649"/>
                    <a:stretch/>
                  </pic:blipFill>
                  <pic:spPr bwMode="auto">
                    <a:xfrm>
                      <a:off x="0" y="0"/>
                      <a:ext cx="2458800" cy="2160000"/>
                    </a:xfrm>
                    <a:prstGeom prst="rect">
                      <a:avLst/>
                    </a:prstGeom>
                    <a:ln>
                      <a:noFill/>
                    </a:ln>
                    <a:extLst>
                      <a:ext uri="{53640926-AAD7-44D8-BBD7-CCE9431645EC}">
                        <a14:shadowObscured xmlns:a14="http://schemas.microsoft.com/office/drawing/2010/main"/>
                      </a:ext>
                    </a:extLst>
                  </pic:spPr>
                </pic:pic>
              </a:graphicData>
            </a:graphic>
          </wp:inline>
        </w:drawing>
      </w:r>
    </w:p>
    <w:p w14:paraId="2CB59D03" w14:textId="45E909DF" w:rsidR="006522FF" w:rsidRPr="00EB7349" w:rsidRDefault="006522FF" w:rsidP="006522FF">
      <w:pPr>
        <w:jc w:val="center"/>
        <w:rPr>
          <w:rFonts w:cstheme="minorHAnsi"/>
          <w:sz w:val="18"/>
          <w:szCs w:val="18"/>
          <w:lang w:val="en-US"/>
        </w:rPr>
      </w:pPr>
      <w:r w:rsidRPr="00EB7349">
        <w:rPr>
          <w:rFonts w:cstheme="minorHAnsi"/>
          <w:sz w:val="18"/>
          <w:szCs w:val="18"/>
          <w:lang w:val="en-US"/>
        </w:rPr>
        <w:t>Figure S4. XPS spectra and fitting curves of Cu, Ni,</w:t>
      </w:r>
      <w:r w:rsidR="00F615FD" w:rsidRPr="00EB7349">
        <w:rPr>
          <w:rFonts w:cstheme="minorHAnsi"/>
          <w:sz w:val="18"/>
          <w:szCs w:val="18"/>
          <w:lang w:val="en-US"/>
        </w:rPr>
        <w:t xml:space="preserve"> </w:t>
      </w:r>
      <w:r w:rsidRPr="00EB7349">
        <w:rPr>
          <w:rFonts w:cstheme="minorHAnsi"/>
          <w:sz w:val="18"/>
          <w:szCs w:val="18"/>
          <w:lang w:val="en-US"/>
        </w:rPr>
        <w:t>Co and Fe 2p</w:t>
      </w:r>
      <w:r w:rsidRPr="00EB7349">
        <w:rPr>
          <w:rFonts w:cstheme="minorHAnsi"/>
          <w:sz w:val="18"/>
          <w:szCs w:val="18"/>
          <w:vertAlign w:val="subscript"/>
          <w:lang w:val="en-US"/>
        </w:rPr>
        <w:t xml:space="preserve">3/2 </w:t>
      </w:r>
      <w:r w:rsidRPr="00EB7349">
        <w:rPr>
          <w:rFonts w:cstheme="minorHAnsi"/>
          <w:sz w:val="18"/>
          <w:szCs w:val="18"/>
          <w:lang w:val="en-US"/>
        </w:rPr>
        <w:t>region (a) Cu-</w:t>
      </w:r>
      <w:proofErr w:type="spellStart"/>
      <w:r w:rsidRPr="00EB7349">
        <w:rPr>
          <w:rFonts w:cstheme="minorHAnsi"/>
          <w:sz w:val="18"/>
          <w:szCs w:val="18"/>
          <w:lang w:val="en-US"/>
        </w:rPr>
        <w:t>TiNT</w:t>
      </w:r>
      <w:proofErr w:type="spellEnd"/>
      <w:r w:rsidRPr="00EB7349">
        <w:rPr>
          <w:rFonts w:cstheme="minorHAnsi"/>
          <w:sz w:val="18"/>
          <w:szCs w:val="18"/>
          <w:lang w:val="en-US"/>
        </w:rPr>
        <w:t>, (b) Ni-</w:t>
      </w:r>
      <w:proofErr w:type="spellStart"/>
      <w:r w:rsidRPr="00EB7349">
        <w:rPr>
          <w:rFonts w:cstheme="minorHAnsi"/>
          <w:sz w:val="18"/>
          <w:szCs w:val="18"/>
          <w:lang w:val="en-US"/>
        </w:rPr>
        <w:t>TiNT</w:t>
      </w:r>
      <w:proofErr w:type="spellEnd"/>
      <w:r w:rsidRPr="00EB7349">
        <w:rPr>
          <w:rFonts w:cstheme="minorHAnsi"/>
          <w:sz w:val="18"/>
          <w:szCs w:val="18"/>
          <w:lang w:val="en-US"/>
        </w:rPr>
        <w:t>, (c) Co-</w:t>
      </w:r>
      <w:proofErr w:type="spellStart"/>
      <w:r w:rsidRPr="00EB7349">
        <w:rPr>
          <w:rFonts w:cstheme="minorHAnsi"/>
          <w:sz w:val="18"/>
          <w:szCs w:val="18"/>
          <w:lang w:val="en-US"/>
        </w:rPr>
        <w:t>TiNT</w:t>
      </w:r>
      <w:proofErr w:type="spellEnd"/>
      <w:r w:rsidRPr="00EB7349">
        <w:rPr>
          <w:rFonts w:cstheme="minorHAnsi"/>
          <w:sz w:val="18"/>
          <w:szCs w:val="18"/>
          <w:lang w:val="en-US"/>
        </w:rPr>
        <w:t xml:space="preserve"> and (d) Fe-</w:t>
      </w:r>
      <w:proofErr w:type="spellStart"/>
      <w:r w:rsidRPr="00EB7349">
        <w:rPr>
          <w:rFonts w:cstheme="minorHAnsi"/>
          <w:sz w:val="18"/>
          <w:szCs w:val="18"/>
          <w:lang w:val="en-US"/>
        </w:rPr>
        <w:t>TiNT</w:t>
      </w:r>
      <w:proofErr w:type="spellEnd"/>
      <w:r w:rsidRPr="00EB7349">
        <w:rPr>
          <w:rFonts w:cstheme="minorHAnsi"/>
          <w:sz w:val="18"/>
          <w:szCs w:val="18"/>
          <w:lang w:val="en-US"/>
        </w:rPr>
        <w:t>.</w:t>
      </w:r>
    </w:p>
    <w:p w14:paraId="55A31906" w14:textId="77777777" w:rsidR="00232E7C" w:rsidRPr="00EB7349" w:rsidRDefault="00232E7C" w:rsidP="00C216FD">
      <w:pPr>
        <w:jc w:val="center"/>
        <w:rPr>
          <w:rFonts w:cstheme="minorHAnsi"/>
          <w:sz w:val="18"/>
          <w:szCs w:val="18"/>
          <w:lang w:val="en-US"/>
        </w:rPr>
      </w:pPr>
    </w:p>
    <w:p w14:paraId="73FC2683" w14:textId="77777777" w:rsidR="008E533D" w:rsidRPr="00EB7349" w:rsidRDefault="008E533D" w:rsidP="00C216FD">
      <w:pPr>
        <w:jc w:val="center"/>
        <w:rPr>
          <w:rFonts w:cstheme="minorHAnsi"/>
          <w:sz w:val="18"/>
          <w:szCs w:val="18"/>
          <w:lang w:val="en-US"/>
        </w:rPr>
      </w:pPr>
    </w:p>
    <w:p w14:paraId="5EF10791" w14:textId="77777777" w:rsidR="008E533D" w:rsidRPr="00EB7349" w:rsidRDefault="008E533D" w:rsidP="00C216FD">
      <w:pPr>
        <w:jc w:val="center"/>
        <w:rPr>
          <w:rFonts w:cstheme="minorHAnsi"/>
          <w:sz w:val="18"/>
          <w:szCs w:val="18"/>
          <w:lang w:val="en-US"/>
        </w:rPr>
      </w:pPr>
    </w:p>
    <w:p w14:paraId="6C79D512" w14:textId="653A4E7A" w:rsidR="002474A8" w:rsidRPr="00EB7349" w:rsidRDefault="00D429E0" w:rsidP="00C216FD">
      <w:pPr>
        <w:jc w:val="center"/>
        <w:rPr>
          <w:rFonts w:cstheme="minorHAnsi"/>
          <w:sz w:val="18"/>
          <w:szCs w:val="18"/>
          <w:lang w:val="en-US"/>
        </w:rPr>
      </w:pPr>
      <w:r w:rsidRPr="00EB7349">
        <w:rPr>
          <w:rFonts w:cstheme="minorHAnsi"/>
          <w:noProof/>
          <w:sz w:val="18"/>
          <w:szCs w:val="18"/>
        </w:rPr>
        <w:lastRenderedPageBreak/>
        <w:drawing>
          <wp:inline distT="0" distB="0" distL="0" distR="0" wp14:anchorId="08E17910" wp14:editId="6FB503AE">
            <wp:extent cx="3236400" cy="2700000"/>
            <wp:effectExtent l="0" t="0" r="2540" b="5715"/>
            <wp:docPr id="1610127940" name="Imagen 1610127940"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27940" name="Imagen 1610127940" descr="Gráfico, Gráfico de dispersión&#10;&#10;El contenido generado por IA puede ser incorrecto."/>
                    <pic:cNvPicPr/>
                  </pic:nvPicPr>
                  <pic:blipFill rotWithShape="1">
                    <a:blip r:embed="rId14" cstate="print">
                      <a:extLst>
                        <a:ext uri="{28A0092B-C50C-407E-A947-70E740481C1C}">
                          <a14:useLocalDpi xmlns:a14="http://schemas.microsoft.com/office/drawing/2010/main" val="0"/>
                        </a:ext>
                      </a:extLst>
                    </a:blip>
                    <a:srcRect l="7321" t="8839" r="12586" b="3837"/>
                    <a:stretch/>
                  </pic:blipFill>
                  <pic:spPr bwMode="auto">
                    <a:xfrm>
                      <a:off x="0" y="0"/>
                      <a:ext cx="3236400" cy="2700000"/>
                    </a:xfrm>
                    <a:prstGeom prst="rect">
                      <a:avLst/>
                    </a:prstGeom>
                    <a:ln>
                      <a:noFill/>
                    </a:ln>
                    <a:extLst>
                      <a:ext uri="{53640926-AAD7-44D8-BBD7-CCE9431645EC}">
                        <a14:shadowObscured xmlns:a14="http://schemas.microsoft.com/office/drawing/2010/main"/>
                      </a:ext>
                    </a:extLst>
                  </pic:spPr>
                </pic:pic>
              </a:graphicData>
            </a:graphic>
          </wp:inline>
        </w:drawing>
      </w:r>
    </w:p>
    <w:p w14:paraId="39B71B22" w14:textId="06CBEF70" w:rsidR="002474A8" w:rsidRDefault="002474A8" w:rsidP="002474A8">
      <w:pPr>
        <w:spacing w:line="360" w:lineRule="auto"/>
        <w:jc w:val="center"/>
        <w:rPr>
          <w:rFonts w:cstheme="minorHAnsi"/>
          <w:sz w:val="18"/>
          <w:szCs w:val="18"/>
          <w:lang w:val="en-US"/>
        </w:rPr>
      </w:pPr>
      <w:r w:rsidRPr="00EB7349">
        <w:rPr>
          <w:rFonts w:cstheme="minorHAnsi"/>
          <w:sz w:val="18"/>
          <w:szCs w:val="18"/>
          <w:lang w:val="en-US"/>
        </w:rPr>
        <w:t xml:space="preserve">Figure S5. PL intensity as a function of the </w:t>
      </w:r>
      <w:r w:rsidR="009D7388">
        <w:rPr>
          <w:rFonts w:cstheme="minorHAnsi"/>
          <w:sz w:val="18"/>
          <w:szCs w:val="18"/>
          <w:lang w:val="en-US"/>
        </w:rPr>
        <w:t>•</w:t>
      </w:r>
      <w:r w:rsidRPr="00EB7349">
        <w:rPr>
          <w:rFonts w:cstheme="minorHAnsi"/>
          <w:sz w:val="18"/>
          <w:szCs w:val="18"/>
          <w:lang w:val="en-US"/>
        </w:rPr>
        <w:t>OH radical concentration, under visible light.</w:t>
      </w:r>
    </w:p>
    <w:p w14:paraId="73C8999D" w14:textId="77777777" w:rsidR="003E0956" w:rsidRPr="00EB7349" w:rsidRDefault="003E0956" w:rsidP="002474A8">
      <w:pPr>
        <w:spacing w:line="360" w:lineRule="auto"/>
        <w:jc w:val="center"/>
        <w:rPr>
          <w:rFonts w:cstheme="minorHAnsi"/>
          <w:sz w:val="18"/>
          <w:szCs w:val="18"/>
          <w:lang w:val="en-US"/>
        </w:rPr>
      </w:pPr>
    </w:p>
    <w:p w14:paraId="428B0416" w14:textId="2C27284A" w:rsidR="002474A8" w:rsidRPr="00EB7349" w:rsidRDefault="00533B36" w:rsidP="002474A8">
      <w:pPr>
        <w:spacing w:line="360" w:lineRule="auto"/>
        <w:jc w:val="center"/>
        <w:rPr>
          <w:rFonts w:cstheme="minorHAnsi"/>
          <w:sz w:val="18"/>
          <w:szCs w:val="18"/>
          <w:lang w:val="en-US"/>
        </w:rPr>
      </w:pPr>
      <w:r w:rsidRPr="00EB7349">
        <w:rPr>
          <w:rFonts w:cstheme="minorHAnsi"/>
          <w:noProof/>
          <w:sz w:val="18"/>
          <w:szCs w:val="18"/>
        </w:rPr>
        <w:drawing>
          <wp:inline distT="0" distB="0" distL="0" distR="0" wp14:anchorId="7541597A" wp14:editId="13A122EE">
            <wp:extent cx="3103200" cy="2700000"/>
            <wp:effectExtent l="0" t="0" r="2540" b="5715"/>
            <wp:docPr id="1330997187" name="Imagen 1330997187"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97187" name="Imagen 1330997187" descr="Imagen que contiene Diagrama&#10;&#10;El contenido generado por IA puede ser incorrecto."/>
                    <pic:cNvPicPr/>
                  </pic:nvPicPr>
                  <pic:blipFill rotWithShape="1">
                    <a:blip r:embed="rId15" cstate="print">
                      <a:extLst>
                        <a:ext uri="{28A0092B-C50C-407E-A947-70E740481C1C}">
                          <a14:useLocalDpi xmlns:a14="http://schemas.microsoft.com/office/drawing/2010/main" val="0"/>
                        </a:ext>
                      </a:extLst>
                    </a:blip>
                    <a:srcRect l="12431" t="10463" r="11204" b="2746"/>
                    <a:stretch/>
                  </pic:blipFill>
                  <pic:spPr bwMode="auto">
                    <a:xfrm>
                      <a:off x="0" y="0"/>
                      <a:ext cx="3103200" cy="2700000"/>
                    </a:xfrm>
                    <a:prstGeom prst="rect">
                      <a:avLst/>
                    </a:prstGeom>
                    <a:ln>
                      <a:noFill/>
                    </a:ln>
                    <a:extLst>
                      <a:ext uri="{53640926-AAD7-44D8-BBD7-CCE9431645EC}">
                        <a14:shadowObscured xmlns:a14="http://schemas.microsoft.com/office/drawing/2010/main"/>
                      </a:ext>
                    </a:extLst>
                  </pic:spPr>
                </pic:pic>
              </a:graphicData>
            </a:graphic>
          </wp:inline>
        </w:drawing>
      </w:r>
    </w:p>
    <w:p w14:paraId="17B10147" w14:textId="24293DC7" w:rsidR="00232E7C" w:rsidRPr="00EB7349" w:rsidRDefault="00232E7C" w:rsidP="002474A8">
      <w:pPr>
        <w:spacing w:line="360" w:lineRule="auto"/>
        <w:jc w:val="center"/>
        <w:rPr>
          <w:rFonts w:cstheme="minorHAnsi"/>
          <w:sz w:val="18"/>
          <w:szCs w:val="18"/>
          <w:lang w:val="en-US"/>
        </w:rPr>
      </w:pPr>
      <w:r w:rsidRPr="00EB7349">
        <w:rPr>
          <w:rFonts w:cstheme="minorHAnsi"/>
          <w:sz w:val="18"/>
          <w:szCs w:val="18"/>
          <w:lang w:val="en-US"/>
        </w:rPr>
        <w:t xml:space="preserve"> Figure S6 </w:t>
      </w:r>
      <w:r w:rsidR="00D60103" w:rsidRPr="00EB7349">
        <w:rPr>
          <w:rFonts w:cstheme="minorHAnsi"/>
          <w:sz w:val="18"/>
          <w:szCs w:val="18"/>
          <w:lang w:val="en-US"/>
        </w:rPr>
        <w:t>R</w:t>
      </w:r>
      <w:r w:rsidRPr="00EB7349">
        <w:rPr>
          <w:rFonts w:cstheme="minorHAnsi"/>
          <w:sz w:val="18"/>
          <w:szCs w:val="18"/>
          <w:lang w:val="en-US"/>
        </w:rPr>
        <w:t>epresentative spectrum of the ibuprofen degradation using</w:t>
      </w:r>
      <w:r w:rsidR="00D60103" w:rsidRPr="00EB7349">
        <w:rPr>
          <w:rFonts w:cstheme="minorHAnsi"/>
          <w:sz w:val="18"/>
          <w:szCs w:val="18"/>
          <w:lang w:val="en-US"/>
        </w:rPr>
        <w:t xml:space="preserve"> </w:t>
      </w:r>
      <w:r w:rsidR="00F043B3" w:rsidRPr="00EB7349">
        <w:rPr>
          <w:rFonts w:cstheme="minorHAnsi"/>
          <w:sz w:val="18"/>
          <w:szCs w:val="18"/>
          <w:lang w:val="en-US"/>
        </w:rPr>
        <w:t>Co-</w:t>
      </w:r>
      <w:proofErr w:type="spellStart"/>
      <w:r w:rsidR="00F043B3" w:rsidRPr="00EB7349">
        <w:rPr>
          <w:rFonts w:cstheme="minorHAnsi"/>
          <w:sz w:val="18"/>
          <w:szCs w:val="18"/>
          <w:lang w:val="en-US"/>
        </w:rPr>
        <w:t>TiNT</w:t>
      </w:r>
      <w:proofErr w:type="spellEnd"/>
      <w:r w:rsidR="00F043B3" w:rsidRPr="00EB7349">
        <w:rPr>
          <w:rFonts w:cstheme="minorHAnsi"/>
          <w:sz w:val="18"/>
          <w:szCs w:val="18"/>
          <w:lang w:val="en-US"/>
        </w:rPr>
        <w:t xml:space="preserve"> under </w:t>
      </w:r>
      <w:r w:rsidR="00D60103" w:rsidRPr="00EB7349">
        <w:rPr>
          <w:rFonts w:cstheme="minorHAnsi"/>
          <w:sz w:val="18"/>
          <w:szCs w:val="18"/>
          <w:lang w:val="en-US"/>
        </w:rPr>
        <w:t>visible light.</w:t>
      </w:r>
    </w:p>
    <w:p w14:paraId="27D559E8" w14:textId="77777777" w:rsidR="00A650B9" w:rsidRPr="00EB7349" w:rsidRDefault="00A650B9" w:rsidP="002474A8">
      <w:pPr>
        <w:spacing w:line="360" w:lineRule="auto"/>
        <w:jc w:val="center"/>
        <w:rPr>
          <w:rFonts w:cstheme="minorHAnsi"/>
          <w:sz w:val="18"/>
          <w:szCs w:val="18"/>
          <w:lang w:val="en-US"/>
        </w:rPr>
      </w:pPr>
    </w:p>
    <w:p w14:paraId="0D544713" w14:textId="0E092BF5" w:rsidR="00A91F98" w:rsidRPr="00EB7349" w:rsidRDefault="001D419C" w:rsidP="002474A8">
      <w:pPr>
        <w:spacing w:line="360" w:lineRule="auto"/>
        <w:jc w:val="center"/>
        <w:rPr>
          <w:rFonts w:cstheme="minorHAnsi"/>
          <w:sz w:val="18"/>
          <w:szCs w:val="18"/>
          <w:lang w:val="en-US"/>
        </w:rPr>
      </w:pPr>
      <w:r w:rsidRPr="00EB7349">
        <w:rPr>
          <w:rFonts w:cstheme="minorHAnsi"/>
          <w:noProof/>
          <w:sz w:val="18"/>
          <w:szCs w:val="18"/>
        </w:rPr>
        <w:lastRenderedPageBreak/>
        <w:drawing>
          <wp:inline distT="0" distB="0" distL="0" distR="0" wp14:anchorId="10E818FE" wp14:editId="1006EAF4">
            <wp:extent cx="3326400" cy="2700000"/>
            <wp:effectExtent l="0" t="0" r="7620" b="5715"/>
            <wp:docPr id="574439632" name="Imagen 574439632"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39632" name="Imagen 574439632" descr="Gráfico, Gráfico de dispersión&#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l="6353" t="9741" r="12863" b="4556"/>
                    <a:stretch/>
                  </pic:blipFill>
                  <pic:spPr bwMode="auto">
                    <a:xfrm>
                      <a:off x="0" y="0"/>
                      <a:ext cx="3326400" cy="2700000"/>
                    </a:xfrm>
                    <a:prstGeom prst="rect">
                      <a:avLst/>
                    </a:prstGeom>
                    <a:ln>
                      <a:noFill/>
                    </a:ln>
                    <a:extLst>
                      <a:ext uri="{53640926-AAD7-44D8-BBD7-CCE9431645EC}">
                        <a14:shadowObscured xmlns:a14="http://schemas.microsoft.com/office/drawing/2010/main"/>
                      </a:ext>
                    </a:extLst>
                  </pic:spPr>
                </pic:pic>
              </a:graphicData>
            </a:graphic>
          </wp:inline>
        </w:drawing>
      </w:r>
    </w:p>
    <w:p w14:paraId="0CD66306" w14:textId="3DEE3AEC" w:rsidR="00956D4D" w:rsidRPr="00EB7349" w:rsidRDefault="00956D4D" w:rsidP="00956D4D">
      <w:pPr>
        <w:jc w:val="center"/>
        <w:rPr>
          <w:rFonts w:cstheme="minorHAnsi"/>
          <w:sz w:val="18"/>
          <w:szCs w:val="18"/>
          <w:lang w:val="en-US"/>
        </w:rPr>
      </w:pPr>
      <w:r w:rsidRPr="00EB7349">
        <w:rPr>
          <w:rFonts w:cstheme="minorHAnsi"/>
          <w:sz w:val="18"/>
          <w:szCs w:val="18"/>
          <w:lang w:val="en-US"/>
        </w:rPr>
        <w:t xml:space="preserve">Figure S7. Ibuprofen degradation vs. time under </w:t>
      </w:r>
      <w:r w:rsidR="00DD6BCC" w:rsidRPr="00EB7349">
        <w:rPr>
          <w:rFonts w:cstheme="minorHAnsi"/>
          <w:sz w:val="18"/>
          <w:szCs w:val="18"/>
          <w:lang w:val="en-US"/>
        </w:rPr>
        <w:t xml:space="preserve">visible </w:t>
      </w:r>
      <w:r w:rsidRPr="00EB7349">
        <w:rPr>
          <w:rFonts w:cstheme="minorHAnsi"/>
          <w:sz w:val="18"/>
          <w:szCs w:val="18"/>
          <w:lang w:val="en-US"/>
        </w:rPr>
        <w:t xml:space="preserve">light. </w:t>
      </w:r>
    </w:p>
    <w:p w14:paraId="4D809105" w14:textId="77777777" w:rsidR="00956D4D" w:rsidRPr="00EB7349" w:rsidRDefault="00956D4D" w:rsidP="00956D4D">
      <w:pPr>
        <w:jc w:val="center"/>
        <w:rPr>
          <w:rFonts w:cstheme="minorHAnsi"/>
          <w:sz w:val="18"/>
          <w:szCs w:val="18"/>
          <w:lang w:val="en-US"/>
        </w:rPr>
      </w:pPr>
    </w:p>
    <w:p w14:paraId="1721CF2F" w14:textId="56C17FF0" w:rsidR="00956D4D" w:rsidRPr="00EB7349" w:rsidRDefault="00C87BB4" w:rsidP="00C216FD">
      <w:pPr>
        <w:jc w:val="center"/>
        <w:rPr>
          <w:rFonts w:cstheme="minorHAnsi"/>
          <w:sz w:val="18"/>
          <w:szCs w:val="18"/>
        </w:rPr>
      </w:pPr>
      <w:r w:rsidRPr="00EB7349">
        <w:rPr>
          <w:rFonts w:cstheme="minorHAnsi"/>
          <w:noProof/>
          <w:sz w:val="18"/>
          <w:szCs w:val="18"/>
        </w:rPr>
        <w:drawing>
          <wp:inline distT="0" distB="0" distL="0" distR="0" wp14:anchorId="58561119" wp14:editId="27C8CF2D">
            <wp:extent cx="3283200" cy="2700000"/>
            <wp:effectExtent l="0" t="0" r="0" b="5715"/>
            <wp:docPr id="456270776" name="Imagen 456270776"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70776" name="Imagen 456270776" descr="Gráfico, Gráfico de dispersión&#10;&#10;El contenido generado por IA puede ser incorrecto."/>
                    <pic:cNvPicPr/>
                  </pic:nvPicPr>
                  <pic:blipFill rotWithShape="1">
                    <a:blip r:embed="rId17" cstate="print">
                      <a:extLst>
                        <a:ext uri="{28A0092B-C50C-407E-A947-70E740481C1C}">
                          <a14:useLocalDpi xmlns:a14="http://schemas.microsoft.com/office/drawing/2010/main" val="0"/>
                        </a:ext>
                      </a:extLst>
                    </a:blip>
                    <a:srcRect l="5662" t="8839" r="12725" b="3471"/>
                    <a:stretch/>
                  </pic:blipFill>
                  <pic:spPr bwMode="auto">
                    <a:xfrm>
                      <a:off x="0" y="0"/>
                      <a:ext cx="3283200" cy="2700000"/>
                    </a:xfrm>
                    <a:prstGeom prst="rect">
                      <a:avLst/>
                    </a:prstGeom>
                    <a:ln>
                      <a:noFill/>
                    </a:ln>
                    <a:extLst>
                      <a:ext uri="{53640926-AAD7-44D8-BBD7-CCE9431645EC}">
                        <a14:shadowObscured xmlns:a14="http://schemas.microsoft.com/office/drawing/2010/main"/>
                      </a:ext>
                    </a:extLst>
                  </pic:spPr>
                </pic:pic>
              </a:graphicData>
            </a:graphic>
          </wp:inline>
        </w:drawing>
      </w:r>
    </w:p>
    <w:p w14:paraId="458515E0" w14:textId="557D931B" w:rsidR="00232E7C" w:rsidRPr="00EB7349" w:rsidRDefault="00232E7C" w:rsidP="00C216FD">
      <w:pPr>
        <w:jc w:val="center"/>
        <w:rPr>
          <w:rFonts w:cstheme="minorHAnsi"/>
          <w:sz w:val="18"/>
          <w:szCs w:val="18"/>
          <w:lang w:val="en-US"/>
        </w:rPr>
      </w:pPr>
      <w:r w:rsidRPr="00EB7349">
        <w:rPr>
          <w:rFonts w:cstheme="minorHAnsi"/>
          <w:sz w:val="18"/>
          <w:szCs w:val="18"/>
          <w:lang w:val="en-US"/>
        </w:rPr>
        <w:t xml:space="preserve"> Figure S8 </w:t>
      </w:r>
      <w:r w:rsidR="00956D4D" w:rsidRPr="00EB7349">
        <w:rPr>
          <w:rFonts w:cstheme="minorHAnsi"/>
          <w:sz w:val="18"/>
          <w:szCs w:val="18"/>
          <w:lang w:val="en-US"/>
        </w:rPr>
        <w:t>P</w:t>
      </w:r>
      <w:r w:rsidRPr="00EB7349">
        <w:rPr>
          <w:rFonts w:cstheme="minorHAnsi"/>
          <w:sz w:val="18"/>
          <w:szCs w:val="18"/>
          <w:lang w:val="en-US"/>
        </w:rPr>
        <w:t xml:space="preserve">seudo first-order kinetic model for the </w:t>
      </w:r>
      <w:r w:rsidR="0064710C" w:rsidRPr="00EB7349">
        <w:rPr>
          <w:rFonts w:cstheme="minorHAnsi"/>
          <w:sz w:val="18"/>
          <w:szCs w:val="18"/>
          <w:lang w:val="en-US"/>
        </w:rPr>
        <w:t>IB</w:t>
      </w:r>
      <w:r w:rsidRPr="00EB7349">
        <w:rPr>
          <w:rFonts w:cstheme="minorHAnsi"/>
          <w:sz w:val="18"/>
          <w:szCs w:val="18"/>
          <w:lang w:val="en-US"/>
        </w:rPr>
        <w:t xml:space="preserve"> decomposition under visible light.</w:t>
      </w:r>
    </w:p>
    <w:p w14:paraId="2D76D479" w14:textId="77777777" w:rsidR="00A650B9" w:rsidRPr="00EB7349" w:rsidRDefault="00A650B9" w:rsidP="00C216FD">
      <w:pPr>
        <w:jc w:val="center"/>
        <w:rPr>
          <w:rFonts w:cstheme="minorHAnsi"/>
          <w:sz w:val="18"/>
          <w:szCs w:val="18"/>
          <w:lang w:val="en-US"/>
        </w:rPr>
      </w:pPr>
    </w:p>
    <w:p w14:paraId="193F7E36" w14:textId="56B7C82D" w:rsidR="00DD6BCC" w:rsidRPr="00EB7349" w:rsidRDefault="00A650B9" w:rsidP="00C216FD">
      <w:pPr>
        <w:jc w:val="center"/>
        <w:rPr>
          <w:rFonts w:cstheme="minorHAnsi"/>
          <w:sz w:val="18"/>
          <w:szCs w:val="18"/>
        </w:rPr>
      </w:pPr>
      <w:r w:rsidRPr="00EB7349">
        <w:rPr>
          <w:rFonts w:cstheme="minorHAnsi"/>
          <w:noProof/>
          <w:sz w:val="18"/>
          <w:szCs w:val="18"/>
        </w:rPr>
        <w:lastRenderedPageBreak/>
        <w:drawing>
          <wp:inline distT="0" distB="0" distL="0" distR="0" wp14:anchorId="63875CE2" wp14:editId="3EE6E110">
            <wp:extent cx="3362400" cy="2700000"/>
            <wp:effectExtent l="0" t="0" r="0" b="5715"/>
            <wp:docPr id="1466578053" name="Imagen 1466578053"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78053" name="Imagen 1466578053" descr="Gráfico, Gráfico de dispersión&#10;&#10;El contenido generado por IA puede ser incorrecto."/>
                    <pic:cNvPicPr/>
                  </pic:nvPicPr>
                  <pic:blipFill rotWithShape="1">
                    <a:blip r:embed="rId18" cstate="print">
                      <a:extLst>
                        <a:ext uri="{28A0092B-C50C-407E-A947-70E740481C1C}">
                          <a14:useLocalDpi xmlns:a14="http://schemas.microsoft.com/office/drawing/2010/main" val="0"/>
                        </a:ext>
                      </a:extLst>
                    </a:blip>
                    <a:srcRect l="4973" t="10102" r="12445" b="3291"/>
                    <a:stretch/>
                  </pic:blipFill>
                  <pic:spPr bwMode="auto">
                    <a:xfrm>
                      <a:off x="0" y="0"/>
                      <a:ext cx="3362400" cy="2700000"/>
                    </a:xfrm>
                    <a:prstGeom prst="rect">
                      <a:avLst/>
                    </a:prstGeom>
                    <a:ln>
                      <a:noFill/>
                    </a:ln>
                    <a:extLst>
                      <a:ext uri="{53640926-AAD7-44D8-BBD7-CCE9431645EC}">
                        <a14:shadowObscured xmlns:a14="http://schemas.microsoft.com/office/drawing/2010/main"/>
                      </a:ext>
                    </a:extLst>
                  </pic:spPr>
                </pic:pic>
              </a:graphicData>
            </a:graphic>
          </wp:inline>
        </w:drawing>
      </w:r>
    </w:p>
    <w:p w14:paraId="7BC179EF" w14:textId="71BFCF43" w:rsidR="00DD6BCC" w:rsidRPr="00EB7349" w:rsidRDefault="00DD6BCC" w:rsidP="00DD6BCC">
      <w:pPr>
        <w:jc w:val="center"/>
        <w:rPr>
          <w:rFonts w:cstheme="minorHAnsi"/>
          <w:sz w:val="18"/>
          <w:szCs w:val="18"/>
          <w:lang w:val="en-US"/>
        </w:rPr>
      </w:pPr>
      <w:r w:rsidRPr="00EB7349">
        <w:rPr>
          <w:rFonts w:cstheme="minorHAnsi"/>
          <w:sz w:val="18"/>
          <w:szCs w:val="18"/>
          <w:lang w:val="en-US"/>
        </w:rPr>
        <w:t>Figure S</w:t>
      </w:r>
      <w:r w:rsidR="0020051E" w:rsidRPr="00EB7349">
        <w:rPr>
          <w:rFonts w:cstheme="minorHAnsi"/>
          <w:sz w:val="18"/>
          <w:szCs w:val="18"/>
          <w:lang w:val="en-US"/>
        </w:rPr>
        <w:t>9</w:t>
      </w:r>
      <w:r w:rsidRPr="00EB7349">
        <w:rPr>
          <w:rFonts w:cstheme="minorHAnsi"/>
          <w:sz w:val="18"/>
          <w:szCs w:val="18"/>
          <w:lang w:val="en-US"/>
        </w:rPr>
        <w:t xml:space="preserve">. Indigo carmine degradation vs. time under visible light. </w:t>
      </w:r>
    </w:p>
    <w:p w14:paraId="08854555" w14:textId="77777777" w:rsidR="00DD6BCC" w:rsidRDefault="00DD6BCC" w:rsidP="00C216FD">
      <w:pPr>
        <w:jc w:val="center"/>
        <w:rPr>
          <w:rFonts w:cstheme="minorHAnsi"/>
          <w:sz w:val="18"/>
          <w:szCs w:val="18"/>
          <w:lang w:val="en-US"/>
        </w:rPr>
      </w:pPr>
    </w:p>
    <w:p w14:paraId="224E1CFB" w14:textId="77777777" w:rsidR="00D82B4D" w:rsidRDefault="00D82B4D" w:rsidP="00C216FD">
      <w:pPr>
        <w:jc w:val="center"/>
        <w:rPr>
          <w:rFonts w:cstheme="minorHAnsi"/>
          <w:sz w:val="18"/>
          <w:szCs w:val="18"/>
          <w:lang w:val="en-US"/>
        </w:rPr>
      </w:pPr>
    </w:p>
    <w:sectPr w:rsidR="00D82B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6C6"/>
    <w:rsid w:val="00013CEE"/>
    <w:rsid w:val="00070CA6"/>
    <w:rsid w:val="000D77F3"/>
    <w:rsid w:val="000F3FF6"/>
    <w:rsid w:val="001B5C25"/>
    <w:rsid w:val="001D419C"/>
    <w:rsid w:val="001E19D5"/>
    <w:rsid w:val="001E7BCD"/>
    <w:rsid w:val="001F48A1"/>
    <w:rsid w:val="0020051E"/>
    <w:rsid w:val="002064A9"/>
    <w:rsid w:val="00232E7C"/>
    <w:rsid w:val="002474A8"/>
    <w:rsid w:val="0025609C"/>
    <w:rsid w:val="00293C5E"/>
    <w:rsid w:val="002E770B"/>
    <w:rsid w:val="0033312E"/>
    <w:rsid w:val="00372AEC"/>
    <w:rsid w:val="0038276D"/>
    <w:rsid w:val="003E0956"/>
    <w:rsid w:val="00400393"/>
    <w:rsid w:val="0047501D"/>
    <w:rsid w:val="004A114F"/>
    <w:rsid w:val="004E2C79"/>
    <w:rsid w:val="005069E2"/>
    <w:rsid w:val="00506CC8"/>
    <w:rsid w:val="00530694"/>
    <w:rsid w:val="00533B36"/>
    <w:rsid w:val="00540A33"/>
    <w:rsid w:val="005546C2"/>
    <w:rsid w:val="00573694"/>
    <w:rsid w:val="005829C0"/>
    <w:rsid w:val="0058419B"/>
    <w:rsid w:val="00592250"/>
    <w:rsid w:val="005F1A28"/>
    <w:rsid w:val="00600FC0"/>
    <w:rsid w:val="0064710C"/>
    <w:rsid w:val="006522FF"/>
    <w:rsid w:val="006C0F85"/>
    <w:rsid w:val="006C6BDC"/>
    <w:rsid w:val="006E6BB8"/>
    <w:rsid w:val="0072598B"/>
    <w:rsid w:val="00727DFE"/>
    <w:rsid w:val="007336B4"/>
    <w:rsid w:val="007C2661"/>
    <w:rsid w:val="00813A7A"/>
    <w:rsid w:val="008726C6"/>
    <w:rsid w:val="008803FD"/>
    <w:rsid w:val="008C5805"/>
    <w:rsid w:val="008E3227"/>
    <w:rsid w:val="008E344D"/>
    <w:rsid w:val="008E533D"/>
    <w:rsid w:val="00956D4D"/>
    <w:rsid w:val="009D7388"/>
    <w:rsid w:val="00A27507"/>
    <w:rsid w:val="00A32710"/>
    <w:rsid w:val="00A650B9"/>
    <w:rsid w:val="00A90DBA"/>
    <w:rsid w:val="00A91F98"/>
    <w:rsid w:val="00AE3F05"/>
    <w:rsid w:val="00B17DD9"/>
    <w:rsid w:val="00BA09E8"/>
    <w:rsid w:val="00BE3F2F"/>
    <w:rsid w:val="00C216FD"/>
    <w:rsid w:val="00C27684"/>
    <w:rsid w:val="00C87BB4"/>
    <w:rsid w:val="00C95BDF"/>
    <w:rsid w:val="00CF17BA"/>
    <w:rsid w:val="00D04B85"/>
    <w:rsid w:val="00D36C0B"/>
    <w:rsid w:val="00D429E0"/>
    <w:rsid w:val="00D60103"/>
    <w:rsid w:val="00D82B4D"/>
    <w:rsid w:val="00DA0113"/>
    <w:rsid w:val="00DD6BCC"/>
    <w:rsid w:val="00DF3C64"/>
    <w:rsid w:val="00DF3D52"/>
    <w:rsid w:val="00E922AE"/>
    <w:rsid w:val="00E94523"/>
    <w:rsid w:val="00EB7349"/>
    <w:rsid w:val="00F043B3"/>
    <w:rsid w:val="00F17064"/>
    <w:rsid w:val="00F615FD"/>
    <w:rsid w:val="00F9413A"/>
    <w:rsid w:val="00FA2765"/>
    <w:rsid w:val="00FA46D7"/>
    <w:rsid w:val="00FA6877"/>
    <w:rsid w:val="00FB6E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E8D17"/>
  <w15:chartTrackingRefBased/>
  <w15:docId w15:val="{9AF57419-CAD1-4AF6-AC36-C457CF2A6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SCH01PaperTitle">
    <w:name w:val="RSC H01 Paper Title"/>
    <w:basedOn w:val="Normal"/>
    <w:next w:val="Normal"/>
    <w:link w:val="RSCH01PaperTitleChar"/>
    <w:qFormat/>
    <w:rsid w:val="00E94523"/>
    <w:pPr>
      <w:tabs>
        <w:tab w:val="left" w:pos="284"/>
      </w:tabs>
      <w:spacing w:before="400" w:line="240" w:lineRule="auto"/>
    </w:pPr>
    <w:rPr>
      <w:rFonts w:cs="Times New Roman"/>
      <w:b/>
      <w:kern w:val="0"/>
      <w:sz w:val="29"/>
      <w:szCs w:val="32"/>
      <w:lang w:val="en-GB"/>
      <w14:ligatures w14:val="none"/>
    </w:rPr>
  </w:style>
  <w:style w:type="paragraph" w:customStyle="1" w:styleId="RSCB01ARTAbstract">
    <w:name w:val="RSC B01 ART Abstract"/>
    <w:basedOn w:val="Normal"/>
    <w:link w:val="RSCB01ARTAbstractChar"/>
    <w:qFormat/>
    <w:rsid w:val="00E94523"/>
    <w:pPr>
      <w:spacing w:after="200" w:line="240" w:lineRule="exact"/>
      <w:jc w:val="both"/>
    </w:pPr>
    <w:rPr>
      <w:noProof/>
      <w:kern w:val="0"/>
      <w:sz w:val="16"/>
      <w:lang w:val="en-GB" w:eastAsia="en-GB"/>
      <w14:ligatures w14:val="none"/>
    </w:rPr>
  </w:style>
  <w:style w:type="character" w:customStyle="1" w:styleId="RSCH01PaperTitleChar">
    <w:name w:val="RSC H01 Paper Title Char"/>
    <w:basedOn w:val="Fuentedeprrafopredeter"/>
    <w:link w:val="RSCH01PaperTitle"/>
    <w:rsid w:val="00E94523"/>
    <w:rPr>
      <w:rFonts w:cs="Times New Roman"/>
      <w:b/>
      <w:kern w:val="0"/>
      <w:sz w:val="29"/>
      <w:szCs w:val="32"/>
      <w:lang w:val="en-GB"/>
      <w14:ligatures w14:val="none"/>
    </w:rPr>
  </w:style>
  <w:style w:type="character" w:customStyle="1" w:styleId="RSCB01ARTAbstractChar">
    <w:name w:val="RSC B01 ART Abstract Char"/>
    <w:basedOn w:val="Fuentedeprrafopredeter"/>
    <w:link w:val="RSCB01ARTAbstract"/>
    <w:rsid w:val="00E94523"/>
    <w:rPr>
      <w:noProof/>
      <w:kern w:val="0"/>
      <w:sz w:val="16"/>
      <w:lang w:val="en-GB" w:eastAsia="en-GB"/>
      <w14:ligatures w14:val="none"/>
    </w:rPr>
  </w:style>
  <w:style w:type="character" w:styleId="Textodelmarcadordeposicin">
    <w:name w:val="Placeholder Text"/>
    <w:basedOn w:val="Fuentedeprrafopredeter"/>
    <w:uiPriority w:val="99"/>
    <w:semiHidden/>
    <w:rsid w:val="001F48A1"/>
    <w:rPr>
      <w:color w:val="666666"/>
    </w:rPr>
  </w:style>
  <w:style w:type="paragraph" w:customStyle="1" w:styleId="RSCF02FootnotestoTitleAuthors">
    <w:name w:val="RSC F02 Footnotes to Title/Authors"/>
    <w:basedOn w:val="Normal"/>
    <w:link w:val="RSCF02FootnotestoTitleAuthorsChar"/>
    <w:qFormat/>
    <w:rsid w:val="00FA6877"/>
    <w:pPr>
      <w:tabs>
        <w:tab w:val="left" w:pos="284"/>
      </w:tabs>
      <w:spacing w:after="0" w:line="240" w:lineRule="auto"/>
      <w:suppressOverlap/>
      <w:jc w:val="both"/>
    </w:pPr>
    <w:rPr>
      <w:rFonts w:cs="Times New Roman"/>
      <w:w w:val="105"/>
      <w:kern w:val="0"/>
      <w:sz w:val="14"/>
      <w:szCs w:val="14"/>
      <w:lang w:val="en-GB"/>
      <w14:ligatures w14:val="none"/>
    </w:rPr>
  </w:style>
  <w:style w:type="character" w:customStyle="1" w:styleId="RSCF02FootnotestoTitleAuthorsChar">
    <w:name w:val="RSC F02 Footnotes to Title/Authors Char"/>
    <w:basedOn w:val="Fuentedeprrafopredeter"/>
    <w:link w:val="RSCF02FootnotestoTitleAuthors"/>
    <w:rsid w:val="00FA6877"/>
    <w:rPr>
      <w:rFonts w:cs="Times New Roman"/>
      <w:w w:val="105"/>
      <w:kern w:val="0"/>
      <w:sz w:val="14"/>
      <w:szCs w:val="14"/>
      <w:lang w:val="en-GB"/>
      <w14:ligatures w14:val="none"/>
    </w:rPr>
  </w:style>
  <w:style w:type="character" w:styleId="Hipervnculo">
    <w:name w:val="Hyperlink"/>
    <w:basedOn w:val="Fuentedeprrafopredeter"/>
    <w:uiPriority w:val="99"/>
    <w:unhideWhenUsed/>
    <w:rsid w:val="00FA68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697848">
      <w:bodyDiv w:val="1"/>
      <w:marLeft w:val="0"/>
      <w:marRight w:val="0"/>
      <w:marTop w:val="0"/>
      <w:marBottom w:val="0"/>
      <w:divBdr>
        <w:top w:val="none" w:sz="0" w:space="0" w:color="auto"/>
        <w:left w:val="none" w:sz="0" w:space="0" w:color="auto"/>
        <w:bottom w:val="none" w:sz="0" w:space="0" w:color="auto"/>
        <w:right w:val="none" w:sz="0" w:space="0" w:color="auto"/>
      </w:divBdr>
      <w:divsChild>
        <w:div w:id="21438999">
          <w:marLeft w:val="640"/>
          <w:marRight w:val="0"/>
          <w:marTop w:val="0"/>
          <w:marBottom w:val="0"/>
          <w:divBdr>
            <w:top w:val="none" w:sz="0" w:space="0" w:color="auto"/>
            <w:left w:val="none" w:sz="0" w:space="0" w:color="auto"/>
            <w:bottom w:val="none" w:sz="0" w:space="0" w:color="auto"/>
            <w:right w:val="none" w:sz="0" w:space="0" w:color="auto"/>
          </w:divBdr>
        </w:div>
        <w:div w:id="1256134624">
          <w:marLeft w:val="640"/>
          <w:marRight w:val="0"/>
          <w:marTop w:val="0"/>
          <w:marBottom w:val="0"/>
          <w:divBdr>
            <w:top w:val="none" w:sz="0" w:space="0" w:color="auto"/>
            <w:left w:val="none" w:sz="0" w:space="0" w:color="auto"/>
            <w:bottom w:val="none" w:sz="0" w:space="0" w:color="auto"/>
            <w:right w:val="none" w:sz="0" w:space="0" w:color="auto"/>
          </w:divBdr>
        </w:div>
        <w:div w:id="382826093">
          <w:marLeft w:val="640"/>
          <w:marRight w:val="0"/>
          <w:marTop w:val="0"/>
          <w:marBottom w:val="0"/>
          <w:divBdr>
            <w:top w:val="none" w:sz="0" w:space="0" w:color="auto"/>
            <w:left w:val="none" w:sz="0" w:space="0" w:color="auto"/>
            <w:bottom w:val="none" w:sz="0" w:space="0" w:color="auto"/>
            <w:right w:val="none" w:sz="0" w:space="0" w:color="auto"/>
          </w:divBdr>
        </w:div>
      </w:divsChild>
    </w:div>
    <w:div w:id="591547824">
      <w:bodyDiv w:val="1"/>
      <w:marLeft w:val="0"/>
      <w:marRight w:val="0"/>
      <w:marTop w:val="0"/>
      <w:marBottom w:val="0"/>
      <w:divBdr>
        <w:top w:val="none" w:sz="0" w:space="0" w:color="auto"/>
        <w:left w:val="none" w:sz="0" w:space="0" w:color="auto"/>
        <w:bottom w:val="none" w:sz="0" w:space="0" w:color="auto"/>
        <w:right w:val="none" w:sz="0" w:space="0" w:color="auto"/>
      </w:divBdr>
      <w:divsChild>
        <w:div w:id="273943400">
          <w:marLeft w:val="640"/>
          <w:marRight w:val="0"/>
          <w:marTop w:val="0"/>
          <w:marBottom w:val="0"/>
          <w:divBdr>
            <w:top w:val="none" w:sz="0" w:space="0" w:color="auto"/>
            <w:left w:val="none" w:sz="0" w:space="0" w:color="auto"/>
            <w:bottom w:val="none" w:sz="0" w:space="0" w:color="auto"/>
            <w:right w:val="none" w:sz="0" w:space="0" w:color="auto"/>
          </w:divBdr>
        </w:div>
        <w:div w:id="1565291560">
          <w:marLeft w:val="640"/>
          <w:marRight w:val="0"/>
          <w:marTop w:val="0"/>
          <w:marBottom w:val="0"/>
          <w:divBdr>
            <w:top w:val="none" w:sz="0" w:space="0" w:color="auto"/>
            <w:left w:val="none" w:sz="0" w:space="0" w:color="auto"/>
            <w:bottom w:val="none" w:sz="0" w:space="0" w:color="auto"/>
            <w:right w:val="none" w:sz="0" w:space="0" w:color="auto"/>
          </w:divBdr>
        </w:div>
        <w:div w:id="129255240">
          <w:marLeft w:val="640"/>
          <w:marRight w:val="0"/>
          <w:marTop w:val="0"/>
          <w:marBottom w:val="0"/>
          <w:divBdr>
            <w:top w:val="none" w:sz="0" w:space="0" w:color="auto"/>
            <w:left w:val="none" w:sz="0" w:space="0" w:color="auto"/>
            <w:bottom w:val="none" w:sz="0" w:space="0" w:color="auto"/>
            <w:right w:val="none" w:sz="0" w:space="0" w:color="auto"/>
          </w:divBdr>
        </w:div>
      </w:divsChild>
    </w:div>
    <w:div w:id="1125462938">
      <w:bodyDiv w:val="1"/>
      <w:marLeft w:val="0"/>
      <w:marRight w:val="0"/>
      <w:marTop w:val="0"/>
      <w:marBottom w:val="0"/>
      <w:divBdr>
        <w:top w:val="none" w:sz="0" w:space="0" w:color="auto"/>
        <w:left w:val="none" w:sz="0" w:space="0" w:color="auto"/>
        <w:bottom w:val="none" w:sz="0" w:space="0" w:color="auto"/>
        <w:right w:val="none" w:sz="0" w:space="0" w:color="auto"/>
      </w:divBdr>
      <w:divsChild>
        <w:div w:id="1665279781">
          <w:marLeft w:val="640"/>
          <w:marRight w:val="0"/>
          <w:marTop w:val="0"/>
          <w:marBottom w:val="0"/>
          <w:divBdr>
            <w:top w:val="none" w:sz="0" w:space="0" w:color="auto"/>
            <w:left w:val="none" w:sz="0" w:space="0" w:color="auto"/>
            <w:bottom w:val="none" w:sz="0" w:space="0" w:color="auto"/>
            <w:right w:val="none" w:sz="0" w:space="0" w:color="auto"/>
          </w:divBdr>
        </w:div>
        <w:div w:id="1782214607">
          <w:marLeft w:val="640"/>
          <w:marRight w:val="0"/>
          <w:marTop w:val="0"/>
          <w:marBottom w:val="0"/>
          <w:divBdr>
            <w:top w:val="none" w:sz="0" w:space="0" w:color="auto"/>
            <w:left w:val="none" w:sz="0" w:space="0" w:color="auto"/>
            <w:bottom w:val="none" w:sz="0" w:space="0" w:color="auto"/>
            <w:right w:val="none" w:sz="0" w:space="0" w:color="auto"/>
          </w:divBdr>
        </w:div>
        <w:div w:id="125832289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hugo.lara@fisica.unam.mx"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D3DF72-DC79-46BC-8F58-939C0EB69924}">
  <we:reference id="wa104382081" version="1.55.1.0" store="es-ES" storeType="OMEX"/>
  <we:alternateReferences>
    <we:reference id="wa104382081" version="1.55.1.0" store="WA104382081" storeType="OMEX"/>
  </we:alternateReferences>
  <we:properties>
    <we:property name="MENDELEY_CITATIONS" value="[{&quot;citationID&quot;:&quot;MENDELEY_CITATION_2f229a15-4029-408c-92b6-46ef4fed20a3&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&quot;,&quot;citationItems&quot;:[{&quot;id&quot;:&quot;5b28eac7-16d4-3096-a11e-eee82e25c803&quot;,&quot;itemData&quot;:{&quot;type&quot;:&quot;article-journal&quot;,&quot;id&quot;:&quot;5b28eac7-16d4-3096-a11e-eee82e25c803&quot;,&quot;title&quot;:&quot;Tuning the band gap of M-doped titanate nanotubes (M = Fe, Co, Ni, and Cu): an experimental and theoretical study&quot;,&quot;author&quot;:[{&quot;family&quot;:&quot;Méndez-Galván&quot;,&quot;given&quot;:&quot;Melissa&quot;,&quot;parse-names&quot;:false,&quot;dropping-particle&quot;:&quot;&quot;,&quot;non-dropping-particle&quot;:&quot;&quot;},{&quot;family&quot;:&quot;Celaya&quot;,&quot;given&quot;:&quot;Christian A.&quot;,&quot;parse-names&quot;:false,&quot;dropping-particle&quot;:&quot;&quot;,&quot;non-dropping-particle&quot;:&quot;&quot;},{&quot;family&quot;:&quot;Jaramillo-Quintero&quot;,&quot;given&quot;:&quot;Oscar Andrés&quot;,&quot;parse-names&quot;:false,&quot;dropping-particle&quot;:&quot;&quot;,&quot;non-dropping-particle&quot;:&quot;&quot;},{&quot;family&quot;:&quot;Muñiz&quot;,&quot;given&quot;:&quot;Jesus&quot;,&quot;parse-names&quot;:false,&quot;dropping-particle&quot;:&quot;&quot;,&quot;non-dropping-particle&quot;:&quot;&quot;},{&quot;family&quot;:&quot;Díaz&quot;,&quot;given&quot;:&quot;Gabriela&quot;,&quot;parse-names&quot;:false,&quot;dropping-particle&quot;:&quot;&quot;,&quot;non-dropping-particle&quot;:&quot;&quot;},{&quot;family&quot;:&quot;Lara-García&quot;,&quot;given&quot;:&quot;Hugo A.&quot;,&quot;parse-names&quot;:false,&quot;dropping-particle&quot;:&quot;&quot;,&quot;non-dropping-particle&quot;:&quot;&quot;}],&quot;container-title&quot;:&quot;Nanoscale Advances&quot;,&quot;container-title-short&quot;:&quot;Nanoscale Adv&quot;,&quot;DOI&quot;:&quot;10.1039/D0NA00932F&quot;,&quot;ISSN&quot;:&quot;2516-0230&quot;,&quot;URL&quot;:&quot;http://xlink.rsc.org/?DOI=D0NA00932F&quot;,&quot;issued&quot;:{&quot;date-parts&quot;:[[2021]]},&quot;page&quot;:&quot;1382-1391&quot;,&quot;abstract&quot;:&quot;The Ti-NT bandgap can be tuned in a wide range (1.5–3.3 eV) by an easy ion-exchange method using a low concentration (1 wt%) of Cu 2+ , Ni 2+ , Co 2+ , and Fe 3+ cations.&quot;,&quot;issue&quot;:&quot;5&quot;,&quot;volume&quot;:&quot;3&quot;},&quot;isTemporary&quot;:false},{&quot;id&quot;:&quot;0a135219-c47a-3efa-983a-848bbfc4db53&quot;,&quot;itemData&quot;:{&quot;type&quot;:&quot;article-journal&quot;,&quot;id&quot;:&quot;0a135219-c47a-3efa-983a-848bbfc4db53&quot;,&quot;title&quot;:&quot;Enhancing photocatalytic hydrogen production: The impact of copper loading on Cu-doped TiNT and CuO/TiNT heterostructures&quot;,&quot;author&quot;:[{&quot;family&quot;:&quot;Méndez-Galván&quot;,&quot;given&quot;:&quot;Melissa&quot;,&quot;parse-names&quot;:false,&quot;dropping-particle&quot;:&quot;&quot;,&quot;non-dropping-particle&quot;:&quot;&quot;},{&quot;family&quot;:&quot;Valencia G.&quot;,&quot;given&quot;:&quot;Karen&quot;,&quot;parse-names&quot;:false,&quot;dropping-particle&quot;:&quot;&quot;,&quot;non-dropping-particle&quot;:&quot;&quot;},{&quot;family&quot;:&quot;Lara-García&quot;,&quot;given&quot;:&quot;Hugo A.&quot;,&quot;parse-names&quot;:false,&quot;dropping-particle&quot;:&quot;&quot;,&quot;non-dropping-particle&quot;:&quot;&quot;},{&quot;family&quot;:&quot;Hernández-Gordillo&quot;,&quot;given&quot;:&quot;Agileo&quot;,&quot;parse-names&quot;:false,&quot;dropping-particle&quot;:&quot;&quot;,&quot;non-dropping-particle&quot;:&quot;&quot;},{&quot;family&quot;:&quot;Rodil&quot;,&quot;given&quot;:&quot;Sandra E.&quot;,&quot;parse-names&quot;:false,&quot;dropping-particle&quot;:&quot;&quot;,&quot;non-dropping-particle&quot;:&quot;&quot;},{&quot;family&quot;:&quot;Díaz&quot;,&quot;given&quot;:&quot;Gabriela&quot;,&quot;parse-names&quot;:false,&quot;dropping-particle&quot;:&quot;&quot;,&quot;non-dropping-particle&quot;:&quot;&quot;}],&quot;container-title&quot;:&quot;Fuel&quot;,&quot;DOI&quot;:&quot;10.1016/j.fuel.2025.135353&quot;,&quot;ISSN&quot;:&quot;00162361&quot;,&quot;URL&quot;:&quot;https://linkinghub.elsevier.com/retrieve/pii/S0016236125010786&quot;,&quot;issued&quot;:{&quot;date-parts&quot;:[[2025,9,15]]},&quot;page&quot;:&quot;135353&quot;,&quot;abstract&quot;:&quot;Hydrogen production via photocatalysis has emerged as a promising alternative for renewable energy generation. As a result, there is ongoing research to develop nanomaterials that can enhance the efficiency of this process. This study investigates the effect of varying copper concentrations (1, 2, and 4 wt%) on the simultaneous formation of a heterostructure between nanotubular titanates (TiNT) and copper oxide, along with Cu cation doping within the TiNT lattice (TiNT-Cux) for photocatalytic H2 production. The focus is on analysing the optoelectronic and electrochemical properties of these materials. The results reveal that semiconductor modifications induce a redshift in the absorption edge, reducing the band gap in the TiNT-Cux samples. Photoluminescence (PL) and time-resolved photoluminescence (TR-PL) analyses indicate improved charge carrier separation and transfer due to the formation of the TiNT-CuO heterojunction. Electrochemical characterization further demonstrates rapid interfacial charge transfer and a higher overpotential relative to that of the standard hydrogen potential (E° (H+/H2)), particularly in the TiNT-Cu2 system (−0.55 V vs. NHE). This effect is closely linked to the size distribution of surface-deposited particles. Among the modified materials, the sample containing 2 wt% Cu exhibited the highest photocatalytic performance, producing nearly ten times more hydrogen than pristine TiNT, as well as photolysis (0.3 and 2.4 mmol g−1 h−1, respectively). This enhancement is attributed to the synergistic effects of Cu doping and CuO nanoparticle formation. However, excessive Cu loading resulted in nanoparticle agglomeration, reducing photocatalytic efficiency, as observed in TiNT-Cu4. These findings underscore the critical role of effective charge transfer within the heterostructure in optimizing photocatalytic hydrogen production. Additionally, the TiNT-Cu2 material demonstrated excellent stability over three photocatalytic cycles.&quot;,&quot;publisher&quot;:&quot;Elsevier Ltd&quot;,&quot;volume&quot;:&quot;396&quot;,&quot;container-title-short&quot;:&quot;&quot;},&quot;isTemporary&quot;:false}]},{&quot;citationID&quot;:&quot;MENDELEY_CITATION_13f15028-1c49-49f5-944c-8815e1eafba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&quot;,&quot;citationItems&quot;:[{&quot;id&quot;:&quot;0a135219-c47a-3efa-983a-848bbfc4db53&quot;,&quot;itemData&quot;:{&quot;type&quot;:&quot;article-journal&quot;,&quot;id&quot;:&quot;0a135219-c47a-3efa-983a-848bbfc4db53&quot;,&quot;title&quot;:&quot;Enhancing photocatalytic hydrogen production: The impact of copper loading on Cu-doped TiNT and CuO/TiNT heterostructures&quot;,&quot;author&quot;:[{&quot;family&quot;:&quot;Méndez-Galván&quot;,&quot;given&quot;:&quot;Melissa&quot;,&quot;parse-names&quot;:false,&quot;dropping-particle&quot;:&quot;&quot;,&quot;non-dropping-particle&quot;:&quot;&quot;},{&quot;family&quot;:&quot;Valencia G.&quot;,&quot;given&quot;:&quot;Karen&quot;,&quot;parse-names&quot;:false,&quot;dropping-particle&quot;:&quot;&quot;,&quot;non-dropping-particle&quot;:&quot;&quot;},{&quot;family&quot;:&quot;Lara-García&quot;,&quot;given&quot;:&quot;Hugo A.&quot;,&quot;parse-names&quot;:false,&quot;dropping-particle&quot;:&quot;&quot;,&quot;non-dropping-particle&quot;:&quot;&quot;},{&quot;family&quot;:&quot;Hernández-Gordillo&quot;,&quot;given&quot;:&quot;Agileo&quot;,&quot;parse-names&quot;:false,&quot;dropping-particle&quot;:&quot;&quot;,&quot;non-dropping-particle&quot;:&quot;&quot;},{&quot;family&quot;:&quot;Rodil&quot;,&quot;given&quot;:&quot;Sandra E.&quot;,&quot;parse-names&quot;:false,&quot;dropping-particle&quot;:&quot;&quot;,&quot;non-dropping-particle&quot;:&quot;&quot;},{&quot;family&quot;:&quot;Díaz&quot;,&quot;given&quot;:&quot;Gabriela&quot;,&quot;parse-names&quot;:false,&quot;dropping-particle&quot;:&quot;&quot;,&quot;non-dropping-particle&quot;:&quot;&quot;}],&quot;container-title&quot;:&quot;Fuel&quot;,&quot;DOI&quot;:&quot;10.1016/j.fuel.2025.135353&quot;,&quot;ISSN&quot;:&quot;00162361&quot;,&quot;URL&quot;:&quot;https://linkinghub.elsevier.com/retrieve/pii/S0016236125010786&quot;,&quot;issued&quot;:{&quot;date-parts&quot;:[[2025,9,15]]},&quot;page&quot;:&quot;135353&quot;,&quot;abstract&quot;:&quot;Hydrogen production via photocatalysis has emerged as a promising alternative for renewable energy generation. As a result, there is ongoing research to develop nanomaterials that can enhance the efficiency of this process. This study investigates the effect of varying copper concentrations (1, 2, and 4 wt%) on the simultaneous formation of a heterostructure between nanotubular titanates (TiNT) and copper oxide, along with Cu cation doping within the TiNT lattice (TiNT-Cux) for photocatalytic H2 production. The focus is on analysing the optoelectronic and electrochemical properties of these materials. The results reveal that semiconductor modifications induce a redshift in the absorption edge, reducing the band gap in the TiNT-Cux samples. Photoluminescence (PL) and time-resolved photoluminescence (TR-PL) analyses indicate improved charge carrier separation and transfer due to the formation of the TiNT-CuO heterojunction. Electrochemical characterization further demonstrates rapid interfacial charge transfer and a higher overpotential relative to that of the standard hydrogen potential (E° (H+/H2)), particularly in the TiNT-Cu2 system (−0.55 V vs. NHE). This effect is closely linked to the size distribution of surface-deposited particles. Among the modified materials, the sample containing 2 wt% Cu exhibited the highest photocatalytic performance, producing nearly ten times more hydrogen than pristine TiNT, as well as photolysis (0.3 and 2.4 mmol g−1 h−1, respectively). This enhancement is attributed to the synergistic effects of Cu doping and CuO nanoparticle formation. However, excessive Cu loading resulted in nanoparticle agglomeration, reducing photocatalytic efficiency, as observed in TiNT-Cu4. These findings underscore the critical role of effective charge transfer within the heterostructure in optimizing photocatalytic hydrogen production. Additionally, the TiNT-Cu2 material demonstrated excellent stability over three photocatalytic cycles.&quot;,&quot;publisher&quot;:&quot;Elsevier Ltd&quot;,&quot;volume&quot;:&quot;396&quot;,&quot;container-title-short&quot;:&quot;&quot;},&quot;isTemporary&quot;:false}]},{&quot;citationID&quot;:&quot;MENDELEY_CITATION_03799525-99b9-4287-85ec-daa9c67dae87&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&quot;,&quot;citationItems&quot;:[{&quot;id&quot;:&quot;56153b9c-3a36-32ab-8151-c41d0d41ee03&quot;,&quot;itemData&quot;:{&quot;type&quot;:&quot;article-journal&quot;,&quot;id&quot;:&quot;56153b9c-3a36-32ab-8151-c41d0d41ee03&quot;,&quot;title&quot;:&quot; Exploring the CO     2    conversion into hydrocarbons   v i a   a photocatalytic process onto  M  -doped titanate nanotubes (  M  = Ni and Cu) &quot;,&quot;author&quot;:[{&quot;family&quot;:&quot;Celaya&quot;,&quot;given&quot;:&quot;Christian A.&quot;,&quot;parse-names&quot;:false,&quot;dropping-particle&quot;:&quot;&quot;,&quot;non-dropping-particle&quot;:&quot;&quot;},{&quot;family&quot;:&quot;Méndez-Galván&quot;,&quot;given&quot;:&quot;Melissa&quot;,&quot;parse-names&quot;:false,&quot;dropping-particle&quot;:&quot;&quot;,&quot;non-dropping-particle&quot;:&quot;&quot;},{&quot;family&quot;:&quot;Castro-Ocampo&quot;,&quot;given&quot;:&quot;O.&quot;,&quot;parse-names&quot;:false,&quot;dropping-particle&quot;:&quot;&quot;,&quot;non-dropping-particle&quot;:&quot;&quot;},{&quot;family&quot;:&quot;Torres-Martínez&quot;,&quot;given&quot;:&quot;Leticia M.&quot;,&quot;parse-names&quot;:false,&quot;dropping-particle&quot;:&quot;&quot;,&quot;non-dropping-particle&quot;:&quot;&quot;},{&quot;family&quot;:&quot;Luévano-Hipólito&quot;,&quot;given&quot;:&quot;Edith&quot;,&quot;parse-names&quot;:false,&quot;dropping-particle&quot;:&quot;&quot;,&quot;non-dropping-particle&quot;:&quot;&quot;},{&quot;family&quot;:&quot;Díaz de León&quot;,&quot;given&quot;:&quot;Jorge Noé&quot;,&quot;parse-names&quot;:false,&quot;dropping-particle&quot;:&quot;&quot;,&quot;non-dropping-particle&quot;:&quot;&quot;},{&quot;family&quot;:&quot;Lara-García&quot;,&quot;given&quot;:&quot;Hugo A.&quot;,&quot;parse-names&quot;:false,&quot;dropping-particle&quot;:&quot;&quot;,&quot;non-dropping-particle&quot;:&quot;&quot;},{&quot;family&quot;:&quot;Díaz&quot;,&quot;given&quot;:&quot;Gabriela&quot;,&quot;parse-names&quot;:false,&quot;dropping-particle&quot;:&quot;&quot;,&quot;non-dropping-particle&quot;:&quot;&quot;},{&quot;family&quot;:&quot;Muñiz&quot;,&quot;given&quot;:&quot;Jesús&quot;,&quot;parse-names&quot;:false,&quot;dropping-particle&quot;:&quot;&quot;,&quot;non-dropping-particle&quot;:&quot;&quot;}],&quot;container-title&quot;:&quot;Fuel&quot;,&quot;DOI&quot;:&quot;10.1016/j.fuel.2022.124440&quot;,&quot;ISSN&quot;:&quot;00162361&quot;,&quot;issued&quot;:{&quot;date-parts&quot;:[[2022]]},&quot;page&quot;:&quot;124440&quot;,&quot;abstract&quot;:&quot;A combined theoretical and experimental work was performed to assess the carbon dioxide (CO2) evolution reaction into short chain hydrocarbons. The theoretical calculations were performed by using Density Functional Theory (DFT) at the DFT + U level. The reaction mechanisms were elucidated with the string method by comparing the photocatalytic behavior of the pristine Ti-NT surface, previously synthesized in our group, and the M -doped Ti-NT (M -Ti-NT, where M = Cu, Ni) systems. For the pristine material, the results showed lower adsorption energies of the CO2 molecule (−0.27 eV), as compared to that obtained with the M -doped Ti- NT systems. Ni-Ti-NT showed an enhancement in photocatalytic performance with respect to the other surfaces, by yielding small activation energies throughout the reaction path. On the experimental side, Ti-NT and M-Ti-NT (M = Cu, Ni) materials were characterized through several techniques to assess their structural, morphological, textural, and optoelectronic properties. The photocatalytic CO2 reduction was evaluated under wavelength illumination between 440–540 nm. The liquid solar fuel identified products were HCOOH, CH2O, and CH3OH, showing a different distribution among photocatalysts which correlates with the position of the conduction band of the photocatalysts. Doping with Cu and Ni of the Ti-NT structure enhances the carriers’ density which improves the photoactivity mainly in the case of Ni-Ti-NT. The photocatalytic experimental results agree with the theoretical calculations.&quot;,&quot;issue&quot;:&quot;April&quot;,&quot;volume&quot;:&quot;324&quot;,&quot;container-title-short&quot;:&quot;&quot;},&quot;isTemporary&quot;:false}]}]"/>
    <we:property name="MENDELEY_CITATIONS_LOCALE_CODE" value="&quot;en-GB&quot;"/>
    <we:property name="MENDELEY_CITATIONS_STYLE" value="{&quot;id&quot;:&quot;https://www.zotero.org/styles/royal-society-of-chemistry&quot;,&quot;title&quot;:&quot;Royal Society of Chemistr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51FC6-A9B8-4BFC-B52C-38F19AE25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222</Words>
  <Characters>1226</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Méndez</dc:creator>
  <cp:keywords/>
  <dc:description/>
  <cp:lastModifiedBy>Melissa Méndez</cp:lastModifiedBy>
  <cp:revision>22</cp:revision>
  <dcterms:created xsi:type="dcterms:W3CDTF">2025-05-21T19:48:00Z</dcterms:created>
  <dcterms:modified xsi:type="dcterms:W3CDTF">2025-06-30T23:15:00Z</dcterms:modified>
</cp:coreProperties>
</file>