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04C3F4" w14:textId="77777777" w:rsidR="00E41C1A" w:rsidRPr="007B75A4" w:rsidRDefault="00E41C1A" w:rsidP="00464780">
      <w:pPr>
        <w:spacing w:line="480" w:lineRule="auto"/>
        <w:jc w:val="center"/>
        <w:rPr>
          <w:rFonts w:ascii="Times New Roman" w:hAnsi="Times New Roman" w:cs="Times New Roman"/>
          <w:sz w:val="28"/>
          <w:szCs w:val="32"/>
        </w:rPr>
      </w:pPr>
      <w:r w:rsidRPr="007B75A4">
        <w:rPr>
          <w:rFonts w:ascii="Times New Roman" w:hAnsi="Times New Roman" w:cs="Times New Roman"/>
          <w:b/>
          <w:bCs/>
          <w:sz w:val="28"/>
          <w:szCs w:val="32"/>
        </w:rPr>
        <w:t>Long non-coding RNAs responsive to blast fungus infection in rice</w:t>
      </w:r>
    </w:p>
    <w:p w14:paraId="56DE4932" w14:textId="77777777" w:rsidR="00E41C1A" w:rsidRPr="007B75A4" w:rsidRDefault="00E41C1A" w:rsidP="00464780">
      <w:pPr>
        <w:spacing w:line="480" w:lineRule="auto"/>
        <w:jc w:val="center"/>
        <w:rPr>
          <w:rFonts w:ascii="Times New Roman" w:hAnsi="Times New Roman" w:cs="Times New Roman"/>
          <w:vertAlign w:val="superscript"/>
        </w:rPr>
      </w:pPr>
      <w:r w:rsidRPr="007B75A4">
        <w:rPr>
          <w:rFonts w:ascii="Times New Roman" w:hAnsi="Times New Roman" w:cs="Times New Roman"/>
        </w:rPr>
        <w:t>Lan</w:t>
      </w:r>
      <w:r w:rsidR="004A20D0">
        <w:rPr>
          <w:rFonts w:ascii="Times New Roman" w:hAnsi="Times New Roman" w:cs="Times New Roman" w:hint="eastAsia"/>
        </w:rPr>
        <w:t>-L</w:t>
      </w:r>
      <w:r w:rsidRPr="007B75A4">
        <w:rPr>
          <w:rFonts w:ascii="Times New Roman" w:hAnsi="Times New Roman" w:cs="Times New Roman"/>
        </w:rPr>
        <w:t xml:space="preserve">an Wang </w:t>
      </w:r>
      <w:r w:rsidRPr="007B75A4">
        <w:rPr>
          <w:rFonts w:ascii="Times New Roman" w:hAnsi="Times New Roman" w:cs="Times New Roman"/>
          <w:vertAlign w:val="superscript"/>
        </w:rPr>
        <w:t>1, *</w:t>
      </w:r>
      <w:r w:rsidRPr="007B75A4">
        <w:rPr>
          <w:rFonts w:ascii="Times New Roman" w:hAnsi="Times New Roman" w:cs="Times New Roman"/>
        </w:rPr>
        <w:t xml:space="preserve">, </w:t>
      </w:r>
      <w:r w:rsidR="004A20D0">
        <w:rPr>
          <w:rFonts w:ascii="Times New Roman" w:hAnsi="Times New Roman" w:cs="Times New Roman"/>
        </w:rPr>
        <w:t>Jing</w:t>
      </w:r>
      <w:r w:rsidR="004A20D0">
        <w:rPr>
          <w:rFonts w:ascii="Times New Roman" w:hAnsi="Times New Roman" w:cs="Times New Roman" w:hint="eastAsia"/>
        </w:rPr>
        <w:t>-J</w:t>
      </w:r>
      <w:r w:rsidRPr="007B75A4">
        <w:rPr>
          <w:rFonts w:ascii="Times New Roman" w:hAnsi="Times New Roman" w:cs="Times New Roman"/>
        </w:rPr>
        <w:t xml:space="preserve">ing Jin </w:t>
      </w:r>
      <w:r w:rsidRPr="007B75A4">
        <w:rPr>
          <w:rFonts w:ascii="Times New Roman" w:hAnsi="Times New Roman" w:cs="Times New Roman"/>
          <w:vertAlign w:val="superscript"/>
        </w:rPr>
        <w:t>2</w:t>
      </w:r>
      <w:r w:rsidRPr="007B75A4">
        <w:rPr>
          <w:rFonts w:ascii="Times New Roman" w:hAnsi="Times New Roman" w:cs="Times New Roman"/>
        </w:rPr>
        <w:t>,</w:t>
      </w:r>
      <w:r w:rsidR="004A20D0" w:rsidRPr="004A20D0">
        <w:rPr>
          <w:rFonts w:ascii="Times New Roman" w:hAnsi="Times New Roman" w:cs="Times New Roman" w:hint="eastAsia"/>
        </w:rPr>
        <w:t xml:space="preserve"> </w:t>
      </w:r>
      <w:r w:rsidR="004A20D0">
        <w:rPr>
          <w:rFonts w:ascii="Times New Roman" w:hAnsi="Times New Roman" w:cs="Times New Roman" w:hint="eastAsia"/>
        </w:rPr>
        <w:t>Li-Hua Li</w:t>
      </w:r>
      <w:r w:rsidR="004A20D0" w:rsidRPr="00BF4029">
        <w:rPr>
          <w:rFonts w:ascii="Times New Roman" w:hAnsi="Times New Roman" w:cs="Times New Roman" w:hint="eastAsia"/>
          <w:vertAlign w:val="superscript"/>
        </w:rPr>
        <w:t>1</w:t>
      </w:r>
      <w:r w:rsidR="004A20D0">
        <w:rPr>
          <w:rFonts w:ascii="Times New Roman" w:hAnsi="Times New Roman" w:cs="Times New Roman" w:hint="eastAsia"/>
          <w:vertAlign w:val="superscript"/>
        </w:rPr>
        <w:t>,3</w:t>
      </w:r>
      <w:r w:rsidR="004A20D0">
        <w:rPr>
          <w:rFonts w:ascii="Times New Roman" w:hAnsi="Times New Roman" w:cs="Times New Roman" w:hint="eastAsia"/>
        </w:rPr>
        <w:t>,</w:t>
      </w:r>
      <w:r w:rsidRPr="007B75A4">
        <w:rPr>
          <w:rFonts w:ascii="Times New Roman" w:hAnsi="Times New Roman" w:cs="Times New Roman"/>
        </w:rPr>
        <w:t xml:space="preserve"> Shao</w:t>
      </w:r>
      <w:r w:rsidR="004A20D0">
        <w:rPr>
          <w:rFonts w:ascii="Times New Roman" w:hAnsi="Times New Roman" w:cs="Times New Roman" w:hint="eastAsia"/>
        </w:rPr>
        <w:t>-H</w:t>
      </w:r>
      <w:r w:rsidRPr="007B75A4">
        <w:rPr>
          <w:rFonts w:ascii="Times New Roman" w:hAnsi="Times New Roman" w:cs="Times New Roman"/>
        </w:rPr>
        <w:t xml:space="preserve">ong Qu </w:t>
      </w:r>
      <w:r w:rsidRPr="007B75A4">
        <w:rPr>
          <w:rFonts w:ascii="Times New Roman" w:hAnsi="Times New Roman" w:cs="Times New Roman"/>
          <w:vertAlign w:val="superscript"/>
        </w:rPr>
        <w:t>1</w:t>
      </w:r>
      <w:r>
        <w:rPr>
          <w:rFonts w:ascii="Times New Roman" w:hAnsi="Times New Roman" w:cs="Times New Roman" w:hint="eastAsia"/>
          <w:vertAlign w:val="superscript"/>
        </w:rPr>
        <w:t>*</w:t>
      </w:r>
    </w:p>
    <w:p w14:paraId="28AAF009" w14:textId="77777777" w:rsidR="00E41C1A" w:rsidRPr="007B75A4" w:rsidRDefault="00E41C1A" w:rsidP="00464780">
      <w:pPr>
        <w:spacing w:line="480" w:lineRule="auto"/>
        <w:rPr>
          <w:rFonts w:ascii="Times New Roman" w:hAnsi="Times New Roman" w:cs="Times New Roman"/>
          <w:color w:val="000000" w:themeColor="text1"/>
          <w:shd w:val="clear" w:color="auto" w:fill="FCFCFC"/>
        </w:rPr>
      </w:pPr>
      <w:r w:rsidRPr="007B75A4">
        <w:rPr>
          <w:rFonts w:ascii="Times New Roman" w:hAnsi="Times New Roman" w:cs="Times New Roman"/>
          <w:color w:val="000000" w:themeColor="text1"/>
          <w:vertAlign w:val="superscript"/>
        </w:rPr>
        <w:t>1</w:t>
      </w:r>
      <w:r w:rsidRPr="007B75A4">
        <w:rPr>
          <w:rFonts w:ascii="Times New Roman" w:hAnsi="Times New Roman" w:cs="Times New Roman"/>
          <w:color w:val="000000" w:themeColor="text1"/>
        </w:rPr>
        <w:t xml:space="preserve"> </w:t>
      </w:r>
      <w:r w:rsidRPr="007B75A4">
        <w:rPr>
          <w:rFonts w:ascii="Times New Roman" w:hAnsi="Times New Roman" w:cs="Times New Roman"/>
          <w:color w:val="000000" w:themeColor="text1"/>
          <w:shd w:val="clear" w:color="auto" w:fill="FCFCFC"/>
        </w:rPr>
        <w:t>Institute of Virology and Biotechnology, Zhejiang Academy of Agricultural Sciences, 310021 Hangzhou, China</w:t>
      </w:r>
    </w:p>
    <w:p w14:paraId="40C76030" w14:textId="77777777" w:rsidR="00E41C1A" w:rsidRDefault="00E41C1A" w:rsidP="00464780">
      <w:pPr>
        <w:spacing w:line="480" w:lineRule="auto"/>
        <w:rPr>
          <w:rFonts w:ascii="Times New Roman" w:hAnsi="Times New Roman" w:cs="Times New Roman"/>
          <w:color w:val="000000" w:themeColor="text1"/>
          <w:shd w:val="clear" w:color="auto" w:fill="FFFFFF"/>
        </w:rPr>
      </w:pPr>
      <w:r w:rsidRPr="007B75A4">
        <w:rPr>
          <w:rFonts w:ascii="Times New Roman" w:hAnsi="Times New Roman" w:cs="Times New Roman"/>
          <w:color w:val="000000" w:themeColor="text1"/>
          <w:vertAlign w:val="superscript"/>
        </w:rPr>
        <w:t xml:space="preserve">2 </w:t>
      </w:r>
      <w:r w:rsidRPr="007B75A4">
        <w:rPr>
          <w:rFonts w:ascii="Times New Roman" w:hAnsi="Times New Roman" w:cs="Times New Roman"/>
          <w:color w:val="000000" w:themeColor="text1"/>
          <w:shd w:val="clear" w:color="auto" w:fill="FFFFFF"/>
        </w:rPr>
        <w:t>China Tobacco Gene Research Center, Zhengzhou Tobacco Research Institute of CNTC, 450001 Zhengzhou, China</w:t>
      </w:r>
    </w:p>
    <w:p w14:paraId="3BC1DFE3" w14:textId="77777777" w:rsidR="00E41C1A" w:rsidRPr="007B75A4" w:rsidRDefault="00E41C1A" w:rsidP="00464780">
      <w:pPr>
        <w:spacing w:line="480" w:lineRule="auto"/>
        <w:rPr>
          <w:rFonts w:ascii="Times New Roman" w:hAnsi="Times New Roman" w:cs="Times New Roman"/>
          <w:color w:val="000000" w:themeColor="text1"/>
          <w:shd w:val="clear" w:color="auto" w:fill="FFFFFF"/>
        </w:rPr>
      </w:pPr>
      <w:r>
        <w:rPr>
          <w:rFonts w:ascii="Times New Roman" w:hAnsi="Times New Roman" w:cs="Times New Roman" w:hint="eastAsia"/>
          <w:color w:val="000000" w:themeColor="text1"/>
          <w:shd w:val="clear" w:color="auto" w:fill="FFFFFF"/>
        </w:rPr>
        <w:t>3 School of plant protection, Hunan Agriculture University, 410128, Changsha, China</w:t>
      </w:r>
    </w:p>
    <w:p w14:paraId="17B6E820" w14:textId="77777777" w:rsidR="00E41C1A" w:rsidRPr="007B75A4" w:rsidRDefault="00E41C1A" w:rsidP="00464780">
      <w:pPr>
        <w:spacing w:line="480" w:lineRule="auto"/>
        <w:rPr>
          <w:rFonts w:ascii="Times New Roman" w:hAnsi="Times New Roman" w:cs="Times New Roman"/>
          <w:color w:val="000000" w:themeColor="text1"/>
          <w:vertAlign w:val="superscript"/>
        </w:rPr>
      </w:pPr>
      <w:r w:rsidRPr="007B75A4">
        <w:rPr>
          <w:rFonts w:ascii="Times New Roman" w:hAnsi="Times New Roman" w:cs="Times New Roman"/>
          <w:color w:val="000000" w:themeColor="text1"/>
          <w:vertAlign w:val="superscript"/>
        </w:rPr>
        <w:t>*</w:t>
      </w:r>
      <w:r w:rsidRPr="007B75A4">
        <w:rPr>
          <w:rFonts w:ascii="Times New Roman" w:hAnsi="Times New Roman" w:cs="Times New Roman"/>
          <w:color w:val="000000" w:themeColor="text1"/>
        </w:rPr>
        <w:t xml:space="preserve"> To whom correspondence should be addressed.</w:t>
      </w:r>
    </w:p>
    <w:p w14:paraId="5EF3D33D" w14:textId="77777777" w:rsidR="00E41C1A" w:rsidRPr="00C54669" w:rsidRDefault="00E41C1A" w:rsidP="00464780">
      <w:pPr>
        <w:spacing w:line="480" w:lineRule="auto"/>
        <w:jc w:val="left"/>
        <w:rPr>
          <w:rFonts w:ascii="Times New Roman" w:hAnsi="Times New Roman" w:cs="Times New Roman"/>
          <w:b/>
          <w:bCs/>
          <w:color w:val="000000" w:themeColor="text1"/>
          <w:sz w:val="24"/>
          <w:szCs w:val="28"/>
        </w:rPr>
      </w:pPr>
      <w:r w:rsidRPr="00C54669">
        <w:rPr>
          <w:rFonts w:ascii="Times New Roman" w:hAnsi="Times New Roman" w:cs="Times New Roman" w:hint="eastAsia"/>
          <w:b/>
          <w:bCs/>
          <w:color w:val="000000" w:themeColor="text1"/>
          <w:sz w:val="24"/>
          <w:szCs w:val="28"/>
        </w:rPr>
        <w:t>M</w:t>
      </w:r>
      <w:r w:rsidRPr="00C54669">
        <w:rPr>
          <w:rFonts w:ascii="Times New Roman" w:hAnsi="Times New Roman" w:cs="Times New Roman"/>
          <w:b/>
          <w:bCs/>
          <w:color w:val="000000" w:themeColor="text1"/>
          <w:sz w:val="24"/>
          <w:szCs w:val="28"/>
        </w:rPr>
        <w:t>aterials and Methods</w:t>
      </w:r>
    </w:p>
    <w:p w14:paraId="4AFBAD2B" w14:textId="77777777" w:rsidR="00E41C1A" w:rsidRPr="00DB01AC" w:rsidRDefault="00E41C1A" w:rsidP="00464780">
      <w:pPr>
        <w:spacing w:line="480" w:lineRule="auto"/>
        <w:jc w:val="left"/>
        <w:rPr>
          <w:rFonts w:ascii="Times New Roman" w:hAnsi="Times New Roman" w:cs="Times New Roman"/>
          <w:b/>
          <w:iCs/>
          <w:color w:val="000000" w:themeColor="text1"/>
          <w:sz w:val="24"/>
          <w:szCs w:val="28"/>
        </w:rPr>
      </w:pPr>
      <w:r w:rsidRPr="00DB01AC">
        <w:rPr>
          <w:rFonts w:ascii="Times New Roman" w:hAnsi="Times New Roman" w:cs="Times New Roman" w:hint="eastAsia"/>
          <w:b/>
          <w:color w:val="000000" w:themeColor="text1"/>
          <w:sz w:val="24"/>
          <w:szCs w:val="28"/>
        </w:rPr>
        <w:t>Plant material</w:t>
      </w:r>
      <w:r w:rsidRPr="00DB01AC">
        <w:rPr>
          <w:rFonts w:ascii="Times New Roman" w:hAnsi="Times New Roman" w:cs="Times New Roman" w:hint="eastAsia"/>
          <w:b/>
          <w:iCs/>
          <w:color w:val="000000" w:themeColor="text1"/>
          <w:sz w:val="24"/>
          <w:szCs w:val="28"/>
        </w:rPr>
        <w:t xml:space="preserve"> and fungal</w:t>
      </w:r>
      <w:r w:rsidRPr="00DB01AC">
        <w:rPr>
          <w:rFonts w:ascii="Times New Roman" w:hAnsi="Times New Roman" w:cs="Times New Roman" w:hint="eastAsia"/>
          <w:b/>
          <w:i/>
          <w:iCs/>
          <w:color w:val="000000" w:themeColor="text1"/>
          <w:sz w:val="24"/>
          <w:szCs w:val="28"/>
        </w:rPr>
        <w:t xml:space="preserve"> </w:t>
      </w:r>
      <w:r w:rsidRPr="00DB01AC">
        <w:rPr>
          <w:rFonts w:ascii="Times New Roman" w:hAnsi="Times New Roman" w:cs="Times New Roman"/>
          <w:b/>
          <w:iCs/>
          <w:color w:val="000000" w:themeColor="text1"/>
          <w:sz w:val="24"/>
          <w:szCs w:val="28"/>
        </w:rPr>
        <w:t>inoculation</w:t>
      </w:r>
      <w:r w:rsidRPr="00DB01AC">
        <w:rPr>
          <w:rFonts w:ascii="Times New Roman" w:hAnsi="Times New Roman" w:cs="Times New Roman" w:hint="eastAsia"/>
          <w:b/>
          <w:iCs/>
          <w:color w:val="000000" w:themeColor="text1"/>
          <w:sz w:val="24"/>
          <w:szCs w:val="28"/>
        </w:rPr>
        <w:t xml:space="preserve"> </w:t>
      </w:r>
    </w:p>
    <w:p w14:paraId="342F1494" w14:textId="77777777" w:rsidR="00E41C1A" w:rsidRDefault="00E41C1A" w:rsidP="00464780">
      <w:pPr>
        <w:adjustRightInd w:val="0"/>
        <w:snapToGrid w:val="0"/>
        <w:spacing w:line="480" w:lineRule="auto"/>
        <w:rPr>
          <w:rStyle w:val="apple-converted-space"/>
          <w:rFonts w:ascii="Times New Roman" w:eastAsia="等线" w:hAnsi="Times New Roman" w:cs="Times New Roman"/>
          <w:sz w:val="24"/>
          <w:szCs w:val="24"/>
        </w:rPr>
      </w:pPr>
      <w:r w:rsidRPr="00B63992">
        <w:rPr>
          <w:rStyle w:val="apple-converted-space"/>
          <w:rFonts w:ascii="Times New Roman" w:eastAsia="等线" w:hAnsi="Times New Roman" w:cs="Times New Roman"/>
          <w:sz w:val="24"/>
          <w:szCs w:val="24"/>
        </w:rPr>
        <w:t>Rice</w:t>
      </w:r>
      <w:r>
        <w:rPr>
          <w:rFonts w:ascii="Times New Roman" w:hAnsi="Times New Roman" w:hint="eastAsia"/>
          <w:sz w:val="24"/>
          <w:szCs w:val="24"/>
        </w:rPr>
        <w:t xml:space="preserve"> </w:t>
      </w:r>
      <w:r w:rsidRPr="00B63992">
        <w:rPr>
          <w:rFonts w:ascii="Times New Roman" w:eastAsia="等线" w:hAnsi="Times New Roman" w:cs="Times New Roman"/>
          <w:sz w:val="24"/>
          <w:szCs w:val="24"/>
        </w:rPr>
        <w:t>(</w:t>
      </w:r>
      <w:r w:rsidRPr="00B63992">
        <w:rPr>
          <w:rFonts w:ascii="Times New Roman" w:eastAsia="等线" w:hAnsi="Times New Roman" w:cs="Times New Roman"/>
          <w:i/>
          <w:sz w:val="24"/>
          <w:szCs w:val="24"/>
        </w:rPr>
        <w:t>Oryza sativa</w:t>
      </w:r>
      <w:r w:rsidRPr="00B63992">
        <w:rPr>
          <w:rFonts w:ascii="Times New Roman" w:eastAsia="等线" w:hAnsi="Times New Roman" w:cs="Times New Roman"/>
          <w:sz w:val="24"/>
          <w:szCs w:val="24"/>
        </w:rPr>
        <w:t xml:space="preserve"> ssp </w:t>
      </w:r>
      <w:r w:rsidRPr="00B63992">
        <w:rPr>
          <w:rFonts w:ascii="Times New Roman" w:eastAsia="等线" w:hAnsi="Times New Roman" w:cs="Times New Roman"/>
          <w:i/>
          <w:sz w:val="24"/>
          <w:szCs w:val="24"/>
        </w:rPr>
        <w:t>japonica</w:t>
      </w:r>
      <w:r w:rsidRPr="00B63992">
        <w:rPr>
          <w:rFonts w:ascii="Times New Roman" w:eastAsia="等线" w:hAnsi="Times New Roman" w:cs="Times New Roman"/>
          <w:sz w:val="24"/>
          <w:szCs w:val="24"/>
        </w:rPr>
        <w:t xml:space="preserve"> cv Nipponbare)</w:t>
      </w:r>
      <w:r w:rsidRPr="00B63992">
        <w:rPr>
          <w:rStyle w:val="apple-converted-space"/>
          <w:rFonts w:ascii="Times New Roman" w:eastAsia="等线" w:hAnsi="Times New Roman" w:cs="Times New Roman"/>
          <w:sz w:val="24"/>
          <w:szCs w:val="24"/>
        </w:rPr>
        <w:t xml:space="preserve"> were surface-sterilized and transferred to </w:t>
      </w:r>
      <w:r>
        <w:rPr>
          <w:rStyle w:val="apple-converted-space"/>
          <w:rFonts w:ascii="Times New Roman" w:eastAsia="等线" w:hAnsi="Times New Roman" w:cs="Times New Roman" w:hint="eastAsia"/>
          <w:sz w:val="24"/>
          <w:szCs w:val="24"/>
        </w:rPr>
        <w:t xml:space="preserve">MS </w:t>
      </w:r>
      <w:r w:rsidRPr="00B63992">
        <w:rPr>
          <w:rStyle w:val="apple-converted-space"/>
          <w:rFonts w:ascii="Times New Roman" w:eastAsia="等线" w:hAnsi="Times New Roman" w:cs="Times New Roman"/>
          <w:sz w:val="24"/>
          <w:szCs w:val="24"/>
        </w:rPr>
        <w:t xml:space="preserve">medium. After germination, rice seedlings were transplanted into </w:t>
      </w:r>
      <w:r>
        <w:rPr>
          <w:rStyle w:val="apple-converted-space"/>
          <w:rFonts w:ascii="Times New Roman" w:eastAsia="等线" w:hAnsi="Times New Roman" w:cs="Times New Roman" w:hint="eastAsia"/>
          <w:sz w:val="24"/>
          <w:szCs w:val="24"/>
        </w:rPr>
        <w:t>vermiculite-filled pots</w:t>
      </w:r>
      <w:r w:rsidRPr="00B63992">
        <w:rPr>
          <w:rStyle w:val="apple-converted-space"/>
          <w:rFonts w:ascii="Times New Roman" w:eastAsia="等线" w:hAnsi="Times New Roman" w:cs="Times New Roman"/>
          <w:sz w:val="24"/>
          <w:szCs w:val="24"/>
        </w:rPr>
        <w:t xml:space="preserve"> and kept in a growth chamber at 26 °C/24 °C under a 14 h light/10 h dark cycle with 85% humidity.</w:t>
      </w:r>
      <w:bookmarkStart w:id="0" w:name="OLE_LINK51"/>
      <w:bookmarkStart w:id="1" w:name="OLE_LINK52"/>
      <w:r>
        <w:rPr>
          <w:rStyle w:val="apple-converted-space"/>
          <w:rFonts w:ascii="Times New Roman" w:eastAsia="等线" w:hAnsi="Times New Roman" w:cs="Times New Roman" w:hint="eastAsia"/>
          <w:sz w:val="24"/>
          <w:szCs w:val="24"/>
        </w:rPr>
        <w:t xml:space="preserve"> </w:t>
      </w:r>
      <w:r>
        <w:rPr>
          <w:rStyle w:val="apple-converted-space"/>
          <w:rFonts w:ascii="Times New Roman" w:hAnsi="Times New Roman" w:hint="eastAsia"/>
          <w:sz w:val="24"/>
          <w:szCs w:val="24"/>
        </w:rPr>
        <w:t xml:space="preserve">The </w:t>
      </w:r>
      <w:r w:rsidRPr="00B63992">
        <w:rPr>
          <w:rStyle w:val="apple-converted-space"/>
          <w:rFonts w:ascii="Times New Roman" w:eastAsia="等线" w:hAnsi="Times New Roman" w:cs="Times New Roman"/>
          <w:i/>
          <w:sz w:val="24"/>
          <w:szCs w:val="24"/>
        </w:rPr>
        <w:t>M. oryzae</w:t>
      </w:r>
      <w:r w:rsidRPr="00B63992">
        <w:rPr>
          <w:rStyle w:val="apple-converted-space"/>
          <w:rFonts w:ascii="Times New Roman" w:eastAsia="等线" w:hAnsi="Times New Roman" w:cs="Times New Roman"/>
          <w:sz w:val="24"/>
          <w:szCs w:val="24"/>
        </w:rPr>
        <w:t xml:space="preserve"> strains (TMC-1)</w:t>
      </w:r>
      <w:r>
        <w:rPr>
          <w:rStyle w:val="apple-converted-space"/>
          <w:rFonts w:ascii="Times New Roman" w:hAnsi="Times New Roman" w:hint="eastAsia"/>
          <w:sz w:val="24"/>
          <w:szCs w:val="24"/>
        </w:rPr>
        <w:t xml:space="preserve"> was cultured on </w:t>
      </w:r>
      <w:r w:rsidRPr="00414A77">
        <w:rPr>
          <w:rStyle w:val="apple-converted-space"/>
          <w:rFonts w:ascii="Times New Roman" w:hAnsi="Times New Roman"/>
          <w:sz w:val="24"/>
          <w:szCs w:val="24"/>
        </w:rPr>
        <w:t xml:space="preserve">complete </w:t>
      </w:r>
      <w:r>
        <w:rPr>
          <w:rStyle w:val="apple-converted-space"/>
          <w:rFonts w:ascii="Times New Roman" w:hAnsi="Times New Roman" w:hint="eastAsia"/>
          <w:sz w:val="24"/>
          <w:szCs w:val="24"/>
        </w:rPr>
        <w:t xml:space="preserve">medium </w:t>
      </w:r>
      <w:r w:rsidR="000A56E6">
        <w:rPr>
          <w:rStyle w:val="apple-converted-space"/>
          <w:rFonts w:ascii="Times New Roman" w:hAnsi="Times New Roman"/>
          <w:sz w:val="24"/>
          <w:szCs w:val="24"/>
        </w:rPr>
        <w:fldChar w:fldCharType="begin"/>
      </w:r>
      <w:r w:rsidR="006F15B6">
        <w:rPr>
          <w:rStyle w:val="apple-converted-space"/>
          <w:rFonts w:ascii="Times New Roman" w:hAnsi="Times New Roman"/>
          <w:sz w:val="24"/>
          <w:szCs w:val="24"/>
        </w:rPr>
        <w:instrText xml:space="preserve"> ADDIN EN.CITE &lt;EndNote&gt;&lt;Cite&gt;&lt;Author&gt;Zhou&lt;/Author&gt;&lt;Year&gt;2016&lt;/Year&gt;&lt;RecNum&gt;191&lt;/RecNum&gt;&lt;DisplayText&gt;(Zhou et al. 2016)&lt;/DisplayText&gt;&lt;record&gt;&lt;rec-number&gt;191&lt;/rec-number&gt;&lt;foreign-keys&gt;&lt;key app="EN" db-id="fxxpvfrxet22anexdd4x509axvseez9ewrfr" timestamp="1597109384"&gt;191&lt;/key&gt;&lt;/foreign-keys&gt;&lt;ref-type name="Journal Article"&gt;17&lt;/ref-type&gt;&lt;contributors&gt;&lt;authors&gt;&lt;author&gt;Zhou, X. G.&lt;/author&gt;&lt;author&gt;Yu, P.&lt;/author&gt;&lt;author&gt;Dong, C.&lt;/author&gt;&lt;author&gt;Yao, C. X.&lt;/author&gt;&lt;author&gt;Zhao, Z. W.&lt;/author&gt;&lt;/authors&gt;&lt;/contributors&gt;&lt;titles&gt;&lt;title&gt;Proteomic analysis of mycelial proteins from Magnaporthe oryzae under nitrogen starvation&lt;/title&gt;&lt;secondary-title&gt;Genetics &amp;amp; Molecular Research Gmr&lt;/secondary-title&gt;&lt;/titles&gt;&lt;periodical&gt;&lt;full-title&gt;Genetics &amp;amp; Molecular Research Gmr&lt;/full-title&gt;&lt;/periodical&gt;&lt;volume&gt;15&lt;/volume&gt;&lt;number&gt;2&lt;/number&gt;&lt;dates&gt;&lt;year&gt;2016&lt;/year&gt;&lt;/dates&gt;&lt;urls&gt;&lt;/urls&gt;&lt;/record&gt;&lt;/Cite&gt;&lt;/EndNote&gt;</w:instrText>
      </w:r>
      <w:r w:rsidR="000A56E6">
        <w:rPr>
          <w:rStyle w:val="apple-converted-space"/>
          <w:rFonts w:ascii="Times New Roman" w:hAnsi="Times New Roman"/>
          <w:sz w:val="24"/>
          <w:szCs w:val="24"/>
        </w:rPr>
        <w:fldChar w:fldCharType="separate"/>
      </w:r>
      <w:r w:rsidR="006F15B6">
        <w:rPr>
          <w:rStyle w:val="apple-converted-space"/>
          <w:rFonts w:ascii="Times New Roman" w:hAnsi="Times New Roman"/>
          <w:noProof/>
          <w:sz w:val="24"/>
          <w:szCs w:val="24"/>
        </w:rPr>
        <w:t>(Zhou et al. 2016)</w:t>
      </w:r>
      <w:r w:rsidR="000A56E6">
        <w:rPr>
          <w:rStyle w:val="apple-converted-space"/>
          <w:rFonts w:ascii="Times New Roman" w:hAnsi="Times New Roman"/>
          <w:sz w:val="24"/>
          <w:szCs w:val="24"/>
        </w:rPr>
        <w:fldChar w:fldCharType="end"/>
      </w:r>
      <w:r>
        <w:rPr>
          <w:rStyle w:val="apple-converted-space"/>
          <w:rFonts w:ascii="Times New Roman" w:hAnsi="Times New Roman" w:hint="eastAsia"/>
          <w:sz w:val="24"/>
          <w:szCs w:val="24"/>
        </w:rPr>
        <w:t xml:space="preserve"> at 25</w:t>
      </w:r>
      <w:r w:rsidRPr="00B63992">
        <w:rPr>
          <w:rStyle w:val="apple-converted-space"/>
          <w:rFonts w:ascii="Times New Roman" w:eastAsia="等线" w:hAnsi="Times New Roman" w:cs="Times New Roman"/>
          <w:sz w:val="24"/>
          <w:szCs w:val="24"/>
        </w:rPr>
        <w:t>°C</w:t>
      </w:r>
      <w:r>
        <w:rPr>
          <w:rStyle w:val="apple-converted-space"/>
          <w:rFonts w:ascii="Times New Roman" w:eastAsia="等线" w:hAnsi="Times New Roman" w:cs="Times New Roman" w:hint="eastAsia"/>
          <w:sz w:val="24"/>
          <w:szCs w:val="24"/>
        </w:rPr>
        <w:t xml:space="preserve"> for 5-6 days from storage at -20</w:t>
      </w:r>
      <w:r w:rsidRPr="00B63992">
        <w:rPr>
          <w:rStyle w:val="apple-converted-space"/>
          <w:rFonts w:ascii="Times New Roman" w:eastAsia="等线" w:hAnsi="Times New Roman" w:cs="Times New Roman"/>
          <w:sz w:val="24"/>
          <w:szCs w:val="24"/>
        </w:rPr>
        <w:t>°C</w:t>
      </w:r>
      <w:bookmarkEnd w:id="0"/>
      <w:bookmarkEnd w:id="1"/>
      <w:r>
        <w:rPr>
          <w:rStyle w:val="apple-converted-space"/>
          <w:rFonts w:ascii="Times New Roman" w:eastAsia="等线" w:hAnsi="Times New Roman" w:cs="Times New Roman" w:hint="eastAsia"/>
          <w:sz w:val="24"/>
          <w:szCs w:val="24"/>
        </w:rPr>
        <w:t xml:space="preserve">. Then </w:t>
      </w:r>
      <w:r w:rsidRPr="00B63992">
        <w:rPr>
          <w:rStyle w:val="apple-converted-space"/>
          <w:rFonts w:ascii="Times New Roman" w:eastAsia="等线" w:hAnsi="Times New Roman" w:cs="Times New Roman"/>
          <w:sz w:val="24"/>
          <w:szCs w:val="24"/>
        </w:rPr>
        <w:t>5×10</w:t>
      </w:r>
      <w:r w:rsidRPr="00B63992">
        <w:rPr>
          <w:rStyle w:val="apple-converted-space"/>
          <w:rFonts w:ascii="Times New Roman" w:eastAsia="等线" w:hAnsi="Times New Roman" w:cs="Times New Roman"/>
          <w:sz w:val="24"/>
          <w:szCs w:val="24"/>
          <w:vertAlign w:val="superscript"/>
        </w:rPr>
        <w:t>5</w:t>
      </w:r>
      <w:r w:rsidRPr="00B63992">
        <w:rPr>
          <w:rStyle w:val="apple-converted-space"/>
          <w:rFonts w:ascii="Times New Roman" w:eastAsia="等线" w:hAnsi="Times New Roman" w:cs="Times New Roman"/>
          <w:sz w:val="24"/>
          <w:szCs w:val="24"/>
        </w:rPr>
        <w:t xml:space="preserve"> spores/mL with 0.02% Tween-20</w:t>
      </w:r>
      <w:r>
        <w:rPr>
          <w:rStyle w:val="apple-converted-space"/>
          <w:rFonts w:ascii="Times New Roman" w:eastAsia="等线" w:hAnsi="Times New Roman" w:cs="Times New Roman" w:hint="eastAsia"/>
          <w:sz w:val="24"/>
          <w:szCs w:val="24"/>
        </w:rPr>
        <w:t xml:space="preserve"> </w:t>
      </w:r>
      <w:r>
        <w:rPr>
          <w:rStyle w:val="apple-converted-space"/>
          <w:rFonts w:ascii="Times New Roman" w:eastAsia="等线" w:hAnsi="Times New Roman" w:cs="Times New Roman"/>
          <w:sz w:val="24"/>
          <w:szCs w:val="24"/>
        </w:rPr>
        <w:t>was</w:t>
      </w:r>
      <w:r>
        <w:rPr>
          <w:rStyle w:val="apple-converted-space"/>
          <w:rFonts w:ascii="Times New Roman" w:eastAsia="等线" w:hAnsi="Times New Roman" w:cs="Times New Roman" w:hint="eastAsia"/>
          <w:sz w:val="24"/>
          <w:szCs w:val="24"/>
        </w:rPr>
        <w:t xml:space="preserve"> used as final concentration for inoculation</w:t>
      </w:r>
      <w:r w:rsidRPr="00B63992">
        <w:rPr>
          <w:rStyle w:val="apple-converted-space"/>
          <w:rFonts w:ascii="Times New Roman" w:eastAsia="等线" w:hAnsi="Times New Roman" w:cs="Times New Roman"/>
          <w:sz w:val="24"/>
          <w:szCs w:val="24"/>
        </w:rPr>
        <w:t xml:space="preserve">. </w:t>
      </w:r>
    </w:p>
    <w:p w14:paraId="0D352FF6" w14:textId="77777777" w:rsidR="00E41C1A" w:rsidRDefault="00E41C1A" w:rsidP="00464780">
      <w:pPr>
        <w:adjustRightInd w:val="0"/>
        <w:snapToGrid w:val="0"/>
        <w:spacing w:line="480" w:lineRule="auto"/>
        <w:ind w:firstLineChars="200" w:firstLine="480"/>
        <w:rPr>
          <w:rStyle w:val="apple-converted-space"/>
          <w:rFonts w:ascii="Times New Roman" w:eastAsia="等线" w:hAnsi="Times New Roman" w:cs="Times New Roman"/>
          <w:sz w:val="24"/>
          <w:szCs w:val="24"/>
        </w:rPr>
      </w:pPr>
      <w:r>
        <w:rPr>
          <w:rStyle w:val="apple-converted-space"/>
          <w:rFonts w:ascii="Times New Roman" w:eastAsia="等线" w:hAnsi="Times New Roman" w:cs="Times New Roman" w:hint="eastAsia"/>
          <w:sz w:val="24"/>
          <w:szCs w:val="24"/>
        </w:rPr>
        <w:t xml:space="preserve">When two fully expanded leaves appeared, whole plants were inoculated using spraying infection method with the spores of TMC, and the </w:t>
      </w:r>
      <w:r>
        <w:rPr>
          <w:rStyle w:val="apple-converted-space"/>
          <w:rFonts w:ascii="Times New Roman" w:eastAsia="等线" w:hAnsi="Times New Roman" w:cs="Times New Roman"/>
          <w:sz w:val="24"/>
          <w:szCs w:val="24"/>
        </w:rPr>
        <w:t>inoculated</w:t>
      </w:r>
      <w:r>
        <w:rPr>
          <w:rStyle w:val="apple-converted-space"/>
          <w:rFonts w:ascii="Times New Roman" w:eastAsia="等线" w:hAnsi="Times New Roman" w:cs="Times New Roman" w:hint="eastAsia"/>
          <w:sz w:val="24"/>
          <w:szCs w:val="24"/>
        </w:rPr>
        <w:t xml:space="preserve"> plants were </w:t>
      </w:r>
      <w:r w:rsidRPr="00B63992">
        <w:rPr>
          <w:rStyle w:val="apple-converted-space"/>
          <w:rFonts w:ascii="Times New Roman" w:eastAsia="等线" w:hAnsi="Times New Roman" w:cs="Times New Roman"/>
          <w:sz w:val="24"/>
          <w:szCs w:val="24"/>
        </w:rPr>
        <w:t>kept in a dark chamber at 85% humidity and 24</w:t>
      </w:r>
      <w:r w:rsidRPr="00B63992">
        <w:rPr>
          <w:rFonts w:ascii="Times New Roman" w:eastAsia="等线" w:hAnsi="Times New Roman" w:cs="Times New Roman"/>
          <w:sz w:val="24"/>
          <w:szCs w:val="24"/>
        </w:rPr>
        <w:t xml:space="preserve"> </w:t>
      </w:r>
      <w:r w:rsidRPr="00B63992">
        <w:rPr>
          <w:rStyle w:val="apple-converted-space"/>
          <w:rFonts w:ascii="Times New Roman" w:eastAsia="等线" w:hAnsi="Times New Roman" w:cs="Times New Roman"/>
          <w:sz w:val="24"/>
          <w:szCs w:val="24"/>
        </w:rPr>
        <w:t xml:space="preserve">°C. After 34 hpi, the plants were maintained in the growth chamber at 26 °C/24 °C in a 14 h light/12 h dark cycle with 85% humidity. Leaves were </w:t>
      </w:r>
      <w:r>
        <w:rPr>
          <w:rStyle w:val="apple-converted-space"/>
          <w:rFonts w:ascii="Times New Roman" w:eastAsia="等线" w:hAnsi="Times New Roman" w:cs="Times New Roman" w:hint="eastAsia"/>
          <w:sz w:val="24"/>
          <w:szCs w:val="24"/>
        </w:rPr>
        <w:t>collected</w:t>
      </w:r>
      <w:r>
        <w:rPr>
          <w:rStyle w:val="apple-converted-space"/>
          <w:rFonts w:ascii="Times New Roman" w:eastAsia="等线" w:hAnsi="Times New Roman" w:cs="Times New Roman"/>
          <w:sz w:val="24"/>
          <w:szCs w:val="24"/>
        </w:rPr>
        <w:t xml:space="preserve"> at</w:t>
      </w:r>
      <w:r w:rsidRPr="00B63992">
        <w:rPr>
          <w:rStyle w:val="apple-converted-space"/>
          <w:rFonts w:ascii="Times New Roman" w:eastAsia="等线" w:hAnsi="Times New Roman" w:cs="Times New Roman"/>
          <w:sz w:val="24"/>
          <w:szCs w:val="24"/>
        </w:rPr>
        <w:t xml:space="preserve"> 24, 48, and 72 </w:t>
      </w:r>
      <w:r>
        <w:rPr>
          <w:rStyle w:val="apple-converted-space"/>
          <w:rFonts w:ascii="Times New Roman" w:eastAsia="等线" w:hAnsi="Times New Roman" w:cs="Times New Roman" w:hint="eastAsia"/>
          <w:sz w:val="24"/>
          <w:szCs w:val="24"/>
        </w:rPr>
        <w:t>hours post</w:t>
      </w:r>
      <w:r>
        <w:rPr>
          <w:rStyle w:val="apple-converted-space"/>
          <w:rFonts w:ascii="Times New Roman" w:eastAsia="等线" w:hAnsi="Times New Roman" w:cs="Times New Roman"/>
          <w:sz w:val="24"/>
          <w:szCs w:val="24"/>
        </w:rPr>
        <w:t xml:space="preserve"> i</w:t>
      </w:r>
      <w:r>
        <w:rPr>
          <w:rStyle w:val="apple-converted-space"/>
          <w:rFonts w:ascii="Times New Roman" w:eastAsia="等线" w:hAnsi="Times New Roman" w:cs="Times New Roman" w:hint="eastAsia"/>
          <w:sz w:val="24"/>
          <w:szCs w:val="24"/>
        </w:rPr>
        <w:t>nocul</w:t>
      </w:r>
      <w:r>
        <w:rPr>
          <w:rStyle w:val="apple-converted-space"/>
          <w:rFonts w:ascii="Times New Roman" w:eastAsia="等线" w:hAnsi="Times New Roman" w:cs="Times New Roman"/>
          <w:sz w:val="24"/>
          <w:szCs w:val="24"/>
        </w:rPr>
        <w:t>ation</w:t>
      </w:r>
      <w:r>
        <w:rPr>
          <w:rStyle w:val="apple-converted-space"/>
          <w:rFonts w:ascii="Times New Roman" w:eastAsia="等线" w:hAnsi="Times New Roman" w:cs="Times New Roman" w:hint="eastAsia"/>
          <w:sz w:val="24"/>
          <w:szCs w:val="24"/>
        </w:rPr>
        <w:t xml:space="preserve">. </w:t>
      </w:r>
      <w:r>
        <w:rPr>
          <w:rStyle w:val="apple-converted-space"/>
          <w:rFonts w:ascii="Times New Roman" w:eastAsia="等线" w:hAnsi="Times New Roman" w:cs="Times New Roman"/>
          <w:sz w:val="24"/>
          <w:szCs w:val="24"/>
        </w:rPr>
        <w:t>R</w:t>
      </w:r>
      <w:r>
        <w:rPr>
          <w:rStyle w:val="apple-converted-space"/>
          <w:rFonts w:ascii="Times New Roman" w:eastAsia="等线" w:hAnsi="Times New Roman" w:cs="Times New Roman" w:hint="eastAsia"/>
          <w:sz w:val="24"/>
          <w:szCs w:val="24"/>
        </w:rPr>
        <w:t xml:space="preserve">ice plants were treated with </w:t>
      </w:r>
      <w:r w:rsidRPr="00B63992">
        <w:rPr>
          <w:rStyle w:val="apple-converted-space"/>
          <w:rFonts w:ascii="Times New Roman" w:eastAsia="等线" w:hAnsi="Times New Roman" w:cs="Times New Roman"/>
          <w:sz w:val="24"/>
          <w:szCs w:val="24"/>
        </w:rPr>
        <w:t>0.02%</w:t>
      </w:r>
      <w:r>
        <w:rPr>
          <w:rStyle w:val="apple-converted-space"/>
          <w:rFonts w:ascii="Times New Roman" w:eastAsia="等线" w:hAnsi="Times New Roman" w:cs="Times New Roman" w:hint="eastAsia"/>
          <w:sz w:val="24"/>
          <w:szCs w:val="24"/>
        </w:rPr>
        <w:t xml:space="preserve"> Tween-20 and collected at the same time points for use as mock </w:t>
      </w:r>
      <w:r>
        <w:rPr>
          <w:rStyle w:val="apple-converted-space"/>
          <w:rFonts w:ascii="Times New Roman" w:eastAsia="等线" w:hAnsi="Times New Roman" w:cs="Times New Roman"/>
          <w:sz w:val="24"/>
          <w:szCs w:val="24"/>
        </w:rPr>
        <w:t>treatments</w:t>
      </w:r>
      <w:r>
        <w:rPr>
          <w:rStyle w:val="apple-converted-space"/>
          <w:rFonts w:ascii="Times New Roman" w:eastAsia="等线" w:hAnsi="Times New Roman" w:cs="Times New Roman" w:hint="eastAsia"/>
          <w:sz w:val="24"/>
          <w:szCs w:val="24"/>
        </w:rPr>
        <w:t xml:space="preserve">. </w:t>
      </w:r>
      <w:r>
        <w:rPr>
          <w:rStyle w:val="apple-converted-space"/>
          <w:rFonts w:ascii="Times New Roman" w:eastAsia="等线" w:hAnsi="Times New Roman" w:cs="Times New Roman"/>
          <w:sz w:val="24"/>
          <w:szCs w:val="24"/>
        </w:rPr>
        <w:t>S</w:t>
      </w:r>
      <w:r>
        <w:rPr>
          <w:rStyle w:val="apple-converted-space"/>
          <w:rFonts w:ascii="Times New Roman" w:eastAsia="等线" w:hAnsi="Times New Roman" w:cs="Times New Roman" w:hint="eastAsia"/>
          <w:sz w:val="24"/>
          <w:szCs w:val="24"/>
        </w:rPr>
        <w:t xml:space="preserve">ix to eight plants for each treatment were used. All samples </w:t>
      </w:r>
      <w:r>
        <w:rPr>
          <w:rStyle w:val="apple-converted-space"/>
          <w:rFonts w:ascii="Times New Roman" w:eastAsia="等线" w:hAnsi="Times New Roman" w:cs="Times New Roman" w:hint="eastAsia"/>
          <w:sz w:val="24"/>
          <w:szCs w:val="24"/>
        </w:rPr>
        <w:lastRenderedPageBreak/>
        <w:t>were</w:t>
      </w:r>
      <w:r w:rsidRPr="00B63992">
        <w:rPr>
          <w:rStyle w:val="apple-converted-space"/>
          <w:rFonts w:ascii="Times New Roman" w:eastAsia="等线" w:hAnsi="Times New Roman" w:cs="Times New Roman"/>
          <w:sz w:val="24"/>
          <w:szCs w:val="24"/>
        </w:rPr>
        <w:t xml:space="preserve"> </w:t>
      </w:r>
      <w:r w:rsidRPr="00B63992">
        <w:rPr>
          <w:rStyle w:val="apple-converted-space"/>
          <w:rFonts w:ascii="Times New Roman" w:eastAsia="等线" w:hAnsi="Times New Roman" w:cs="Times New Roman"/>
          <w:kern w:val="0"/>
          <w:sz w:val="24"/>
          <w:szCs w:val="24"/>
        </w:rPr>
        <w:t>immediately frozen in liquid nitrogen and kept at −80</w:t>
      </w:r>
      <w:r w:rsidRPr="00B63992">
        <w:rPr>
          <w:rStyle w:val="apple-converted-space"/>
          <w:rFonts w:ascii="Times New Roman" w:eastAsia="等线" w:hAnsi="Times New Roman" w:cs="Times New Roman"/>
          <w:sz w:val="24"/>
          <w:szCs w:val="24"/>
        </w:rPr>
        <w:t xml:space="preserve"> °C until </w:t>
      </w:r>
      <w:r>
        <w:rPr>
          <w:rStyle w:val="apple-converted-space"/>
          <w:rFonts w:ascii="Times New Roman" w:eastAsia="等线" w:hAnsi="Times New Roman" w:cs="Times New Roman" w:hint="eastAsia"/>
          <w:sz w:val="24"/>
          <w:szCs w:val="24"/>
        </w:rPr>
        <w:t xml:space="preserve">further use. </w:t>
      </w:r>
    </w:p>
    <w:p w14:paraId="4C7D9AB4" w14:textId="77777777" w:rsidR="00E41C1A" w:rsidRPr="00AB1091" w:rsidRDefault="00E41C1A" w:rsidP="00464780">
      <w:pPr>
        <w:adjustRightInd w:val="0"/>
        <w:snapToGrid w:val="0"/>
        <w:spacing w:line="480" w:lineRule="auto"/>
        <w:rPr>
          <w:rStyle w:val="apple-converted-space"/>
          <w:rFonts w:ascii="Times New Roman" w:eastAsia="等线" w:hAnsi="Times New Roman" w:cs="Times New Roman"/>
          <w:sz w:val="24"/>
          <w:szCs w:val="24"/>
        </w:rPr>
      </w:pPr>
    </w:p>
    <w:p w14:paraId="09A4B6EC" w14:textId="77777777" w:rsidR="00E41C1A" w:rsidRDefault="00E41C1A" w:rsidP="00464780">
      <w:pPr>
        <w:spacing w:line="480" w:lineRule="auto"/>
        <w:jc w:val="left"/>
        <w:rPr>
          <w:rFonts w:ascii="Times New Roman" w:hAnsi="Times New Roman" w:cs="Times New Roman"/>
          <w:color w:val="000000" w:themeColor="text1"/>
          <w:sz w:val="24"/>
          <w:szCs w:val="28"/>
        </w:rPr>
      </w:pPr>
    </w:p>
    <w:p w14:paraId="0F0A32CF" w14:textId="77777777" w:rsidR="00E41C1A" w:rsidRDefault="00E41C1A" w:rsidP="00464780">
      <w:pPr>
        <w:spacing w:line="480" w:lineRule="auto"/>
        <w:jc w:val="left"/>
        <w:rPr>
          <w:rFonts w:ascii="Times New Roman" w:hAnsi="Times New Roman" w:cs="Times New Roman"/>
          <w:b/>
          <w:bCs/>
          <w:color w:val="000000" w:themeColor="text1"/>
          <w:sz w:val="24"/>
          <w:szCs w:val="28"/>
        </w:rPr>
      </w:pPr>
      <w:r w:rsidRPr="00D3044B">
        <w:rPr>
          <w:rFonts w:ascii="Times New Roman" w:hAnsi="Times New Roman" w:cs="Times New Roman" w:hint="eastAsia"/>
          <w:b/>
          <w:bCs/>
          <w:color w:val="000000" w:themeColor="text1"/>
          <w:sz w:val="24"/>
          <w:szCs w:val="28"/>
        </w:rPr>
        <w:t>L</w:t>
      </w:r>
      <w:r w:rsidRPr="00D3044B">
        <w:rPr>
          <w:rFonts w:ascii="Times New Roman" w:hAnsi="Times New Roman" w:cs="Times New Roman"/>
          <w:b/>
          <w:bCs/>
          <w:color w:val="000000" w:themeColor="text1"/>
          <w:sz w:val="24"/>
          <w:szCs w:val="28"/>
        </w:rPr>
        <w:t>ncRNA sequencing</w:t>
      </w:r>
    </w:p>
    <w:p w14:paraId="154BF616" w14:textId="77777777" w:rsidR="00E41C1A" w:rsidRDefault="00E41C1A" w:rsidP="00464780">
      <w:pPr>
        <w:pStyle w:val="Default"/>
        <w:spacing w:line="480" w:lineRule="auto"/>
        <w:rPr>
          <w:sz w:val="23"/>
          <w:szCs w:val="23"/>
        </w:rPr>
      </w:pPr>
      <w:r>
        <w:rPr>
          <w:sz w:val="23"/>
          <w:szCs w:val="23"/>
        </w:rPr>
        <w:t>LncRNA sequencing was performed by Novogene Company</w:t>
      </w:r>
      <w:r>
        <w:rPr>
          <w:rFonts w:hint="eastAsia"/>
          <w:sz w:val="23"/>
          <w:szCs w:val="23"/>
        </w:rPr>
        <w:t xml:space="preserve"> (Beijing, China)</w:t>
      </w:r>
      <w:r>
        <w:rPr>
          <w:sz w:val="23"/>
          <w:szCs w:val="23"/>
        </w:rPr>
        <w:t xml:space="preserve">. In brief, the total RNA without rRNA was used to construct the strand-specific RNA libraries with an insert size of 250-300 bp. The paired-end 150 bp sequencing was then performed on an Illumina Hiseq platform. </w:t>
      </w:r>
      <w:r>
        <w:rPr>
          <w:rFonts w:hint="eastAsia"/>
          <w:sz w:val="23"/>
          <w:szCs w:val="23"/>
        </w:rPr>
        <w:t>Three replicates for each treatment were performed.</w:t>
      </w:r>
    </w:p>
    <w:p w14:paraId="1E2C5707" w14:textId="77777777" w:rsidR="00E41C1A" w:rsidRDefault="00E41C1A" w:rsidP="00464780">
      <w:pPr>
        <w:pStyle w:val="Default"/>
        <w:spacing w:line="480" w:lineRule="auto"/>
        <w:rPr>
          <w:sz w:val="23"/>
          <w:szCs w:val="23"/>
        </w:rPr>
      </w:pPr>
    </w:p>
    <w:p w14:paraId="26136164" w14:textId="77777777" w:rsidR="00E41C1A" w:rsidRPr="007D451C" w:rsidRDefault="00E41C1A" w:rsidP="00464780">
      <w:pPr>
        <w:pStyle w:val="Default"/>
        <w:spacing w:line="480" w:lineRule="auto"/>
        <w:rPr>
          <w:b/>
          <w:bCs/>
          <w:color w:val="000000" w:themeColor="text1"/>
          <w:kern w:val="2"/>
          <w:szCs w:val="28"/>
        </w:rPr>
      </w:pPr>
      <w:r w:rsidRPr="007D451C">
        <w:rPr>
          <w:b/>
          <w:bCs/>
          <w:color w:val="000000" w:themeColor="text1"/>
          <w:kern w:val="2"/>
          <w:szCs w:val="28"/>
        </w:rPr>
        <w:t>Transcriptome assembly and annotations</w:t>
      </w:r>
    </w:p>
    <w:p w14:paraId="508BF57F" w14:textId="77777777" w:rsidR="00E41C1A" w:rsidRDefault="00E41C1A" w:rsidP="00464780">
      <w:pPr>
        <w:pStyle w:val="Default"/>
        <w:spacing w:line="480" w:lineRule="auto"/>
        <w:rPr>
          <w:sz w:val="23"/>
          <w:szCs w:val="23"/>
        </w:rPr>
      </w:pPr>
      <w:r w:rsidRPr="00657C19">
        <w:rPr>
          <w:sz w:val="23"/>
          <w:szCs w:val="23"/>
        </w:rPr>
        <w:t>For the RNA-seq data, all sequenced reads from each exp</w:t>
      </w:r>
      <w:r>
        <w:rPr>
          <w:sz w:val="23"/>
          <w:szCs w:val="23"/>
        </w:rPr>
        <w:t>eriment were trimmed using trim</w:t>
      </w:r>
      <w:r>
        <w:rPr>
          <w:rFonts w:hint="eastAsia"/>
          <w:sz w:val="23"/>
          <w:szCs w:val="23"/>
        </w:rPr>
        <w:t xml:space="preserve"> </w:t>
      </w:r>
      <w:r w:rsidRPr="00657C19">
        <w:rPr>
          <w:sz w:val="23"/>
          <w:szCs w:val="23"/>
        </w:rPr>
        <w:t>galore program</w:t>
      </w:r>
      <w:r>
        <w:rPr>
          <w:rFonts w:hint="eastAsia"/>
        </w:rPr>
        <w:t xml:space="preserve"> (</w:t>
      </w:r>
      <w:r w:rsidRPr="00E84646">
        <w:rPr>
          <w:sz w:val="23"/>
          <w:szCs w:val="23"/>
        </w:rPr>
        <w:t>https://www.bioinformatics.babraham.ac.uk/projects/trim_galore/</w:t>
      </w:r>
      <w:r w:rsidRPr="00657C19">
        <w:rPr>
          <w:sz w:val="23"/>
          <w:szCs w:val="23"/>
        </w:rPr>
        <w:t xml:space="preserve"> </w:t>
      </w:r>
      <w:r>
        <w:rPr>
          <w:rFonts w:hint="eastAsia"/>
          <w:sz w:val="23"/>
          <w:szCs w:val="23"/>
        </w:rPr>
        <w:t xml:space="preserve">) </w:t>
      </w:r>
      <w:r w:rsidRPr="00657C19">
        <w:rPr>
          <w:sz w:val="23"/>
          <w:szCs w:val="23"/>
        </w:rPr>
        <w:t xml:space="preserve">with a quality score 30, then, clean data were aligned to the </w:t>
      </w:r>
      <w:r>
        <w:rPr>
          <w:sz w:val="23"/>
          <w:szCs w:val="23"/>
        </w:rPr>
        <w:t>rice</w:t>
      </w:r>
      <w:r w:rsidRPr="00657C19">
        <w:rPr>
          <w:sz w:val="23"/>
          <w:szCs w:val="23"/>
        </w:rPr>
        <w:t xml:space="preserve"> reference genome</w:t>
      </w:r>
      <w:r>
        <w:rPr>
          <w:sz w:val="23"/>
          <w:szCs w:val="23"/>
        </w:rPr>
        <w:t xml:space="preserve"> </w:t>
      </w:r>
      <w:r w:rsidRPr="00C9045A">
        <w:rPr>
          <w:sz w:val="23"/>
          <w:szCs w:val="23"/>
        </w:rPr>
        <w:t>(</w:t>
      </w:r>
      <w:r w:rsidR="00C9045A" w:rsidRPr="00C9045A">
        <w:rPr>
          <w:sz w:val="23"/>
          <w:szCs w:val="23"/>
        </w:rPr>
        <w:t>http://rice.plantbiology.msu.edu/</w:t>
      </w:r>
      <w:r w:rsidRPr="00C9045A">
        <w:rPr>
          <w:sz w:val="23"/>
          <w:szCs w:val="23"/>
        </w:rPr>
        <w:t>)</w:t>
      </w:r>
      <w:r w:rsidRPr="00657C19">
        <w:rPr>
          <w:sz w:val="23"/>
          <w:szCs w:val="23"/>
        </w:rPr>
        <w:t xml:space="preserve"> using the read aligner HIAST2</w:t>
      </w:r>
      <w:r w:rsidR="000A56E6">
        <w:rPr>
          <w:sz w:val="23"/>
          <w:szCs w:val="23"/>
        </w:rPr>
        <w:fldChar w:fldCharType="begin"/>
      </w:r>
      <w:r w:rsidR="006F15B6">
        <w:rPr>
          <w:sz w:val="23"/>
          <w:szCs w:val="23"/>
        </w:rPr>
        <w:instrText xml:space="preserve"> ADDIN EN.CITE &lt;EndNote&gt;&lt;Cite&gt;&lt;Author&gt;Kim&lt;/Author&gt;&lt;Year&gt;2015&lt;/Year&gt;&lt;RecNum&gt;195&lt;/RecNum&gt;&lt;DisplayText&gt;(Kim et al. 2015)&lt;/DisplayText&gt;&lt;record&gt;&lt;rec-number&gt;195&lt;/rec-number&gt;&lt;foreign-keys&gt;&lt;key app="EN" db-id="fxxpvfrxet22anexdd4x509axvseez9ewrfr" timestamp="1597197094"&gt;195&lt;/key&gt;&lt;/foreign-keys&gt;&lt;ref-type name="Journal Article"&gt;17&lt;/ref-type&gt;&lt;contributors&gt;&lt;authors&gt;&lt;author&gt;Kim, Daehwan&lt;/author&gt;&lt;author&gt;Langmead, Ben&lt;/author&gt;&lt;author&gt;Salzberg, Steven L&lt;/author&gt;&lt;/authors&gt;&lt;/contributors&gt;&lt;titles&gt;&lt;title&gt;HISAT: a fast spliced aligner with low memory requirements&lt;/title&gt;&lt;secondary-title&gt;Nature Methods&lt;/secondary-title&gt;&lt;/titles&gt;&lt;periodical&gt;&lt;full-title&gt;Nature Methods&lt;/full-title&gt;&lt;/periodical&gt;&lt;pages&gt;357-360&lt;/pages&gt;&lt;volume&gt;12&lt;/volume&gt;&lt;number&gt;4&lt;/number&gt;&lt;dates&gt;&lt;year&gt;2015&lt;/year&gt;&lt;/dates&gt;&lt;urls&gt;&lt;/urls&gt;&lt;/record&gt;&lt;/Cite&gt;&lt;/EndNote&gt;</w:instrText>
      </w:r>
      <w:r w:rsidR="000A56E6">
        <w:rPr>
          <w:sz w:val="23"/>
          <w:szCs w:val="23"/>
        </w:rPr>
        <w:fldChar w:fldCharType="separate"/>
      </w:r>
      <w:r w:rsidR="006F15B6">
        <w:rPr>
          <w:noProof/>
          <w:sz w:val="23"/>
          <w:szCs w:val="23"/>
        </w:rPr>
        <w:t>(Kim et al. 2015)</w:t>
      </w:r>
      <w:r w:rsidR="000A56E6">
        <w:rPr>
          <w:sz w:val="23"/>
          <w:szCs w:val="23"/>
        </w:rPr>
        <w:fldChar w:fldCharType="end"/>
      </w:r>
      <w:r w:rsidRPr="00657C19">
        <w:rPr>
          <w:sz w:val="23"/>
          <w:szCs w:val="23"/>
        </w:rPr>
        <w:t xml:space="preserve">. The transcriptome of each experiment was assembled separately using stringtie </w:t>
      </w:r>
      <w:r w:rsidR="000A56E6" w:rsidRPr="00741E5F">
        <w:rPr>
          <w:sz w:val="23"/>
          <w:szCs w:val="23"/>
        </w:rPr>
        <w:fldChar w:fldCharType="begin"/>
      </w:r>
      <w:r w:rsidR="006F15B6">
        <w:rPr>
          <w:sz w:val="23"/>
          <w:szCs w:val="23"/>
        </w:rPr>
        <w:instrText xml:space="preserve"> ADDIN EN.CITE &lt;EndNote&gt;&lt;Cite&gt;&lt;Author&gt;Pertea&lt;/Author&gt;&lt;Year&gt;2015&lt;/Year&gt;&lt;RecNum&gt;192&lt;/RecNum&gt;&lt;DisplayText&gt;(Pertea et al. 2015)&lt;/DisplayText&gt;&lt;record&gt;&lt;rec-number&gt;192&lt;/rec-number&gt;&lt;foreign-keys&gt;&lt;key app="EN" db-id="fxxpvfrxet22anexdd4x509axvseez9ewrfr" timestamp="1597130205"&gt;192&lt;/key&gt;&lt;/foreign-keys&gt;&lt;ref-type name="Journal Article"&gt;17&lt;/ref-type&gt;&lt;contributors&gt;&lt;authors&gt;&lt;author&gt;Pertea, Mihaela&lt;/author&gt;&lt;author&gt;Pertea, Geo M&lt;/author&gt;&lt;author&gt;Antonescu, Corina M&lt;/author&gt;&lt;author&gt;Chang, Tsung Cheng&lt;/author&gt;&lt;author&gt;Mendell, Joshua T&lt;/author&gt;&lt;author&gt;Salzberg, Steven L&lt;/author&gt;&lt;/authors&gt;&lt;/contributors&gt;&lt;titles&gt;&lt;title&gt;StringTie enables improved reconstruction of a transcriptome from RNA-seq reads&lt;/title&gt;&lt;secondary-title&gt;Nature Biotechnology&lt;/secondary-title&gt;&lt;/titles&gt;&lt;periodical&gt;&lt;full-title&gt;Nat Biotechnol&lt;/full-title&gt;&lt;abbr-1&gt;Nature biotechnology&lt;/abbr-1&gt;&lt;/periodical&gt;&lt;pages&gt;290-295&lt;/pages&gt;&lt;volume&gt;33&lt;/volume&gt;&lt;number&gt;3&lt;/number&gt;&lt;dates&gt;&lt;year&gt;2015&lt;/year&gt;&lt;/dates&gt;&lt;urls&gt;&lt;/urls&gt;&lt;/record&gt;&lt;/Cite&gt;&lt;/EndNote&gt;</w:instrText>
      </w:r>
      <w:r w:rsidR="000A56E6" w:rsidRPr="00741E5F">
        <w:rPr>
          <w:sz w:val="23"/>
          <w:szCs w:val="23"/>
        </w:rPr>
        <w:fldChar w:fldCharType="separate"/>
      </w:r>
      <w:r w:rsidR="006F15B6">
        <w:rPr>
          <w:noProof/>
          <w:sz w:val="23"/>
          <w:szCs w:val="23"/>
        </w:rPr>
        <w:t>(Pertea et al. 2015)</w:t>
      </w:r>
      <w:r w:rsidR="000A56E6" w:rsidRPr="00741E5F">
        <w:rPr>
          <w:sz w:val="23"/>
          <w:szCs w:val="23"/>
        </w:rPr>
        <w:fldChar w:fldCharType="end"/>
      </w:r>
      <w:r w:rsidRPr="00657C19">
        <w:rPr>
          <w:sz w:val="23"/>
          <w:szCs w:val="23"/>
        </w:rPr>
        <w:t xml:space="preserve">, all gtf result files were merged into one with stringtie --merge. Then, we compared the assembled transcript isoforms with the </w:t>
      </w:r>
      <w:r>
        <w:rPr>
          <w:sz w:val="23"/>
          <w:szCs w:val="23"/>
        </w:rPr>
        <w:t>rice</w:t>
      </w:r>
      <w:r w:rsidRPr="00657C19">
        <w:rPr>
          <w:sz w:val="23"/>
          <w:szCs w:val="23"/>
        </w:rPr>
        <w:t xml:space="preserve"> genome reference annotation information, which represents all protein coding gene models identified by </w:t>
      </w:r>
      <w:r>
        <w:rPr>
          <w:sz w:val="23"/>
          <w:szCs w:val="23"/>
        </w:rPr>
        <w:t>rice</w:t>
      </w:r>
      <w:r w:rsidRPr="00657C19">
        <w:rPr>
          <w:sz w:val="23"/>
          <w:szCs w:val="23"/>
        </w:rPr>
        <w:t xml:space="preserve"> genome project </w:t>
      </w:r>
      <w:r w:rsidRPr="00C9045A">
        <w:rPr>
          <w:sz w:val="23"/>
          <w:szCs w:val="23"/>
        </w:rPr>
        <w:t>(</w:t>
      </w:r>
      <w:r w:rsidR="00C9045A" w:rsidRPr="00C9045A">
        <w:rPr>
          <w:sz w:val="23"/>
          <w:szCs w:val="23"/>
        </w:rPr>
        <w:t>http://rice.plantbiology.msu.edu/</w:t>
      </w:r>
      <w:r w:rsidRPr="00C9045A">
        <w:rPr>
          <w:sz w:val="23"/>
          <w:szCs w:val="23"/>
        </w:rPr>
        <w:t>)</w:t>
      </w:r>
      <w:r w:rsidRPr="00657C19">
        <w:rPr>
          <w:sz w:val="23"/>
          <w:szCs w:val="23"/>
        </w:rPr>
        <w:t>. Transcripts with a length shorter than 200bp and an open reading frame (ORF) length longer than 120 aa were discarded (ORF Finder, links), in order to remove transcripts that may encode short protein, swiss-prot database were searched using blastx program with the parameter -e 1.0e-4 -S 1. The CPC</w:t>
      </w:r>
      <w:r>
        <w:rPr>
          <w:rFonts w:hint="eastAsia"/>
          <w:sz w:val="23"/>
          <w:szCs w:val="23"/>
        </w:rPr>
        <w:t xml:space="preserve"> </w:t>
      </w:r>
      <w:r w:rsidR="000A56E6">
        <w:rPr>
          <w:sz w:val="23"/>
          <w:szCs w:val="23"/>
        </w:rPr>
        <w:fldChar w:fldCharType="begin"/>
      </w:r>
      <w:r w:rsidR="006F15B6">
        <w:rPr>
          <w:sz w:val="23"/>
          <w:szCs w:val="23"/>
        </w:rPr>
        <w:instrText xml:space="preserve"> ADDIN EN.CITE &lt;EndNote&gt;&lt;Cite&gt;&lt;Author&gt;Li&lt;/Author&gt;&lt;Year&gt;2014&lt;/Year&gt;&lt;RecNum&gt;193&lt;/RecNum&gt;&lt;DisplayText&gt;(Li et al. 2014)&lt;/DisplayText&gt;&lt;record&gt;&lt;rec-number&gt;193&lt;/rec-number&gt;&lt;foreign-keys&gt;&lt;key app="EN" db-id="fxxpvfrxet22anexdd4x509axvseez9ewrfr" timestamp="1597130558"&gt;193&lt;/key&gt;&lt;/foreign-keys&gt;&lt;ref-type name="Journal Article"&gt;17&lt;/ref-type&gt;&lt;contributors&gt;&lt;authors&gt;&lt;author&gt;Li, Aimin&lt;/author&gt;&lt;author&gt;Zhang, Junying&lt;/author&gt;&lt;author&gt;Zhou, Zhongyin&lt;/author&gt;&lt;/authors&gt;&lt;/contributors&gt;&lt;titles&gt;&lt;title&gt;PLEK: a tool for predicting long non-coding RNAs and messenger RNAs based on an improved k-mer scheme&lt;/title&gt;&lt;secondary-title&gt;BMC Bioinformatics&lt;/secondary-title&gt;&lt;/titles&gt;&lt;periodical&gt;&lt;full-title&gt;Bmc Bioinformatics&lt;/full-title&gt;&lt;/periodical&gt;&lt;pages&gt;1471-2105&lt;/pages&gt;&lt;volume&gt;15&lt;/volume&gt;&lt;number&gt;311&lt;/number&gt;&lt;dates&gt;&lt;year&gt;2014&lt;/year&gt;&lt;/dates&gt;&lt;urls&gt;&lt;/urls&gt;&lt;/record&gt;&lt;/Cite&gt;&lt;/EndNote&gt;</w:instrText>
      </w:r>
      <w:r w:rsidR="000A56E6">
        <w:rPr>
          <w:sz w:val="23"/>
          <w:szCs w:val="23"/>
        </w:rPr>
        <w:fldChar w:fldCharType="separate"/>
      </w:r>
      <w:r w:rsidR="006F15B6">
        <w:rPr>
          <w:noProof/>
          <w:sz w:val="23"/>
          <w:szCs w:val="23"/>
        </w:rPr>
        <w:t xml:space="preserve">(Li et al. </w:t>
      </w:r>
      <w:r w:rsidR="006F15B6">
        <w:rPr>
          <w:noProof/>
          <w:sz w:val="23"/>
          <w:szCs w:val="23"/>
        </w:rPr>
        <w:lastRenderedPageBreak/>
        <w:t>2014)</w:t>
      </w:r>
      <w:r w:rsidR="000A56E6">
        <w:rPr>
          <w:sz w:val="23"/>
          <w:szCs w:val="23"/>
        </w:rPr>
        <w:fldChar w:fldCharType="end"/>
      </w:r>
      <w:r w:rsidRPr="00657C19">
        <w:rPr>
          <w:sz w:val="23"/>
          <w:szCs w:val="23"/>
        </w:rPr>
        <w:t>programs were used to calculate the coding potential of the remaining transcripts. Only transcripts with both CPC scores less than 0 were used for the subsequent analysis. The remaining transcripts located in intergenic regions were identified as lincRNA candidates. If the transcripts were transcribed from the antisense strands of known genes, they will be considered as NATs candidates. For the transcripts located in intron region of known genes, they were identified as incRNA candidates.</w:t>
      </w:r>
      <w:r>
        <w:rPr>
          <w:sz w:val="23"/>
          <w:szCs w:val="23"/>
        </w:rPr>
        <w:t xml:space="preserve"> T</w:t>
      </w:r>
      <w:r w:rsidRPr="006D3A48">
        <w:rPr>
          <w:sz w:val="23"/>
          <w:szCs w:val="23"/>
        </w:rPr>
        <w:t xml:space="preserve">he expression level of all locus identified including lncRNAs and protein-coding genes </w:t>
      </w:r>
      <w:r>
        <w:rPr>
          <w:sz w:val="23"/>
          <w:szCs w:val="23"/>
        </w:rPr>
        <w:t xml:space="preserve">was </w:t>
      </w:r>
      <w:r w:rsidRPr="006D3A48">
        <w:rPr>
          <w:sz w:val="23"/>
          <w:szCs w:val="23"/>
        </w:rPr>
        <w:t>using TPM</w:t>
      </w:r>
      <w:r>
        <w:rPr>
          <w:sz w:val="23"/>
          <w:szCs w:val="23"/>
        </w:rPr>
        <w:t xml:space="preserve"> by stringtie</w:t>
      </w:r>
      <w:r w:rsidR="000A56E6">
        <w:rPr>
          <w:sz w:val="23"/>
          <w:szCs w:val="23"/>
        </w:rPr>
        <w:fldChar w:fldCharType="begin"/>
      </w:r>
      <w:r w:rsidR="006F15B6">
        <w:rPr>
          <w:sz w:val="23"/>
          <w:szCs w:val="23"/>
        </w:rPr>
        <w:instrText xml:space="preserve"> ADDIN EN.CITE &lt;EndNote&gt;&lt;Cite&gt;&lt;Author&gt;Pertea&lt;/Author&gt;&lt;Year&gt;2015&lt;/Year&gt;&lt;RecNum&gt;192&lt;/RecNum&gt;&lt;DisplayText&gt;(Pertea et al. 2015)&lt;/DisplayText&gt;&lt;record&gt;&lt;rec-number&gt;192&lt;/rec-number&gt;&lt;foreign-keys&gt;&lt;key app="EN" db-id="fxxpvfrxet22anexdd4x509axvseez9ewrfr" timestamp="1597130205"&gt;192&lt;/key&gt;&lt;/foreign-keys&gt;&lt;ref-type name="Journal Article"&gt;17&lt;/ref-type&gt;&lt;contributors&gt;&lt;authors&gt;&lt;author&gt;Pertea, Mihaela&lt;/author&gt;&lt;author&gt;Pertea, Geo M&lt;/author&gt;&lt;author&gt;Antonescu, Corina M&lt;/author&gt;&lt;author&gt;Chang, Tsung Cheng&lt;/author&gt;&lt;author&gt;Mendell, Joshua T&lt;/author&gt;&lt;author&gt;Salzberg, Steven L&lt;/author&gt;&lt;/authors&gt;&lt;/contributors&gt;&lt;titles&gt;&lt;title&gt;StringTie enables improved reconstruction of a transcriptome from RNA-seq reads&lt;/title&gt;&lt;secondary-title&gt;Nature Biotechnology&lt;/secondary-title&gt;&lt;/titles&gt;&lt;periodical&gt;&lt;full-title&gt;Nat Biotechnol&lt;/full-title&gt;&lt;abbr-1&gt;Nature biotechnology&lt;/abbr-1&gt;&lt;/periodical&gt;&lt;pages&gt;290-295&lt;/pages&gt;&lt;volume&gt;33&lt;/volume&gt;&lt;number&gt;3&lt;/number&gt;&lt;dates&gt;&lt;year&gt;2015&lt;/year&gt;&lt;/dates&gt;&lt;urls&gt;&lt;/urls&gt;&lt;/record&gt;&lt;/Cite&gt;&lt;/EndNote&gt;</w:instrText>
      </w:r>
      <w:r w:rsidR="000A56E6">
        <w:rPr>
          <w:sz w:val="23"/>
          <w:szCs w:val="23"/>
        </w:rPr>
        <w:fldChar w:fldCharType="separate"/>
      </w:r>
      <w:r w:rsidR="006F15B6">
        <w:rPr>
          <w:noProof/>
          <w:sz w:val="23"/>
          <w:szCs w:val="23"/>
        </w:rPr>
        <w:t>(Pertea et al. 2015)</w:t>
      </w:r>
      <w:r w:rsidR="000A56E6">
        <w:rPr>
          <w:sz w:val="23"/>
          <w:szCs w:val="23"/>
        </w:rPr>
        <w:fldChar w:fldCharType="end"/>
      </w:r>
      <w:r>
        <w:rPr>
          <w:sz w:val="23"/>
          <w:szCs w:val="23"/>
        </w:rPr>
        <w:t>.</w:t>
      </w:r>
    </w:p>
    <w:p w14:paraId="2455DD82" w14:textId="77777777" w:rsidR="00E41C1A" w:rsidRDefault="00E41C1A" w:rsidP="00464780">
      <w:pPr>
        <w:pStyle w:val="Default"/>
        <w:spacing w:line="480" w:lineRule="auto"/>
        <w:rPr>
          <w:sz w:val="23"/>
          <w:szCs w:val="23"/>
        </w:rPr>
      </w:pPr>
    </w:p>
    <w:p w14:paraId="0D1F8BF0" w14:textId="77777777" w:rsidR="00E41C1A" w:rsidRPr="00DB01AC" w:rsidRDefault="00E41C1A" w:rsidP="00464780">
      <w:pPr>
        <w:spacing w:line="480" w:lineRule="auto"/>
        <w:jc w:val="left"/>
        <w:rPr>
          <w:rFonts w:ascii="Times New Roman" w:hAnsi="Times New Roman" w:cs="Times New Roman"/>
          <w:b/>
          <w:color w:val="000000" w:themeColor="text1"/>
          <w:sz w:val="24"/>
          <w:szCs w:val="28"/>
        </w:rPr>
      </w:pPr>
      <w:r>
        <w:rPr>
          <w:rFonts w:ascii="Times New Roman" w:hAnsi="Times New Roman" w:cs="Times New Roman"/>
          <w:b/>
          <w:color w:val="000000" w:themeColor="text1"/>
          <w:sz w:val="24"/>
          <w:szCs w:val="28"/>
        </w:rPr>
        <w:t>Q</w:t>
      </w:r>
      <w:r>
        <w:rPr>
          <w:rFonts w:ascii="Times New Roman" w:hAnsi="Times New Roman" w:cs="Times New Roman" w:hint="eastAsia"/>
          <w:b/>
          <w:color w:val="000000" w:themeColor="text1"/>
          <w:sz w:val="24"/>
          <w:szCs w:val="28"/>
        </w:rPr>
        <w:t xml:space="preserve">uantitative </w:t>
      </w:r>
      <w:r w:rsidRPr="00DB01AC">
        <w:rPr>
          <w:rFonts w:ascii="Times New Roman" w:hAnsi="Times New Roman" w:cs="Times New Roman" w:hint="eastAsia"/>
          <w:b/>
          <w:color w:val="000000" w:themeColor="text1"/>
          <w:sz w:val="24"/>
          <w:szCs w:val="28"/>
        </w:rPr>
        <w:t>Real-time</w:t>
      </w:r>
      <w:r>
        <w:rPr>
          <w:rFonts w:ascii="Times New Roman" w:hAnsi="Times New Roman" w:cs="Times New Roman" w:hint="eastAsia"/>
          <w:b/>
          <w:color w:val="000000" w:themeColor="text1"/>
          <w:sz w:val="24"/>
          <w:szCs w:val="28"/>
        </w:rPr>
        <w:t xml:space="preserve"> </w:t>
      </w:r>
      <w:r w:rsidRPr="00DB01AC">
        <w:rPr>
          <w:rFonts w:ascii="Times New Roman" w:hAnsi="Times New Roman" w:cs="Times New Roman" w:hint="eastAsia"/>
          <w:b/>
          <w:color w:val="000000" w:themeColor="text1"/>
          <w:sz w:val="24"/>
          <w:szCs w:val="28"/>
        </w:rPr>
        <w:t xml:space="preserve">PCR </w:t>
      </w:r>
      <w:r>
        <w:rPr>
          <w:rFonts w:ascii="Times New Roman" w:hAnsi="Times New Roman" w:cs="Times New Roman" w:hint="eastAsia"/>
          <w:b/>
          <w:color w:val="000000" w:themeColor="text1"/>
          <w:sz w:val="24"/>
          <w:szCs w:val="28"/>
        </w:rPr>
        <w:t>(</w:t>
      </w:r>
      <w:r>
        <w:rPr>
          <w:rFonts w:ascii="Times New Roman" w:hAnsi="Times New Roman" w:cs="Times New Roman"/>
          <w:b/>
          <w:color w:val="000000" w:themeColor="text1"/>
          <w:sz w:val="24"/>
          <w:szCs w:val="28"/>
        </w:rPr>
        <w:t>q</w:t>
      </w:r>
      <w:r>
        <w:rPr>
          <w:rFonts w:ascii="Times New Roman" w:hAnsi="Times New Roman" w:cs="Times New Roman" w:hint="eastAsia"/>
          <w:b/>
          <w:color w:val="000000" w:themeColor="text1"/>
          <w:sz w:val="24"/>
          <w:szCs w:val="28"/>
        </w:rPr>
        <w:t>RT-PC</w:t>
      </w:r>
      <w:r>
        <w:rPr>
          <w:rFonts w:ascii="Times New Roman" w:hAnsi="Times New Roman" w:cs="Times New Roman"/>
          <w:b/>
          <w:color w:val="000000" w:themeColor="text1"/>
          <w:sz w:val="24"/>
          <w:szCs w:val="28"/>
        </w:rPr>
        <w:t>R</w:t>
      </w:r>
      <w:r>
        <w:rPr>
          <w:rFonts w:ascii="Times New Roman" w:hAnsi="Times New Roman" w:cs="Times New Roman" w:hint="eastAsia"/>
          <w:b/>
          <w:color w:val="000000" w:themeColor="text1"/>
          <w:sz w:val="24"/>
          <w:szCs w:val="28"/>
        </w:rPr>
        <w:t>)</w:t>
      </w:r>
    </w:p>
    <w:p w14:paraId="0E482326" w14:textId="5ED713D3" w:rsidR="00E41C1A" w:rsidRDefault="00E41C1A" w:rsidP="00464780">
      <w:pPr>
        <w:spacing w:line="480" w:lineRule="auto"/>
        <w:jc w:val="left"/>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T</w:t>
      </w:r>
      <w:r>
        <w:rPr>
          <w:rFonts w:ascii="Times New Roman" w:hAnsi="Times New Roman" w:cs="Times New Roman" w:hint="eastAsia"/>
          <w:color w:val="000000" w:themeColor="text1"/>
          <w:sz w:val="24"/>
          <w:szCs w:val="28"/>
        </w:rPr>
        <w:t xml:space="preserve">otal RNA was extracted </w:t>
      </w:r>
      <w:r>
        <w:rPr>
          <w:rFonts w:ascii="Times New Roman" w:hAnsi="Times New Roman" w:cs="Times New Roman"/>
          <w:color w:val="000000" w:themeColor="text1"/>
          <w:sz w:val="24"/>
          <w:szCs w:val="28"/>
        </w:rPr>
        <w:t>from</w:t>
      </w:r>
      <w:r>
        <w:rPr>
          <w:rFonts w:ascii="Times New Roman" w:hAnsi="Times New Roman" w:cs="Times New Roman" w:hint="eastAsia"/>
          <w:color w:val="000000" w:themeColor="text1"/>
          <w:sz w:val="24"/>
          <w:szCs w:val="28"/>
        </w:rPr>
        <w:t xml:space="preserve"> the leaf blades of rice after treatment using MiniBEST Plant RNA Extraction Kit (Takara, Janpan) </w:t>
      </w:r>
      <w:r>
        <w:rPr>
          <w:rFonts w:ascii="Times New Roman" w:hAnsi="Times New Roman" w:cs="Times New Roman"/>
          <w:color w:val="000000" w:themeColor="text1"/>
          <w:sz w:val="24"/>
          <w:szCs w:val="28"/>
        </w:rPr>
        <w:t xml:space="preserve">including DNase </w:t>
      </w:r>
      <w:r>
        <w:rPr>
          <w:rFonts w:ascii="Times New Roman" w:hAnsi="Times New Roman" w:cs="Times New Roman" w:hint="eastAsia"/>
          <w:color w:val="000000" w:themeColor="text1"/>
          <w:sz w:val="24"/>
          <w:szCs w:val="28"/>
        </w:rPr>
        <w:t xml:space="preserve">I </w:t>
      </w:r>
      <w:r>
        <w:rPr>
          <w:rFonts w:ascii="Times New Roman" w:hAnsi="Times New Roman" w:cs="Times New Roman"/>
          <w:color w:val="000000" w:themeColor="text1"/>
          <w:sz w:val="24"/>
          <w:szCs w:val="28"/>
        </w:rPr>
        <w:t>treatment</w:t>
      </w:r>
      <w:r>
        <w:rPr>
          <w:rFonts w:ascii="Times New Roman" w:hAnsi="Times New Roman" w:cs="Times New Roman" w:hint="eastAsia"/>
          <w:color w:val="000000" w:themeColor="text1"/>
          <w:sz w:val="24"/>
          <w:szCs w:val="28"/>
        </w:rPr>
        <w:t xml:space="preserve"> according to the </w:t>
      </w:r>
      <w:r>
        <w:rPr>
          <w:rFonts w:ascii="Times New Roman" w:hAnsi="Times New Roman" w:cs="Times New Roman"/>
          <w:color w:val="000000" w:themeColor="text1"/>
          <w:sz w:val="24"/>
          <w:szCs w:val="28"/>
        </w:rPr>
        <w:t>manufacturer’s</w:t>
      </w:r>
      <w:r>
        <w:rPr>
          <w:rFonts w:ascii="Times New Roman" w:hAnsi="Times New Roman" w:cs="Times New Roman" w:hint="eastAsia"/>
          <w:color w:val="000000" w:themeColor="text1"/>
          <w:sz w:val="24"/>
          <w:szCs w:val="28"/>
        </w:rPr>
        <w:t xml:space="preserve"> instructions. RNA samples with 260/280nm ratio between 2.0-2.</w:t>
      </w:r>
      <w:r>
        <w:rPr>
          <w:rFonts w:ascii="Times New Roman" w:hAnsi="Times New Roman" w:cs="Times New Roman"/>
          <w:color w:val="000000" w:themeColor="text1"/>
          <w:sz w:val="24"/>
          <w:szCs w:val="28"/>
        </w:rPr>
        <w:t>2</w:t>
      </w:r>
      <w:r>
        <w:rPr>
          <w:rFonts w:ascii="Times New Roman" w:hAnsi="Times New Roman" w:cs="Times New Roman" w:hint="eastAsia"/>
          <w:color w:val="000000" w:themeColor="text1"/>
          <w:sz w:val="24"/>
          <w:szCs w:val="28"/>
        </w:rPr>
        <w:t>, and RNA integrity number greater than 8.0, were used for the analysis. Reverse transcription was performed using 2</w:t>
      </w:r>
      <w:r>
        <w:rPr>
          <w:rFonts w:ascii="Times New Roman" w:hAnsi="Times New Roman" w:cs="Times New Roman"/>
          <w:color w:val="000000" w:themeColor="text1"/>
          <w:sz w:val="24"/>
          <w:szCs w:val="28"/>
        </w:rPr>
        <w:t>μ</w:t>
      </w:r>
      <w:r>
        <w:rPr>
          <w:rFonts w:ascii="Times New Roman" w:hAnsi="Times New Roman" w:cs="Times New Roman" w:hint="eastAsia"/>
          <w:color w:val="000000" w:themeColor="text1"/>
          <w:sz w:val="24"/>
          <w:szCs w:val="28"/>
        </w:rPr>
        <w:t xml:space="preserve">g of each total RNA and oligo (dt) primers by the PrimerScript RT Master Mix (Takara, Janpan). </w:t>
      </w:r>
      <w:r>
        <w:rPr>
          <w:rFonts w:ascii="Times New Roman" w:hAnsi="Times New Roman" w:cs="Times New Roman"/>
          <w:color w:val="000000" w:themeColor="text1"/>
          <w:sz w:val="24"/>
          <w:szCs w:val="28"/>
        </w:rPr>
        <w:t>S</w:t>
      </w:r>
      <w:r>
        <w:rPr>
          <w:rFonts w:ascii="Times New Roman" w:hAnsi="Times New Roman" w:cs="Times New Roman" w:hint="eastAsia"/>
          <w:color w:val="000000" w:themeColor="text1"/>
          <w:sz w:val="24"/>
          <w:szCs w:val="28"/>
        </w:rPr>
        <w:t>ix to eight independent biological samples were collected and analyzed. The relative quantity of lncRNAs and genes were performed using q</w:t>
      </w:r>
      <w:r>
        <w:rPr>
          <w:rFonts w:ascii="Times New Roman" w:hAnsi="Times New Roman" w:cs="Times New Roman"/>
          <w:color w:val="000000" w:themeColor="text1"/>
          <w:sz w:val="24"/>
          <w:szCs w:val="28"/>
        </w:rPr>
        <w:t>RT</w:t>
      </w:r>
      <w:r>
        <w:rPr>
          <w:rFonts w:ascii="Times New Roman" w:hAnsi="Times New Roman" w:cs="Times New Roman" w:hint="eastAsia"/>
          <w:color w:val="000000" w:themeColor="text1"/>
          <w:sz w:val="24"/>
          <w:szCs w:val="28"/>
        </w:rPr>
        <w:t xml:space="preserve">-PCR. It was performed using SYBR Premix Ex TaqTM II Kit (Takara, shiga, Janpan) on the Bio-Rad CFX96 real-time system with gene-specific primers. Primer sequences used are listed in Supplemental </w:t>
      </w:r>
      <w:r w:rsidRPr="001A35C5">
        <w:rPr>
          <w:rFonts w:ascii="Times New Roman" w:hAnsi="Times New Roman" w:cs="Times New Roman" w:hint="eastAsia"/>
          <w:color w:val="4F81BD" w:themeColor="accent1"/>
          <w:sz w:val="24"/>
          <w:szCs w:val="28"/>
        </w:rPr>
        <w:t xml:space="preserve">Table </w:t>
      </w:r>
      <w:r w:rsidR="00777F63" w:rsidRPr="001A35C5">
        <w:rPr>
          <w:rFonts w:ascii="Times New Roman" w:hAnsi="Times New Roman" w:cs="Times New Roman" w:hint="eastAsia"/>
          <w:color w:val="4F81BD" w:themeColor="accent1"/>
          <w:sz w:val="24"/>
          <w:szCs w:val="28"/>
        </w:rPr>
        <w:t>S</w:t>
      </w:r>
      <w:r w:rsidR="001A35C5">
        <w:rPr>
          <w:rFonts w:ascii="Times New Roman" w:hAnsi="Times New Roman" w:cs="Times New Roman" w:hint="eastAsia"/>
          <w:color w:val="4F81BD" w:themeColor="accent1"/>
          <w:sz w:val="24"/>
          <w:szCs w:val="28"/>
        </w:rPr>
        <w:t>4</w:t>
      </w:r>
      <w:r>
        <w:rPr>
          <w:rFonts w:ascii="Times New Roman" w:hAnsi="Times New Roman" w:cs="Times New Roman" w:hint="eastAsia"/>
          <w:color w:val="000000" w:themeColor="text1"/>
          <w:sz w:val="24"/>
          <w:szCs w:val="28"/>
        </w:rPr>
        <w:t>.</w:t>
      </w:r>
    </w:p>
    <w:p w14:paraId="00791BAF" w14:textId="77777777" w:rsidR="00E41C1A" w:rsidRDefault="00E41C1A" w:rsidP="00464780">
      <w:pPr>
        <w:pStyle w:val="Default"/>
        <w:spacing w:line="480" w:lineRule="auto"/>
        <w:rPr>
          <w:sz w:val="23"/>
          <w:szCs w:val="23"/>
        </w:rPr>
      </w:pPr>
    </w:p>
    <w:p w14:paraId="4127C8DD" w14:textId="77777777" w:rsidR="00E41C1A" w:rsidRDefault="00E41C1A" w:rsidP="00464780">
      <w:pPr>
        <w:spacing w:line="480" w:lineRule="auto"/>
        <w:jc w:val="left"/>
        <w:rPr>
          <w:rFonts w:ascii="Times New Roman" w:hAnsi="Times New Roman" w:cs="Times New Roman"/>
          <w:b/>
          <w:bCs/>
          <w:color w:val="000000" w:themeColor="text1"/>
          <w:sz w:val="24"/>
          <w:szCs w:val="28"/>
        </w:rPr>
      </w:pPr>
      <w:r w:rsidRPr="00F37269">
        <w:rPr>
          <w:rFonts w:ascii="Times New Roman" w:hAnsi="Times New Roman" w:cs="Times New Roman"/>
          <w:b/>
          <w:bCs/>
          <w:color w:val="000000" w:themeColor="text1"/>
          <w:sz w:val="24"/>
          <w:szCs w:val="28"/>
        </w:rPr>
        <w:t>Differential expression analysis</w:t>
      </w:r>
    </w:p>
    <w:p w14:paraId="2E519A48" w14:textId="77777777" w:rsidR="00E41C1A" w:rsidRDefault="00E41C1A" w:rsidP="00464780">
      <w:pPr>
        <w:spacing w:line="480" w:lineRule="auto"/>
        <w:jc w:val="left"/>
        <w:rPr>
          <w:rFonts w:ascii="Times New Roman" w:hAnsi="Times New Roman" w:cs="Times New Roman"/>
          <w:color w:val="000000"/>
          <w:kern w:val="0"/>
          <w:sz w:val="23"/>
          <w:szCs w:val="23"/>
        </w:rPr>
      </w:pPr>
      <w:r w:rsidRPr="007D451C">
        <w:rPr>
          <w:rFonts w:ascii="Times New Roman" w:hAnsi="Times New Roman" w:cs="Times New Roman"/>
          <w:color w:val="000000"/>
          <w:kern w:val="0"/>
          <w:sz w:val="23"/>
          <w:szCs w:val="23"/>
        </w:rPr>
        <w:lastRenderedPageBreak/>
        <w:t xml:space="preserve">The log-transformed TPM (Trans Per Million) value </w:t>
      </w:r>
      <w:r w:rsidRPr="007D451C">
        <w:rPr>
          <w:rFonts w:ascii="Times New Roman" w:hAnsi="Times New Roman" w:cs="Times New Roman" w:hint="eastAsia"/>
          <w:color w:val="000000"/>
          <w:kern w:val="0"/>
          <w:sz w:val="23"/>
          <w:szCs w:val="23"/>
        </w:rPr>
        <w:t>was</w:t>
      </w:r>
      <w:r w:rsidRPr="007D451C">
        <w:rPr>
          <w:rFonts w:ascii="Times New Roman" w:hAnsi="Times New Roman" w:cs="Times New Roman"/>
          <w:color w:val="000000"/>
          <w:kern w:val="0"/>
          <w:sz w:val="23"/>
          <w:szCs w:val="23"/>
        </w:rPr>
        <w:t xml:space="preserve"> used for transcriptional level. To get the differentially expressed genes and lncRNAs, all of the transcripts from pairwise samples were screened using the adjust p value less than 0.05 and fold change higher than 1. </w:t>
      </w:r>
    </w:p>
    <w:p w14:paraId="0B9892DA" w14:textId="77777777" w:rsidR="00E41C1A" w:rsidRPr="007D451C" w:rsidRDefault="00E41C1A" w:rsidP="00464780">
      <w:pPr>
        <w:spacing w:line="480" w:lineRule="auto"/>
        <w:jc w:val="left"/>
        <w:rPr>
          <w:rFonts w:ascii="Times New Roman" w:hAnsi="Times New Roman" w:cs="Times New Roman"/>
          <w:color w:val="000000"/>
          <w:kern w:val="0"/>
          <w:sz w:val="23"/>
          <w:szCs w:val="23"/>
        </w:rPr>
      </w:pPr>
    </w:p>
    <w:p w14:paraId="77466EBD" w14:textId="77777777" w:rsidR="00E41C1A" w:rsidRPr="007D451C" w:rsidRDefault="00E41C1A" w:rsidP="00464780">
      <w:pPr>
        <w:spacing w:line="480" w:lineRule="auto"/>
        <w:jc w:val="left"/>
        <w:rPr>
          <w:rFonts w:ascii="Times New Roman" w:hAnsi="Times New Roman" w:cs="Times New Roman"/>
          <w:b/>
          <w:bCs/>
          <w:color w:val="000000"/>
          <w:kern w:val="0"/>
          <w:sz w:val="23"/>
          <w:szCs w:val="23"/>
        </w:rPr>
      </w:pPr>
      <w:r w:rsidRPr="007D451C">
        <w:rPr>
          <w:rFonts w:ascii="Times New Roman" w:hAnsi="Times New Roman" w:cs="Times New Roman"/>
          <w:b/>
          <w:bCs/>
          <w:color w:val="000000"/>
          <w:kern w:val="0"/>
          <w:sz w:val="23"/>
          <w:szCs w:val="23"/>
        </w:rPr>
        <w:t>Co-expression analysis</w:t>
      </w:r>
    </w:p>
    <w:p w14:paraId="641335AE" w14:textId="77777777" w:rsidR="00E41C1A" w:rsidRDefault="00E41C1A" w:rsidP="00464780">
      <w:pPr>
        <w:autoSpaceDE w:val="0"/>
        <w:autoSpaceDN w:val="0"/>
        <w:adjustRightInd w:val="0"/>
        <w:spacing w:line="480" w:lineRule="auto"/>
        <w:jc w:val="left"/>
        <w:rPr>
          <w:rFonts w:ascii="Times New Roman" w:hAnsi="Times New Roman" w:cs="Times New Roman"/>
          <w:color w:val="000000"/>
          <w:kern w:val="0"/>
          <w:sz w:val="23"/>
          <w:szCs w:val="23"/>
        </w:rPr>
      </w:pPr>
      <w:r w:rsidRPr="007D451C">
        <w:rPr>
          <w:rFonts w:ascii="Times New Roman" w:hAnsi="Times New Roman" w:cs="Times New Roman"/>
          <w:color w:val="000000"/>
          <w:kern w:val="0"/>
          <w:sz w:val="23"/>
          <w:szCs w:val="23"/>
        </w:rPr>
        <w:t xml:space="preserve">The differentially expressed genes and lncRNAs </w:t>
      </w:r>
      <w:r>
        <w:rPr>
          <w:rFonts w:ascii="Times New Roman" w:hAnsi="Times New Roman" w:cs="Times New Roman"/>
          <w:color w:val="000000"/>
          <w:kern w:val="0"/>
          <w:sz w:val="23"/>
          <w:szCs w:val="23"/>
        </w:rPr>
        <w:t xml:space="preserve">were used for co-expression analysis. </w:t>
      </w:r>
    </w:p>
    <w:p w14:paraId="4FFF3924" w14:textId="77777777" w:rsidR="00E41C1A" w:rsidRDefault="00E41C1A" w:rsidP="00464780">
      <w:pPr>
        <w:autoSpaceDE w:val="0"/>
        <w:autoSpaceDN w:val="0"/>
        <w:adjustRightInd w:val="0"/>
        <w:spacing w:line="480" w:lineRule="auto"/>
        <w:jc w:val="left"/>
        <w:rPr>
          <w:rFonts w:ascii="Times New Roman" w:hAnsi="Times New Roman" w:cs="Times New Roman"/>
          <w:color w:val="000000"/>
          <w:kern w:val="0"/>
          <w:sz w:val="23"/>
          <w:szCs w:val="23"/>
        </w:rPr>
      </w:pPr>
      <w:r w:rsidRPr="007D451C">
        <w:rPr>
          <w:rFonts w:ascii="Times New Roman" w:hAnsi="Times New Roman" w:cs="Times New Roman"/>
          <w:color w:val="000000"/>
          <w:kern w:val="0"/>
          <w:sz w:val="23"/>
          <w:szCs w:val="23"/>
        </w:rPr>
        <w:t>Subsequent weighted gene co-expression network</w:t>
      </w:r>
      <w:r w:rsidRPr="007D451C">
        <w:rPr>
          <w:rFonts w:ascii="Times New Roman" w:hAnsi="Times New Roman" w:cs="Times New Roman" w:hint="eastAsia"/>
          <w:color w:val="000000"/>
          <w:kern w:val="0"/>
          <w:sz w:val="23"/>
          <w:szCs w:val="23"/>
        </w:rPr>
        <w:t xml:space="preserve"> </w:t>
      </w:r>
      <w:r w:rsidRPr="007D451C">
        <w:rPr>
          <w:rFonts w:ascii="Times New Roman" w:hAnsi="Times New Roman" w:cs="Times New Roman"/>
          <w:color w:val="000000"/>
          <w:kern w:val="0"/>
          <w:sz w:val="23"/>
          <w:szCs w:val="23"/>
        </w:rPr>
        <w:t>analysis was conducted using the R package WGCNA</w:t>
      </w:r>
      <w:r>
        <w:rPr>
          <w:rFonts w:ascii="Times New Roman" w:hAnsi="Times New Roman" w:cs="Times New Roman" w:hint="eastAsia"/>
          <w:color w:val="000000"/>
          <w:kern w:val="0"/>
          <w:sz w:val="23"/>
          <w:szCs w:val="23"/>
        </w:rPr>
        <w:t xml:space="preserve"> </w:t>
      </w:r>
      <w:r w:rsidR="000A56E6">
        <w:rPr>
          <w:rFonts w:ascii="Times New Roman" w:hAnsi="Times New Roman" w:cs="Times New Roman"/>
          <w:color w:val="000000"/>
          <w:kern w:val="0"/>
          <w:sz w:val="23"/>
          <w:szCs w:val="23"/>
        </w:rPr>
        <w:fldChar w:fldCharType="begin"/>
      </w:r>
      <w:r w:rsidR="006F15B6">
        <w:rPr>
          <w:rFonts w:ascii="Times New Roman" w:hAnsi="Times New Roman" w:cs="Times New Roman"/>
          <w:color w:val="000000"/>
          <w:kern w:val="0"/>
          <w:sz w:val="23"/>
          <w:szCs w:val="23"/>
        </w:rPr>
        <w:instrText xml:space="preserve"> ADDIN EN.CITE &lt;EndNote&gt;&lt;Cite&gt;&lt;Author&gt;Langfelder&lt;/Author&gt;&lt;Year&gt;2008&lt;/Year&gt;&lt;RecNum&gt;188&lt;/RecNum&gt;&lt;DisplayText&gt;(Langfelder et al. 2008)&lt;/DisplayText&gt;&lt;record&gt;&lt;rec-number&gt;188&lt;/rec-number&gt;&lt;foreign-keys&gt;&lt;key app="EN" db-id="fxxpvfrxet22anexdd4x509axvseez9ewrfr" timestamp="1597049348"&gt;188&lt;/key&gt;&lt;/foreign-keys&gt;&lt;ref-type name="Journal Article"&gt;17&lt;/ref-type&gt;&lt;contributors&gt;&lt;authors&gt;&lt;author&gt;Langfelder, Peter&lt;/author&gt;&lt;author&gt;Horvath, Steve&lt;/author&gt;&lt;/authors&gt;&lt;/contributors&gt;&lt;titles&gt;&lt;title&gt;WGCNA: an R package for weighted correlation network analysis&lt;/title&gt;&lt;secondary-title&gt;BMC Bioinformatics&lt;/secondary-title&gt;&lt;/titles&gt;&lt;periodical&gt;&lt;full-title&gt;Bmc Bioinformatics&lt;/full-title&gt;&lt;/periodical&gt;&lt;pages&gt;1-13&lt;/pages&gt;&lt;volume&gt;9&lt;/volume&gt;&lt;number&gt;1&lt;/number&gt;&lt;dates&gt;&lt;year&gt;2008&lt;/year&gt;&lt;/dates&gt;&lt;urls&gt;&lt;/urls&gt;&lt;/record&gt;&lt;/Cite&gt;&lt;/EndNote&gt;</w:instrText>
      </w:r>
      <w:r w:rsidR="000A56E6">
        <w:rPr>
          <w:rFonts w:ascii="Times New Roman" w:hAnsi="Times New Roman" w:cs="Times New Roman"/>
          <w:color w:val="000000"/>
          <w:kern w:val="0"/>
          <w:sz w:val="23"/>
          <w:szCs w:val="23"/>
        </w:rPr>
        <w:fldChar w:fldCharType="separate"/>
      </w:r>
      <w:r w:rsidR="006F15B6">
        <w:rPr>
          <w:rFonts w:ascii="Times New Roman" w:hAnsi="Times New Roman" w:cs="Times New Roman"/>
          <w:noProof/>
          <w:color w:val="000000"/>
          <w:kern w:val="0"/>
          <w:sz w:val="23"/>
          <w:szCs w:val="23"/>
        </w:rPr>
        <w:t>(Langfelder et al. 2008)</w:t>
      </w:r>
      <w:r w:rsidR="000A56E6">
        <w:rPr>
          <w:rFonts w:ascii="Times New Roman" w:hAnsi="Times New Roman" w:cs="Times New Roman"/>
          <w:color w:val="000000"/>
          <w:kern w:val="0"/>
          <w:sz w:val="23"/>
          <w:szCs w:val="23"/>
        </w:rPr>
        <w:fldChar w:fldCharType="end"/>
      </w:r>
      <w:r w:rsidRPr="007D451C">
        <w:rPr>
          <w:rFonts w:ascii="Times New Roman" w:hAnsi="Times New Roman" w:cs="Times New Roman"/>
          <w:color w:val="000000"/>
          <w:kern w:val="0"/>
          <w:sz w:val="23"/>
          <w:szCs w:val="23"/>
        </w:rPr>
        <w:t xml:space="preserve">. The </w:t>
      </w:r>
      <w:r>
        <w:rPr>
          <w:rFonts w:ascii="Times New Roman" w:hAnsi="Times New Roman" w:cs="Times New Roman"/>
          <w:color w:val="000000"/>
          <w:kern w:val="0"/>
          <w:sz w:val="23"/>
          <w:szCs w:val="23"/>
        </w:rPr>
        <w:t>network of each</w:t>
      </w:r>
      <w:r w:rsidRPr="007D451C">
        <w:rPr>
          <w:rFonts w:ascii="Times New Roman" w:hAnsi="Times New Roman" w:cs="Times New Roman"/>
          <w:color w:val="000000"/>
          <w:kern w:val="0"/>
          <w:sz w:val="23"/>
          <w:szCs w:val="23"/>
        </w:rPr>
        <w:t xml:space="preserve"> module</w:t>
      </w:r>
      <w:r>
        <w:rPr>
          <w:rFonts w:ascii="Times New Roman" w:hAnsi="Times New Roman" w:cs="Times New Roman"/>
          <w:color w:val="000000"/>
          <w:kern w:val="0"/>
          <w:sz w:val="23"/>
          <w:szCs w:val="23"/>
        </w:rPr>
        <w:t xml:space="preserve"> was</w:t>
      </w:r>
      <w:r w:rsidRPr="007D451C">
        <w:rPr>
          <w:rFonts w:ascii="Times New Roman" w:hAnsi="Times New Roman" w:cs="Times New Roman"/>
          <w:color w:val="000000"/>
          <w:kern w:val="0"/>
          <w:sz w:val="23"/>
          <w:szCs w:val="23"/>
        </w:rPr>
        <w:t xml:space="preserve"> visualized using Cytoscape</w:t>
      </w:r>
      <w:r>
        <w:rPr>
          <w:rFonts w:ascii="Times New Roman" w:hAnsi="Times New Roman" w:cs="Times New Roman" w:hint="eastAsia"/>
          <w:color w:val="000000"/>
          <w:kern w:val="0"/>
          <w:sz w:val="23"/>
          <w:szCs w:val="23"/>
        </w:rPr>
        <w:t xml:space="preserve"> </w:t>
      </w:r>
      <w:r w:rsidR="000A56E6">
        <w:rPr>
          <w:rFonts w:ascii="Times New Roman" w:hAnsi="Times New Roman" w:cs="Times New Roman"/>
          <w:color w:val="000000"/>
          <w:kern w:val="0"/>
          <w:sz w:val="23"/>
          <w:szCs w:val="23"/>
        </w:rPr>
        <w:fldChar w:fldCharType="begin"/>
      </w:r>
      <w:r w:rsidR="006F15B6">
        <w:rPr>
          <w:rFonts w:ascii="Times New Roman" w:hAnsi="Times New Roman" w:cs="Times New Roman"/>
          <w:color w:val="000000"/>
          <w:kern w:val="0"/>
          <w:sz w:val="23"/>
          <w:szCs w:val="23"/>
        </w:rPr>
        <w:instrText xml:space="preserve"> ADDIN EN.CITE &lt;EndNote&gt;&lt;Cite&gt;&lt;Author&gt;Ono&lt;/Author&gt;&lt;Year&gt;2014&lt;/Year&gt;&lt;RecNum&gt;189&lt;/RecNum&gt;&lt;DisplayText&gt;(Ono et al. 2014)&lt;/DisplayText&gt;&lt;record&gt;&lt;rec-number&gt;189&lt;/rec-number&gt;&lt;foreign-keys&gt;&lt;key app="EN" db-id="fxxpvfrxet22anexdd4x509axvseez9ewrfr" timestamp="1597049457"&gt;189&lt;/key&gt;&lt;/foreign-keys&gt;&lt;ref-type name="Journal Article"&gt;17&lt;/ref-type&gt;&lt;contributors&gt;&lt;authors&gt;&lt;author&gt;Ono, Keiichiro&lt;/author&gt;&lt;author&gt;Demchak, Barry&lt;/author&gt;&lt;author&gt;Ideker, Trey&lt;/author&gt;&lt;/authors&gt;&lt;/contributors&gt;&lt;titles&gt;&lt;title&gt;Cytoscape tools for the web age: D3.js and Cytoscape.js exporters&lt;/title&gt;&lt;secondary-title&gt;F1000research&lt;/secondary-title&gt;&lt;/titles&gt;&lt;periodical&gt;&lt;full-title&gt;F1000research&lt;/full-title&gt;&lt;/periodical&gt;&lt;dates&gt;&lt;year&gt;2014&lt;/year&gt;&lt;/dates&gt;&lt;urls&gt;&lt;/urls&gt;&lt;/record&gt;&lt;/Cite&gt;&lt;/EndNote&gt;</w:instrText>
      </w:r>
      <w:r w:rsidR="000A56E6">
        <w:rPr>
          <w:rFonts w:ascii="Times New Roman" w:hAnsi="Times New Roman" w:cs="Times New Roman"/>
          <w:color w:val="000000"/>
          <w:kern w:val="0"/>
          <w:sz w:val="23"/>
          <w:szCs w:val="23"/>
        </w:rPr>
        <w:fldChar w:fldCharType="separate"/>
      </w:r>
      <w:r w:rsidR="006F15B6">
        <w:rPr>
          <w:rFonts w:ascii="Times New Roman" w:hAnsi="Times New Roman" w:cs="Times New Roman"/>
          <w:noProof/>
          <w:color w:val="000000"/>
          <w:kern w:val="0"/>
          <w:sz w:val="23"/>
          <w:szCs w:val="23"/>
        </w:rPr>
        <w:t>(Ono et al. 2014)</w:t>
      </w:r>
      <w:r w:rsidR="000A56E6">
        <w:rPr>
          <w:rFonts w:ascii="Times New Roman" w:hAnsi="Times New Roman" w:cs="Times New Roman"/>
          <w:color w:val="000000"/>
          <w:kern w:val="0"/>
          <w:sz w:val="23"/>
          <w:szCs w:val="23"/>
        </w:rPr>
        <w:fldChar w:fldCharType="end"/>
      </w:r>
      <w:r w:rsidRPr="007D451C">
        <w:rPr>
          <w:rFonts w:ascii="Times New Roman" w:hAnsi="Times New Roman" w:cs="Times New Roman"/>
          <w:color w:val="000000"/>
          <w:kern w:val="0"/>
          <w:sz w:val="23"/>
          <w:szCs w:val="23"/>
        </w:rPr>
        <w:t>.</w:t>
      </w:r>
    </w:p>
    <w:p w14:paraId="0D3FE742" w14:textId="77777777" w:rsidR="00E41C1A" w:rsidRPr="007D451C" w:rsidRDefault="00E41C1A" w:rsidP="00464780">
      <w:pPr>
        <w:autoSpaceDE w:val="0"/>
        <w:autoSpaceDN w:val="0"/>
        <w:adjustRightInd w:val="0"/>
        <w:spacing w:line="480" w:lineRule="auto"/>
        <w:jc w:val="left"/>
        <w:rPr>
          <w:rFonts w:ascii="Times New Roman" w:hAnsi="Times New Roman" w:cs="Times New Roman"/>
          <w:color w:val="000000"/>
          <w:kern w:val="0"/>
          <w:sz w:val="23"/>
          <w:szCs w:val="23"/>
        </w:rPr>
      </w:pPr>
    </w:p>
    <w:p w14:paraId="679785E6" w14:textId="77777777" w:rsidR="00E41C1A" w:rsidRDefault="00E41C1A" w:rsidP="00464780">
      <w:pPr>
        <w:spacing w:line="480" w:lineRule="auto"/>
        <w:jc w:val="left"/>
        <w:rPr>
          <w:rFonts w:ascii="Times New Roman" w:hAnsi="Times New Roman" w:cs="Times New Roman"/>
          <w:b/>
          <w:color w:val="000000" w:themeColor="text1"/>
          <w:sz w:val="24"/>
          <w:szCs w:val="28"/>
        </w:rPr>
      </w:pPr>
      <w:r w:rsidRPr="001C08AE">
        <w:rPr>
          <w:rFonts w:ascii="Times New Roman" w:hAnsi="Times New Roman" w:cs="Times New Roman" w:hint="eastAsia"/>
          <w:b/>
          <w:color w:val="000000" w:themeColor="text1"/>
          <w:sz w:val="24"/>
          <w:szCs w:val="28"/>
        </w:rPr>
        <w:t>P</w:t>
      </w:r>
      <w:r w:rsidRPr="001C08AE">
        <w:rPr>
          <w:rFonts w:ascii="Times New Roman" w:hAnsi="Times New Roman" w:cs="Times New Roman"/>
          <w:b/>
          <w:color w:val="000000" w:themeColor="text1"/>
          <w:sz w:val="24"/>
          <w:szCs w:val="28"/>
        </w:rPr>
        <w:t>CA analysis</w:t>
      </w:r>
    </w:p>
    <w:p w14:paraId="3AF8A7DD" w14:textId="77777777" w:rsidR="00E41C1A" w:rsidRPr="001C08AE" w:rsidRDefault="00E41C1A" w:rsidP="00464780">
      <w:pPr>
        <w:spacing w:line="480" w:lineRule="auto"/>
        <w:jc w:val="left"/>
        <w:rPr>
          <w:rFonts w:ascii="Times New Roman" w:hAnsi="Times New Roman" w:cs="Times New Roman"/>
          <w:b/>
          <w:color w:val="000000" w:themeColor="text1"/>
          <w:sz w:val="24"/>
          <w:szCs w:val="28"/>
        </w:rPr>
      </w:pPr>
      <w:r w:rsidRPr="007D451C">
        <w:rPr>
          <w:rFonts w:ascii="Times New Roman" w:hAnsi="Times New Roman" w:cs="Times New Roman"/>
          <w:color w:val="000000"/>
          <w:kern w:val="0"/>
          <w:sz w:val="23"/>
          <w:szCs w:val="23"/>
        </w:rPr>
        <w:t>The log-transformed TPM (Trans Per Million) value</w:t>
      </w:r>
      <w:r>
        <w:rPr>
          <w:rFonts w:ascii="Times New Roman" w:hAnsi="Times New Roman" w:cs="Times New Roman"/>
          <w:color w:val="000000"/>
          <w:kern w:val="0"/>
          <w:sz w:val="23"/>
          <w:szCs w:val="23"/>
        </w:rPr>
        <w:t>s</w:t>
      </w:r>
      <w:r w:rsidRPr="007D451C">
        <w:rPr>
          <w:rFonts w:ascii="Times New Roman" w:hAnsi="Times New Roman" w:cs="Times New Roman"/>
          <w:color w:val="000000"/>
          <w:kern w:val="0"/>
          <w:sz w:val="23"/>
          <w:szCs w:val="23"/>
        </w:rPr>
        <w:t xml:space="preserve"> </w:t>
      </w:r>
      <w:r>
        <w:rPr>
          <w:rFonts w:ascii="Times New Roman" w:hAnsi="Times New Roman" w:cs="Times New Roman"/>
          <w:color w:val="000000"/>
          <w:kern w:val="0"/>
          <w:sz w:val="23"/>
          <w:szCs w:val="23"/>
        </w:rPr>
        <w:t xml:space="preserve">of all coding genes </w:t>
      </w:r>
      <w:r w:rsidRPr="007D451C">
        <w:rPr>
          <w:rFonts w:ascii="Times New Roman" w:hAnsi="Times New Roman" w:cs="Times New Roman" w:hint="eastAsia"/>
          <w:color w:val="000000"/>
          <w:kern w:val="0"/>
          <w:sz w:val="23"/>
          <w:szCs w:val="23"/>
        </w:rPr>
        <w:t>w</w:t>
      </w:r>
      <w:r>
        <w:rPr>
          <w:rFonts w:ascii="Times New Roman" w:hAnsi="Times New Roman" w:cs="Times New Roman"/>
          <w:color w:val="000000"/>
          <w:kern w:val="0"/>
          <w:sz w:val="23"/>
          <w:szCs w:val="23"/>
        </w:rPr>
        <w:t>ere</w:t>
      </w:r>
      <w:r w:rsidRPr="007D451C">
        <w:rPr>
          <w:rFonts w:ascii="Times New Roman" w:hAnsi="Times New Roman" w:cs="Times New Roman"/>
          <w:color w:val="000000"/>
          <w:kern w:val="0"/>
          <w:sz w:val="23"/>
          <w:szCs w:val="23"/>
        </w:rPr>
        <w:t xml:space="preserve"> used for</w:t>
      </w:r>
      <w:r>
        <w:rPr>
          <w:rFonts w:ascii="Times New Roman" w:hAnsi="Times New Roman" w:cs="Times New Roman"/>
          <w:color w:val="000000"/>
          <w:kern w:val="0"/>
          <w:sz w:val="23"/>
          <w:szCs w:val="23"/>
        </w:rPr>
        <w:t xml:space="preserve"> principle component analysis (PCA). </w:t>
      </w:r>
      <w:r w:rsidRPr="00687710">
        <w:rPr>
          <w:rFonts w:ascii="Times New Roman" w:hAnsi="Times New Roman" w:cs="Times New Roman"/>
          <w:color w:val="000000"/>
          <w:kern w:val="0"/>
          <w:sz w:val="23"/>
          <w:szCs w:val="23"/>
        </w:rPr>
        <w:t>PCA was performed using R package factoextra.</w:t>
      </w:r>
    </w:p>
    <w:p w14:paraId="704CA4EB" w14:textId="77777777" w:rsidR="00E41C1A" w:rsidRDefault="00E41C1A" w:rsidP="00464780">
      <w:pPr>
        <w:spacing w:line="480" w:lineRule="auto"/>
        <w:jc w:val="left"/>
        <w:rPr>
          <w:rFonts w:ascii="Times New Roman" w:hAnsi="Times New Roman" w:cs="Times New Roman"/>
          <w:b/>
          <w:color w:val="000000" w:themeColor="text1"/>
          <w:sz w:val="24"/>
          <w:szCs w:val="28"/>
        </w:rPr>
      </w:pPr>
      <w:r w:rsidRPr="001C08AE">
        <w:rPr>
          <w:rFonts w:ascii="Times New Roman" w:hAnsi="Times New Roman" w:cs="Times New Roman" w:hint="eastAsia"/>
          <w:b/>
          <w:color w:val="000000" w:themeColor="text1"/>
          <w:sz w:val="24"/>
          <w:szCs w:val="28"/>
        </w:rPr>
        <w:t>H</w:t>
      </w:r>
      <w:r w:rsidRPr="001C08AE">
        <w:rPr>
          <w:rFonts w:ascii="Times New Roman" w:hAnsi="Times New Roman" w:cs="Times New Roman"/>
          <w:b/>
          <w:color w:val="000000" w:themeColor="text1"/>
          <w:sz w:val="24"/>
          <w:szCs w:val="28"/>
        </w:rPr>
        <w:t>eatmap analysis</w:t>
      </w:r>
    </w:p>
    <w:p w14:paraId="475FD131" w14:textId="77777777" w:rsidR="00E41C1A" w:rsidRPr="006C12E8" w:rsidRDefault="00E41C1A" w:rsidP="00464780">
      <w:pPr>
        <w:spacing w:line="480" w:lineRule="auto"/>
        <w:jc w:val="left"/>
        <w:rPr>
          <w:rFonts w:ascii="Times New Roman" w:hAnsi="Times New Roman" w:cs="Times New Roman"/>
          <w:bCs/>
          <w:color w:val="000000" w:themeColor="text1"/>
          <w:sz w:val="24"/>
          <w:szCs w:val="28"/>
        </w:rPr>
      </w:pPr>
      <w:r w:rsidRPr="006C12E8">
        <w:rPr>
          <w:rFonts w:ascii="Times New Roman" w:hAnsi="Times New Roman" w:cs="Times New Roman" w:hint="eastAsia"/>
          <w:bCs/>
          <w:color w:val="000000" w:themeColor="text1"/>
          <w:sz w:val="24"/>
          <w:szCs w:val="28"/>
        </w:rPr>
        <w:t>The</w:t>
      </w:r>
      <w:r>
        <w:rPr>
          <w:rFonts w:ascii="Times New Roman" w:hAnsi="Times New Roman" w:cs="Times New Roman"/>
          <w:bCs/>
          <w:color w:val="000000" w:themeColor="text1"/>
          <w:sz w:val="24"/>
          <w:szCs w:val="28"/>
        </w:rPr>
        <w:t xml:space="preserve"> value of fold change in each timepoint was used for heatmap analysis. Heatmap was performed by R package </w:t>
      </w:r>
      <w:r w:rsidRPr="006C12E8">
        <w:rPr>
          <w:rFonts w:ascii="Times New Roman" w:hAnsi="Times New Roman" w:cs="Times New Roman"/>
          <w:bCs/>
          <w:color w:val="000000" w:themeColor="text1"/>
          <w:sz w:val="24"/>
          <w:szCs w:val="28"/>
        </w:rPr>
        <w:t>pheatmap</w:t>
      </w:r>
      <w:r>
        <w:rPr>
          <w:rFonts w:ascii="Times New Roman" w:hAnsi="Times New Roman" w:cs="Times New Roman"/>
          <w:bCs/>
          <w:color w:val="000000" w:themeColor="text1"/>
          <w:sz w:val="24"/>
          <w:szCs w:val="28"/>
        </w:rPr>
        <w:t>.</w:t>
      </w:r>
    </w:p>
    <w:p w14:paraId="41E92E86" w14:textId="77777777" w:rsidR="00E41C1A" w:rsidRPr="00DB01AC" w:rsidRDefault="00E41C1A" w:rsidP="00464780">
      <w:pPr>
        <w:spacing w:line="480" w:lineRule="auto"/>
        <w:jc w:val="left"/>
        <w:rPr>
          <w:rFonts w:ascii="Times New Roman" w:hAnsi="Times New Roman" w:cs="Times New Roman"/>
          <w:b/>
          <w:color w:val="000000" w:themeColor="text1"/>
          <w:sz w:val="24"/>
          <w:szCs w:val="28"/>
        </w:rPr>
      </w:pPr>
      <w:r w:rsidRPr="00DB01AC">
        <w:rPr>
          <w:rFonts w:ascii="Times New Roman" w:hAnsi="Times New Roman" w:cs="Times New Roman"/>
          <w:b/>
          <w:color w:val="000000" w:themeColor="text1"/>
          <w:sz w:val="24"/>
          <w:szCs w:val="28"/>
        </w:rPr>
        <w:t>GO</w:t>
      </w:r>
      <w:r w:rsidRPr="00DB01AC">
        <w:rPr>
          <w:rFonts w:ascii="Times New Roman" w:hAnsi="Times New Roman" w:cs="Times New Roman" w:hint="eastAsia"/>
          <w:b/>
          <w:color w:val="000000" w:themeColor="text1"/>
          <w:sz w:val="24"/>
          <w:szCs w:val="28"/>
        </w:rPr>
        <w:t xml:space="preserve"> enrichment analysis</w:t>
      </w:r>
    </w:p>
    <w:p w14:paraId="29AAAFD6" w14:textId="77777777" w:rsidR="00E41C1A" w:rsidRDefault="00E41C1A" w:rsidP="00464780">
      <w:pPr>
        <w:spacing w:line="480" w:lineRule="auto"/>
        <w:jc w:val="left"/>
        <w:rPr>
          <w:rFonts w:ascii="Times New Roman" w:hAnsi="Times New Roman" w:cs="Times New Roman"/>
          <w:color w:val="000000" w:themeColor="text1"/>
          <w:sz w:val="24"/>
          <w:szCs w:val="28"/>
        </w:rPr>
      </w:pPr>
      <w:r>
        <w:rPr>
          <w:rFonts w:ascii="Times New Roman" w:hAnsi="Times New Roman" w:cs="Times New Roman" w:hint="eastAsia"/>
          <w:color w:val="000000" w:themeColor="text1"/>
          <w:sz w:val="24"/>
          <w:szCs w:val="28"/>
        </w:rPr>
        <w:t>G</w:t>
      </w:r>
      <w:r>
        <w:rPr>
          <w:rFonts w:ascii="Times New Roman" w:hAnsi="Times New Roman" w:cs="Times New Roman"/>
          <w:color w:val="000000" w:themeColor="text1"/>
          <w:sz w:val="24"/>
          <w:szCs w:val="28"/>
        </w:rPr>
        <w:t>ene ontology (GO) analysis was performed by ClueGO</w:t>
      </w:r>
      <w:r>
        <w:rPr>
          <w:rFonts w:ascii="Times New Roman" w:hAnsi="Times New Roman" w:cs="Times New Roman" w:hint="eastAsia"/>
          <w:color w:val="000000" w:themeColor="text1"/>
          <w:sz w:val="24"/>
          <w:szCs w:val="28"/>
        </w:rPr>
        <w:t xml:space="preserve"> </w:t>
      </w:r>
      <w:r w:rsidR="000A56E6">
        <w:rPr>
          <w:rFonts w:ascii="Times New Roman" w:hAnsi="Times New Roman" w:cs="Times New Roman"/>
          <w:color w:val="000000" w:themeColor="text1"/>
          <w:sz w:val="24"/>
          <w:szCs w:val="28"/>
        </w:rPr>
        <w:fldChar w:fldCharType="begin"/>
      </w:r>
      <w:r w:rsidR="006F15B6">
        <w:rPr>
          <w:rFonts w:ascii="Times New Roman" w:hAnsi="Times New Roman" w:cs="Times New Roman"/>
          <w:color w:val="000000" w:themeColor="text1"/>
          <w:sz w:val="24"/>
          <w:szCs w:val="28"/>
        </w:rPr>
        <w:instrText xml:space="preserve"> ADDIN EN.CITE &lt;EndNote&gt;&lt;Cite&gt;&lt;Author&gt;Bindea&lt;/Author&gt;&lt;Year&gt;2009&lt;/Year&gt;&lt;RecNum&gt;190&lt;/RecNum&gt;&lt;DisplayText&gt;(Bindea et al. 2009)&lt;/DisplayText&gt;&lt;record&gt;&lt;rec-number&gt;190&lt;/rec-number&gt;&lt;foreign-keys&gt;&lt;key app="EN" db-id="fxxpvfrxet22anexdd4x509axvseez9ewrfr" timestamp="1597049533"&gt;190&lt;/key&gt;&lt;/foreign-keys&gt;&lt;ref-type name="Journal Article"&gt;17&lt;/ref-type&gt;&lt;contributors&gt;&lt;authors&gt;&lt;author&gt;Bindea, Gabriela&lt;/author&gt;&lt;author&gt;Mlecnik, Bernhard&lt;/author&gt;&lt;author&gt;Hackl, Hubert&lt;/author&gt;&lt;author&gt;Charoentong, Pornpimol&lt;/author&gt;&lt;author&gt;Galon, Jérme&lt;/author&gt;&lt;/authors&gt;&lt;/contributors&gt;&lt;titles&gt;&lt;title&gt;ClueGO&lt;/title&gt;&lt;secondary-title&gt;Bioinformatics&lt;/secondary-title&gt;&lt;/titles&gt;&lt;periodical&gt;&lt;full-title&gt;Bioinformatics&lt;/full-title&gt;&lt;/periodical&gt;&lt;pages&gt;1091-1093&lt;/pages&gt;&lt;volume&gt;25&lt;/volume&gt;&lt;number&gt;8&lt;/number&gt;&lt;edition&gt;1093&lt;/edition&gt;&lt;section&gt;1091&lt;/section&gt;&lt;dates&gt;&lt;year&gt;2009&lt;/year&gt;&lt;/dates&gt;&lt;urls&gt;&lt;/urls&gt;&lt;/record&gt;&lt;/Cite&gt;&lt;/EndNote&gt;</w:instrText>
      </w:r>
      <w:r w:rsidR="000A56E6">
        <w:rPr>
          <w:rFonts w:ascii="Times New Roman" w:hAnsi="Times New Roman" w:cs="Times New Roman"/>
          <w:color w:val="000000" w:themeColor="text1"/>
          <w:sz w:val="24"/>
          <w:szCs w:val="28"/>
        </w:rPr>
        <w:fldChar w:fldCharType="separate"/>
      </w:r>
      <w:r w:rsidR="006F15B6">
        <w:rPr>
          <w:rFonts w:ascii="Times New Roman" w:hAnsi="Times New Roman" w:cs="Times New Roman"/>
          <w:noProof/>
          <w:color w:val="000000" w:themeColor="text1"/>
          <w:sz w:val="24"/>
          <w:szCs w:val="28"/>
        </w:rPr>
        <w:t>(Bindea et al. 2009)</w:t>
      </w:r>
      <w:r w:rsidR="000A56E6">
        <w:rPr>
          <w:rFonts w:ascii="Times New Roman" w:hAnsi="Times New Roman" w:cs="Times New Roman"/>
          <w:color w:val="000000" w:themeColor="text1"/>
          <w:sz w:val="24"/>
          <w:szCs w:val="28"/>
        </w:rPr>
        <w:fldChar w:fldCharType="end"/>
      </w:r>
      <w:r>
        <w:rPr>
          <w:rFonts w:ascii="Times New Roman" w:hAnsi="Times New Roman" w:cs="Times New Roman"/>
          <w:color w:val="000000" w:themeColor="text1"/>
          <w:sz w:val="24"/>
          <w:szCs w:val="28"/>
        </w:rPr>
        <w:t xml:space="preserve">. </w:t>
      </w:r>
    </w:p>
    <w:p w14:paraId="14286077" w14:textId="77777777" w:rsidR="00E41C1A" w:rsidRDefault="00E41C1A" w:rsidP="00464780">
      <w:pPr>
        <w:spacing w:line="480" w:lineRule="auto"/>
        <w:jc w:val="left"/>
        <w:rPr>
          <w:rFonts w:ascii="Times New Roman" w:hAnsi="Times New Roman" w:cs="Times New Roman"/>
          <w:color w:val="000000" w:themeColor="text1"/>
          <w:sz w:val="24"/>
          <w:szCs w:val="28"/>
        </w:rPr>
      </w:pPr>
      <w:r>
        <w:rPr>
          <w:rFonts w:ascii="Times New Roman" w:hAnsi="Times New Roman" w:cs="Times New Roman"/>
          <w:color w:val="000000" w:themeColor="text1"/>
          <w:sz w:val="24"/>
          <w:szCs w:val="28"/>
        </w:rPr>
        <w:t xml:space="preserve">Pathway with </w:t>
      </w:r>
      <w:r>
        <w:rPr>
          <w:rFonts w:ascii="Times New Roman" w:hAnsi="Times New Roman" w:cs="Times New Roman" w:hint="eastAsia"/>
          <w:color w:val="000000" w:themeColor="text1"/>
          <w:sz w:val="24"/>
          <w:szCs w:val="28"/>
        </w:rPr>
        <w:t>p</w:t>
      </w:r>
      <w:r>
        <w:rPr>
          <w:rFonts w:ascii="Times New Roman" w:hAnsi="Times New Roman" w:cs="Times New Roman"/>
          <w:color w:val="000000" w:themeColor="text1"/>
          <w:sz w:val="24"/>
          <w:szCs w:val="28"/>
        </w:rPr>
        <w:t xml:space="preserve"> value less than </w:t>
      </w:r>
      <w:r>
        <w:rPr>
          <w:rFonts w:ascii="Times New Roman" w:hAnsi="Times New Roman" w:cs="Times New Roman" w:hint="eastAsia"/>
          <w:color w:val="000000" w:themeColor="text1"/>
          <w:sz w:val="24"/>
          <w:szCs w:val="28"/>
        </w:rPr>
        <w:t>0.0</w:t>
      </w:r>
      <w:r>
        <w:rPr>
          <w:rFonts w:ascii="Times New Roman" w:hAnsi="Times New Roman" w:cs="Times New Roman"/>
          <w:color w:val="000000" w:themeColor="text1"/>
          <w:sz w:val="24"/>
          <w:szCs w:val="28"/>
        </w:rPr>
        <w:t>5 was showed.</w:t>
      </w:r>
    </w:p>
    <w:p w14:paraId="6C095FCA" w14:textId="77777777" w:rsidR="00E41C1A" w:rsidRDefault="00E41C1A" w:rsidP="00464780">
      <w:pPr>
        <w:spacing w:line="480" w:lineRule="auto"/>
        <w:jc w:val="left"/>
        <w:rPr>
          <w:rFonts w:ascii="Times New Roman" w:hAnsi="Times New Roman" w:cs="Times New Roman"/>
          <w:b/>
          <w:color w:val="000000" w:themeColor="text1"/>
          <w:sz w:val="24"/>
          <w:szCs w:val="28"/>
        </w:rPr>
      </w:pPr>
      <w:r>
        <w:rPr>
          <w:rFonts w:ascii="Times New Roman" w:hAnsi="Times New Roman" w:cs="Times New Roman" w:hint="eastAsia"/>
          <w:b/>
          <w:color w:val="000000" w:themeColor="text1"/>
          <w:sz w:val="24"/>
          <w:szCs w:val="28"/>
        </w:rPr>
        <w:t>JA analysis</w:t>
      </w:r>
    </w:p>
    <w:p w14:paraId="3EACA8D1" w14:textId="77777777" w:rsidR="00E41C1A" w:rsidRDefault="00E41C1A" w:rsidP="00464780">
      <w:pPr>
        <w:spacing w:line="480" w:lineRule="auto"/>
        <w:jc w:val="left"/>
        <w:rPr>
          <w:rFonts w:ascii="Times New Roman" w:hAnsi="Times New Roman" w:cs="Times New Roman"/>
          <w:color w:val="000000" w:themeColor="text1"/>
          <w:sz w:val="24"/>
          <w:szCs w:val="28"/>
        </w:rPr>
      </w:pPr>
      <w:r w:rsidRPr="00536B67">
        <w:rPr>
          <w:rFonts w:ascii="Times New Roman" w:hAnsi="Times New Roman" w:cs="Times New Roman" w:hint="eastAsia"/>
          <w:color w:val="000000" w:themeColor="text1"/>
          <w:sz w:val="24"/>
          <w:szCs w:val="28"/>
        </w:rPr>
        <w:t xml:space="preserve">Approximately 100mg material was used for JA analysis. </w:t>
      </w:r>
      <w:r w:rsidRPr="00536B67">
        <w:rPr>
          <w:rFonts w:ascii="Times New Roman" w:hAnsi="Times New Roman" w:cs="Times New Roman"/>
          <w:color w:val="000000" w:themeColor="text1"/>
          <w:sz w:val="24"/>
          <w:szCs w:val="28"/>
        </w:rPr>
        <w:t>S</w:t>
      </w:r>
      <w:r w:rsidRPr="00536B67">
        <w:rPr>
          <w:rFonts w:ascii="Times New Roman" w:hAnsi="Times New Roman" w:cs="Times New Roman" w:hint="eastAsia"/>
          <w:color w:val="000000" w:themeColor="text1"/>
          <w:sz w:val="24"/>
          <w:szCs w:val="28"/>
        </w:rPr>
        <w:t>amples</w:t>
      </w:r>
      <w:r>
        <w:rPr>
          <w:rFonts w:ascii="Times New Roman" w:hAnsi="Times New Roman" w:cs="Times New Roman"/>
          <w:color w:val="000000" w:themeColor="text1"/>
          <w:sz w:val="24"/>
          <w:szCs w:val="28"/>
        </w:rPr>
        <w:t xml:space="preserve"> were ground and </w:t>
      </w:r>
      <w:r>
        <w:rPr>
          <w:rFonts w:ascii="Times New Roman" w:hAnsi="Times New Roman" w:cs="Times New Roman"/>
          <w:color w:val="000000" w:themeColor="text1"/>
          <w:sz w:val="24"/>
          <w:szCs w:val="28"/>
        </w:rPr>
        <w:lastRenderedPageBreak/>
        <w:t xml:space="preserve">extracted with 800 </w:t>
      </w:r>
      <w:r w:rsidRPr="00D97A47">
        <w:rPr>
          <w:rFonts w:ascii="Times New Roman" w:hAnsi="Times New Roman" w:cs="Times New Roman"/>
          <w:color w:val="000000" w:themeColor="text1"/>
          <w:sz w:val="24"/>
          <w:szCs w:val="28"/>
        </w:rPr>
        <w:t>μL of ethyl acetate containing the internal standards (10 ng of D6-JA and 10 ng of D6-JA-Ile). Extracts were evaporated and dissolved with 300 μL of 70 % methanol</w:t>
      </w:r>
      <w:r w:rsidRPr="00D97A47">
        <w:rPr>
          <w:rFonts w:ascii="Times New Roman" w:hAnsi="Times New Roman" w:cs="Times New Roman" w:hint="eastAsia"/>
          <w:color w:val="000000" w:themeColor="text1"/>
          <w:sz w:val="24"/>
          <w:szCs w:val="28"/>
        </w:rPr>
        <w:t>.</w:t>
      </w:r>
      <w:r>
        <w:rPr>
          <w:rFonts w:ascii="Times New Roman" w:hAnsi="Times New Roman" w:cs="Times New Roman"/>
          <w:color w:val="000000" w:themeColor="text1"/>
          <w:sz w:val="24"/>
          <w:szCs w:val="28"/>
        </w:rPr>
        <w:t xml:space="preserve"> </w:t>
      </w:r>
      <w:r w:rsidRPr="00D97A47">
        <w:rPr>
          <w:rFonts w:ascii="Times New Roman" w:hAnsi="Times New Roman" w:cs="Times New Roman"/>
          <w:color w:val="000000" w:themeColor="text1"/>
          <w:sz w:val="24"/>
          <w:szCs w:val="28"/>
        </w:rPr>
        <w:t>All samples were analyzed by UHPLC-HESI-MS/MS as previously described</w:t>
      </w:r>
      <w:r>
        <w:rPr>
          <w:rFonts w:ascii="Times New Roman" w:hAnsi="Times New Roman" w:cs="Times New Roman" w:hint="eastAsia"/>
          <w:color w:val="000000" w:themeColor="text1"/>
          <w:sz w:val="24"/>
          <w:szCs w:val="28"/>
        </w:rPr>
        <w:t xml:space="preserve"> </w:t>
      </w:r>
      <w:r w:rsidR="000A56E6">
        <w:rPr>
          <w:rFonts w:ascii="Times New Roman" w:hAnsi="Times New Roman" w:cs="Times New Roman"/>
          <w:color w:val="000000" w:themeColor="text1"/>
          <w:sz w:val="24"/>
          <w:szCs w:val="28"/>
        </w:rPr>
        <w:fldChar w:fldCharType="begin"/>
      </w:r>
      <w:r w:rsidR="006F15B6">
        <w:rPr>
          <w:rFonts w:ascii="Times New Roman" w:hAnsi="Times New Roman" w:cs="Times New Roman"/>
          <w:color w:val="000000" w:themeColor="text1"/>
          <w:sz w:val="24"/>
          <w:szCs w:val="28"/>
        </w:rPr>
        <w:instrText xml:space="preserve"> ADDIN EN.CITE &lt;EndNote&gt;&lt;Cite&gt;&lt;Author&gt;Li&lt;/Author&gt;&lt;Year&gt;2017&lt;/Year&gt;&lt;RecNum&gt;196&lt;/RecNum&gt;&lt;DisplayText&gt;(Li et al. 2017)&lt;/DisplayText&gt;&lt;record&gt;&lt;rec-number&gt;196&lt;/rec-number&gt;&lt;foreign-keys&gt;&lt;key app="EN" db-id="fxxpvfrxet22anexdd4x509axvseez9ewrfr" timestamp="1597197533"&gt;196&lt;/key&gt;&lt;/foreign-keys&gt;&lt;ref-type name="Journal Article"&gt;17&lt;/ref-type&gt;&lt;contributors&gt;&lt;authors&gt;&lt;author&gt;Li, Ran&lt;/author&gt;&lt;author&gt;Wang, Ming&lt;/author&gt;&lt;author&gt;Wang, Yang&lt;/author&gt;&lt;author&gt;Schuman, Meredith C.&lt;/author&gt;&lt;author&gt;Baldwin, Ian T.&lt;/author&gt;&lt;/authors&gt;&lt;/contributors&gt;&lt;titles&gt;&lt;title&gt;Flower-specific jasmonate signaling regulates constitutive floral defenses in wild tobacco&lt;/title&gt;&lt;secondary-title&gt;Proceedings of the National Academy of Ences of the United States of America&lt;/secondary-title&gt;&lt;/titles&gt;&lt;periodical&gt;&lt;full-title&gt;Proceedings of the National Academy of Ences of the United States of America&lt;/full-title&gt;&lt;/periodical&gt;&lt;pages&gt;E7205-E7214&lt;/pages&gt;&lt;volume&gt;114&lt;/volume&gt;&lt;number&gt;34&lt;/number&gt;&lt;dates&gt;&lt;year&gt;2017&lt;/year&gt;&lt;/dates&gt;&lt;urls&gt;&lt;/urls&gt;&lt;/record&gt;&lt;/Cite&gt;&lt;/EndNote&gt;</w:instrText>
      </w:r>
      <w:r w:rsidR="000A56E6">
        <w:rPr>
          <w:rFonts w:ascii="Times New Roman" w:hAnsi="Times New Roman" w:cs="Times New Roman"/>
          <w:color w:val="000000" w:themeColor="text1"/>
          <w:sz w:val="24"/>
          <w:szCs w:val="28"/>
        </w:rPr>
        <w:fldChar w:fldCharType="separate"/>
      </w:r>
      <w:r w:rsidR="006F15B6">
        <w:rPr>
          <w:rFonts w:ascii="Times New Roman" w:hAnsi="Times New Roman" w:cs="Times New Roman"/>
          <w:noProof/>
          <w:color w:val="000000" w:themeColor="text1"/>
          <w:sz w:val="24"/>
          <w:szCs w:val="28"/>
        </w:rPr>
        <w:t>(Li et al. 2017)</w:t>
      </w:r>
      <w:r w:rsidR="000A56E6">
        <w:rPr>
          <w:rFonts w:ascii="Times New Roman" w:hAnsi="Times New Roman" w:cs="Times New Roman"/>
          <w:color w:val="000000" w:themeColor="text1"/>
          <w:sz w:val="24"/>
          <w:szCs w:val="28"/>
        </w:rPr>
        <w:fldChar w:fldCharType="end"/>
      </w:r>
      <w:r w:rsidRPr="00D97A47">
        <w:rPr>
          <w:rFonts w:ascii="Times New Roman" w:hAnsi="Times New Roman" w:cs="Times New Roman"/>
          <w:color w:val="000000" w:themeColor="text1"/>
          <w:sz w:val="24"/>
          <w:szCs w:val="28"/>
        </w:rPr>
        <w:t>.</w:t>
      </w:r>
    </w:p>
    <w:p w14:paraId="00D52B14" w14:textId="77777777" w:rsidR="00E41C1A" w:rsidRDefault="00E41C1A" w:rsidP="00464780">
      <w:pPr>
        <w:spacing w:line="480" w:lineRule="auto"/>
      </w:pPr>
    </w:p>
    <w:p w14:paraId="0CE246E1" w14:textId="77777777" w:rsidR="006F15B6" w:rsidRDefault="006F15B6" w:rsidP="00464780">
      <w:pPr>
        <w:spacing w:line="480" w:lineRule="auto"/>
      </w:pPr>
    </w:p>
    <w:p w14:paraId="5FC5EA72" w14:textId="77777777" w:rsidR="00E41C1A" w:rsidRPr="006F15B6" w:rsidRDefault="006F15B6" w:rsidP="00464780">
      <w:pPr>
        <w:spacing w:line="480" w:lineRule="auto"/>
        <w:rPr>
          <w:rFonts w:ascii="Times New Roman" w:hAnsi="Times New Roman" w:cs="Times New Roman"/>
          <w:b/>
          <w:bCs/>
          <w:color w:val="000000" w:themeColor="text1"/>
          <w:sz w:val="24"/>
          <w:szCs w:val="24"/>
        </w:rPr>
      </w:pPr>
      <w:r>
        <w:rPr>
          <w:rFonts w:ascii="Times New Roman" w:hAnsi="Times New Roman" w:cs="Times New Roman" w:hint="eastAsia"/>
          <w:b/>
          <w:bCs/>
          <w:color w:val="000000" w:themeColor="text1"/>
          <w:sz w:val="24"/>
          <w:szCs w:val="24"/>
        </w:rPr>
        <w:t>References</w:t>
      </w:r>
    </w:p>
    <w:p w14:paraId="46C01269" w14:textId="77777777" w:rsidR="006F15B6" w:rsidRPr="006F15B6" w:rsidRDefault="000A56E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fldChar w:fldCharType="begin"/>
      </w:r>
      <w:r w:rsidR="00E41C1A" w:rsidRPr="006F15B6">
        <w:rPr>
          <w:rFonts w:ascii="Times New Roman" w:hAnsi="Times New Roman" w:cs="Times New Roman"/>
          <w:sz w:val="24"/>
          <w:szCs w:val="24"/>
        </w:rPr>
        <w:instrText xml:space="preserve"> ADDIN EN.REFLIST </w:instrText>
      </w:r>
      <w:r w:rsidRPr="006F15B6">
        <w:rPr>
          <w:rFonts w:ascii="Times New Roman" w:hAnsi="Times New Roman" w:cs="Times New Roman"/>
          <w:sz w:val="24"/>
          <w:szCs w:val="24"/>
        </w:rPr>
        <w:fldChar w:fldCharType="separate"/>
      </w:r>
      <w:r w:rsidR="006F15B6" w:rsidRPr="006F15B6">
        <w:rPr>
          <w:rFonts w:ascii="Times New Roman" w:hAnsi="Times New Roman" w:cs="Times New Roman"/>
          <w:sz w:val="24"/>
          <w:szCs w:val="24"/>
        </w:rPr>
        <w:t xml:space="preserve">Bindea G, Mlecnik B, Hackl H, Charoentong P, Galon J (2009). ClueGO. Bioinformatics </w:t>
      </w:r>
      <w:r w:rsidR="006F15B6" w:rsidRPr="006F15B6">
        <w:rPr>
          <w:rFonts w:ascii="Times New Roman" w:hAnsi="Times New Roman" w:cs="Times New Roman"/>
          <w:b/>
          <w:sz w:val="24"/>
          <w:szCs w:val="24"/>
        </w:rPr>
        <w:t>25</w:t>
      </w:r>
      <w:r w:rsidR="006F15B6" w:rsidRPr="006F15B6">
        <w:rPr>
          <w:rFonts w:ascii="Times New Roman" w:hAnsi="Times New Roman" w:cs="Times New Roman"/>
          <w:sz w:val="24"/>
          <w:szCs w:val="24"/>
        </w:rPr>
        <w:t>: 1091-1093</w:t>
      </w:r>
    </w:p>
    <w:p w14:paraId="518F1305"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 xml:space="preserve">Kim D, Langmead B, Salzberg SL (2015). HISAT: a fast spliced aligner with low memory requirements. Nature Methods </w:t>
      </w:r>
      <w:r w:rsidRPr="006F15B6">
        <w:rPr>
          <w:rFonts w:ascii="Times New Roman" w:hAnsi="Times New Roman" w:cs="Times New Roman"/>
          <w:b/>
          <w:sz w:val="24"/>
          <w:szCs w:val="24"/>
        </w:rPr>
        <w:t>12</w:t>
      </w:r>
      <w:r w:rsidRPr="006F15B6">
        <w:rPr>
          <w:rFonts w:ascii="Times New Roman" w:hAnsi="Times New Roman" w:cs="Times New Roman"/>
          <w:sz w:val="24"/>
          <w:szCs w:val="24"/>
        </w:rPr>
        <w:t>: 357-360</w:t>
      </w:r>
    </w:p>
    <w:p w14:paraId="78D98E97"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 xml:space="preserve">Langfelder P, Horvath S (2008). WGCNA: an R package for weighted correlation network analysis. BMC Bioinformatics </w:t>
      </w:r>
      <w:r w:rsidRPr="006F15B6">
        <w:rPr>
          <w:rFonts w:ascii="Times New Roman" w:hAnsi="Times New Roman" w:cs="Times New Roman"/>
          <w:b/>
          <w:sz w:val="24"/>
          <w:szCs w:val="24"/>
        </w:rPr>
        <w:t>9</w:t>
      </w:r>
      <w:r w:rsidRPr="006F15B6">
        <w:rPr>
          <w:rFonts w:ascii="Times New Roman" w:hAnsi="Times New Roman" w:cs="Times New Roman"/>
          <w:sz w:val="24"/>
          <w:szCs w:val="24"/>
        </w:rPr>
        <w:t>: 1-13</w:t>
      </w:r>
    </w:p>
    <w:p w14:paraId="4D4026A6"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 xml:space="preserve">Li A, Zhang J, Zhou Z (2014). PLEK: a tool for predicting long non-coding RNAs and messenger RNAs based on an improved k-mer scheme. BMC Bioinformatics </w:t>
      </w:r>
      <w:r w:rsidRPr="006F15B6">
        <w:rPr>
          <w:rFonts w:ascii="Times New Roman" w:hAnsi="Times New Roman" w:cs="Times New Roman"/>
          <w:b/>
          <w:sz w:val="24"/>
          <w:szCs w:val="24"/>
        </w:rPr>
        <w:t>15</w:t>
      </w:r>
      <w:r w:rsidRPr="006F15B6">
        <w:rPr>
          <w:rFonts w:ascii="Times New Roman" w:hAnsi="Times New Roman" w:cs="Times New Roman"/>
          <w:sz w:val="24"/>
          <w:szCs w:val="24"/>
        </w:rPr>
        <w:t>: 1471-2105</w:t>
      </w:r>
    </w:p>
    <w:p w14:paraId="31178872"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 xml:space="preserve">Li R, Wang M, Wang Y, Schuman MC, Baldwin IT (2017). Flower-specific jasmonate signaling regulates constitutive floral defenses in wild tobacco. Proceedings of the National Academy of Ences of the United States of America </w:t>
      </w:r>
      <w:r w:rsidRPr="006F15B6">
        <w:rPr>
          <w:rFonts w:ascii="Times New Roman" w:hAnsi="Times New Roman" w:cs="Times New Roman"/>
          <w:b/>
          <w:sz w:val="24"/>
          <w:szCs w:val="24"/>
        </w:rPr>
        <w:t>114</w:t>
      </w:r>
      <w:r w:rsidRPr="006F15B6">
        <w:rPr>
          <w:rFonts w:ascii="Times New Roman" w:hAnsi="Times New Roman" w:cs="Times New Roman"/>
          <w:sz w:val="24"/>
          <w:szCs w:val="24"/>
        </w:rPr>
        <w:t>: E7205-E7214</w:t>
      </w:r>
    </w:p>
    <w:p w14:paraId="6EDA4498"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Ono K, Demchak B, Ideker T (2014). Cytoscape tools for the web age: D3.js and Cytoscape.js exporters. F1000research</w:t>
      </w:r>
    </w:p>
    <w:p w14:paraId="46866A7D" w14:textId="77777777" w:rsidR="006F15B6" w:rsidRPr="006F15B6" w:rsidRDefault="006F15B6" w:rsidP="00464780">
      <w:pPr>
        <w:pStyle w:val="EndNoteBibliography"/>
        <w:spacing w:line="480" w:lineRule="auto"/>
        <w:rPr>
          <w:rFonts w:ascii="Times New Roman" w:hAnsi="Times New Roman" w:cs="Times New Roman"/>
          <w:sz w:val="24"/>
          <w:szCs w:val="24"/>
        </w:rPr>
      </w:pPr>
      <w:r w:rsidRPr="006F15B6">
        <w:rPr>
          <w:rFonts w:ascii="Times New Roman" w:hAnsi="Times New Roman" w:cs="Times New Roman"/>
          <w:sz w:val="24"/>
          <w:szCs w:val="24"/>
        </w:rPr>
        <w:t xml:space="preserve">Pertea M, Pertea GM, Antonescu CM, Chang TC, Mendell JT, Salzberg SL (2015). </w:t>
      </w:r>
      <w:r w:rsidRPr="006F15B6">
        <w:rPr>
          <w:rFonts w:ascii="Times New Roman" w:hAnsi="Times New Roman" w:cs="Times New Roman"/>
          <w:sz w:val="24"/>
          <w:szCs w:val="24"/>
        </w:rPr>
        <w:lastRenderedPageBreak/>
        <w:t xml:space="preserve">StringTie enables improved reconstruction of a transcriptome from RNA-seq reads. Nature Biotechnology </w:t>
      </w:r>
      <w:r w:rsidRPr="006F15B6">
        <w:rPr>
          <w:rFonts w:ascii="Times New Roman" w:hAnsi="Times New Roman" w:cs="Times New Roman"/>
          <w:b/>
          <w:sz w:val="24"/>
          <w:szCs w:val="24"/>
        </w:rPr>
        <w:t>33</w:t>
      </w:r>
      <w:r w:rsidRPr="006F15B6">
        <w:rPr>
          <w:rFonts w:ascii="Times New Roman" w:hAnsi="Times New Roman" w:cs="Times New Roman"/>
          <w:sz w:val="24"/>
          <w:szCs w:val="24"/>
        </w:rPr>
        <w:t>: 290-295</w:t>
      </w:r>
    </w:p>
    <w:p w14:paraId="2DB00D36" w14:textId="77777777" w:rsidR="006F15B6" w:rsidRPr="006F15B6" w:rsidRDefault="006F15B6" w:rsidP="00464780">
      <w:pPr>
        <w:pStyle w:val="EndNoteBibliography"/>
        <w:spacing w:line="480" w:lineRule="auto"/>
        <w:rPr>
          <w:rFonts w:ascii="Times New Roman" w:hAnsi="Times New Roman" w:cs="Times New Roman"/>
          <w:b/>
          <w:sz w:val="24"/>
          <w:szCs w:val="24"/>
        </w:rPr>
      </w:pPr>
      <w:r w:rsidRPr="006F15B6">
        <w:rPr>
          <w:rFonts w:ascii="Times New Roman" w:hAnsi="Times New Roman" w:cs="Times New Roman"/>
          <w:sz w:val="24"/>
          <w:szCs w:val="24"/>
        </w:rPr>
        <w:t xml:space="preserve">Zhou XG, Yu P, Dong C, Yao CX, Zhao ZW (2016). Proteomic analysis of mycelial proteins from Magnaporthe oryzae under nitrogen starvation. Genetics &amp; Molecular Research Gmr </w:t>
      </w:r>
      <w:r w:rsidRPr="006F15B6">
        <w:rPr>
          <w:rFonts w:ascii="Times New Roman" w:hAnsi="Times New Roman" w:cs="Times New Roman"/>
          <w:b/>
          <w:sz w:val="24"/>
          <w:szCs w:val="24"/>
        </w:rPr>
        <w:t>15</w:t>
      </w:r>
    </w:p>
    <w:p w14:paraId="55F79540" w14:textId="77777777" w:rsidR="00A34F0D" w:rsidRPr="006F15B6" w:rsidRDefault="000A56E6" w:rsidP="00464780">
      <w:pPr>
        <w:spacing w:line="480" w:lineRule="auto"/>
        <w:rPr>
          <w:rFonts w:ascii="Times New Roman" w:hAnsi="Times New Roman" w:cs="Times New Roman"/>
          <w:sz w:val="24"/>
          <w:szCs w:val="24"/>
        </w:rPr>
      </w:pPr>
      <w:r w:rsidRPr="006F15B6">
        <w:rPr>
          <w:rFonts w:ascii="Times New Roman" w:hAnsi="Times New Roman" w:cs="Times New Roman"/>
          <w:sz w:val="24"/>
          <w:szCs w:val="24"/>
        </w:rPr>
        <w:fldChar w:fldCharType="end"/>
      </w:r>
    </w:p>
    <w:sectPr w:rsidR="00A34F0D" w:rsidRPr="006F15B6" w:rsidSect="00464780">
      <w:footerReference w:type="default" r:id="rId6"/>
      <w:pgSz w:w="11906" w:h="16838"/>
      <w:pgMar w:top="1440" w:right="1800" w:bottom="1440" w:left="180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0211A3" w14:textId="77777777" w:rsidR="00BC1F5A" w:rsidRDefault="00BC1F5A" w:rsidP="00C9045A">
      <w:r>
        <w:separator/>
      </w:r>
    </w:p>
  </w:endnote>
  <w:endnote w:type="continuationSeparator" w:id="0">
    <w:p w14:paraId="079FDD2D" w14:textId="77777777" w:rsidR="00BC1F5A" w:rsidRDefault="00BC1F5A" w:rsidP="00C9045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611393659"/>
      <w:docPartObj>
        <w:docPartGallery w:val="Page Numbers (Bottom of Page)"/>
        <w:docPartUnique/>
      </w:docPartObj>
    </w:sdtPr>
    <w:sdtEndPr/>
    <w:sdtContent>
      <w:p w14:paraId="490DFD43" w14:textId="77777777" w:rsidR="00464780" w:rsidRDefault="00BC1F5A">
        <w:pPr>
          <w:pStyle w:val="a5"/>
          <w:jc w:val="center"/>
        </w:pPr>
        <w:r>
          <w:fldChar w:fldCharType="begin"/>
        </w:r>
        <w:r>
          <w:instrText xml:space="preserve"> PAGE   \* MERGEFORMAT </w:instrText>
        </w:r>
        <w:r>
          <w:fldChar w:fldCharType="separate"/>
        </w:r>
        <w:r w:rsidR="00464780" w:rsidRPr="00464780">
          <w:rPr>
            <w:noProof/>
            <w:lang w:val="zh-CN"/>
          </w:rPr>
          <w:t>2</w:t>
        </w:r>
        <w:r>
          <w:rPr>
            <w:noProof/>
            <w:lang w:val="zh-CN"/>
          </w:rPr>
          <w:fldChar w:fldCharType="end"/>
        </w:r>
      </w:p>
    </w:sdtContent>
  </w:sdt>
  <w:p w14:paraId="38B9DF2A" w14:textId="77777777" w:rsidR="00464780" w:rsidRDefault="00464780">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103AC3D" w14:textId="77777777" w:rsidR="00BC1F5A" w:rsidRDefault="00BC1F5A" w:rsidP="00C9045A">
      <w:r>
        <w:separator/>
      </w:r>
    </w:p>
  </w:footnote>
  <w:footnote w:type="continuationSeparator" w:id="0">
    <w:p w14:paraId="7D98ECC7" w14:textId="77777777" w:rsidR="00BC1F5A" w:rsidRDefault="00BC1F5A" w:rsidP="00C9045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docVars>
    <w:docVar w:name="EN.Layout" w:val="&lt;ENLayout&gt;&lt;Style&gt;rice&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xxpvfrxet22anexdd4x509axvseez9ewrfr&quot;&gt;我的EndNote库&lt;record-ids&gt;&lt;item&gt;188&lt;/item&gt;&lt;item&gt;189&lt;/item&gt;&lt;item&gt;190&lt;/item&gt;&lt;item&gt;191&lt;/item&gt;&lt;item&gt;192&lt;/item&gt;&lt;item&gt;193&lt;/item&gt;&lt;item&gt;195&lt;/item&gt;&lt;item&gt;196&lt;/item&gt;&lt;/record-ids&gt;&lt;/item&gt;&lt;/Libraries&gt;"/>
  </w:docVars>
  <w:rsids>
    <w:rsidRoot w:val="00E41C1A"/>
    <w:rsid w:val="0006167E"/>
    <w:rsid w:val="000A56E6"/>
    <w:rsid w:val="001A35C5"/>
    <w:rsid w:val="001E6733"/>
    <w:rsid w:val="00464780"/>
    <w:rsid w:val="004A20D0"/>
    <w:rsid w:val="006F15B6"/>
    <w:rsid w:val="00777F63"/>
    <w:rsid w:val="007D26FB"/>
    <w:rsid w:val="00A34F0D"/>
    <w:rsid w:val="00BC1F5A"/>
    <w:rsid w:val="00BF1B97"/>
    <w:rsid w:val="00C9045A"/>
    <w:rsid w:val="00DA6EFF"/>
    <w:rsid w:val="00E41C1A"/>
    <w:rsid w:val="00EE2B4D"/>
    <w:rsid w:val="00FA0F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51C3BCF"/>
  <w15:docId w15:val="{E64237BC-226D-43A3-8991-61BADC178F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41C1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pple-converted-space">
    <w:name w:val="apple-converted-space"/>
    <w:basedOn w:val="a0"/>
    <w:rsid w:val="00E41C1A"/>
  </w:style>
  <w:style w:type="paragraph" w:customStyle="1" w:styleId="Default">
    <w:name w:val="Default"/>
    <w:rsid w:val="00E41C1A"/>
    <w:pPr>
      <w:widowControl w:val="0"/>
      <w:autoSpaceDE w:val="0"/>
      <w:autoSpaceDN w:val="0"/>
      <w:adjustRightInd w:val="0"/>
    </w:pPr>
    <w:rPr>
      <w:rFonts w:ascii="Times New Roman" w:hAnsi="Times New Roman" w:cs="Times New Roman"/>
      <w:color w:val="000000"/>
      <w:kern w:val="0"/>
      <w:sz w:val="24"/>
      <w:szCs w:val="24"/>
    </w:rPr>
  </w:style>
  <w:style w:type="paragraph" w:customStyle="1" w:styleId="EndNoteBibliographyTitle">
    <w:name w:val="EndNote Bibliography Title"/>
    <w:basedOn w:val="a"/>
    <w:link w:val="EndNoteBibliographyTitleChar"/>
    <w:rsid w:val="00E41C1A"/>
    <w:pPr>
      <w:jc w:val="center"/>
    </w:pPr>
    <w:rPr>
      <w:rFonts w:ascii="Calibri" w:hAnsi="Calibri" w:cs="Calibri"/>
      <w:noProof/>
      <w:sz w:val="20"/>
    </w:rPr>
  </w:style>
  <w:style w:type="character" w:customStyle="1" w:styleId="EndNoteBibliographyTitleChar">
    <w:name w:val="EndNote Bibliography Title Char"/>
    <w:basedOn w:val="a0"/>
    <w:link w:val="EndNoteBibliographyTitle"/>
    <w:rsid w:val="00E41C1A"/>
    <w:rPr>
      <w:rFonts w:ascii="Calibri" w:hAnsi="Calibri" w:cs="Calibri"/>
      <w:noProof/>
      <w:sz w:val="20"/>
    </w:rPr>
  </w:style>
  <w:style w:type="paragraph" w:customStyle="1" w:styleId="EndNoteBibliography">
    <w:name w:val="EndNote Bibliography"/>
    <w:basedOn w:val="a"/>
    <w:link w:val="EndNoteBibliographyChar"/>
    <w:rsid w:val="00E41C1A"/>
    <w:rPr>
      <w:rFonts w:ascii="Calibri" w:hAnsi="Calibri" w:cs="Calibri"/>
      <w:noProof/>
      <w:sz w:val="20"/>
    </w:rPr>
  </w:style>
  <w:style w:type="character" w:customStyle="1" w:styleId="EndNoteBibliographyChar">
    <w:name w:val="EndNote Bibliography Char"/>
    <w:basedOn w:val="a0"/>
    <w:link w:val="EndNoteBibliography"/>
    <w:rsid w:val="00E41C1A"/>
    <w:rPr>
      <w:rFonts w:ascii="Calibri" w:hAnsi="Calibri" w:cs="Calibri"/>
      <w:noProof/>
      <w:sz w:val="20"/>
    </w:rPr>
  </w:style>
  <w:style w:type="paragraph" w:styleId="a3">
    <w:name w:val="header"/>
    <w:basedOn w:val="a"/>
    <w:link w:val="a4"/>
    <w:uiPriority w:val="99"/>
    <w:semiHidden/>
    <w:unhideWhenUsed/>
    <w:rsid w:val="00C9045A"/>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C9045A"/>
    <w:rPr>
      <w:sz w:val="18"/>
      <w:szCs w:val="18"/>
    </w:rPr>
  </w:style>
  <w:style w:type="paragraph" w:styleId="a5">
    <w:name w:val="footer"/>
    <w:basedOn w:val="a"/>
    <w:link w:val="a6"/>
    <w:uiPriority w:val="99"/>
    <w:unhideWhenUsed/>
    <w:rsid w:val="00C9045A"/>
    <w:pPr>
      <w:tabs>
        <w:tab w:val="center" w:pos="4153"/>
        <w:tab w:val="right" w:pos="8306"/>
      </w:tabs>
      <w:snapToGrid w:val="0"/>
      <w:jc w:val="left"/>
    </w:pPr>
    <w:rPr>
      <w:sz w:val="18"/>
      <w:szCs w:val="18"/>
    </w:rPr>
  </w:style>
  <w:style w:type="character" w:customStyle="1" w:styleId="a6">
    <w:name w:val="页脚 字符"/>
    <w:basedOn w:val="a0"/>
    <w:link w:val="a5"/>
    <w:uiPriority w:val="99"/>
    <w:rsid w:val="00C9045A"/>
    <w:rPr>
      <w:sz w:val="18"/>
      <w:szCs w:val="18"/>
    </w:rPr>
  </w:style>
  <w:style w:type="character" w:styleId="a7">
    <w:name w:val="line number"/>
    <w:basedOn w:val="a0"/>
    <w:uiPriority w:val="99"/>
    <w:semiHidden/>
    <w:unhideWhenUsed/>
    <w:rsid w:val="0046478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6</Pages>
  <Words>2287</Words>
  <Characters>13040</Characters>
  <Application>Microsoft Office Word</Application>
  <DocSecurity>0</DocSecurity>
  <Lines>108</Lines>
  <Paragraphs>30</Paragraphs>
  <ScaleCrop>false</ScaleCrop>
  <Company>Microsoft</Company>
  <LinksUpToDate>false</LinksUpToDate>
  <CharactersWithSpaces>15297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wll</dc:creator>
  <cp:lastModifiedBy>zjurice-insect@outlook.com</cp:lastModifiedBy>
  <cp:revision>7</cp:revision>
  <dcterms:created xsi:type="dcterms:W3CDTF">2020-08-25T01:15:00Z</dcterms:created>
  <dcterms:modified xsi:type="dcterms:W3CDTF">2020-09-25T02:19:00Z</dcterms:modified>
</cp:coreProperties>
</file>