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C27EC">
      <w:pPr>
        <w:jc w:val="center"/>
        <w:rPr>
          <w:rFonts w:ascii="Times New Roman" w:hAnsi="Times New Roman" w:cs="Times New Roman"/>
          <w:sz w:val="24"/>
          <w:szCs w:val="24"/>
        </w:rPr>
      </w:pPr>
      <w:r>
        <w:rPr>
          <w:rFonts w:ascii="Times New Roman" w:hAnsi="Times New Roman" w:cs="Times New Roman"/>
          <w:b/>
          <w:bCs/>
          <w:sz w:val="24"/>
          <w:szCs w:val="24"/>
        </w:rPr>
        <w:t>Table S1</w:t>
      </w:r>
      <w:r>
        <w:rPr>
          <w:rFonts w:ascii="Times New Roman" w:hAnsi="Times New Roman" w:cs="Times New Roman"/>
          <w:sz w:val="24"/>
          <w:szCs w:val="24"/>
        </w:rPr>
        <w:t xml:space="preserve"> </w:t>
      </w:r>
      <w:r>
        <w:rPr>
          <w:rFonts w:hint="eastAsia" w:ascii="Times New Roman" w:hAnsi="Times New Roman" w:cs="Times New Roman"/>
          <w:sz w:val="24"/>
          <w:szCs w:val="24"/>
          <w:lang w:val="en-US"/>
        </w:rPr>
        <w:t>Detailed information for d</w:t>
      </w:r>
      <w:r>
        <w:rPr>
          <w:rFonts w:ascii="Times New Roman" w:hAnsi="Times New Roman" w:cs="Times New Roman"/>
          <w:sz w:val="24"/>
          <w:szCs w:val="24"/>
        </w:rPr>
        <w:t>ata</w:t>
      </w:r>
      <w:r>
        <w:rPr>
          <w:rFonts w:hint="eastAsia" w:ascii="Times New Roman" w:hAnsi="Times New Roman" w:cs="Times New Roman"/>
          <w:sz w:val="24"/>
          <w:szCs w:val="24"/>
        </w:rPr>
        <w:t>sets</w:t>
      </w:r>
      <w:r>
        <w:rPr>
          <w:rFonts w:ascii="Times New Roman" w:hAnsi="Times New Roman" w:cs="Times New Roman"/>
          <w:sz w:val="24"/>
          <w:szCs w:val="24"/>
        </w:rPr>
        <w:t xml:space="preserve"> used in this study</w:t>
      </w:r>
    </w:p>
    <w:tbl>
      <w:tblPr>
        <w:tblStyle w:val="12"/>
        <w:tblW w:w="5000" w:type="pct"/>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fixed"/>
        <w:tblCellMar>
          <w:top w:w="0" w:type="dxa"/>
          <w:left w:w="108" w:type="dxa"/>
          <w:bottom w:w="0" w:type="dxa"/>
          <w:right w:w="108" w:type="dxa"/>
        </w:tblCellMar>
      </w:tblPr>
      <w:tblGrid>
        <w:gridCol w:w="1310"/>
        <w:gridCol w:w="1309"/>
        <w:gridCol w:w="2039"/>
        <w:gridCol w:w="2038"/>
        <w:gridCol w:w="1164"/>
        <w:gridCol w:w="663"/>
      </w:tblGrid>
      <w:tr w14:paraId="62494CB5">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360" w:hRule="atLeast"/>
          <w:tblHeader/>
        </w:trPr>
        <w:tc>
          <w:tcPr>
            <w:tcW w:w="768" w:type="pct"/>
            <w:tcBorders>
              <w:top w:val="single" w:color="000000" w:themeColor="text1" w:sz="4" w:space="0"/>
              <w:left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31545CCE">
            <w:pPr>
              <w:spacing w:after="0" w:line="240" w:lineRule="auto"/>
              <w:rPr>
                <w:rFonts w:ascii="Times New Roman" w:hAnsi="Times New Roman" w:cs="Times New Roman"/>
                <w:b/>
                <w:bCs/>
                <w:color w:val="000000"/>
                <w:kern w:val="0"/>
                <w:sz w:val="24"/>
                <w:szCs w:val="24"/>
              </w:rPr>
            </w:pPr>
            <w:r>
              <w:rPr>
                <w:rFonts w:ascii="Times New Roman" w:hAnsi="Times New Roman" w:eastAsia="Times New Roman" w:cs="Times New Roman"/>
                <w:b/>
                <w:bCs/>
                <w:color w:val="000000"/>
                <w:kern w:val="0"/>
                <w:sz w:val="24"/>
                <w:szCs w:val="24"/>
              </w:rPr>
              <w:t>Data categor</w:t>
            </w:r>
            <w:r>
              <w:rPr>
                <w:rFonts w:hint="eastAsia" w:ascii="Times New Roman" w:hAnsi="Times New Roman" w:cs="Times New Roman"/>
                <w:b/>
                <w:bCs/>
                <w:color w:val="000000"/>
                <w:kern w:val="0"/>
                <w:sz w:val="24"/>
                <w:szCs w:val="24"/>
              </w:rPr>
              <w:t>ies</w:t>
            </w:r>
          </w:p>
        </w:tc>
        <w:tc>
          <w:tcPr>
            <w:tcW w:w="767" w:type="pct"/>
            <w:tcBorders>
              <w:top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0C791D09">
            <w:pPr>
              <w:spacing w:after="0" w:line="240" w:lineRule="auto"/>
              <w:rPr>
                <w:rFonts w:ascii="Times New Roman" w:hAnsi="Times New Roman" w:eastAsia="Times New Roman" w:cs="Times New Roman"/>
                <w:b/>
                <w:bCs/>
                <w:color w:val="000000"/>
                <w:kern w:val="0"/>
                <w:sz w:val="24"/>
                <w:szCs w:val="24"/>
              </w:rPr>
            </w:pPr>
            <w:r>
              <w:rPr>
                <w:rFonts w:ascii="Times New Roman" w:hAnsi="Times New Roman" w:eastAsia="Times New Roman" w:cs="Times New Roman"/>
                <w:b/>
                <w:bCs/>
                <w:color w:val="000000"/>
                <w:kern w:val="0"/>
                <w:sz w:val="24"/>
                <w:szCs w:val="24"/>
              </w:rPr>
              <w:t>Data</w:t>
            </w:r>
          </w:p>
        </w:tc>
        <w:tc>
          <w:tcPr>
            <w:tcW w:w="1196" w:type="pct"/>
            <w:tcBorders>
              <w:top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1D5B9FB7">
            <w:pPr>
              <w:spacing w:after="0" w:line="240" w:lineRule="auto"/>
              <w:rPr>
                <w:rFonts w:ascii="Times New Roman" w:hAnsi="Times New Roman" w:cs="Times New Roman"/>
                <w:b/>
                <w:bCs/>
                <w:color w:val="000000"/>
                <w:kern w:val="0"/>
                <w:sz w:val="24"/>
                <w:szCs w:val="24"/>
              </w:rPr>
            </w:pPr>
            <w:r>
              <w:rPr>
                <w:rFonts w:ascii="Times New Roman" w:hAnsi="Times New Roman" w:eastAsia="Times New Roman" w:cs="Times New Roman"/>
                <w:b/>
                <w:bCs/>
                <w:color w:val="000000"/>
                <w:kern w:val="0"/>
                <w:sz w:val="24"/>
                <w:szCs w:val="24"/>
              </w:rPr>
              <w:t>Data</w:t>
            </w:r>
            <w:r>
              <w:rPr>
                <w:rFonts w:hint="eastAsia" w:ascii="Times New Roman" w:hAnsi="Times New Roman" w:cs="Times New Roman"/>
                <w:b/>
                <w:bCs/>
                <w:color w:val="000000"/>
                <w:kern w:val="0"/>
                <w:sz w:val="24"/>
                <w:szCs w:val="24"/>
              </w:rPr>
              <w:t>sets</w:t>
            </w:r>
          </w:p>
        </w:tc>
        <w:tc>
          <w:tcPr>
            <w:tcW w:w="1196" w:type="pct"/>
            <w:tcBorders>
              <w:top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5F0AE0DB">
            <w:pPr>
              <w:spacing w:after="0" w:line="240" w:lineRule="auto"/>
              <w:rPr>
                <w:rFonts w:ascii="Times New Roman" w:hAnsi="Times New Roman" w:eastAsia="Times New Roman" w:cs="Times New Roman"/>
                <w:b/>
                <w:bCs/>
                <w:color w:val="000000"/>
                <w:kern w:val="0"/>
                <w:sz w:val="24"/>
                <w:szCs w:val="24"/>
              </w:rPr>
            </w:pPr>
            <w:r>
              <w:rPr>
                <w:rFonts w:ascii="Times New Roman" w:hAnsi="Times New Roman" w:eastAsia="Times New Roman" w:cs="Times New Roman"/>
                <w:b/>
                <w:bCs/>
                <w:color w:val="000000"/>
                <w:kern w:val="0"/>
                <w:sz w:val="24"/>
                <w:szCs w:val="24"/>
              </w:rPr>
              <w:t>Geo-spatial information</w:t>
            </w:r>
          </w:p>
        </w:tc>
        <w:tc>
          <w:tcPr>
            <w:tcW w:w="683" w:type="pct"/>
            <w:tcBorders>
              <w:top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3F61264C">
            <w:pPr>
              <w:spacing w:after="0" w:line="240" w:lineRule="auto"/>
              <w:rPr>
                <w:rFonts w:ascii="Times New Roman" w:hAnsi="Times New Roman" w:eastAsia="Times New Roman" w:cs="Times New Roman"/>
                <w:b/>
                <w:bCs/>
                <w:color w:val="000000"/>
                <w:kern w:val="0"/>
                <w:sz w:val="24"/>
                <w:szCs w:val="24"/>
              </w:rPr>
            </w:pPr>
            <w:r>
              <w:rPr>
                <w:rFonts w:ascii="Times New Roman" w:hAnsi="Times New Roman" w:eastAsia="Times New Roman" w:cs="Times New Roman"/>
                <w:b/>
                <w:bCs/>
                <w:color w:val="000000"/>
                <w:kern w:val="0"/>
                <w:sz w:val="24"/>
                <w:szCs w:val="24"/>
              </w:rPr>
              <w:t>Data time</w:t>
            </w:r>
          </w:p>
        </w:tc>
        <w:tc>
          <w:tcPr>
            <w:tcW w:w="389" w:type="pct"/>
            <w:tcBorders>
              <w:top w:val="single" w:color="000000" w:themeColor="text1" w:sz="4" w:space="0"/>
              <w:bottom w:val="single" w:color="000000" w:themeColor="text1" w:sz="4" w:space="0"/>
              <w:right w:val="single" w:color="000000" w:themeColor="text1" w:sz="4" w:space="0"/>
              <w:insideH w:val="single" w:sz="4" w:space="0"/>
              <w:insideV w:val="nil"/>
            </w:tcBorders>
            <w:shd w:val="clear" w:color="auto" w:fill="F4B083" w:themeFill="accent2" w:themeFillTint="99"/>
            <w:noWrap/>
          </w:tcPr>
          <w:p w14:paraId="0D070B4D">
            <w:pPr>
              <w:spacing w:after="0" w:line="240" w:lineRule="auto"/>
              <w:jc w:val="center"/>
              <w:rPr>
                <w:rFonts w:ascii="Times New Roman" w:hAnsi="Times New Roman" w:cs="Times New Roman"/>
                <w:b/>
                <w:bCs/>
                <w:color w:val="000000"/>
                <w:kern w:val="0"/>
                <w:sz w:val="24"/>
                <w:szCs w:val="24"/>
              </w:rPr>
            </w:pPr>
            <w:r>
              <w:rPr>
                <w:rFonts w:ascii="Times New Roman" w:hAnsi="Times New Roman" w:eastAsia="Times New Roman" w:cs="Times New Roman"/>
                <w:b/>
                <w:bCs/>
                <w:color w:val="000000"/>
                <w:kern w:val="0"/>
                <w:sz w:val="24"/>
                <w:szCs w:val="24"/>
              </w:rPr>
              <w:t>Ref</w:t>
            </w:r>
          </w:p>
        </w:tc>
      </w:tr>
      <w:tr w14:paraId="07A60193">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2574" w:hRule="atLeast"/>
        </w:trPr>
        <w:tc>
          <w:tcPr>
            <w:tcW w:w="768" w:type="pct"/>
            <w:shd w:val="clear" w:color="auto" w:fill="auto"/>
            <w:noWrap/>
          </w:tcPr>
          <w:p w14:paraId="31109D63">
            <w:pPr>
              <w:spacing w:after="0" w:line="240" w:lineRule="auto"/>
              <w:rPr>
                <w:rFonts w:ascii="Times New Roman" w:hAnsi="Times New Roman" w:eastAsia="Times New Roman" w:cs="Times New Roman"/>
                <w:b w:val="0"/>
                <w:bCs w:val="0"/>
                <w:color w:val="000000"/>
                <w:kern w:val="0"/>
                <w:sz w:val="24"/>
                <w:szCs w:val="24"/>
              </w:rPr>
            </w:pPr>
            <w:r>
              <w:rPr>
                <w:rFonts w:ascii="Times New Roman" w:hAnsi="Times New Roman" w:eastAsia="Times New Roman" w:cs="Times New Roman"/>
                <w:b w:val="0"/>
                <w:bCs w:val="0"/>
                <w:color w:val="000000"/>
                <w:kern w:val="0"/>
                <w:sz w:val="24"/>
                <w:szCs w:val="24"/>
              </w:rPr>
              <w:t>Activity data</w:t>
            </w:r>
          </w:p>
        </w:tc>
        <w:tc>
          <w:tcPr>
            <w:tcW w:w="767" w:type="pct"/>
            <w:shd w:val="clear" w:color="auto" w:fill="auto"/>
          </w:tcPr>
          <w:p w14:paraId="6572AC70">
            <w:pPr>
              <w:spacing w:after="0" w:line="240" w:lineRule="auto"/>
              <w:jc w:val="left"/>
              <w:rPr>
                <w:rFonts w:ascii="Times New Roman" w:hAnsi="Times New Roman" w:cs="Times New Roman"/>
                <w:color w:val="000000"/>
                <w:kern w:val="0"/>
                <w:sz w:val="24"/>
                <w:szCs w:val="24"/>
              </w:rPr>
            </w:pPr>
            <w:r>
              <w:rPr>
                <w:rFonts w:ascii="Times New Roman" w:hAnsi="Times New Roman" w:eastAsia="Times New Roman" w:cs="Times New Roman"/>
                <w:color w:val="000000"/>
                <w:kern w:val="0"/>
                <w:sz w:val="24"/>
                <w:szCs w:val="24"/>
              </w:rPr>
              <w:t>Crop harvested area</w:t>
            </w:r>
            <w:r>
              <w:rPr>
                <w:rFonts w:ascii="Times New Roman" w:hAnsi="Times New Roman" w:cs="Times New Roman"/>
                <w:color w:val="000000"/>
                <w:kern w:val="0"/>
                <w:sz w:val="24"/>
                <w:szCs w:val="24"/>
              </w:rPr>
              <w:t>s</w:t>
            </w:r>
            <w:r>
              <w:rPr>
                <w:rFonts w:ascii="Times New Roman" w:hAnsi="Times New Roman" w:eastAsia="SimSun" w:cs="Times New Roman"/>
                <w:color w:val="000000"/>
                <w:kern w:val="0"/>
                <w:sz w:val="24"/>
                <w:szCs w:val="24"/>
                <w:lang w:val="en-US"/>
              </w:rPr>
              <w:t xml:space="preserve"> </w:t>
            </w:r>
            <w:r>
              <w:rPr>
                <w:rFonts w:ascii="Times New Roman" w:hAnsi="Times New Roman" w:eastAsia="Times New Roman" w:cs="Times New Roman"/>
                <w:color w:val="000000"/>
                <w:kern w:val="0"/>
                <w:sz w:val="24"/>
                <w:szCs w:val="24"/>
              </w:rPr>
              <w:t>and physical area</w:t>
            </w:r>
            <w:r>
              <w:rPr>
                <w:rFonts w:ascii="Times New Roman" w:hAnsi="Times New Roman" w:cs="Times New Roman"/>
                <w:color w:val="000000"/>
                <w:kern w:val="0"/>
                <w:sz w:val="24"/>
                <w:szCs w:val="24"/>
              </w:rPr>
              <w:t>s</w:t>
            </w:r>
          </w:p>
        </w:tc>
        <w:tc>
          <w:tcPr>
            <w:tcW w:w="1196" w:type="pct"/>
            <w:shd w:val="clear" w:color="auto" w:fill="auto"/>
          </w:tcPr>
          <w:p w14:paraId="7B4E3DD8">
            <w:pPr>
              <w:spacing w:after="0" w:line="240" w:lineRule="auto"/>
              <w:jc w:val="left"/>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CROPGRID</w:t>
            </w:r>
          </w:p>
          <w:p w14:paraId="03A77CA9">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LUCAS (Land Use and Coverage Area frame Survey)</w:t>
            </w:r>
          </w:p>
          <w:p w14:paraId="4B66162B">
            <w:pPr>
              <w:spacing w:after="0" w:line="240" w:lineRule="auto"/>
              <w:jc w:val="left"/>
              <w:rPr>
                <w:rFonts w:ascii="Times New Roman" w:hAnsi="Times New Roman" w:eastAsia="SimSun" w:cs="Times New Roman"/>
                <w:color w:val="000000"/>
                <w:kern w:val="0"/>
                <w:sz w:val="24"/>
                <w:szCs w:val="24"/>
                <w:lang w:val="en-US"/>
              </w:rPr>
            </w:pPr>
            <w:r>
              <w:rPr>
                <w:rFonts w:ascii="Times New Roman" w:hAnsi="Times New Roman" w:eastAsia="Times New Roman" w:cs="Times New Roman"/>
                <w:color w:val="000000"/>
                <w:kern w:val="0"/>
                <w:sz w:val="24"/>
                <w:szCs w:val="24"/>
              </w:rPr>
              <w:t xml:space="preserve">· </w:t>
            </w:r>
            <w:r>
              <w:rPr>
                <w:rFonts w:hint="eastAsia" w:ascii="Times New Roman" w:hAnsi="Times New Roman" w:eastAsia="SimSun" w:cs="Times New Roman"/>
                <w:kern w:val="0"/>
                <w:sz w:val="24"/>
                <w:szCs w:val="24"/>
                <w:lang w:val="en-US"/>
              </w:rPr>
              <w:t>CLMS (Copernicus Land Monitoring Service)</w:t>
            </w:r>
          </w:p>
          <w:p w14:paraId="266D40FF">
            <w:pPr>
              <w:spacing w:after="0" w:line="240" w:lineRule="auto"/>
              <w:jc w:val="left"/>
              <w:rPr>
                <w:rFonts w:ascii="Times New Roman" w:hAnsi="Times New Roman" w:eastAsia="SimSun" w:cs="Times New Roman"/>
                <w:color w:val="000000"/>
                <w:kern w:val="0"/>
                <w:sz w:val="24"/>
                <w:szCs w:val="24"/>
                <w:lang w:val="en-US"/>
              </w:rPr>
            </w:pPr>
          </w:p>
        </w:tc>
        <w:tc>
          <w:tcPr>
            <w:tcW w:w="1196" w:type="pct"/>
            <w:shd w:val="clear" w:color="auto" w:fill="auto"/>
          </w:tcPr>
          <w:p w14:paraId="48633427">
            <w:pPr>
              <w:spacing w:after="0" w:line="240" w:lineRule="auto"/>
              <w:jc w:val="left"/>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CROPGRID: Glob</w:t>
            </w:r>
            <w:r>
              <w:rPr>
                <w:rFonts w:hint="eastAsia" w:ascii="Times New Roman" w:hAnsi="Times New Roman" w:cs="Times New Roman"/>
                <w:color w:val="000000"/>
                <w:kern w:val="0"/>
                <w:sz w:val="24"/>
                <w:szCs w:val="24"/>
              </w:rPr>
              <w:t>al</w:t>
            </w:r>
            <w:r>
              <w:rPr>
                <w:rFonts w:ascii="Times New Roman" w:hAnsi="Times New Roman" w:eastAsia="Times New Roman" w:cs="Times New Roman"/>
                <w:color w:val="000000"/>
                <w:kern w:val="0"/>
                <w:sz w:val="24"/>
                <w:szCs w:val="24"/>
              </w:rPr>
              <w:t>, 0.05°</w:t>
            </w:r>
            <w:r>
              <w:rPr>
                <w:rFonts w:ascii="Times New Roman" w:hAnsi="Times New Roman" w:eastAsia="SimSun" w:cs="Times New Roman"/>
                <w:color w:val="000000"/>
                <w:kern w:val="0"/>
                <w:sz w:val="24"/>
                <w:szCs w:val="24"/>
              </w:rPr>
              <w:t>，</w:t>
            </w:r>
            <w:r>
              <w:rPr>
                <w:rFonts w:ascii="Times New Roman" w:hAnsi="Times New Roman" w:eastAsia="Times New Roman" w:cs="Times New Roman"/>
                <w:color w:val="000000"/>
                <w:kern w:val="0"/>
                <w:sz w:val="24"/>
                <w:szCs w:val="24"/>
              </w:rPr>
              <w:t>crop specific</w:t>
            </w:r>
          </w:p>
          <w:p w14:paraId="20D49AE1">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LUCAS: EU27 + the UK, 100m, crop specific</w:t>
            </w:r>
          </w:p>
          <w:p w14:paraId="174673FF">
            <w:pPr>
              <w:spacing w:after="0" w:line="240" w:lineRule="auto"/>
              <w:jc w:val="left"/>
              <w:rPr>
                <w:rFonts w:ascii="Times New Roman" w:hAnsi="Times New Roman" w:eastAsia="SimSun" w:cs="Times New Roman"/>
                <w:color w:val="000000"/>
                <w:kern w:val="0"/>
                <w:sz w:val="24"/>
                <w:szCs w:val="24"/>
                <w:lang w:val="en-US"/>
              </w:rPr>
            </w:pPr>
            <w:r>
              <w:rPr>
                <w:rFonts w:ascii="Times New Roman" w:hAnsi="Times New Roman" w:eastAsia="Times New Roman" w:cs="Times New Roman"/>
                <w:color w:val="000000"/>
                <w:kern w:val="0"/>
                <w:sz w:val="24"/>
                <w:szCs w:val="24"/>
              </w:rPr>
              <w:t xml:space="preserve">· </w:t>
            </w:r>
            <w:r>
              <w:rPr>
                <w:rFonts w:hint="eastAsia" w:ascii="Times New Roman" w:hAnsi="Times New Roman" w:eastAsia="SimSun" w:cs="Times New Roman"/>
                <w:color w:val="000000"/>
                <w:kern w:val="0"/>
                <w:sz w:val="24"/>
                <w:szCs w:val="24"/>
                <w:lang w:val="en-US"/>
              </w:rPr>
              <w:t>CLMS</w:t>
            </w:r>
            <w:r>
              <w:rPr>
                <w:rFonts w:ascii="Times New Roman" w:hAnsi="Times New Roman" w:eastAsia="Times New Roman" w:cs="Times New Roman"/>
                <w:color w:val="000000"/>
                <w:kern w:val="0"/>
                <w:sz w:val="24"/>
                <w:szCs w:val="24"/>
              </w:rPr>
              <w:t xml:space="preserve">: </w:t>
            </w:r>
            <w:r>
              <w:rPr>
                <w:rFonts w:hint="eastAsia" w:ascii="Times New Roman" w:hAnsi="Times New Roman" w:eastAsia="SimSun" w:cs="Times New Roman"/>
                <w:color w:val="000000"/>
                <w:kern w:val="0"/>
                <w:sz w:val="24"/>
                <w:szCs w:val="24"/>
                <w:lang w:val="en-US"/>
              </w:rPr>
              <w:t>Europe,100m, crop-grassland explicit</w:t>
            </w:r>
          </w:p>
        </w:tc>
        <w:tc>
          <w:tcPr>
            <w:tcW w:w="683" w:type="pct"/>
            <w:shd w:val="clear" w:color="auto" w:fill="auto"/>
          </w:tcPr>
          <w:p w14:paraId="04DCB157">
            <w:pPr>
              <w:spacing w:after="0" w:line="240" w:lineRule="auto"/>
              <w:jc w:val="left"/>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CROPGRID: circa 2020</w:t>
            </w:r>
          </w:p>
          <w:p w14:paraId="218C16D2">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LUCAS: 2018</w:t>
            </w:r>
          </w:p>
          <w:p w14:paraId="16544351">
            <w:pPr>
              <w:spacing w:after="0" w:line="240" w:lineRule="auto"/>
              <w:jc w:val="left"/>
              <w:rPr>
                <w:rFonts w:ascii="Times New Roman" w:hAnsi="Times New Roman" w:eastAsia="SimSun" w:cs="Times New Roman"/>
                <w:color w:val="000000"/>
                <w:kern w:val="0"/>
                <w:sz w:val="24"/>
                <w:szCs w:val="24"/>
                <w:lang w:val="en-US"/>
              </w:rPr>
            </w:pPr>
            <w:r>
              <w:rPr>
                <w:rFonts w:ascii="Times New Roman" w:hAnsi="Times New Roman" w:eastAsia="Times New Roman" w:cs="Times New Roman"/>
                <w:color w:val="000000"/>
                <w:kern w:val="0"/>
                <w:sz w:val="24"/>
                <w:szCs w:val="24"/>
              </w:rPr>
              <w:t xml:space="preserve">· </w:t>
            </w:r>
            <w:r>
              <w:rPr>
                <w:rFonts w:hint="eastAsia" w:ascii="Times New Roman" w:hAnsi="Times New Roman" w:eastAsia="SimSun" w:cs="Times New Roman"/>
                <w:kern w:val="0"/>
                <w:sz w:val="24"/>
                <w:szCs w:val="24"/>
                <w:lang w:val="en-US"/>
              </w:rPr>
              <w:t>CLMS: 2018</w:t>
            </w:r>
          </w:p>
        </w:tc>
        <w:tc>
          <w:tcPr>
            <w:tcW w:w="389" w:type="pct"/>
            <w:shd w:val="clear" w:color="auto" w:fill="auto"/>
            <w:vAlign w:val="center"/>
          </w:tcPr>
          <w:p w14:paraId="39A749C7">
            <w:pPr>
              <w:spacing w:after="0" w:line="240" w:lineRule="auto"/>
              <w:jc w:val="center"/>
              <w:rPr>
                <w:rFonts w:ascii="Times New Roman" w:hAnsi="Times New Roman" w:cs="Times New Roman"/>
                <w:color w:val="000000"/>
                <w:kern w:val="0"/>
                <w:sz w:val="24"/>
                <w:szCs w:val="24"/>
                <w:lang w:val="en-US"/>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{"citationID":"I6a4vnEQ","properties":{"formattedCitation":"\\super 1\\uc0\\u8211{}3\\nosupersub{}","plainCitation":"1–3","noteIndex":0},"citationItems":[{"id":19507,"uris":["http://zotero.org/users/7789508/items/PHRUWHHG"],"itemData":{"id":19507,"type":"article-journal","abstract":"Abstract\n            \n              CROPGRIDS is a comprehensive global geo-referenced dataset providing area information for 173 crops for the year 2020, at a resolution of 0.05° (about 5.6 km at the equator). It represents a major update of the Monfreda\n              et al\n              . (2008) dataset (hereafter MRF), the most widely used geospatial dataset previously available, covering 175 crops with reference year 2000 at 10 km spatial resolution. CROPGRIDS builds on information originally provided in MRF and expands it using 27 selected published gridded datasets, subnational data of 52 countries obtained from National Statistical Offices, and the 2020 national-level statistics from FAOSTAT, providing more recent harvested and crop (physical) areas for 173 crops at regional, national, and global levels. The CROPGRIDS data advance the current state of knowledge on the spatial distribution of crops, providing useful inputs for modelling studies and sustainability analyses relevant to national and international processes.","archive_location":"0 citation(s)","call-number":"2","container-title":"Scientific Data","DOI":"10.1038/s41597-024-03247-7","ISSN":"2052-4463","issue":"1","journalAbbreviation":"Sci Data","language":"en","page":"413","source":"8.501 (Q1)","title":"CROPGRIDS: a global geo-referenced dataset of 173 crops","title-short":"CROPGRIDS","volume":"11","author":[{"family":"Tang","given":"Fiona H. M."},{"family":"Nguyen","given":"Thu Ha"},{"family":"Conchedda","given":"Giulia"},{"family":"Casse","given":"Leon"},{"family":"Tubiello","given":"Francesco N."},{"family":"Maggi","given":"Federico"}],"issued":{"date-parts":[["2024",4,22]]}},"label":"page"},{"id":20066,"uris":["http://zotero.org/users/7789508/items/PJ64EVZ9"],"itemData":{"id":20066,"type":"article-journal","abstract":"Detailed parcel-level crop type mapping for the whole European Union (EU) is necessary for the evaluation of agricultural policies. The Copernicus program, and Sentinel-1 (S1) in particular, offers the opportunity to monitor agricultural land at a continental scale and in a timely manner. However, so far the potential of S1 has not been explored at such a scale. Capitalizing on the unique LUCAS 2018 Copernicus in-situ survey, we present the first continental crop type map at 10-m spatial resolution for the EU based on S1A and S1B Synthetic Aperture Radar observations for the year 2018. Random Forest classification algorithms are tuned to detect 19 different crop types. We assess the accuracy of this EU crop map with three approaches. First, the accuracy is assessed with independent LUCAS core in-situ observations over the continent. Second, an accuracy assessment is done specifically for main crop types from farmers declarations from 6 EU member countries or regions totaling &gt;3M parcels and 8.21Mha. Finally, the crop areas derived by classification are compared to the subnational (NUTS 2) area statistics reported by Eurostat. The overall accuracy for the map is reported as 80.3% when grouping main crop classes and 76% when considering all 19 crop type classes separately. Highest accuracies are obtained for rape and turnip rape with user and produced accuracies higher than 96%. The correlation between the remotely sensed estimated and Eurostat reported crop area ranges from 0.93 (potatoes) to 0.99 (rape and turnip rape). Finally, we discuss how the framework presented here can underpin the operational delivery of in-season high-resolution based crop mapping.","archive_location":"120 citation(s)","call-number":"1","container-title":"Remote Sensing of Environment","DOI":"10.1016/j.rse.2021.112708","ISSN":"0034-4257","journalAbbreviation":"Remote Sensing of Environment","page":"112708","source":"13.85 (Q1)","title":"From parcel to continental scale – A first European crop type map based on Sentinel-1 and LUCAS Copernicus in-situ observations","volume":"266","author":[{"family":"Andrimont","given":"Raphaël","non-dropping-particle":"d’"},{"family":"Verhegghen","given":"Astrid"},{"family":"Lemoine","given":"Guido"},{"family":"Kempeneers","given":"Pieter"},{"family":"Meroni","given":"Michele"},{"family":"Velde","given":"Marijn","non-dropping-particle":"van der"}],"issued":{"date-parts":[["2021",12,1]]}},"label":"page"},{"id":20033,"uris":["http://zotero.org/users/7789508/items/4VJQPJ58"],"itemData":{"id":20033,"type":"dataset","DOI":"https://doi.org/10.2909/b77b7ce3-04f8-44ae-aaae-b5e5af0f9682","title":"Copernicus Land Monitoring (CLMS) Grassland 2015 (raster 100 m), Europe, 3-yearly","URL":"https://sdi.eea.europa.eu/catalogue/copernicus/api/records/b77b7ce3-04f8-44ae-aaae-b5e5af0f9682?language=all","issued":{"date-parts":[["2018"]]}},"label":"page"}],"schema":"https://github.com/citation-style-language/schema/raw/master/csl-citation.json"}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1–3</w:t>
            </w:r>
            <w:r>
              <w:rPr>
                <w:rFonts w:ascii="Times New Roman" w:hAnsi="Times New Roman" w:eastAsia="Times New Roman" w:cs="Times New Roman"/>
                <w:color w:val="000000"/>
                <w:kern w:val="0"/>
                <w:sz w:val="24"/>
                <w:szCs w:val="24"/>
              </w:rPr>
              <w:fldChar w:fldCharType="end"/>
            </w:r>
          </w:p>
          <w:p w14:paraId="61C6187B">
            <w:pPr>
              <w:spacing w:after="0" w:line="240" w:lineRule="auto"/>
              <w:jc w:val="center"/>
              <w:rPr>
                <w:rFonts w:ascii="Times New Roman" w:hAnsi="Times New Roman" w:eastAsia="SimSun" w:cs="Times New Roman"/>
                <w:color w:val="000000"/>
                <w:kern w:val="0"/>
                <w:sz w:val="24"/>
                <w:szCs w:val="24"/>
                <w:lang w:val="en-US"/>
              </w:rPr>
            </w:pPr>
          </w:p>
        </w:tc>
      </w:tr>
      <w:tr w14:paraId="0F2BA7BB">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425" w:hRule="atLeast"/>
        </w:trPr>
        <w:tc>
          <w:tcPr>
            <w:tcW w:w="768" w:type="pct"/>
            <w:shd w:val="clear" w:color="auto" w:fill="auto"/>
            <w:noWrap/>
          </w:tcPr>
          <w:p w14:paraId="0697248B">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noWrap/>
          </w:tcPr>
          <w:p w14:paraId="6F61AE8D">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Livestock number</w:t>
            </w:r>
          </w:p>
        </w:tc>
        <w:tc>
          <w:tcPr>
            <w:tcW w:w="1196" w:type="pct"/>
            <w:shd w:val="clear" w:color="auto" w:fill="auto"/>
          </w:tcPr>
          <w:p w14:paraId="1172510F">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xml:space="preserve"> GLW v4 (Gridded Livestock of the World, version 4)</w:t>
            </w:r>
          </w:p>
        </w:tc>
        <w:tc>
          <w:tcPr>
            <w:tcW w:w="1196" w:type="pct"/>
            <w:shd w:val="clear" w:color="auto" w:fill="auto"/>
          </w:tcPr>
          <w:p w14:paraId="699C6D69">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Glob</w:t>
            </w:r>
            <w:r>
              <w:rPr>
                <w:rFonts w:hint="eastAsia" w:ascii="Times New Roman" w:hAnsi="Times New Roman" w:cs="Times New Roman"/>
                <w:color w:val="000000"/>
                <w:kern w:val="0"/>
                <w:sz w:val="24"/>
                <w:szCs w:val="24"/>
              </w:rPr>
              <w:t>al</w:t>
            </w:r>
            <w:r>
              <w:rPr>
                <w:rFonts w:ascii="Times New Roman" w:hAnsi="Times New Roman" w:eastAsia="Times New Roman" w:cs="Times New Roman"/>
                <w:color w:val="000000"/>
                <w:kern w:val="0"/>
                <w:sz w:val="24"/>
                <w:szCs w:val="24"/>
              </w:rPr>
              <w:t>, 0.083°, livestock specific</w:t>
            </w:r>
          </w:p>
        </w:tc>
        <w:tc>
          <w:tcPr>
            <w:tcW w:w="683" w:type="pct"/>
            <w:shd w:val="clear" w:color="auto" w:fill="auto"/>
            <w:noWrap/>
          </w:tcPr>
          <w:p w14:paraId="311E417E">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2015</w:t>
            </w:r>
          </w:p>
        </w:tc>
        <w:tc>
          <w:tcPr>
            <w:tcW w:w="389" w:type="pct"/>
            <w:shd w:val="clear" w:color="auto" w:fill="auto"/>
            <w:vAlign w:val="center"/>
          </w:tcPr>
          <w:p w14:paraId="70C34B46">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{"citationID":"4r6NBUF1","properties":{"formattedCitation":"\\super 4\\nosupersub{}","plainCitation":"4","noteIndex":0},"citationItems":[{"id":20022,"uris":["http://zotero.org/users/7789508/items/PVJE73TQ"],"itemData":{"id":20022,"type":"dataset","DOI":"https://dataverse.harvard.edu/citation?persistentid=doi:10.7910/dvn/sxhlf3","language":"English","note":"section: 2022-12-05 07:51:42.245","publisher":"Harvard Dataverse","title":"Global livestock distribution in 2015 (5 minutes of arc)","URL":"https://doi.org/10.7910/DVN/SXHLF3","version":"V1","author":[{"family":"Gilbert","given":"Marius"},{"family":"Cinardi","given":"Giuseppina"},{"family":"Da Re","given":"Daniele"},{"family":"Wint","given":"William G. R."},{"family":"Wisser","given":"Dominik"},{"family":"Robinson","given":"Timothy P."}],"issued":{"date-parts":[["2022"]]}}}],"schema":"https://github.com/citation-style-language/schema/raw/master/csl-citation.json"}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4</w:t>
            </w:r>
            <w:r>
              <w:rPr>
                <w:rFonts w:ascii="Times New Roman" w:hAnsi="Times New Roman" w:eastAsia="Times New Roman" w:cs="Times New Roman"/>
                <w:color w:val="000000"/>
                <w:kern w:val="0"/>
                <w:sz w:val="24"/>
                <w:szCs w:val="24"/>
              </w:rPr>
              <w:fldChar w:fldCharType="end"/>
            </w:r>
          </w:p>
        </w:tc>
      </w:tr>
      <w:tr w14:paraId="02379766">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2520" w:hRule="atLeast"/>
        </w:trPr>
        <w:tc>
          <w:tcPr>
            <w:tcW w:w="768" w:type="pct"/>
            <w:shd w:val="clear" w:color="auto" w:fill="auto"/>
            <w:noWrap/>
          </w:tcPr>
          <w:p w14:paraId="18CE689C">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noWrap/>
          </w:tcPr>
          <w:p w14:paraId="418FDA93">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Fertilizer use</w:t>
            </w:r>
          </w:p>
        </w:tc>
        <w:tc>
          <w:tcPr>
            <w:tcW w:w="1196" w:type="pct"/>
            <w:shd w:val="clear" w:color="auto" w:fill="auto"/>
          </w:tcPr>
          <w:p w14:paraId="46C11231">
            <w:pPr>
              <w:spacing w:after="0" w:line="240" w:lineRule="auto"/>
              <w:jc w:val="left"/>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FUBC v9 (Fertilizer use by crop, version 9)</w:t>
            </w:r>
          </w:p>
          <w:p w14:paraId="77E3C501">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EuropeAgriDB v1 (crop production and nitrogen flows in Eu</w:t>
            </w:r>
            <w:r>
              <w:rPr>
                <w:rFonts w:hint="eastAsia" w:ascii="Times New Roman" w:hAnsi="Times New Roman" w:cs="Times New Roman"/>
                <w:color w:val="000000"/>
                <w:kern w:val="0"/>
                <w:sz w:val="24"/>
                <w:szCs w:val="24"/>
              </w:rPr>
              <w:t>r</w:t>
            </w:r>
            <w:r>
              <w:rPr>
                <w:rFonts w:ascii="Times New Roman" w:hAnsi="Times New Roman" w:eastAsia="Times New Roman" w:cs="Times New Roman"/>
                <w:color w:val="000000"/>
                <w:kern w:val="0"/>
                <w:sz w:val="24"/>
                <w:szCs w:val="24"/>
              </w:rPr>
              <w:t>opean cropland)</w:t>
            </w:r>
          </w:p>
        </w:tc>
        <w:tc>
          <w:tcPr>
            <w:tcW w:w="1196" w:type="pct"/>
            <w:shd w:val="clear" w:color="auto" w:fill="auto"/>
          </w:tcPr>
          <w:p w14:paraId="7809A415">
            <w:pPr>
              <w:spacing w:after="0" w:line="240" w:lineRule="auto"/>
              <w:jc w:val="left"/>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FUBC v9: Global main fertilization countries, country-level, crop-specific</w:t>
            </w:r>
          </w:p>
          <w:p w14:paraId="24E8A90D">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EuropeAgriDB v1: 26 European countries, country-level, crop-grassland explicit</w:t>
            </w:r>
          </w:p>
        </w:tc>
        <w:tc>
          <w:tcPr>
            <w:tcW w:w="683" w:type="pct"/>
            <w:shd w:val="clear" w:color="auto" w:fill="auto"/>
          </w:tcPr>
          <w:p w14:paraId="0CAA0F19">
            <w:pPr>
              <w:spacing w:after="0" w:line="240" w:lineRule="auto"/>
              <w:jc w:val="left"/>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FUBC v9: 2017-2018</w:t>
            </w:r>
          </w:p>
          <w:p w14:paraId="7311EE79">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EuropeAgriDB v1: 1961-2019</w:t>
            </w:r>
          </w:p>
        </w:tc>
        <w:tc>
          <w:tcPr>
            <w:tcW w:w="389" w:type="pct"/>
            <w:shd w:val="clear" w:color="auto" w:fill="auto"/>
            <w:vAlign w:val="center"/>
          </w:tcPr>
          <w:p w14:paraId="38C89637">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{"citationID":"dwdeHAk4","properties":{"formattedCitation":"\\super 5,6\\nosupersub{}","plainCitation":"5,6","noteIndex":0},"citationItems":[{"id":11401,"uris":["http://zotero.org/users/7789508/items/NFVQU4EL"],"itemData":{"id":11401,"type":"article-journal","abstract":"Understanding how much inorganic fertilizer (referred to as fertilizer) is applied to different crops at national, regional and global levels is an essential component of fertilizer consumption analysis and demand projection. Good information on fertilizer use by crop (FUBC) is rarely available because it is difficult to collect and time-consuming to process and validate. To fill this gap, a first global FUBC report was published in 1992 for the 1990/1991 period, based on an expert survey conducted jointly by the Food and Agriculture Organization (FAO) of the UN, the International Fertilizer Development Center (IFDC) and the International Fertilizer Association (IFA). Since then, similar expert surveys have been carried out and published every two to four years in the main fertilizer-consuming countries. Since 2008 IFA has led these efforts and, to our knowledge, remains the only globally available data set on FUBC. This dataset includes data (in CSV format) from a survey carried out by IFA to represent the 2017–18 period as well as a collation of all historic FUBC data.","archive_location":"4 citation(s)","call-number":"2","container-title":"Scientific Data","DOI":"10.1038/s41597-022-01592-z","ISSN":"2052-4463","issue":"1","journalAbbreviation":"Sci Data","language":"en","license":"2022 The Author(s)","note":"number: 1\npublisher: Nature Publishing Group","page":"501","source":"8.501 (Q1)","title":"Global data on fertilizer use by crop and by country","volume":"9","author":[{"family":"Ludemann","given":"Cameron I."},{"family":"Gruere","given":"Armelle"},{"family":"Heffer","given":"Patrick"},{"family":"Dobermann","given":"Achim"}],"issued":{"date-parts":[["2022",8,17]]}},"label":"page"},{"id":11398,"uris":["http://zotero.org/users/7789508/items/B2N543XU"],"itemData":{"id":11398,"type":"article-journal","abstract":"This paper presents EuropeAgriDB v1.0, a dataset of crop production and nitrogen (N) flows in European cropland 1961–2019. The dataset covers 26 present-day countries, detailing the cropland N harvests in 17 crop categories as well as cropland N inputs in synthetic fertilizers, manure, symbiotic fixation, and atmospheric deposition. The study builds on established methods but goes beyond previous research by combining data from FAOSTAT, Eurostat, and a range of national data sources. The result is a detailed, complete, and consistent dataset, intended as a basis for further analyses of past and present agricultural production patterns, as well as construction of scenarios for the future.","archive_location":"8 citation(s)","call-number":"2","container-title":"Scientific Data","DOI":"10.1038/s41597-021-01061-z","ISSN":"2052-4463","issue":"1","journalAbbreviation":"Sci Data","language":"en","license":"2021 The Author(s)","note":"number: 1\npublisher: Nature Publishing Group","page":"288","source":"8.501 (Q1)","title":"Crop production and nitrogen use in European cropland and grassland 1961–2019","volume":"8","author":[{"family":"Einarsson","given":"Rasmus"},{"family":"Sanz-Cobena","given":"Alberto"},{"family":"Aguilera","given":"Eduardo"},{"family":"Billen","given":"Gilles"},{"family":"Garnier","given":"Josette"},{"family":"Grinsven","given":"Hans J. M.","non-dropping-particle":"van"},{"family":"Lassaletta","given":"Luis"}],"issued":{"date-parts":[["2021",10,29]]}},"label":"page"}],"schema":"https://github.com/citation-style-language/schema/raw/master/csl-citation.json"}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5,6</w:t>
            </w:r>
            <w:r>
              <w:rPr>
                <w:rFonts w:ascii="Times New Roman" w:hAnsi="Times New Roman" w:eastAsia="Times New Roman" w:cs="Times New Roman"/>
                <w:color w:val="000000"/>
                <w:kern w:val="0"/>
                <w:sz w:val="24"/>
                <w:szCs w:val="24"/>
              </w:rPr>
              <w:fldChar w:fldCharType="end"/>
            </w:r>
          </w:p>
        </w:tc>
      </w:tr>
      <w:tr w14:paraId="25DD704D">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010" w:hRule="atLeast"/>
        </w:trPr>
        <w:tc>
          <w:tcPr>
            <w:tcW w:w="768" w:type="pct"/>
            <w:shd w:val="clear" w:color="auto" w:fill="auto"/>
            <w:noWrap/>
          </w:tcPr>
          <w:p w14:paraId="29B7C83F">
            <w:pPr>
              <w:spacing w:after="0" w:line="240" w:lineRule="auto"/>
              <w:rPr>
                <w:rFonts w:ascii="Times New Roman" w:hAnsi="Times New Roman" w:cs="Times New Roman"/>
                <w:b w:val="0"/>
                <w:bCs w:val="0"/>
                <w:color w:val="000000"/>
                <w:kern w:val="0"/>
                <w:sz w:val="24"/>
                <w:szCs w:val="24"/>
              </w:rPr>
            </w:pPr>
            <w:r>
              <w:rPr>
                <w:rFonts w:ascii="Times New Roman" w:hAnsi="Times New Roman" w:eastAsia="Times New Roman" w:cs="Times New Roman"/>
                <w:b w:val="0"/>
                <w:bCs w:val="0"/>
                <w:color w:val="000000"/>
                <w:kern w:val="0"/>
                <w:sz w:val="24"/>
                <w:szCs w:val="24"/>
              </w:rPr>
              <w:t>Intermediate parameter</w:t>
            </w:r>
            <w:r>
              <w:rPr>
                <w:rFonts w:hint="eastAsia" w:ascii="Times New Roman" w:hAnsi="Times New Roman" w:cs="Times New Roman"/>
                <w:b w:val="0"/>
                <w:bCs w:val="0"/>
                <w:color w:val="000000"/>
                <w:kern w:val="0"/>
                <w:sz w:val="24"/>
                <w:szCs w:val="24"/>
              </w:rPr>
              <w:t>s</w:t>
            </w:r>
          </w:p>
        </w:tc>
        <w:tc>
          <w:tcPr>
            <w:tcW w:w="767" w:type="pct"/>
            <w:shd w:val="clear" w:color="auto" w:fill="auto"/>
          </w:tcPr>
          <w:p w14:paraId="0A89E877">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Livestock systems and grazing ratios</w:t>
            </w:r>
          </w:p>
        </w:tc>
        <w:tc>
          <w:tcPr>
            <w:tcW w:w="1196" w:type="pct"/>
            <w:shd w:val="clear" w:color="auto" w:fill="auto"/>
          </w:tcPr>
          <w:p w14:paraId="67A7E3F6">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GLP v5 (Global Livestock Production System, version 5)</w:t>
            </w:r>
          </w:p>
          <w:p w14:paraId="2EE14031">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NIR reports 201</w:t>
            </w:r>
            <w:r>
              <w:rPr>
                <w:rFonts w:hint="eastAsia" w:ascii="Times New Roman" w:hAnsi="Times New Roman" w:cs="Times New Roman"/>
                <w:color w:val="000000"/>
                <w:kern w:val="0"/>
                <w:sz w:val="24"/>
                <w:szCs w:val="24"/>
              </w:rPr>
              <w:t>8</w:t>
            </w:r>
            <w:r>
              <w:rPr>
                <w:rFonts w:ascii="Times New Roman" w:hAnsi="Times New Roman" w:eastAsia="Times New Roman" w:cs="Times New Roman"/>
                <w:color w:val="000000"/>
                <w:kern w:val="0"/>
                <w:sz w:val="24"/>
                <w:szCs w:val="24"/>
              </w:rPr>
              <w:t xml:space="preserve"> (National Inventory Reports)</w:t>
            </w:r>
          </w:p>
        </w:tc>
        <w:tc>
          <w:tcPr>
            <w:tcW w:w="1196" w:type="pct"/>
            <w:shd w:val="clear" w:color="auto" w:fill="auto"/>
          </w:tcPr>
          <w:p w14:paraId="126859E4">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GLP: Glob</w:t>
            </w:r>
            <w:r>
              <w:rPr>
                <w:rFonts w:hint="eastAsia" w:ascii="Times New Roman" w:hAnsi="Times New Roman" w:cs="Times New Roman"/>
                <w:color w:val="000000"/>
                <w:kern w:val="0"/>
                <w:sz w:val="24"/>
                <w:szCs w:val="24"/>
              </w:rPr>
              <w:t>al</w:t>
            </w:r>
            <w:r>
              <w:rPr>
                <w:rFonts w:ascii="Times New Roman" w:hAnsi="Times New Roman" w:eastAsia="Times New Roman" w:cs="Times New Roman"/>
                <w:color w:val="000000"/>
                <w:kern w:val="0"/>
                <w:sz w:val="24"/>
                <w:szCs w:val="24"/>
              </w:rPr>
              <w:t>, 0.083°</w:t>
            </w:r>
            <w:r>
              <w:rPr>
                <w:rFonts w:ascii="Times New Roman" w:hAnsi="Times New Roman" w:eastAsia="SimSun" w:cs="Times New Roman"/>
                <w:color w:val="000000"/>
                <w:kern w:val="0"/>
                <w:sz w:val="24"/>
                <w:szCs w:val="24"/>
              </w:rPr>
              <w:t>，</w:t>
            </w:r>
            <w:r>
              <w:rPr>
                <w:rFonts w:ascii="Times New Roman" w:hAnsi="Times New Roman" w:eastAsia="Times New Roman" w:cs="Times New Roman"/>
                <w:color w:val="000000"/>
                <w:kern w:val="0"/>
                <w:sz w:val="24"/>
                <w:szCs w:val="24"/>
              </w:rPr>
              <w:t>explicit livestock systems for ruminants</w:t>
            </w:r>
          </w:p>
          <w:p w14:paraId="484D3B3F">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NIR: IPCC Annex I countries, country-level, livestock specific</w:t>
            </w:r>
          </w:p>
        </w:tc>
        <w:tc>
          <w:tcPr>
            <w:tcW w:w="683" w:type="pct"/>
            <w:shd w:val="clear" w:color="auto" w:fill="auto"/>
          </w:tcPr>
          <w:p w14:paraId="55E6BB4C">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GLP: no specific year</w:t>
            </w:r>
          </w:p>
          <w:p w14:paraId="0FAC4388">
            <w:pPr>
              <w:spacing w:after="0" w:line="240" w:lineRule="auto"/>
              <w:rPr>
                <w:rFonts w:ascii="Times New Roman" w:hAnsi="Times New Roman" w:cs="Times New Roman"/>
                <w:color w:val="000000"/>
                <w:kern w:val="0"/>
                <w:sz w:val="24"/>
                <w:szCs w:val="24"/>
              </w:rPr>
            </w:pPr>
            <w:r>
              <w:rPr>
                <w:rFonts w:ascii="Times New Roman" w:hAnsi="Times New Roman" w:eastAsia="Times New Roman" w:cs="Times New Roman"/>
                <w:color w:val="000000"/>
                <w:kern w:val="0"/>
                <w:sz w:val="24"/>
                <w:szCs w:val="24"/>
              </w:rPr>
              <w:t>· NIR: 2016</w:t>
            </w:r>
            <w:r>
              <w:rPr>
                <w:rFonts w:hint="eastAsia" w:ascii="Times New Roman" w:hAnsi="Times New Roman" w:cs="Times New Roman"/>
                <w:color w:val="000000"/>
                <w:kern w:val="0"/>
                <w:sz w:val="24"/>
                <w:szCs w:val="24"/>
              </w:rPr>
              <w:t xml:space="preserve"> or 2017</w:t>
            </w:r>
          </w:p>
        </w:tc>
        <w:tc>
          <w:tcPr>
            <w:tcW w:w="389" w:type="pct"/>
            <w:shd w:val="clear" w:color="auto" w:fill="auto"/>
            <w:vAlign w:val="center"/>
          </w:tcPr>
          <w:p w14:paraId="5658C07D">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{"citationID":"NyhsWTU6","properties":{"formattedCitation":"\\super 7,8\\nosupersub{}","plainCitation":"7,8","noteIndex":0},"citationItems":[{"id":9493,"uris":["http://zotero.org/users/7789508/items/NCP7Y5Z4"],"itemData":{"id":9493,"type":"book","call-number":"SF140.S72 G58 2011","event-place":"Rome","ISBN":"978-92-5-107033-8","language":"en","note":"OCLC: ocn792879768","number-of-pages":"152","publisher":"Food and Agriculture Organization of the United Nations","publisher-place":"Rome","source":"Library of Congress ISBN","title":"Global livestock production systems","editor":[{"family":"Robinson","given":"Timothy P."},{"family":"Food and Agriculture Organization of the United Nations","given":""}],"issued":{"date-parts":[["2011"]]}},"label":"page"},{"id":20023,"uris":["http://zotero.org/users/7789508/items/Z2D8DIKX"],"itemData":{"id":20023,"type":"report","title":"National Inventory Submissions 2018 of Annex I Parties","URL":"https://unfccc.int/process-and-meetings/transparency-and-reporting/reporting-and-review/reporting-and-review-under-the-convention/greenhouse-gas-inventories-annex-i-parties/submissions/national-inventory-submissions-2018","author":[{"family":"UNFCCC","given":""}],"issued":{"date-parts":[["2018"]]}},"label":"page"}],"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7,8</w:t>
            </w:r>
            <w:r>
              <w:rPr>
                <w:rFonts w:ascii="Times New Roman" w:hAnsi="Times New Roman" w:eastAsia="Times New Roman" w:cs="Times New Roman"/>
                <w:color w:val="000000"/>
                <w:kern w:val="0"/>
                <w:sz w:val="24"/>
                <w:szCs w:val="24"/>
              </w:rPr>
              <w:fldChar w:fldCharType="end"/>
            </w:r>
          </w:p>
        </w:tc>
      </w:tr>
      <w:tr w14:paraId="4B69D123">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620" w:hRule="atLeast"/>
        </w:trPr>
        <w:tc>
          <w:tcPr>
            <w:tcW w:w="768" w:type="pct"/>
            <w:shd w:val="clear" w:color="auto" w:fill="auto"/>
            <w:noWrap/>
          </w:tcPr>
          <w:p w14:paraId="3B29FB3C">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noWrap/>
          </w:tcPr>
          <w:p w14:paraId="54980EA7">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systems</w:t>
            </w:r>
          </w:p>
        </w:tc>
        <w:tc>
          <w:tcPr>
            <w:tcW w:w="1196" w:type="pct"/>
            <w:shd w:val="clear" w:color="auto" w:fill="auto"/>
          </w:tcPr>
          <w:p w14:paraId="6876FF0C">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NIR  reports 2018 (National Inventory Reports)</w:t>
            </w:r>
          </w:p>
          <w:p w14:paraId="38235C28">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ClimLPS report (Climate and Livestock Production Systems)</w:t>
            </w:r>
          </w:p>
        </w:tc>
        <w:tc>
          <w:tcPr>
            <w:tcW w:w="1196" w:type="pct"/>
            <w:shd w:val="clear" w:color="auto" w:fill="auto"/>
          </w:tcPr>
          <w:p w14:paraId="3F933A7B">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NIR: As stated above</w:t>
            </w:r>
          </w:p>
          <w:p w14:paraId="0E375342">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ClimLPS: EU28+EFTA excluding Iceland, NUT2-level, livestock specific</w:t>
            </w:r>
          </w:p>
        </w:tc>
        <w:tc>
          <w:tcPr>
            <w:tcW w:w="683" w:type="pct"/>
            <w:shd w:val="clear" w:color="auto" w:fill="auto"/>
          </w:tcPr>
          <w:p w14:paraId="7B81C4E5">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NIR: 2016</w:t>
            </w:r>
          </w:p>
          <w:p w14:paraId="3C6B6EB1">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ClimLPS: 2008</w:t>
            </w:r>
          </w:p>
        </w:tc>
        <w:tc>
          <w:tcPr>
            <w:tcW w:w="389" w:type="pct"/>
            <w:shd w:val="clear" w:color="auto" w:fill="auto"/>
            <w:vAlign w:val="center"/>
          </w:tcPr>
          <w:p w14:paraId="21BF854E">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{"citationID":"zST85LoD","properties":{"formattedCitation":"\\super 8,9\\nosupersub{}","plainCitation":"8,9","noteIndex":0},"citationItems":[{"id":20023,"uris":["http://zotero.org/users/7789508/items/Z2D8DIKX"],"itemData":{"id":20023,"type":"report","title":"National Inventory Submissions 2018 of Annex I Parties","URL":"https://unfccc.int/process-and-meetings/transparency-and-reporting/reporting-and-review/reporting-and-review-under-the-convention/greenhouse-gas-inventories-annex-i-parties/submissions/national-inventory-submissions-2018","author":[{"family":"UNFCCC","given":""}],"issued":{"date-parts":[["2018"]]}},"label":"page"},{"id":14931,"uris":["http://zotero.org/users/7789508/items/RVLAFNXI"],"itemData":{"id":14931,"type":"book","language":"en","source":"Zotero","title":"Qualitative assessment of manure management in main livestock production systems and a review of gaseous emissions factors of manure throughout EU27","author":[{"family":"Bioteau","given":"T"},{"family":"Burton","given":"C"},{"family":"Guiziou","given":"F"},{"family":"Martinez","given":"J"}]},"label":"page"}],"schema":"https://github.com/citation-style-language/schema/raw/master/csl-citation.json"}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8,9</w:t>
            </w:r>
            <w:r>
              <w:rPr>
                <w:rFonts w:ascii="Times New Roman" w:hAnsi="Times New Roman" w:eastAsia="Times New Roman" w:cs="Times New Roman"/>
                <w:color w:val="000000"/>
                <w:kern w:val="0"/>
                <w:sz w:val="24"/>
                <w:szCs w:val="24"/>
              </w:rPr>
              <w:fldChar w:fldCharType="end"/>
            </w:r>
          </w:p>
        </w:tc>
      </w:tr>
      <w:tr w14:paraId="0A04EF8D">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335" w:hRule="atLeast"/>
        </w:trPr>
        <w:tc>
          <w:tcPr>
            <w:tcW w:w="768" w:type="pct"/>
            <w:shd w:val="clear" w:color="auto" w:fill="auto"/>
            <w:noWrap/>
          </w:tcPr>
          <w:p w14:paraId="3588FBDA">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noWrap/>
          </w:tcPr>
          <w:p w14:paraId="6332AAF7">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excretion factors</w:t>
            </w:r>
          </w:p>
        </w:tc>
        <w:tc>
          <w:tcPr>
            <w:tcW w:w="1196" w:type="pct"/>
            <w:shd w:val="clear" w:color="auto" w:fill="auto"/>
          </w:tcPr>
          <w:p w14:paraId="29D5BE97">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NIR (National Inventory reports)</w:t>
            </w:r>
          </w:p>
          <w:p w14:paraId="07FD802C">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GAINS model (Greenhouse Gas and Air Pollution Interactions and Synergies)</w:t>
            </w:r>
          </w:p>
        </w:tc>
        <w:tc>
          <w:tcPr>
            <w:tcW w:w="1196" w:type="pct"/>
            <w:shd w:val="clear" w:color="auto" w:fill="auto"/>
          </w:tcPr>
          <w:p w14:paraId="232ADF3E">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NIR: As stated above</w:t>
            </w:r>
          </w:p>
          <w:p w14:paraId="3EC31D66">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GAINS: 38 cou</w:t>
            </w:r>
            <w:r>
              <w:rPr>
                <w:rFonts w:hint="eastAsia" w:ascii="Times New Roman" w:hAnsi="Times New Roman" w:eastAsia="SimSun" w:cs="Times New Roman"/>
                <w:color w:val="000000"/>
                <w:kern w:val="0"/>
                <w:sz w:val="24"/>
                <w:szCs w:val="24"/>
                <w:lang w:val="en-US"/>
              </w:rPr>
              <w:t>n</w:t>
            </w:r>
            <w:r>
              <w:rPr>
                <w:rFonts w:ascii="Times New Roman" w:hAnsi="Times New Roman" w:eastAsia="Times New Roman" w:cs="Times New Roman"/>
                <w:color w:val="000000"/>
                <w:kern w:val="0"/>
                <w:sz w:val="24"/>
                <w:szCs w:val="24"/>
              </w:rPr>
              <w:t>tries in Europe, country-level, livestock specific</w:t>
            </w:r>
          </w:p>
        </w:tc>
        <w:tc>
          <w:tcPr>
            <w:tcW w:w="683" w:type="pct"/>
            <w:shd w:val="clear" w:color="auto" w:fill="auto"/>
          </w:tcPr>
          <w:p w14:paraId="5E4B9DA8">
            <w:pPr>
              <w:spacing w:after="0" w:line="240" w:lineRule="auto"/>
              <w:rPr>
                <w:rFonts w:ascii="Times New Roman" w:hAnsi="Times New Roman" w:eastAsia="SimSun" w:cs="Times New Roman"/>
                <w:color w:val="000000"/>
                <w:kern w:val="0"/>
                <w:sz w:val="24"/>
                <w:szCs w:val="24"/>
              </w:rPr>
            </w:pPr>
            <w:r>
              <w:rPr>
                <w:rFonts w:ascii="Times New Roman" w:hAnsi="Times New Roman" w:eastAsia="Times New Roman" w:cs="Times New Roman"/>
                <w:color w:val="000000"/>
                <w:kern w:val="0"/>
                <w:sz w:val="24"/>
                <w:szCs w:val="24"/>
              </w:rPr>
              <w:t>· NIR: 2016</w:t>
            </w:r>
          </w:p>
          <w:p w14:paraId="15EC1A70">
            <w:pPr>
              <w:spacing w:after="0" w:line="240" w:lineRule="auto"/>
              <w:rPr>
                <w:rFonts w:ascii="Times New Roman" w:hAnsi="Times New Roman" w:eastAsia="SimSun" w:cs="Times New Roman"/>
                <w:color w:val="000000"/>
                <w:kern w:val="0"/>
                <w:sz w:val="24"/>
                <w:szCs w:val="24"/>
                <w:lang w:val="en-US"/>
              </w:rPr>
            </w:pPr>
            <w:r>
              <w:rPr>
                <w:rFonts w:ascii="Times New Roman" w:hAnsi="Times New Roman" w:eastAsia="Times New Roman" w:cs="Times New Roman"/>
                <w:color w:val="000000"/>
                <w:kern w:val="0"/>
                <w:sz w:val="24"/>
                <w:szCs w:val="24"/>
              </w:rPr>
              <w:t>· GAINS: 201</w:t>
            </w:r>
            <w:r>
              <w:rPr>
                <w:rFonts w:hint="eastAsia" w:ascii="Times New Roman" w:hAnsi="Times New Roman" w:eastAsia="SimSun" w:cs="Times New Roman"/>
                <w:color w:val="000000"/>
                <w:kern w:val="0"/>
                <w:sz w:val="24"/>
                <w:szCs w:val="24"/>
                <w:lang w:val="en-US"/>
              </w:rPr>
              <w:t>0</w:t>
            </w:r>
          </w:p>
        </w:tc>
        <w:tc>
          <w:tcPr>
            <w:tcW w:w="389" w:type="pct"/>
            <w:shd w:val="clear" w:color="auto" w:fill="auto"/>
            <w:vAlign w:val="center"/>
          </w:tcPr>
          <w:p w14:paraId="430DF88C">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{"citationID":"wm3Mtj1A","properties":{"formattedCitation":"\\super 8,10,11\\nosupersub{}","plainCitation":"8,10,11","noteIndex":0},"citationItems":[{"id":20023,"uris":["http://zotero.org/users/7789508/items/Z2D8DIKX"],"itemData":{"id":20023,"type":"report","title":"National Inventory Submissions 2018 of Annex I Parties","URL":"https://unfccc.int/process-and-meetings/transparency-and-reporting/reporting-and-review/reporting-and-review-under-the-convention/greenhouse-gas-inventories-annex-i-parties/submissions/national-inventory-submissions-2018","author":[{"family":"UNFCCC","given":""}],"issued":{"date-parts":[["2018"]]}},"label":"page"},{"id":13922,"uris":["http://zotero.org/users/7789508/items/4THVSU5U"],"itemData":{"id":13922,"type":"article-journal","language":"en","source":"Zotero","title":"Modelling of Emissions of Air Pollutants and Greenhouse Gases from Agricultural Sources in Europe","author":[{"family":"Klimont","given":"Zbigniew"},{"family":"Brink","given":"Corjan"}]},"label":"page"},{"id":12544,"uris":["http://zotero.org/users/7789508/items/GIN7Q6ZD"],"itemData":{"id":12544,"type":"article-journal","abstract":"Livestock manures are major sources of nutrients, used for the fertilisation of cropland and grassland. Accurate estimates of the amounts of nutrients in livestock manures are required for nutrient management planning, but also for estimating nitrogen (N) budgets and emissions to the environment. Here we report on N excretion factors for a range of animal categories in policy reports by member states of the European Union (EU). Nitrogen excretion is defined in this paper as the total amount of N excreted by livestock per year as urine and faeces. We discuss the guidelines and methodologies for the estimation of N excretion factors by the EU Nitrates Directive, the OECD/Eurostat gross N balance guidebook, the EMEP/EEA Guidebook and the IPCC Guidelines. Our results show that N excretion factors for dairy cattle, other cattle, pigs, laying hens, broilers, sheep, and goats differ significantly between policy reports and between countries. Part of these differences may be related to differences in animal production (e.g. production of meat, milk and eggs), size/weight of the animals, and feed composition, but partly also to differences in the aggregation of livestock categories and estimation procedures. The methodologies and data used by member states are often not well described. There is a need for a common, harmonised methodology and procedure for the estimation of N excretion factors, to arrive at a common basis for the estimation of the production of manure N and N balances, and emissions of ammonia (NH3) and nitrous oxide (N2O) across the EU. © 2015 Society of Chemical Industry","archive_location":"55 citation(s)","call-number":"2","container-title":"Journal of the Science of Food and Agriculture","DOI":"10.1002/jsfa.7248","ISSN":"1097-0010","issue":"15","language":"en","note":"_eprint: https://onlinelibrary.wiley.com/doi/pdf/10.1002/jsfa.7248","page":"3004-3014","source":"4.125 (Q1)","title":"Nitrogen excretion factors of livestock in the European Union: a review","title-short":"Nitrogen excretion factors of livestock in the European Union","volume":"95","author":[{"family":"Velthof","given":"Gerard L"},{"family":"Hou","given":"Yong"},{"family":"Oenema","given":"Oene"}],"issued":{"date-parts":[["2015"]]}},"label":"page"}],"schema":"https://github.com/citation-style-language/schema/raw/master/csl-citation.json"}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8,10,11</w:t>
            </w:r>
            <w:r>
              <w:rPr>
                <w:rFonts w:ascii="Times New Roman" w:hAnsi="Times New Roman" w:eastAsia="Times New Roman" w:cs="Times New Roman"/>
                <w:color w:val="000000"/>
                <w:kern w:val="0"/>
                <w:sz w:val="24"/>
                <w:szCs w:val="24"/>
              </w:rPr>
              <w:fldChar w:fldCharType="end"/>
            </w:r>
          </w:p>
        </w:tc>
      </w:tr>
      <w:tr w14:paraId="60DA3768">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825" w:hRule="atLeast"/>
        </w:trPr>
        <w:tc>
          <w:tcPr>
            <w:tcW w:w="768" w:type="pct"/>
            <w:shd w:val="clear" w:color="auto" w:fill="auto"/>
            <w:noWrap/>
          </w:tcPr>
          <w:p w14:paraId="7A669BC8">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noWrap/>
          </w:tcPr>
          <w:p w14:paraId="4D734443">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TAN proportions</w:t>
            </w:r>
          </w:p>
        </w:tc>
        <w:tc>
          <w:tcPr>
            <w:tcW w:w="1196" w:type="pct"/>
            <w:shd w:val="clear" w:color="auto" w:fill="auto"/>
          </w:tcPr>
          <w:p w14:paraId="5A0E9AE0">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EEA</w:t>
            </w:r>
            <w:r>
              <w:rPr>
                <w:rFonts w:hint="eastAsia" w:ascii="Times New Roman" w:hAnsi="Times New Roman" w:cs="Times New Roman"/>
                <w:color w:val="000000"/>
                <w:kern w:val="0"/>
                <w:sz w:val="24"/>
                <w:szCs w:val="24"/>
              </w:rPr>
              <w:t xml:space="preserve">-2019 </w:t>
            </w:r>
            <w:r>
              <w:rPr>
                <w:rFonts w:ascii="Times New Roman" w:hAnsi="Times New Roman" w:eastAsia="Times New Roman" w:cs="Times New Roman"/>
                <w:color w:val="000000"/>
                <w:kern w:val="0"/>
                <w:sz w:val="24"/>
                <w:szCs w:val="24"/>
              </w:rPr>
              <w:t>guideline</w:t>
            </w:r>
          </w:p>
        </w:tc>
        <w:tc>
          <w:tcPr>
            <w:tcW w:w="1196" w:type="pct"/>
            <w:shd w:val="clear" w:color="auto" w:fill="auto"/>
          </w:tcPr>
          <w:p w14:paraId="7D5869B9">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Europe, Europe-level, livestock specific</w:t>
            </w:r>
          </w:p>
        </w:tc>
        <w:tc>
          <w:tcPr>
            <w:tcW w:w="683" w:type="pct"/>
            <w:shd w:val="clear" w:color="auto" w:fill="auto"/>
            <w:noWrap/>
          </w:tcPr>
          <w:p w14:paraId="43DCE30E">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No specific year</w:t>
            </w:r>
          </w:p>
        </w:tc>
        <w:tc>
          <w:tcPr>
            <w:tcW w:w="389" w:type="pct"/>
            <w:shd w:val="clear" w:color="auto" w:fill="auto"/>
            <w:noWrap/>
            <w:vAlign w:val="center"/>
          </w:tcPr>
          <w:p w14:paraId="0BFF6BE0">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{"citationID":"CsWAFWCJ","properties":{"formattedCitation":"\\super 12\\nosupersub{}","plainCitation":"12","noteIndex":0},"citationItems":[{"id":8823,"uris":["http://zotero.org/users/7789508/items/KW8RT5I9"],"itemData":{"id":8823,"type":"book","event-place":"LU","language":"en","publisher":"Publications Office","publisher-place":"LU","source":"DOI.org (CSL JSON)","title":"EMEP/EEA air pollutant emission inventory guidebook 2019: technical guidance to prepare national emission inventories.","title-short":"EMEP/EEA air pollutant emission inventory guidebook 2019","URL":"https://data.europa.eu/doi/10.2800/293657","author":[{"literal":"European Environment Agency."}],"accessed":{"date-parts":[["2022",12,1]]},"issued":{"date-parts":[["2019"]]}}}],"schema":"https://github.com/citation-style-language/schema/raw/master/csl-citation.json"}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12</w:t>
            </w:r>
            <w:r>
              <w:rPr>
                <w:rFonts w:ascii="Times New Roman" w:hAnsi="Times New Roman" w:eastAsia="Times New Roman" w:cs="Times New Roman"/>
                <w:color w:val="000000"/>
                <w:kern w:val="0"/>
                <w:sz w:val="24"/>
                <w:szCs w:val="24"/>
              </w:rPr>
              <w:fldChar w:fldCharType="end"/>
            </w:r>
          </w:p>
        </w:tc>
      </w:tr>
      <w:tr w14:paraId="04E0BE35">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1560" w:hRule="atLeast"/>
        </w:trPr>
        <w:tc>
          <w:tcPr>
            <w:tcW w:w="768" w:type="pct"/>
            <w:shd w:val="clear" w:color="auto" w:fill="auto"/>
            <w:noWrap/>
          </w:tcPr>
          <w:p w14:paraId="2E8C721D">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tcPr>
          <w:p w14:paraId="5D029A80">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application rates</w:t>
            </w:r>
          </w:p>
        </w:tc>
        <w:tc>
          <w:tcPr>
            <w:tcW w:w="1196" w:type="pct"/>
            <w:shd w:val="clear" w:color="auto" w:fill="auto"/>
          </w:tcPr>
          <w:p w14:paraId="47EE03C8">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INTEGRATOR model (Integrated Nitrogen Tool acoss Europe for Greenhouse gases and Ammonia Targeted to Operational Responses)</w:t>
            </w:r>
          </w:p>
          <w:p w14:paraId="1113DCFC">
            <w:pPr>
              <w:spacing w:after="0" w:line="240" w:lineRule="auto"/>
              <w:rPr>
                <w:rFonts w:ascii="Times New Roman" w:hAnsi="Times New Roman" w:eastAsia="Times New Roman" w:cs="Times New Roman"/>
                <w:color w:val="000000"/>
                <w:kern w:val="0"/>
                <w:sz w:val="24"/>
                <w:szCs w:val="24"/>
              </w:rPr>
            </w:pPr>
          </w:p>
        </w:tc>
        <w:tc>
          <w:tcPr>
            <w:tcW w:w="1196" w:type="pct"/>
            <w:shd w:val="clear" w:color="auto" w:fill="auto"/>
          </w:tcPr>
          <w:p w14:paraId="42117468">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30 countries in Europe, country-level, livestock specific</w:t>
            </w:r>
          </w:p>
        </w:tc>
        <w:tc>
          <w:tcPr>
            <w:tcW w:w="683" w:type="pct"/>
            <w:shd w:val="clear" w:color="auto" w:fill="auto"/>
            <w:noWrap/>
          </w:tcPr>
          <w:p w14:paraId="32AB90D9">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1996</w:t>
            </w:r>
          </w:p>
        </w:tc>
        <w:tc>
          <w:tcPr>
            <w:tcW w:w="389" w:type="pct"/>
            <w:shd w:val="clear" w:color="auto" w:fill="auto"/>
            <w:vAlign w:val="center"/>
          </w:tcPr>
          <w:p w14:paraId="18FB89C3">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{"citationID":"Y2J9KHE7","properties":{"unsorted":true,"formattedCitation":"\\super 13,14\\nosupersub{}","plainCitation":"13,14","noteIndex":0},"citationItems":[{"id":20031,"uris":["http://zotero.org/users/7789508/items/MIYDKNLC"],"itemData":{"id":20031,"type":"chapter","container-title":"Proceedings of the 10th International Conference of the RAMIRAN Network","event-place":"University of Veterinary Medicine, Slovak Republic, Štrbské Pleso, High Tatras, Slovak Republic","ISBN":"80-88985-68-4","publisher-place":"University of Veterinary Medicine, Slovak Republic, Štrbské Pleso, High Tatras, Slovak Republic","title":"Manure management in Europe: results of a recent survey","author":[{"family":"Menzi","given":"H."}],"issued":{"date-parts":[["2002",5,14]]}},"label":"page"},{"id":13818,"uris":["http://zotero.org/users/7789508/items/MPSRZD48"],"itemData":{"id":13818,"type":"article-journal","abstract":"Meeting European policy targets for reducing nitrogen (N) pollution while maintaining crop production is a large challenge. Strategies to tackle this dual challenge should assess where reducing N losses is most needed while accounting for variation in agricultural systems and ecosystems' vulnerability to N loading. We used a spatially explicit N balance model (INTEGRATOR) to assess whether crop production targets and thresholds for N impacts on biodiversity and water quality in the EU can be reconciled by (i) redistributing N inputs from excess regions to regions where environmental thresholds are not exceeded and (ii) improving N management to reduce ammonia (NH3) emissions from manure and enhance field-level N use efficiency (NUE). At current NUE, reducing N inputs to comply with three environmental thresholds (critical N deposition on terrestrial ecosystems and critical N concentrations in surface water and groundwater) would reduce European crop production by 50%. The widespread exceedance of thresholds does not provide much room for redistribution: increasing inputs to close yield gaps on land where N thresholds are not exceeded can only increase crop production by 3%. To achieve surface water quality targets without crop production losses, average NUE needs to increase from 0.64 to 0.78, whereas achieving groundwater targets only requires a modest increase from 0.64 to 0.67. In hotspot areas, however, crop production and N thresholds can only be reconciled at NUEs of &gt;0.90, which is not feasible. Reducing manure NH3 emission fractions to 0.10 by adopting best-management practices reconciles current crop production and thresholds for agricultural NH3 emission (in view of critical deposition) on only half of the agricultural area. In some regions, technologically feasible improvements in N management are thus insufficient to both maintain current crop production and respect environmental boundaries. Overall, the evaluated measures could reconcile ~80% of current EU crop production with N thresholds.","archive_location":"11 citation(s)","call-number":"1","container-title":"Science of The Total Environment","DOI":"10.1016/j.scitotenv.2021.147427","ISSN":"0048-9697","journalAbbreviation":"Science of The Total Environment","language":"en","page":"147427","source":"10.753 (Q1)","title":"Reconciling food production and environmental boundaries for nitrogen in the European Union","volume":"786","author":[{"family":"Schulte-Uebbing","given":"Lena"},{"family":"Vries","given":"Wim","non-dropping-particle":"de"}],"issued":{"date-parts":[["2021",9,10]]}},"label":"page"}],"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13,14</w:t>
            </w:r>
            <w:r>
              <w:rPr>
                <w:rFonts w:ascii="Times New Roman" w:hAnsi="Times New Roman" w:eastAsia="Times New Roman" w:cs="Times New Roman"/>
                <w:color w:val="000000"/>
                <w:kern w:val="0"/>
                <w:sz w:val="24"/>
                <w:szCs w:val="24"/>
              </w:rPr>
              <w:fldChar w:fldCharType="end"/>
            </w:r>
          </w:p>
        </w:tc>
      </w:tr>
      <w:tr w14:paraId="271EE6D3">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590" w:hRule="atLeast"/>
        </w:trPr>
        <w:tc>
          <w:tcPr>
            <w:tcW w:w="768" w:type="pct"/>
            <w:shd w:val="clear" w:color="auto" w:fill="auto"/>
            <w:noWrap/>
          </w:tcPr>
          <w:p w14:paraId="3CEDABDB">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tcPr>
          <w:p w14:paraId="04E6B7AB">
            <w:pPr>
              <w:spacing w:after="0" w:line="240" w:lineRule="auto"/>
              <w:rPr>
                <w:rFonts w:ascii="Times New Roman" w:hAnsi="Times New Roman" w:eastAsia="SimSun" w:cs="Times New Roman"/>
                <w:color w:val="000000"/>
                <w:kern w:val="0"/>
                <w:sz w:val="24"/>
                <w:szCs w:val="24"/>
                <w:lang w:val="en-US"/>
              </w:rPr>
            </w:pPr>
            <w:r>
              <w:rPr>
                <w:rFonts w:hint="eastAsia" w:ascii="Times New Roman" w:hAnsi="Times New Roman" w:eastAsia="SimSun" w:cs="Times New Roman"/>
                <w:color w:val="000000"/>
                <w:kern w:val="0"/>
                <w:sz w:val="24"/>
                <w:szCs w:val="24"/>
                <w:lang w:val="en-US"/>
              </w:rPr>
              <w:t>Manure allocating ratios</w:t>
            </w:r>
          </w:p>
        </w:tc>
        <w:tc>
          <w:tcPr>
            <w:tcW w:w="1196" w:type="pct"/>
            <w:shd w:val="clear" w:color="auto" w:fill="auto"/>
          </w:tcPr>
          <w:p w14:paraId="2220DD0F">
            <w:pPr>
              <w:spacing w:after="0" w:line="240" w:lineRule="auto"/>
              <w:jc w:val="left"/>
              <w:rPr>
                <w:rFonts w:ascii="Times New Roman" w:hAnsi="Times New Roman" w:eastAsia="SimSun" w:cs="Times New Roman"/>
                <w:color w:val="000000"/>
                <w:kern w:val="0"/>
                <w:sz w:val="24"/>
                <w:szCs w:val="24"/>
                <w:lang w:val="en-US"/>
              </w:rPr>
            </w:pPr>
            <w:r>
              <w:rPr>
                <w:rFonts w:ascii="Times New Roman" w:hAnsi="Times New Roman" w:eastAsia="Times New Roman" w:cs="Times New Roman"/>
                <w:color w:val="000000"/>
                <w:kern w:val="0"/>
                <w:sz w:val="24"/>
                <w:szCs w:val="24"/>
              </w:rPr>
              <w:t xml:space="preserve">· </w:t>
            </w:r>
            <w:r>
              <w:rPr>
                <w:rFonts w:hint="eastAsia" w:ascii="Times New Roman" w:hAnsi="Times New Roman" w:eastAsia="SimSun" w:cs="Times New Roman"/>
                <w:color w:val="000000"/>
                <w:kern w:val="0"/>
                <w:sz w:val="24"/>
                <w:szCs w:val="24"/>
                <w:lang w:val="en-US"/>
              </w:rPr>
              <w:t>MITERRA-EUROPE model</w:t>
            </w:r>
          </w:p>
        </w:tc>
        <w:tc>
          <w:tcPr>
            <w:tcW w:w="1196" w:type="pct"/>
            <w:shd w:val="clear" w:color="auto" w:fill="auto"/>
          </w:tcPr>
          <w:p w14:paraId="61CD5C4B">
            <w:pPr>
              <w:spacing w:after="0" w:line="240" w:lineRule="auto"/>
              <w:rPr>
                <w:rFonts w:ascii="Times New Roman" w:hAnsi="Times New Roman" w:eastAsia="SimSun" w:cs="Times New Roman"/>
                <w:color w:val="000000"/>
                <w:kern w:val="0"/>
                <w:sz w:val="24"/>
                <w:szCs w:val="24"/>
                <w:lang w:val="en-US"/>
              </w:rPr>
            </w:pPr>
            <w:r>
              <w:rPr>
                <w:rFonts w:hint="eastAsia" w:ascii="Times New Roman" w:hAnsi="Times New Roman" w:eastAsia="SimSun" w:cs="Times New Roman"/>
                <w:color w:val="000000"/>
                <w:kern w:val="0"/>
                <w:sz w:val="24"/>
                <w:szCs w:val="24"/>
                <w:lang w:val="en-US"/>
              </w:rPr>
              <w:t>EU27, Allocate at the NUTS2 level, crop group explicit</w:t>
            </w:r>
          </w:p>
        </w:tc>
        <w:tc>
          <w:tcPr>
            <w:tcW w:w="683" w:type="pct"/>
            <w:shd w:val="clear" w:color="auto" w:fill="auto"/>
            <w:noWrap/>
          </w:tcPr>
          <w:p w14:paraId="1E5A8CE7">
            <w:pPr>
              <w:spacing w:after="0" w:line="240" w:lineRule="auto"/>
              <w:rPr>
                <w:rFonts w:ascii="Times New Roman" w:hAnsi="Times New Roman" w:eastAsia="SimSun" w:cs="Times New Roman"/>
                <w:color w:val="000000"/>
                <w:kern w:val="0"/>
                <w:sz w:val="24"/>
                <w:szCs w:val="24"/>
                <w:lang w:val="en-US"/>
              </w:rPr>
            </w:pPr>
            <w:r>
              <w:rPr>
                <w:rFonts w:hint="eastAsia" w:ascii="Times New Roman" w:hAnsi="Times New Roman" w:eastAsia="SimSun" w:cs="Times New Roman"/>
                <w:color w:val="000000"/>
                <w:kern w:val="0"/>
                <w:sz w:val="24"/>
                <w:szCs w:val="24"/>
                <w:lang w:val="en-US"/>
              </w:rPr>
              <w:t>No specific year</w:t>
            </w:r>
          </w:p>
        </w:tc>
        <w:tc>
          <w:tcPr>
            <w:tcW w:w="389" w:type="pct"/>
            <w:shd w:val="clear" w:color="auto" w:fill="auto"/>
            <w:vAlign w:val="center"/>
          </w:tcPr>
          <w:p w14:paraId="12DC43BA">
            <w:pPr>
              <w:spacing w:after="0" w:line="240" w:lineRule="auto"/>
              <w:jc w:val="center"/>
              <w:rPr>
                <w:rFonts w:ascii="Times New Roman" w:hAnsi="Times New Roman" w:eastAsia="SimSun" w:cs="Times New Roman"/>
                <w:color w:val="000000"/>
                <w:kern w:val="0"/>
                <w:sz w:val="24"/>
                <w:szCs w:val="24"/>
                <w:lang w:val="en-US"/>
              </w:rPr>
            </w:pPr>
            <w:r>
              <w:rPr>
                <w:rFonts w:ascii="Times New Roman" w:hAnsi="Times New Roman" w:eastAsia="SimSun" w:cs="Times New Roman"/>
                <w:color w:val="000000"/>
                <w:kern w:val="0"/>
                <w:sz w:val="24"/>
                <w:szCs w:val="24"/>
                <w:lang w:val="en-US"/>
              </w:rPr>
              <w:fldChar w:fldCharType="begin"/>
            </w:r>
            <w:r>
              <w:rPr>
                <w:rFonts w:ascii="Times New Roman" w:hAnsi="Times New Roman" w:eastAsia="SimSun" w:cs="Times New Roman"/>
                <w:color w:val="000000"/>
                <w:kern w:val="0"/>
                <w:sz w:val="24"/>
                <w:szCs w:val="24"/>
                <w:lang w:val="en-US"/>
              </w:rPr>
              <w:instrText xml:space="preserve"> ADDIN ZOTERO_ITEM CSL_CITATION {"citationID":"VUJAZxyS","properties":{"formattedCitation":"\\super 15\\nosupersub{}","plainCitation":"15","noteIndex":0},"citationItems":[{"id":6698,"uris":["http://zotero.org/users/7789508/items/NAZC36UL"],"itemData":{"id":6698,"type":"article-journal","container-title":"Journal of Environmental Quality","language":"en","page":"16","source":"Zotero","title":"Integrated assessment of nitrogen losses from agriculture in EU-27 using MITERRA-EUROPE","volume":"38","author":[{"family":"Velthof","given":"G L"},{"family":"Oudendag","given":"D"},{"family":"Witzke","given":"H P"},{"family":"Asman","given":"W A H"},{"family":"Klimont","given":"Z"},{"family":"Oenema","given":"O"}],"issued":{"date-parts":[["2009"]]}}}],"schema":"https://github.com/citation-style-language/schema/raw/master/csl-citation.json"} </w:instrText>
            </w:r>
            <w:r>
              <w:rPr>
                <w:rFonts w:ascii="Times New Roman" w:hAnsi="Times New Roman" w:eastAsia="SimSun" w:cs="Times New Roman"/>
                <w:color w:val="000000"/>
                <w:kern w:val="0"/>
                <w:sz w:val="24"/>
                <w:szCs w:val="24"/>
                <w:lang w:val="en-US"/>
              </w:rPr>
              <w:fldChar w:fldCharType="separate"/>
            </w:r>
            <w:r>
              <w:rPr>
                <w:rFonts w:ascii="Times New Roman" w:hAnsi="Times New Roman" w:cs="Times New Roman"/>
                <w:kern w:val="0"/>
                <w:sz w:val="24"/>
                <w:vertAlign w:val="superscript"/>
              </w:rPr>
              <w:t>15</w:t>
            </w:r>
            <w:r>
              <w:rPr>
                <w:rFonts w:ascii="Times New Roman" w:hAnsi="Times New Roman" w:eastAsia="SimSun" w:cs="Times New Roman"/>
                <w:color w:val="000000"/>
                <w:kern w:val="0"/>
                <w:sz w:val="24"/>
                <w:szCs w:val="24"/>
                <w:lang w:val="en-US"/>
              </w:rPr>
              <w:fldChar w:fldCharType="end"/>
            </w:r>
          </w:p>
        </w:tc>
      </w:tr>
      <w:tr w14:paraId="58877CAA">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590" w:hRule="atLeast"/>
        </w:trPr>
        <w:tc>
          <w:tcPr>
            <w:tcW w:w="768" w:type="pct"/>
            <w:shd w:val="clear" w:color="auto" w:fill="auto"/>
            <w:noWrap/>
          </w:tcPr>
          <w:p w14:paraId="678A0597">
            <w:pPr>
              <w:spacing w:after="0" w:line="240" w:lineRule="auto"/>
              <w:rPr>
                <w:rFonts w:ascii="Times New Roman" w:hAnsi="Times New Roman" w:cs="Times New Roman"/>
                <w:b w:val="0"/>
                <w:bCs w:val="0"/>
                <w:color w:val="000000"/>
                <w:kern w:val="0"/>
                <w:sz w:val="24"/>
                <w:szCs w:val="24"/>
              </w:rPr>
            </w:pPr>
            <w:r>
              <w:rPr>
                <w:rFonts w:ascii="Times New Roman" w:hAnsi="Times New Roman" w:eastAsia="Times New Roman" w:cs="Times New Roman"/>
                <w:b w:val="0"/>
                <w:bCs w:val="0"/>
                <w:color w:val="000000"/>
                <w:kern w:val="0"/>
                <w:sz w:val="24"/>
                <w:szCs w:val="24"/>
              </w:rPr>
              <w:t>Emission factor</w:t>
            </w:r>
            <w:r>
              <w:rPr>
                <w:rFonts w:hint="eastAsia" w:ascii="Times New Roman" w:hAnsi="Times New Roman" w:cs="Times New Roman"/>
                <w:b w:val="0"/>
                <w:bCs w:val="0"/>
                <w:color w:val="000000"/>
                <w:kern w:val="0"/>
                <w:sz w:val="24"/>
                <w:szCs w:val="24"/>
              </w:rPr>
              <w:t>s</w:t>
            </w:r>
          </w:p>
        </w:tc>
        <w:tc>
          <w:tcPr>
            <w:tcW w:w="767" w:type="pct"/>
            <w:shd w:val="clear" w:color="auto" w:fill="auto"/>
          </w:tcPr>
          <w:p w14:paraId="35056300">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deposition emission factors</w:t>
            </w:r>
          </w:p>
        </w:tc>
        <w:tc>
          <w:tcPr>
            <w:tcW w:w="1196" w:type="pct"/>
            <w:shd w:val="clear" w:color="auto" w:fill="auto"/>
          </w:tcPr>
          <w:p w14:paraId="2AB3B51E">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EEA</w:t>
            </w:r>
            <w:r>
              <w:rPr>
                <w:rFonts w:hint="eastAsia" w:ascii="Times New Roman" w:hAnsi="Times New Roman" w:cs="Times New Roman"/>
                <w:color w:val="000000"/>
                <w:kern w:val="0"/>
                <w:sz w:val="24"/>
                <w:szCs w:val="24"/>
              </w:rPr>
              <w:t>-2019</w:t>
            </w:r>
            <w:r>
              <w:rPr>
                <w:rFonts w:ascii="Times New Roman" w:hAnsi="Times New Roman" w:eastAsia="Times New Roman" w:cs="Times New Roman"/>
                <w:color w:val="000000"/>
                <w:kern w:val="0"/>
                <w:sz w:val="24"/>
                <w:szCs w:val="24"/>
              </w:rPr>
              <w:t xml:space="preserve"> guideline</w:t>
            </w:r>
          </w:p>
        </w:tc>
        <w:tc>
          <w:tcPr>
            <w:tcW w:w="1196" w:type="pct"/>
            <w:shd w:val="clear" w:color="auto" w:fill="auto"/>
          </w:tcPr>
          <w:p w14:paraId="4B3809A1">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As stated above</w:t>
            </w:r>
          </w:p>
        </w:tc>
        <w:tc>
          <w:tcPr>
            <w:tcW w:w="683" w:type="pct"/>
            <w:shd w:val="clear" w:color="auto" w:fill="auto"/>
            <w:noWrap/>
          </w:tcPr>
          <w:p w14:paraId="3FD63523">
            <w:pPr>
              <w:spacing w:after="0" w:line="240" w:lineRule="auto"/>
              <w:rPr>
                <w:rFonts w:ascii="Times New Roman" w:hAnsi="Times New Roman" w:eastAsia="Times New Roman" w:cs="Times New Roman"/>
                <w:color w:val="000000"/>
                <w:kern w:val="0"/>
                <w:sz w:val="24"/>
                <w:szCs w:val="24"/>
                <w:lang w:val="en-US"/>
              </w:rPr>
            </w:pPr>
            <w:r>
              <w:rPr>
                <w:rFonts w:ascii="Times New Roman" w:hAnsi="Times New Roman" w:eastAsia="Times New Roman" w:cs="Times New Roman"/>
                <w:color w:val="000000"/>
                <w:kern w:val="0"/>
                <w:sz w:val="24"/>
                <w:szCs w:val="24"/>
              </w:rPr>
              <w:t xml:space="preserve">updated </w:t>
            </w:r>
            <w:r>
              <w:rPr>
                <w:rFonts w:hint="eastAsia" w:ascii="Times New Roman" w:hAnsi="Times New Roman" w:eastAsia="SimSun" w:cs="Times New Roman"/>
                <w:color w:val="000000"/>
                <w:kern w:val="0"/>
                <w:sz w:val="24"/>
                <w:szCs w:val="24"/>
                <w:lang w:val="en-US"/>
              </w:rPr>
              <w:t>with data after 2008</w:t>
            </w:r>
          </w:p>
        </w:tc>
        <w:tc>
          <w:tcPr>
            <w:tcW w:w="389" w:type="pct"/>
            <w:shd w:val="clear" w:color="auto" w:fill="auto"/>
            <w:vAlign w:val="center"/>
          </w:tcPr>
          <w:p w14:paraId="701108B2">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{"citationID":"D4FlWAHH","properties":{"formattedCitation":"\\super 12\\nosupersub{}","plainCitation":"12","noteIndex":0},"citationItems":[{"id":8823,"uris":["http://zotero.org/users/7789508/items/KW8RT5I9"],"itemData":{"id":8823,"type":"book","event-place":"LU","language":"en","publisher":"Publications Office","publisher-place":"LU","source":"DOI.org (CSL JSON)","title":"EMEP/EEA air pollutant emission inventory guidebook 2019: technical guidance to prepare national emission inventories.","title-short":"EMEP/EEA air pollutant emission inventory guidebook 2019","URL":"https://data.europa.eu/doi/10.2800/293657","author":[{"literal":"European Environment Agency."}],"accessed":{"date-parts":[["2022",12,1]]},"issued":{"date-parts":[["2019"]]}}}],"schema":"https://github.com/citation-style-language/schema/raw/master/csl-citation.json"}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12</w:t>
            </w:r>
            <w:r>
              <w:rPr>
                <w:rFonts w:ascii="Times New Roman" w:hAnsi="Times New Roman" w:eastAsia="Times New Roman" w:cs="Times New Roman"/>
                <w:color w:val="000000"/>
                <w:kern w:val="0"/>
                <w:sz w:val="24"/>
                <w:szCs w:val="24"/>
              </w:rPr>
              <w:fldChar w:fldCharType="end"/>
            </w:r>
          </w:p>
        </w:tc>
      </w:tr>
      <w:tr w14:paraId="3C3B9753">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230" w:hRule="atLeast"/>
        </w:trPr>
        <w:tc>
          <w:tcPr>
            <w:tcW w:w="768" w:type="pct"/>
            <w:shd w:val="clear" w:color="auto" w:fill="auto"/>
            <w:noWrap/>
          </w:tcPr>
          <w:p w14:paraId="60C66417">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tcPr>
          <w:p w14:paraId="35FABA7F">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housing emission factors</w:t>
            </w:r>
          </w:p>
        </w:tc>
        <w:tc>
          <w:tcPr>
            <w:tcW w:w="1196" w:type="pct"/>
            <w:shd w:val="clear" w:color="auto" w:fill="auto"/>
          </w:tcPr>
          <w:p w14:paraId="6ED16271">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EEA</w:t>
            </w:r>
            <w:r>
              <w:rPr>
                <w:rFonts w:hint="eastAsia" w:ascii="Times New Roman" w:hAnsi="Times New Roman" w:cs="Times New Roman"/>
                <w:color w:val="000000"/>
                <w:kern w:val="0"/>
                <w:sz w:val="24"/>
                <w:szCs w:val="24"/>
              </w:rPr>
              <w:t>-2019</w:t>
            </w:r>
            <w:r>
              <w:rPr>
                <w:rFonts w:ascii="Times New Roman" w:hAnsi="Times New Roman" w:eastAsia="Times New Roman" w:cs="Times New Roman"/>
                <w:color w:val="000000"/>
                <w:kern w:val="0"/>
                <w:sz w:val="24"/>
                <w:szCs w:val="24"/>
              </w:rPr>
              <w:t xml:space="preserve"> guideline</w:t>
            </w:r>
          </w:p>
        </w:tc>
        <w:tc>
          <w:tcPr>
            <w:tcW w:w="1196" w:type="pct"/>
            <w:shd w:val="clear" w:color="auto" w:fill="auto"/>
          </w:tcPr>
          <w:p w14:paraId="71BA6DC0">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As stated above</w:t>
            </w:r>
          </w:p>
        </w:tc>
        <w:tc>
          <w:tcPr>
            <w:tcW w:w="683" w:type="pct"/>
            <w:shd w:val="clear" w:color="auto" w:fill="auto"/>
            <w:noWrap/>
          </w:tcPr>
          <w:p w14:paraId="181163C0">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xml:space="preserve">updated </w:t>
            </w:r>
            <w:r>
              <w:rPr>
                <w:rFonts w:hint="eastAsia" w:ascii="Times New Roman" w:hAnsi="Times New Roman" w:eastAsia="SimSun" w:cs="Times New Roman"/>
                <w:color w:val="000000"/>
                <w:kern w:val="0"/>
                <w:sz w:val="24"/>
                <w:szCs w:val="24"/>
                <w:lang w:val="en-US"/>
              </w:rPr>
              <w:t>with data after 2008</w:t>
            </w:r>
          </w:p>
        </w:tc>
        <w:tc>
          <w:tcPr>
            <w:tcW w:w="389" w:type="pct"/>
            <w:shd w:val="clear" w:color="auto" w:fill="auto"/>
            <w:vAlign w:val="center"/>
          </w:tcPr>
          <w:p w14:paraId="6E2C801C">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{"citationID":"jx6dwpF0","properties":{"formattedCitation":"\\super 12\\nosupersub{}","plainCitation":"12","noteIndex":0},"citationItems":[{"id":8823,"uris":["http://zotero.org/users/7789508/items/KW8RT5I9"],"itemData":{"id":8823,"type":"book","event-place":"LU","language":"en","publisher":"Publications Office","publisher-place":"LU","source":"DOI.org (CSL JSON)","title":"EMEP/EEA air pollutant emission inventory guidebook 2019: technical guidance to prepare national emission inventories.","title-short":"EMEP/EEA air pollutant emission inventory guidebook 2019","URL":"https://data.europa.eu/doi/10.2800/293657","author":[{"literal":"European Environment Agency."}],"accessed":{"date-parts":[["2022",12,1]]},"issued":{"date-parts":[["2019"]]}}}],"schema":"https://github.com/citation-style-language/schema/raw/master/csl-citation.json"}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12</w:t>
            </w:r>
            <w:r>
              <w:rPr>
                <w:rFonts w:ascii="Times New Roman" w:hAnsi="Times New Roman" w:eastAsia="Times New Roman" w:cs="Times New Roman"/>
                <w:color w:val="000000"/>
                <w:kern w:val="0"/>
                <w:sz w:val="24"/>
                <w:szCs w:val="24"/>
              </w:rPr>
              <w:fldChar w:fldCharType="end"/>
            </w:r>
          </w:p>
        </w:tc>
      </w:tr>
      <w:tr w14:paraId="7ADCA984">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1230" w:hRule="atLeast"/>
        </w:trPr>
        <w:tc>
          <w:tcPr>
            <w:tcW w:w="768" w:type="pct"/>
            <w:shd w:val="clear" w:color="auto" w:fill="auto"/>
            <w:noWrap/>
          </w:tcPr>
          <w:p w14:paraId="55292D62">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tcPr>
          <w:p w14:paraId="27BEE776">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storage emission factors</w:t>
            </w:r>
          </w:p>
        </w:tc>
        <w:tc>
          <w:tcPr>
            <w:tcW w:w="1196" w:type="pct"/>
            <w:shd w:val="clear" w:color="auto" w:fill="auto"/>
          </w:tcPr>
          <w:p w14:paraId="61C2720E">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EEA</w:t>
            </w:r>
            <w:r>
              <w:rPr>
                <w:rFonts w:hint="eastAsia" w:ascii="Times New Roman" w:hAnsi="Times New Roman" w:cs="Times New Roman"/>
                <w:color w:val="000000"/>
                <w:kern w:val="0"/>
                <w:sz w:val="24"/>
                <w:szCs w:val="24"/>
              </w:rPr>
              <w:t xml:space="preserve">-2019 </w:t>
            </w:r>
            <w:r>
              <w:rPr>
                <w:rFonts w:ascii="Times New Roman" w:hAnsi="Times New Roman" w:eastAsia="Times New Roman" w:cs="Times New Roman"/>
                <w:color w:val="000000"/>
                <w:kern w:val="0"/>
                <w:sz w:val="24"/>
                <w:szCs w:val="24"/>
              </w:rPr>
              <w:t>guideline</w:t>
            </w:r>
          </w:p>
        </w:tc>
        <w:tc>
          <w:tcPr>
            <w:tcW w:w="1196" w:type="pct"/>
            <w:shd w:val="clear" w:color="auto" w:fill="auto"/>
          </w:tcPr>
          <w:p w14:paraId="7B9E7B45">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As stated above</w:t>
            </w:r>
          </w:p>
        </w:tc>
        <w:tc>
          <w:tcPr>
            <w:tcW w:w="683" w:type="pct"/>
            <w:shd w:val="clear" w:color="auto" w:fill="auto"/>
            <w:noWrap/>
          </w:tcPr>
          <w:p w14:paraId="09EBED65">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xml:space="preserve">updated </w:t>
            </w:r>
            <w:r>
              <w:rPr>
                <w:rFonts w:hint="eastAsia" w:ascii="Times New Roman" w:hAnsi="Times New Roman" w:eastAsia="SimSun" w:cs="Times New Roman"/>
                <w:color w:val="000000"/>
                <w:kern w:val="0"/>
                <w:sz w:val="24"/>
                <w:szCs w:val="24"/>
                <w:lang w:val="en-US"/>
              </w:rPr>
              <w:t>with data after 2008</w:t>
            </w:r>
          </w:p>
        </w:tc>
        <w:tc>
          <w:tcPr>
            <w:tcW w:w="389" w:type="pct"/>
            <w:shd w:val="clear" w:color="auto" w:fill="auto"/>
            <w:vAlign w:val="center"/>
          </w:tcPr>
          <w:p w14:paraId="63F2F638">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{"citationID":"cBAp0uxf","properties":{"formattedCitation":"\\super 12\\nosupersub{}","plainCitation":"12","noteIndex":0},"citationItems":[{"id":8823,"uris":["http://zotero.org/users/7789508/items/KW8RT5I9"],"itemData":{"id":8823,"type":"book","event-place":"LU","language":"en","publisher":"Publications Office","publisher-place":"LU","source":"DOI.org (CSL JSON)","title":"EMEP/EEA air pollutant emission inventory guidebook 2019: technical guidance to prepare national emission inventories.","title-short":"EMEP/EEA air pollutant emission inventory guidebook 2019","URL":"https://data.europa.eu/doi/10.2800/293657","author":[{"literal":"European Environment Agency."}],"accessed":{"date-parts":[["2022",12,1]]},"issued":{"date-parts":[["2019"]]}}}],"schema":"https://github.com/citation-style-language/schema/raw/master/csl-citation.json"}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12</w:t>
            </w:r>
            <w:r>
              <w:rPr>
                <w:rFonts w:ascii="Times New Roman" w:hAnsi="Times New Roman" w:eastAsia="Times New Roman" w:cs="Times New Roman"/>
                <w:color w:val="000000"/>
                <w:kern w:val="0"/>
                <w:sz w:val="24"/>
                <w:szCs w:val="24"/>
              </w:rPr>
              <w:fldChar w:fldCharType="end"/>
            </w:r>
          </w:p>
        </w:tc>
      </w:tr>
      <w:tr w14:paraId="544BE36A">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230" w:hRule="atLeast"/>
        </w:trPr>
        <w:tc>
          <w:tcPr>
            <w:tcW w:w="768" w:type="pct"/>
            <w:shd w:val="clear" w:color="auto" w:fill="auto"/>
            <w:noWrap/>
          </w:tcPr>
          <w:p w14:paraId="7E6031B9">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tcPr>
          <w:p w14:paraId="4B608150">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Manure application emission factors</w:t>
            </w:r>
          </w:p>
        </w:tc>
        <w:tc>
          <w:tcPr>
            <w:tcW w:w="1196" w:type="pct"/>
            <w:shd w:val="clear" w:color="auto" w:fill="auto"/>
          </w:tcPr>
          <w:p w14:paraId="504DC4AF">
            <w:pPr>
              <w:spacing w:after="0" w:line="240" w:lineRule="auto"/>
              <w:rPr>
                <w:rFonts w:ascii="Times New Roman" w:hAnsi="Times New Roman" w:eastAsia="SimSun" w:cs="Times New Roman"/>
                <w:color w:val="000000"/>
                <w:kern w:val="0"/>
                <w:sz w:val="24"/>
                <w:szCs w:val="24"/>
                <w:lang w:val="nl-BE"/>
              </w:rPr>
            </w:pPr>
            <w:r>
              <w:rPr>
                <w:rFonts w:ascii="Times New Roman" w:hAnsi="Times New Roman" w:eastAsia="Times New Roman" w:cs="Times New Roman"/>
                <w:color w:val="000000"/>
                <w:kern w:val="0"/>
                <w:sz w:val="24"/>
                <w:szCs w:val="24"/>
                <w:lang w:val="nl-BE"/>
              </w:rPr>
              <w:t>EEA</w:t>
            </w:r>
            <w:r>
              <w:rPr>
                <w:rFonts w:hint="eastAsia" w:ascii="Times New Roman" w:hAnsi="Times New Roman" w:cs="Times New Roman"/>
                <w:color w:val="000000"/>
                <w:kern w:val="0"/>
                <w:sz w:val="24"/>
                <w:szCs w:val="24"/>
                <w:lang w:val="nl-BE"/>
              </w:rPr>
              <w:t xml:space="preserve">-2019 </w:t>
            </w:r>
            <w:r>
              <w:rPr>
                <w:rFonts w:ascii="Times New Roman" w:hAnsi="Times New Roman" w:eastAsia="Times New Roman" w:cs="Times New Roman"/>
                <w:color w:val="000000"/>
                <w:kern w:val="0"/>
                <w:sz w:val="24"/>
                <w:szCs w:val="24"/>
                <w:lang w:val="nl-BE"/>
              </w:rPr>
              <w:t>guideline</w:t>
            </w:r>
            <w:r>
              <w:rPr>
                <w:rFonts w:hint="eastAsia" w:ascii="Times New Roman" w:hAnsi="Times New Roman" w:eastAsia="SimSun" w:cs="Times New Roman"/>
                <w:color w:val="000000"/>
                <w:kern w:val="0"/>
                <w:sz w:val="24"/>
                <w:szCs w:val="24"/>
                <w:lang w:val="nl-BE"/>
              </w:rPr>
              <w:t>;</w:t>
            </w:r>
          </w:p>
          <w:p w14:paraId="527F599F">
            <w:pPr>
              <w:spacing w:after="0" w:line="240" w:lineRule="auto"/>
              <w:rPr>
                <w:rFonts w:ascii="Times New Roman" w:hAnsi="Times New Roman" w:eastAsia="SimSun" w:cs="Times New Roman"/>
                <w:color w:val="000000"/>
                <w:kern w:val="0"/>
                <w:sz w:val="24"/>
                <w:szCs w:val="24"/>
                <w:lang w:val="nl-BE"/>
              </w:rPr>
            </w:pPr>
            <w:r>
              <w:rPr>
                <w:rFonts w:hint="eastAsia" w:ascii="Times New Roman" w:hAnsi="Times New Roman" w:eastAsia="SimSun" w:cs="Times New Roman"/>
                <w:color w:val="000000"/>
                <w:kern w:val="0"/>
                <w:sz w:val="24"/>
                <w:szCs w:val="24"/>
                <w:lang w:val="nl-BE"/>
              </w:rPr>
              <w:t>Sommer et al.</w:t>
            </w:r>
          </w:p>
          <w:p w14:paraId="7A9DFFC0">
            <w:pPr>
              <w:spacing w:after="0" w:line="240" w:lineRule="auto"/>
              <w:rPr>
                <w:rFonts w:ascii="Times New Roman" w:hAnsi="Times New Roman" w:eastAsia="Times New Roman" w:cs="Times New Roman"/>
                <w:color w:val="000000"/>
                <w:kern w:val="0"/>
                <w:sz w:val="24"/>
                <w:szCs w:val="24"/>
                <w:lang w:val="nl-BE"/>
              </w:rPr>
            </w:pPr>
          </w:p>
        </w:tc>
        <w:tc>
          <w:tcPr>
            <w:tcW w:w="1196" w:type="pct"/>
            <w:shd w:val="clear" w:color="auto" w:fill="auto"/>
          </w:tcPr>
          <w:p w14:paraId="1A696489">
            <w:pPr>
              <w:spacing w:after="0" w:line="240" w:lineRule="auto"/>
              <w:rPr>
                <w:rFonts w:ascii="Times New Roman" w:hAnsi="Times New Roman" w:eastAsia="SimSun" w:cs="Times New Roman"/>
                <w:color w:val="000000"/>
                <w:kern w:val="0"/>
                <w:sz w:val="24"/>
                <w:szCs w:val="24"/>
                <w:lang w:val="en-US"/>
              </w:rPr>
            </w:pPr>
            <w:r>
              <w:rPr>
                <w:rFonts w:ascii="Times New Roman" w:hAnsi="Times New Roman" w:eastAsia="Times New Roman" w:cs="Times New Roman"/>
                <w:color w:val="000000"/>
                <w:kern w:val="0"/>
                <w:sz w:val="24"/>
                <w:szCs w:val="24"/>
              </w:rPr>
              <w:t>EEA</w:t>
            </w:r>
            <w:r>
              <w:rPr>
                <w:rFonts w:hint="eastAsia" w:ascii="Times New Roman" w:hAnsi="Times New Roman" w:cs="Times New Roman"/>
                <w:color w:val="000000"/>
                <w:kern w:val="0"/>
                <w:sz w:val="24"/>
                <w:szCs w:val="24"/>
              </w:rPr>
              <w:t>-2019</w:t>
            </w:r>
            <w:r>
              <w:rPr>
                <w:rFonts w:hint="eastAsia" w:ascii="Times New Roman" w:hAnsi="Times New Roman" w:eastAsia="SimSun" w:cs="Times New Roman"/>
                <w:color w:val="000000"/>
                <w:kern w:val="0"/>
                <w:sz w:val="24"/>
                <w:szCs w:val="24"/>
                <w:lang w:val="en-US"/>
              </w:rPr>
              <w:t>: a</w:t>
            </w:r>
            <w:r>
              <w:rPr>
                <w:rFonts w:ascii="Times New Roman" w:hAnsi="Times New Roman" w:eastAsia="Times New Roman" w:cs="Times New Roman"/>
                <w:color w:val="000000"/>
                <w:kern w:val="0"/>
                <w:sz w:val="24"/>
                <w:szCs w:val="24"/>
              </w:rPr>
              <w:t>s stated above</w:t>
            </w:r>
            <w:r>
              <w:rPr>
                <w:rFonts w:hint="eastAsia" w:ascii="Times New Roman" w:hAnsi="Times New Roman" w:eastAsia="SimSun" w:cs="Times New Roman"/>
                <w:color w:val="000000"/>
                <w:kern w:val="0"/>
                <w:sz w:val="24"/>
                <w:szCs w:val="24"/>
                <w:lang w:val="en-US"/>
              </w:rPr>
              <w:t>;</w:t>
            </w:r>
          </w:p>
          <w:p w14:paraId="584291F1">
            <w:pPr>
              <w:spacing w:after="0" w:line="240" w:lineRule="auto"/>
              <w:rPr>
                <w:rFonts w:ascii="Times New Roman" w:hAnsi="Times New Roman" w:eastAsia="SimSun" w:cs="Times New Roman"/>
                <w:color w:val="000000"/>
                <w:kern w:val="0"/>
                <w:sz w:val="24"/>
                <w:szCs w:val="24"/>
                <w:lang w:val="en-US"/>
              </w:rPr>
            </w:pPr>
            <w:r>
              <w:rPr>
                <w:rFonts w:hint="eastAsia" w:ascii="Times New Roman" w:hAnsi="Times New Roman" w:eastAsia="SimSun" w:cs="Times New Roman"/>
                <w:color w:val="000000"/>
                <w:kern w:val="0"/>
                <w:sz w:val="24"/>
                <w:szCs w:val="24"/>
                <w:lang w:val="en-US"/>
              </w:rPr>
              <w:t>Sommer et al. : Europe, European level, temperature explicit</w:t>
            </w:r>
          </w:p>
        </w:tc>
        <w:tc>
          <w:tcPr>
            <w:tcW w:w="683" w:type="pct"/>
            <w:shd w:val="clear" w:color="auto" w:fill="auto"/>
            <w:noWrap/>
          </w:tcPr>
          <w:p w14:paraId="0CE5B0E8">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xml:space="preserve">updated </w:t>
            </w:r>
            <w:r>
              <w:rPr>
                <w:rFonts w:hint="eastAsia" w:ascii="Times New Roman" w:hAnsi="Times New Roman" w:eastAsia="SimSun" w:cs="Times New Roman"/>
                <w:color w:val="000000"/>
                <w:kern w:val="0"/>
                <w:sz w:val="24"/>
                <w:szCs w:val="24"/>
                <w:lang w:val="en-US"/>
              </w:rPr>
              <w:t>with data after 2008</w:t>
            </w:r>
          </w:p>
        </w:tc>
        <w:tc>
          <w:tcPr>
            <w:tcW w:w="389" w:type="pct"/>
            <w:shd w:val="clear" w:color="auto" w:fill="auto"/>
            <w:vAlign w:val="center"/>
          </w:tcPr>
          <w:p w14:paraId="0B0B8722">
            <w:pPr>
              <w:spacing w:after="0" w:line="240"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fldChar w:fldCharType="begin"/>
            </w:r>
            <w:r>
              <w:rPr>
                <w:rFonts w:ascii="Times New Roman" w:hAnsi="Times New Roman" w:cs="Times New Roman"/>
                <w:color w:val="000000"/>
                <w:kern w:val="0"/>
                <w:sz w:val="24"/>
                <w:szCs w:val="24"/>
              </w:rPr>
              <w:instrText xml:space="preserve"> ADDIN ZOTERO_ITEM CSL_CITATION {"citationID":"Y2CSyEJ1","properties":{"formattedCitation":"\\super 12,16\\nosupersub{}","plainCitation":"12,16","noteIndex":0},"citationItems":[{"id":8823,"uris":["http://zotero.org/users/7789508/items/KW8RT5I9"],"itemData":{"id":8823,"type":"book","event-place":"LU","language":"en","publisher":"Publications Office","publisher-place":"LU","source":"DOI.org (CSL JSON)","title":"EMEP/EEA air pollutant emission inventory guidebook 2019: technical guidance to prepare national emission inventories.","title-short":"EMEP/EEA air pollutant emission inventory guidebook 2019","URL":"https://data.europa.eu/doi/10.2800/293657","author":[{"literal":"European Environment Agency."}],"accessed":{"date-parts":[["2022",12,1]]},"issued":{"date-parts":[["2019"]]}},"label":"page"},{"id":11442,"uris":["http://zotero.org/users/7789508/items/TGDCYDZL"],"itemData":{"id":11442,"type":"article-journal","abstract":"The largest source of ammonia (NH3) emissions to the atmosphere is NH3 from agriculture, the majority of which arise from livestock manure. The NH3 emitted is a threat to human health through the formation of fine particles, causes eutrophication of natural ecosystems and is a loss of fertilizer nitrogen (N). The Convention on Long-Range Transboundary Air Pollution (CLRTP) and the European Union National Emission Ceilings Directive (NECD) sets limits for national NH3 emissions and require the reporting of annual emission inventories to demonstrate compliance. The EMEP/EEA Air Pollutant Emission Inventory Guidebook provides emission factors (EFs) to support inventory compilation. Here we report the development of revised NH3 EFs for livestock housing, manure storage, field-applied manure and excreta deposited during grazing. Data from 276 studies were used with more than 70% of these data from peer reviewed journals, the remaining being from conference proceedings and scientific reports. For most sources, the new EFs are the weighted means of the emissions reported. The empirical ALFAM model was used to develop EFs for field-applied slurry. The standard deviation of the EFs were substantial, due to the breadth of the categories of livestock and management systems and because of variations in manure management and climate. The data collected will be available at http://www.alfam.dk.","call-number":"2","container-title":"Frontiers in Sustainable Food Systems","DOI":"10.3389/fsufs.2019.00101","ISSN":"2571-581X","source":"5.005 (Q2)","title":"New Emission Factors for Calculation of Ammonia Volatilization From European Livestock Manure Management Systems","URL":"https://www.frontiersin.org/articles/10.3389/fsufs.2019.00101","volume":"3","author":[{"family":"Sommer","given":"Sven G."},{"family":"Webb","given":"J."},{"family":"Hutchings","given":"Nicholas D."}],"accessed":{"date-parts":[["2023",2,8]]},"issued":{"date-parts":[["2019"]]}},"label":"page"}],"schema":"https://github.com/citation-style-language/schema/raw/master/csl-citation.json"} </w:instrText>
            </w:r>
            <w:r>
              <w:rPr>
                <w:rFonts w:ascii="Times New Roman" w:hAnsi="Times New Roman" w:cs="Times New Roman"/>
                <w:color w:val="000000"/>
                <w:kern w:val="0"/>
                <w:sz w:val="24"/>
                <w:szCs w:val="24"/>
              </w:rPr>
              <w:fldChar w:fldCharType="separate"/>
            </w:r>
            <w:r>
              <w:rPr>
                <w:rFonts w:ascii="Times New Roman" w:hAnsi="Times New Roman" w:cs="Times New Roman"/>
                <w:kern w:val="0"/>
                <w:sz w:val="24"/>
                <w:vertAlign w:val="superscript"/>
              </w:rPr>
              <w:t>12,16</w:t>
            </w:r>
            <w:r>
              <w:rPr>
                <w:rFonts w:ascii="Times New Roman" w:hAnsi="Times New Roman" w:cs="Times New Roman"/>
                <w:color w:val="000000"/>
                <w:kern w:val="0"/>
                <w:sz w:val="24"/>
                <w:szCs w:val="24"/>
              </w:rPr>
              <w:fldChar w:fldCharType="end"/>
            </w:r>
          </w:p>
        </w:tc>
      </w:tr>
      <w:tr w14:paraId="52616B1E">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395" w:hRule="atLeast"/>
        </w:trPr>
        <w:tc>
          <w:tcPr>
            <w:tcW w:w="768" w:type="pct"/>
            <w:shd w:val="clear" w:color="auto" w:fill="auto"/>
            <w:noWrap/>
          </w:tcPr>
          <w:p w14:paraId="7E603EF5">
            <w:pPr>
              <w:spacing w:after="0" w:line="240" w:lineRule="auto"/>
              <w:rPr>
                <w:rFonts w:ascii="Times New Roman" w:hAnsi="Times New Roman" w:eastAsia="Times New Roman" w:cs="Times New Roman"/>
                <w:b w:val="0"/>
                <w:bCs w:val="0"/>
                <w:color w:val="000000"/>
                <w:kern w:val="0"/>
                <w:sz w:val="24"/>
                <w:szCs w:val="24"/>
              </w:rPr>
            </w:pPr>
          </w:p>
        </w:tc>
        <w:tc>
          <w:tcPr>
            <w:tcW w:w="767" w:type="pct"/>
            <w:shd w:val="clear" w:color="auto" w:fill="auto"/>
          </w:tcPr>
          <w:p w14:paraId="4D5C3AF5">
            <w:pPr>
              <w:spacing w:after="0" w:line="240" w:lineRule="auto"/>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Synthetic</w:t>
            </w:r>
            <w:r>
              <w:rPr>
                <w:rFonts w:hint="eastAsia" w:ascii="Times New Roman" w:hAnsi="Times New Roman" w:cs="Times New Roman"/>
                <w:color w:val="000000"/>
                <w:kern w:val="0"/>
                <w:sz w:val="24"/>
                <w:szCs w:val="24"/>
              </w:rPr>
              <w:t xml:space="preserve"> </w:t>
            </w:r>
            <w:r>
              <w:rPr>
                <w:rFonts w:ascii="Times New Roman" w:hAnsi="Times New Roman" w:eastAsia="Times New Roman" w:cs="Times New Roman"/>
                <w:color w:val="000000"/>
                <w:kern w:val="0"/>
                <w:sz w:val="24"/>
                <w:szCs w:val="24"/>
              </w:rPr>
              <w:t>fertilizer emission factors</w:t>
            </w:r>
          </w:p>
        </w:tc>
        <w:tc>
          <w:tcPr>
            <w:tcW w:w="1196" w:type="pct"/>
            <w:shd w:val="clear" w:color="auto" w:fill="auto"/>
          </w:tcPr>
          <w:p w14:paraId="664EAFE1">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High-resolution cropland emission factors model</w:t>
            </w:r>
          </w:p>
        </w:tc>
        <w:tc>
          <w:tcPr>
            <w:tcW w:w="1196" w:type="pct"/>
            <w:shd w:val="clear" w:color="auto" w:fill="auto"/>
          </w:tcPr>
          <w:p w14:paraId="73BE33A3">
            <w:pPr>
              <w:spacing w:after="0" w:line="240" w:lineRule="auto"/>
              <w:jc w:val="left"/>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Glob</w:t>
            </w:r>
            <w:r>
              <w:rPr>
                <w:rFonts w:hint="eastAsia" w:ascii="Times New Roman" w:hAnsi="Times New Roman" w:cs="Times New Roman"/>
                <w:color w:val="000000"/>
                <w:kern w:val="0"/>
                <w:sz w:val="24"/>
                <w:szCs w:val="24"/>
              </w:rPr>
              <w:t>al</w:t>
            </w:r>
            <w:r>
              <w:rPr>
                <w:rFonts w:ascii="Times New Roman" w:hAnsi="Times New Roman" w:eastAsia="Times New Roman" w:cs="Times New Roman"/>
                <w:color w:val="000000"/>
                <w:kern w:val="0"/>
                <w:sz w:val="24"/>
                <w:szCs w:val="24"/>
              </w:rPr>
              <w:t>, crop specific</w:t>
            </w:r>
          </w:p>
        </w:tc>
        <w:tc>
          <w:tcPr>
            <w:tcW w:w="683" w:type="pct"/>
            <w:shd w:val="clear" w:color="auto" w:fill="auto"/>
            <w:noWrap/>
          </w:tcPr>
          <w:p w14:paraId="62CFD971">
            <w:pPr>
              <w:spacing w:after="0" w:line="240" w:lineRule="auto"/>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t xml:space="preserve">updated </w:t>
            </w:r>
            <w:r>
              <w:rPr>
                <w:rFonts w:hint="eastAsia" w:ascii="Times New Roman" w:hAnsi="Times New Roman" w:eastAsia="SimSun" w:cs="Times New Roman"/>
                <w:color w:val="000000"/>
                <w:kern w:val="0"/>
                <w:sz w:val="24"/>
                <w:szCs w:val="24"/>
                <w:lang w:val="en-US"/>
              </w:rPr>
              <w:t xml:space="preserve">with data in </w:t>
            </w:r>
            <w:r>
              <w:rPr>
                <w:rFonts w:ascii="Times New Roman" w:hAnsi="Times New Roman" w:eastAsia="Times New Roman" w:cs="Times New Roman"/>
                <w:color w:val="000000"/>
                <w:kern w:val="0"/>
                <w:sz w:val="24"/>
                <w:szCs w:val="24"/>
              </w:rPr>
              <w:t>2017</w:t>
            </w:r>
          </w:p>
        </w:tc>
        <w:tc>
          <w:tcPr>
            <w:tcW w:w="389" w:type="pct"/>
            <w:shd w:val="clear" w:color="auto" w:fill="auto"/>
            <w:vAlign w:val="center"/>
          </w:tcPr>
          <w:p w14:paraId="5AD5AD2D">
            <w:pPr>
              <w:spacing w:after="0" w:line="240" w:lineRule="auto"/>
              <w:jc w:val="center"/>
              <w:rPr>
                <w:rFonts w:ascii="Times New Roman" w:hAnsi="Times New Roman" w:eastAsia="Times New Roman" w:cs="Times New Roman"/>
                <w:color w:val="000000"/>
                <w:kern w:val="0"/>
                <w:sz w:val="24"/>
                <w:szCs w:val="24"/>
              </w:rPr>
            </w:pPr>
            <w:r>
              <w:rPr>
                <w:rFonts w:ascii="Times New Roman" w:hAnsi="Times New Roman" w:eastAsia="Times New Roman" w:cs="Times New Roman"/>
                <w:color w:val="000000"/>
                <w:kern w:val="0"/>
                <w:sz w:val="24"/>
                <w:szCs w:val="24"/>
              </w:rPr>
              <w:fldChar w:fldCharType="begin"/>
            </w:r>
            <w:r>
              <w:rPr>
                <w:rFonts w:ascii="Times New Roman" w:hAnsi="Times New Roman" w:eastAsia="Times New Roman" w:cs="Times New Roman"/>
                <w:color w:val="000000"/>
                <w:kern w:val="0"/>
                <w:sz w:val="24"/>
                <w:szCs w:val="24"/>
              </w:rPr>
              <w:instrText xml:space="preserve"> ADDIN ZOTERO_ITEM CSL_CITATION {"citationID":"FIUPQGHk","properties":{"formattedCitation":"\\super 17\\nosupersub{}","plainCitation":"17","noteIndex":0},"citationItems":[{"id":10583,"uris":["http://zotero.org/users/7789508/items/S5CRPDAE"],"itemData":{"id":10583,"type":"article-journal","archive_location":"26 citation(s)","call-number":"1","container-title":"Environmental Science &amp; Technology","DOI":"10.1021/acs.est.0c05149","ISSN":"0013-936X, 1520-5851","issue":"2","journalAbbreviation":"Environ. Sci. Technol.","language":"en","page":"1329-1338","source":"11.357 (Q1)","title":"Improved Estimates of Ammonia Emissions from Global Croplands","volume":"55","author":[{"family":"Zhan","given":"Xiaoying"},{"family":"Adalibieke","given":"Wulahati"},{"family":"Cui","given":"Xiaoqing"},{"family":"Winiwarter","given":"Wilfried"},{"family":"Reis","given":"Stefan"},{"family":"Zhang","given":"Lin"},{"family":"Bai","given":"Zhaohai"},{"family":"Wang","given":"Qihui"},{"family":"Huang","given":"Weichen"},{"family":"Zhou","given":"Feng"}],"issued":{"date-parts":[["2021",1,19]]}}}],"schema":"https://github.com/citation-style-language/schema/raw/master/csl-citation.json"} </w:instrText>
            </w:r>
            <w:r>
              <w:rPr>
                <w:rFonts w:ascii="Times New Roman" w:hAnsi="Times New Roman" w:eastAsia="Times New Roman" w:cs="Times New Roman"/>
                <w:color w:val="000000"/>
                <w:kern w:val="0"/>
                <w:sz w:val="24"/>
                <w:szCs w:val="24"/>
              </w:rPr>
              <w:fldChar w:fldCharType="separate"/>
            </w:r>
            <w:r>
              <w:rPr>
                <w:rFonts w:ascii="Times New Roman" w:hAnsi="Times New Roman" w:cs="Times New Roman"/>
                <w:kern w:val="0"/>
                <w:sz w:val="24"/>
                <w:vertAlign w:val="superscript"/>
              </w:rPr>
              <w:t>17</w:t>
            </w:r>
            <w:r>
              <w:rPr>
                <w:rFonts w:ascii="Times New Roman" w:hAnsi="Times New Roman" w:eastAsia="Times New Roman" w:cs="Times New Roman"/>
                <w:color w:val="000000"/>
                <w:kern w:val="0"/>
                <w:sz w:val="24"/>
                <w:szCs w:val="24"/>
              </w:rPr>
              <w:fldChar w:fldCharType="end"/>
            </w:r>
          </w:p>
        </w:tc>
      </w:tr>
    </w:tbl>
    <w:p w14:paraId="5D8FA233">
      <w:pPr>
        <w:jc w:val="center"/>
      </w:pPr>
    </w:p>
    <w:p w14:paraId="094BD3A3">
      <w:pPr>
        <w:jc w:val="center"/>
      </w:pPr>
    </w:p>
    <w:p w14:paraId="269DE675">
      <w:pPr>
        <w:jc w:val="center"/>
        <w:rPr>
          <w:rFonts w:ascii="Times New Roman" w:hAnsi="Times New Roman" w:cs="Times New Roman"/>
          <w:lang w:val="en-US"/>
        </w:rPr>
      </w:pPr>
      <w:r>
        <w:drawing>
          <wp:inline distT="0" distB="0" distL="114300" distR="114300">
            <wp:extent cx="5273040" cy="254000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rcRect t="7126" b="13698"/>
                    <a:stretch>
                      <a:fillRect/>
                    </a:stretch>
                  </pic:blipFill>
                  <pic:spPr>
                    <a:xfrm>
                      <a:off x="0" y="0"/>
                      <a:ext cx="5273040" cy="2540000"/>
                    </a:xfrm>
                    <a:prstGeom prst="rect">
                      <a:avLst/>
                    </a:prstGeom>
                    <a:noFill/>
                    <a:ln>
                      <a:noFill/>
                    </a:ln>
                  </pic:spPr>
                </pic:pic>
              </a:graphicData>
            </a:graphic>
          </wp:inline>
        </w:drawing>
      </w:r>
    </w:p>
    <w:p w14:paraId="129ED43F">
      <w:pPr>
        <w:jc w:val="center"/>
        <w:rPr>
          <w:rFonts w:ascii="Times New Roman" w:hAnsi="Times New Roman" w:cs="Times New Roman"/>
          <w:sz w:val="24"/>
          <w:szCs w:val="24"/>
          <w:lang w:val="en-US"/>
        </w:rPr>
      </w:pPr>
      <w:r>
        <w:rPr>
          <w:rFonts w:hint="eastAsia" w:ascii="Times New Roman" w:hAnsi="Times New Roman" w:cs="Times New Roman"/>
          <w:b/>
          <w:bCs/>
          <w:sz w:val="24"/>
          <w:szCs w:val="24"/>
          <w:lang w:val="en-US"/>
        </w:rPr>
        <w:t xml:space="preserve">Fig S1 </w:t>
      </w:r>
      <w:r>
        <w:rPr>
          <w:rFonts w:hint="eastAsia" w:ascii="Times New Roman" w:hAnsi="Times New Roman" w:cs="Times New Roman"/>
          <w:sz w:val="24"/>
          <w:szCs w:val="24"/>
          <w:lang w:val="en-US"/>
        </w:rPr>
        <w:t>Disaggregation levels for cattle and maize</w:t>
      </w:r>
    </w:p>
    <w:p w14:paraId="10FF20E7">
      <w:pPr>
        <w:jc w:val="center"/>
        <w:rPr>
          <w:lang w:val="en-US"/>
        </w:rPr>
      </w:pPr>
    </w:p>
    <w:p w14:paraId="679A1CFF">
      <w:pPr>
        <w:jc w:val="center"/>
        <w:rPr>
          <w:lang w:val="en-US"/>
        </w:rPr>
      </w:pPr>
    </w:p>
    <w:p w14:paraId="7E573A95">
      <w:pPr>
        <w:jc w:val="center"/>
      </w:pPr>
      <w:r>
        <w:drawing>
          <wp:inline distT="0" distB="0" distL="114300" distR="114300">
            <wp:extent cx="5270500" cy="3472815"/>
            <wp:effectExtent l="0" t="0" r="635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70500" cy="3472815"/>
                    </a:xfrm>
                    <a:prstGeom prst="rect">
                      <a:avLst/>
                    </a:prstGeom>
                    <a:noFill/>
                    <a:ln>
                      <a:noFill/>
                    </a:ln>
                  </pic:spPr>
                </pic:pic>
              </a:graphicData>
            </a:graphic>
          </wp:inline>
        </w:drawing>
      </w:r>
    </w:p>
    <w:p w14:paraId="736F5A6A">
      <w:pPr>
        <w:jc w:val="center"/>
        <w:rPr>
          <w:rFonts w:ascii="Times New Roman" w:hAnsi="Times New Roman" w:cs="Times New Roman"/>
          <w:sz w:val="24"/>
          <w:szCs w:val="24"/>
          <w:lang w:val="en-US"/>
        </w:rPr>
      </w:pPr>
      <w:r>
        <w:rPr>
          <w:rFonts w:ascii="Times New Roman" w:hAnsi="Times New Roman" w:cs="Times New Roman"/>
          <w:b/>
          <w:bCs/>
          <w:sz w:val="24"/>
          <w:szCs w:val="24"/>
          <w:lang w:val="en-US"/>
        </w:rPr>
        <w:t>Fig. S</w:t>
      </w:r>
      <w:r>
        <w:rPr>
          <w:rFonts w:hint="eastAsia" w:ascii="Times New Roman" w:hAnsi="Times New Roman" w:cs="Times New Roman"/>
          <w:b/>
          <w:bCs/>
          <w:sz w:val="24"/>
          <w:szCs w:val="24"/>
          <w:lang w:val="en-US"/>
        </w:rPr>
        <w:t>2</w:t>
      </w:r>
      <w:r>
        <w:rPr>
          <w:rFonts w:ascii="Times New Roman" w:hAnsi="Times New Roman" w:cs="Times New Roman"/>
          <w:sz w:val="24"/>
          <w:szCs w:val="24"/>
          <w:lang w:val="en-US"/>
        </w:rPr>
        <w:t xml:space="preserve"> Comparisons of grazing </w:t>
      </w:r>
      <w:r>
        <w:rPr>
          <w:rFonts w:hint="eastAsia" w:ascii="Times New Roman" w:hAnsi="Times New Roman" w:cs="Times New Roman"/>
          <w:sz w:val="24"/>
          <w:szCs w:val="24"/>
          <w:lang w:val="en-US"/>
        </w:rPr>
        <w:t>ratios</w:t>
      </w:r>
      <w:r>
        <w:rPr>
          <w:rFonts w:ascii="Times New Roman" w:hAnsi="Times New Roman" w:cs="Times New Roman"/>
          <w:sz w:val="24"/>
          <w:szCs w:val="24"/>
          <w:lang w:val="en-US"/>
        </w:rPr>
        <w:t xml:space="preserve"> between </w:t>
      </w:r>
      <w:r>
        <w:rPr>
          <w:rFonts w:hint="eastAsia" w:ascii="Times New Roman" w:hAnsi="Times New Roman" w:cs="Times New Roman"/>
          <w:sz w:val="24"/>
          <w:szCs w:val="24"/>
          <w:lang w:val="en-US"/>
        </w:rPr>
        <w:t>GLW/GLP</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{"citationID":"E9aYSfMT","properties":{"formattedCitation":"\\super 4,7\\nosupersub{}","plainCitation":"4,7","noteIndex":0},"citationItems":[{"id":20022,"uris":["http://zotero.org/users/7789508/items/PVJE73TQ"],"itemData":{"id":20022,"type":"dataset","DOI":"https://dataverse.harvard.edu/citation?persistentid=doi:10.7910/dvn/sxhlf3","language":"English","note":"section: 2022-12-05 07:51:42.245","publisher":"Harvard Dataverse","title":"Global livestock distribution in 2015 (5 minutes of arc)","URL":"https://doi.org/10.7910/DVN/SXHLF3","version":"V1","author":[{"family":"Gilbert","given":"Marius"},{"family":"Cinardi","given":"Giuseppina"},{"family":"Da Re","given":"Daniele"},{"family":"Wint","given":"William G. R."},{"family":"Wisser","given":"Dominik"},{"family":"Robinson","given":"Timothy P."}],"issued":{"date-parts":[["2022"]]}},"label":"page"},{"id":9493,"uris":["http://zotero.org/users/7789508/items/NCP7Y5Z4"],"itemData":{"id":9493,"type":"book","call-number":"SF140.S72 G58 2011","event-place":"Rome","ISBN":"978-92-5-107033-8","language":"en","note":"OCLC: ocn792879768","number-of-pages":"152","publisher":"Food and Agriculture Organization of the United Nations","publisher-place":"Rome","source":"Library of Congress ISBN","title":"Global livestock production systems","editor":[{"family":"Robinson","given":"Timothy P."},{"family":"Food and Agriculture Organization of the United Nations","given":""}],"issued":{"date-parts":[["2011"]]}},"label":"page"}],"schema":"https://github.com/citation-style-language/schema/raw/master/csl-citation.json"}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kern w:val="0"/>
          <w:sz w:val="24"/>
          <w:vertAlign w:val="superscript"/>
        </w:rPr>
        <w:t>4,7</w:t>
      </w:r>
      <w:r>
        <w:rPr>
          <w:rFonts w:ascii="Times New Roman" w:hAnsi="Times New Roman" w:cs="Times New Roman"/>
          <w:sz w:val="24"/>
          <w:szCs w:val="24"/>
          <w:lang w:val="en-US"/>
        </w:rPr>
        <w:fldChar w:fldCharType="end"/>
      </w:r>
      <w:r>
        <w:rPr>
          <w:rFonts w:hint="eastAsia" w:ascii="Times New Roman" w:hAnsi="Times New Roman" w:cs="Times New Roman"/>
          <w:sz w:val="24"/>
          <w:szCs w:val="24"/>
          <w:lang w:val="en-US"/>
        </w:rPr>
        <w:t xml:space="preserve"> and NIR</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{"citationID":"i5IVf1Mx","properties":{"formattedCitation":"\\super 8\\nosupersub{}","plainCitation":"8","noteIndex":0},"citationItems":[{"id":20023,"uris":["http://zotero.org/users/7789508/items/Z2D8DIKX"],"itemData":{"id":20023,"type":"report","title":"National Inventory Submissions 2018 of Annex I Parties","URL":"https://unfccc.int/process-and-meetings/transparency-and-reporting/reporting-and-review/reporting-and-review-under-the-convention/greenhouse-gas-inventories-annex-i-parties/submissions/national-inventory-submissions-2018","author":[{"family":"UNFCCC","given":""}],"issued":{"date-parts":[["2018"]]}}}],"schema":"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kern w:val="0"/>
          <w:sz w:val="24"/>
          <w:vertAlign w:val="superscript"/>
        </w:rPr>
        <w:t>8</w:t>
      </w:r>
      <w:r>
        <w:rPr>
          <w:rFonts w:ascii="Times New Roman" w:hAnsi="Times New Roman" w:cs="Times New Roman"/>
          <w:sz w:val="24"/>
          <w:szCs w:val="24"/>
          <w:lang w:val="en-US"/>
        </w:rPr>
        <w:fldChar w:fldCharType="end"/>
      </w:r>
      <w:r>
        <w:rPr>
          <w:rFonts w:hint="eastAsia" w:ascii="Times New Roman" w:hAnsi="Times New Roman" w:cs="Times New Roman"/>
          <w:sz w:val="24"/>
          <w:szCs w:val="24"/>
          <w:lang w:val="en-US"/>
        </w:rPr>
        <w:t xml:space="preserve"> datasets</w:t>
      </w:r>
    </w:p>
    <w:p w14:paraId="11EC911E">
      <w:pPr>
        <w:jc w:val="center"/>
        <w:rPr>
          <w:rFonts w:ascii="Times New Roman" w:hAnsi="Times New Roman" w:cs="Times New Roman"/>
          <w:lang w:val="en-US"/>
        </w:rPr>
      </w:pPr>
    </w:p>
    <w:p w14:paraId="799DEE22">
      <w:pPr>
        <w:jc w:val="center"/>
        <w:rPr>
          <w:rFonts w:ascii="Times New Roman" w:hAnsi="Times New Roman" w:cs="Times New Roman"/>
          <w:lang w:val="en-US"/>
        </w:rPr>
      </w:pPr>
    </w:p>
    <w:p w14:paraId="3B87E212">
      <w:pPr>
        <w:jc w:val="center"/>
        <w:rPr>
          <w:rFonts w:ascii="Times New Roman" w:hAnsi="Times New Roman" w:cs="Times New Roman"/>
          <w:lang w:val="en-US"/>
        </w:rPr>
      </w:pPr>
      <w:r>
        <w:drawing>
          <wp:inline distT="0" distB="0" distL="0" distR="0">
            <wp:extent cx="2967990" cy="1738630"/>
            <wp:effectExtent l="0" t="0" r="3810" b="0"/>
            <wp:docPr id="96611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111508"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035146" cy="1778114"/>
                    </a:xfrm>
                    <a:prstGeom prst="rect">
                      <a:avLst/>
                    </a:prstGeom>
                    <a:noFill/>
                    <a:ln>
                      <a:noFill/>
                    </a:ln>
                  </pic:spPr>
                </pic:pic>
              </a:graphicData>
            </a:graphic>
          </wp:inline>
        </w:drawing>
      </w:r>
    </w:p>
    <w:p w14:paraId="66F8B2E4">
      <w:pPr>
        <w:pStyle w:val="10"/>
        <w:spacing w:before="0" w:beforeAutospacing="0" w:after="240" w:line="480" w:lineRule="auto"/>
        <w:jc w:val="center"/>
        <w:rPr>
          <w:rFonts w:ascii="Times New Roman" w:hAnsi="Times New Roman"/>
          <w:b/>
          <w:bCs/>
          <w:sz w:val="24"/>
          <w:szCs w:val="24"/>
        </w:rPr>
      </w:pPr>
      <w:r>
        <w:rPr>
          <w:rFonts w:hint="eastAsia" w:ascii="Times New Roman" w:hAnsi="Times New Roman"/>
          <w:b/>
          <w:bCs/>
          <w:sz w:val="24"/>
          <w:szCs w:val="24"/>
        </w:rPr>
        <w:t xml:space="preserve">Fig. S3 </w:t>
      </w:r>
      <w:r>
        <w:rPr>
          <w:rFonts w:hint="eastAsia" w:ascii="Times New Roman" w:hAnsi="Times New Roman"/>
          <w:sz w:val="24"/>
          <w:szCs w:val="24"/>
        </w:rPr>
        <w:t>An example of rescaling dilemmas when aligning gridded grazing animals to those in NIR datasets</w:t>
      </w:r>
    </w:p>
    <w:p w14:paraId="6DF3B34F">
      <w:pPr>
        <w:jc w:val="center"/>
        <w:rPr>
          <w:rFonts w:ascii="Times New Roman" w:hAnsi="Times New Roman" w:cs="Times New Roman"/>
          <w:lang w:val="en-US"/>
        </w:rPr>
      </w:pPr>
    </w:p>
    <w:p w14:paraId="74C5FD29">
      <w:pPr>
        <w:jc w:val="center"/>
        <w:rPr>
          <w:rFonts w:ascii="Times New Roman" w:hAnsi="Times New Roman" w:cs="Times New Roman"/>
          <w:sz w:val="24"/>
          <w:szCs w:val="24"/>
          <w:lang w:val="en-US"/>
        </w:rPr>
      </w:pPr>
    </w:p>
    <w:p w14:paraId="3932DFC7">
      <w:pPr>
        <w:jc w:val="center"/>
        <w:rPr>
          <w:rFonts w:ascii="Times New Roman" w:hAnsi="Times New Roman" w:cs="Times New Roman"/>
          <w:sz w:val="24"/>
          <w:szCs w:val="24"/>
          <w:lang w:val="en-US"/>
        </w:rPr>
      </w:pPr>
      <w:r>
        <w:rPr>
          <w:rFonts w:ascii="Times New Roman" w:hAnsi="Times New Roman" w:cs="Times New Roman"/>
          <w:b/>
          <w:bCs/>
          <w:sz w:val="24"/>
          <w:szCs w:val="24"/>
        </w:rPr>
        <w:t>Table S</w:t>
      </w:r>
      <w:r>
        <w:rPr>
          <w:rFonts w:hint="eastAsia" w:ascii="Times New Roman" w:hAnsi="Times New Roman" w:cs="Times New Roman"/>
          <w:b/>
          <w:bCs/>
          <w:sz w:val="24"/>
          <w:szCs w:val="24"/>
          <w:lang w:val="en-US"/>
        </w:rPr>
        <w:t>2</w:t>
      </w:r>
      <w:r>
        <w:rPr>
          <w:rFonts w:ascii="Times New Roman" w:hAnsi="Times New Roman" w:cs="Times New Roman"/>
          <w:sz w:val="24"/>
          <w:szCs w:val="24"/>
        </w:rPr>
        <w:t xml:space="preserve"> </w:t>
      </w:r>
      <w:r>
        <w:rPr>
          <w:rFonts w:hint="eastAsia" w:ascii="Times New Roman" w:hAnsi="Times New Roman" w:cs="Times New Roman"/>
          <w:sz w:val="24"/>
          <w:szCs w:val="24"/>
          <w:lang w:val="en-US"/>
        </w:rPr>
        <w:t xml:space="preserve">Livestock manure system </w:t>
      </w:r>
      <w:r>
        <w:rPr>
          <w:rFonts w:ascii="Times New Roman" w:hAnsi="Times New Roman" w:cs="Times New Roman"/>
          <w:sz w:val="24"/>
          <w:szCs w:val="24"/>
          <w:lang w:val="en-US"/>
        </w:rPr>
        <w:t>categorization</w:t>
      </w:r>
      <w:r>
        <w:rPr>
          <w:rFonts w:hint="eastAsia" w:ascii="Times New Roman" w:hAnsi="Times New Roman" w:cs="Times New Roman"/>
          <w:sz w:val="24"/>
          <w:szCs w:val="24"/>
          <w:lang w:val="en-US"/>
        </w:rPr>
        <w:t xml:space="preserve"> (adapted from Uwizeye et al.</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{"citationID":"gh91YtEN","properties":{"formattedCitation":"\\super 18\\nosupersub{}","plainCitation":"18","noteIndex":0},"citationItems":[{"id":2759,"uris":["http://zotero.org/users/7789508/items/BRWQAQCJ"],"itemData":{"id":2759,"type":"article-journal","container-title":"Nature Food","DOI":"10.1038/s43016-020-0113-y","ISSN":"2662-1355","issue":"7","journalAbbreviation":"Nat Food","language":"en","page":"437-446","source":"DOI.org (Crossref)","title":"Nitrogen emissions along global livestock supply chains","volume":"1","author":[{"family":"Uwizeye","given":"Aimable"},{"family":"Boer","given":"Imke J. M.","non-dropping-particle":"de"},{"family":"Opio","given":"Carolyn I."},{"family":"Schulte","given":"Rogier P. O."},{"family":"Falcucci","given":"Alessandra"},{"family":"Tempio","given":"Giuseppe"},{"family":"Teillard","given":"Félix"},{"family":"Casu","given":"Flavia"},{"family":"Rulli","given":"Monica"},{"family":"Galloway","given":"James N."},{"family":"Leip","given":"Adrian"},{"family":"Erisman","given":"Jan Willem"},{"family":"Robinson","given":"Timothy P."},{"family":"Steinfeld","given":"Henning"},{"family":"Gerber","given":"Pierre J."}],"issued":{"date-parts":[["2020",7]]}}}],"schema":"https://github.com/citation-style-language/schema/raw/master/csl-citation.json"}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kern w:val="0"/>
          <w:sz w:val="24"/>
          <w:vertAlign w:val="superscript"/>
        </w:rPr>
        <w:t>18</w:t>
      </w:r>
      <w:r>
        <w:rPr>
          <w:rFonts w:ascii="Times New Roman" w:hAnsi="Times New Roman" w:cs="Times New Roman"/>
          <w:sz w:val="24"/>
          <w:szCs w:val="24"/>
          <w:lang w:val="en-US"/>
        </w:rPr>
        <w:fldChar w:fldCharType="end"/>
      </w:r>
      <w:r>
        <w:rPr>
          <w:rFonts w:hint="eastAsia" w:ascii="Times New Roman" w:hAnsi="Times New Roman" w:cs="Times New Roman"/>
          <w:sz w:val="24"/>
          <w:szCs w:val="24"/>
          <w:lang w:val="en-US"/>
        </w:rPr>
        <w:t>)</w:t>
      </w:r>
    </w:p>
    <w:tbl>
      <w:tblPr>
        <w:tblStyle w:val="12"/>
        <w:tblW w:w="8320" w:type="dxa"/>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autofit"/>
        <w:tblCellMar>
          <w:top w:w="0" w:type="dxa"/>
          <w:left w:w="108" w:type="dxa"/>
          <w:bottom w:w="0" w:type="dxa"/>
          <w:right w:w="108" w:type="dxa"/>
        </w:tblCellMar>
      </w:tblPr>
      <w:tblGrid>
        <w:gridCol w:w="3920"/>
        <w:gridCol w:w="4400"/>
      </w:tblGrid>
      <w:tr w14:paraId="3D60DE55">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552" w:hRule="atLeast"/>
          <w:tblHeader/>
        </w:trPr>
        <w:tc>
          <w:tcPr>
            <w:tcW w:w="3920" w:type="dxa"/>
            <w:tcBorders>
              <w:top w:val="single" w:color="000000" w:themeColor="text1" w:sz="4" w:space="0"/>
              <w:left w:val="single" w:color="000000" w:themeColor="text1" w:sz="4" w:space="0"/>
              <w:bottom w:val="single" w:color="000000" w:themeColor="text1" w:sz="4" w:space="0"/>
              <w:right w:val="nil"/>
              <w:insideH w:val="single" w:sz="4" w:space="0"/>
              <w:insideV w:val="nil"/>
            </w:tcBorders>
            <w:shd w:val="clear" w:color="auto" w:fill="F4B083" w:themeFill="accent2" w:themeFillTint="99"/>
          </w:tcPr>
          <w:p w14:paraId="6FBF955B">
            <w:pPr>
              <w:widowControl/>
              <w:jc w:val="center"/>
              <w:textAlignment w:val="center"/>
              <w:rPr>
                <w:rFonts w:ascii="Times New Roman" w:hAnsi="Times New Roman" w:cs="Times New Roman"/>
                <w:b/>
                <w:bCs/>
                <w:color w:val="000000"/>
                <w:sz w:val="24"/>
                <w:szCs w:val="24"/>
              </w:rPr>
            </w:pPr>
            <w:r>
              <w:rPr>
                <w:rFonts w:ascii="Times New Roman" w:hAnsi="Times New Roman" w:eastAsia="SimSun" w:cs="Times New Roman"/>
                <w:b/>
                <w:bCs/>
                <w:color w:val="000000"/>
                <w:kern w:val="0"/>
                <w:sz w:val="24"/>
                <w:szCs w:val="24"/>
                <w:lang w:val="en-US" w:bidi="ar"/>
              </w:rPr>
              <w:t>Manure management systems of non-grazing animals in NIR reports</w:t>
            </w:r>
          </w:p>
        </w:tc>
        <w:tc>
          <w:tcPr>
            <w:tcW w:w="4400" w:type="dxa"/>
            <w:tcBorders>
              <w:top w:val="single" w:color="000000" w:themeColor="text1" w:sz="4" w:space="0"/>
              <w:bottom w:val="single" w:color="000000" w:themeColor="text1" w:sz="4" w:space="0"/>
              <w:right w:val="single" w:color="000000" w:themeColor="text1" w:sz="4" w:space="0"/>
              <w:insideH w:val="single" w:sz="4" w:space="0"/>
              <w:insideV w:val="nil"/>
            </w:tcBorders>
            <w:shd w:val="clear" w:color="auto" w:fill="F4B083" w:themeFill="accent2" w:themeFillTint="99"/>
            <w:noWrap/>
          </w:tcPr>
          <w:p w14:paraId="23D1A983">
            <w:pPr>
              <w:widowControl/>
              <w:jc w:val="center"/>
              <w:textAlignment w:val="center"/>
              <w:rPr>
                <w:rFonts w:ascii="Times New Roman" w:hAnsi="Times New Roman" w:cs="Times New Roman"/>
                <w:b/>
                <w:bCs/>
                <w:color w:val="000000"/>
                <w:sz w:val="24"/>
                <w:szCs w:val="24"/>
              </w:rPr>
            </w:pPr>
            <w:r>
              <w:rPr>
                <w:rFonts w:ascii="Times New Roman" w:hAnsi="Times New Roman" w:eastAsia="SimSun" w:cs="Times New Roman"/>
                <w:b/>
                <w:bCs/>
                <w:color w:val="000000"/>
                <w:kern w:val="0"/>
                <w:sz w:val="24"/>
                <w:szCs w:val="24"/>
                <w:lang w:val="en-US" w:bidi="ar"/>
              </w:rPr>
              <w:t>Manure system categories in our study</w:t>
            </w:r>
          </w:p>
        </w:tc>
      </w:tr>
      <w:tr w14:paraId="7EB8C811">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483E3141">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Aerobic Treatment</w:t>
            </w:r>
          </w:p>
        </w:tc>
        <w:tc>
          <w:tcPr>
            <w:tcW w:w="0" w:type="auto"/>
            <w:shd w:val="clear" w:color="auto" w:fill="auto"/>
            <w:noWrap/>
          </w:tcPr>
          <w:p w14:paraId="14F4644E">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w:t>
            </w:r>
          </w:p>
        </w:tc>
      </w:tr>
      <w:tr w14:paraId="2B862E89">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11E03C2C">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Anaerobic digestion</w:t>
            </w:r>
          </w:p>
        </w:tc>
        <w:tc>
          <w:tcPr>
            <w:tcW w:w="0" w:type="auto"/>
            <w:shd w:val="clear" w:color="auto" w:fill="auto"/>
            <w:noWrap/>
          </w:tcPr>
          <w:p w14:paraId="62713189">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w:t>
            </w:r>
          </w:p>
        </w:tc>
      </w:tr>
      <w:tr w14:paraId="3B7DB472">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55B40879">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Anaerobic lagoon</w:t>
            </w:r>
          </w:p>
        </w:tc>
        <w:tc>
          <w:tcPr>
            <w:tcW w:w="0" w:type="auto"/>
            <w:shd w:val="clear" w:color="auto" w:fill="auto"/>
            <w:noWrap/>
          </w:tcPr>
          <w:p w14:paraId="76B5E777">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w:t>
            </w:r>
          </w:p>
        </w:tc>
      </w:tr>
      <w:tr w14:paraId="6C09FF37">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608048C3">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Composting</w:t>
            </w:r>
          </w:p>
        </w:tc>
        <w:tc>
          <w:tcPr>
            <w:tcW w:w="0" w:type="auto"/>
            <w:shd w:val="clear" w:color="auto" w:fill="auto"/>
            <w:noWrap/>
          </w:tcPr>
          <w:p w14:paraId="34744864">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708E2D47">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5690C77B">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Deep litter</w:t>
            </w:r>
          </w:p>
        </w:tc>
        <w:tc>
          <w:tcPr>
            <w:tcW w:w="0" w:type="auto"/>
            <w:shd w:val="clear" w:color="auto" w:fill="auto"/>
            <w:noWrap/>
          </w:tcPr>
          <w:p w14:paraId="0B41A61C">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62CC2C7A">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196BE3F9">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Digester</w:t>
            </w:r>
          </w:p>
        </w:tc>
        <w:tc>
          <w:tcPr>
            <w:tcW w:w="0" w:type="auto"/>
            <w:shd w:val="clear" w:color="auto" w:fill="auto"/>
            <w:noWrap/>
          </w:tcPr>
          <w:p w14:paraId="5B157F94">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w:t>
            </w:r>
          </w:p>
        </w:tc>
      </w:tr>
      <w:tr w14:paraId="79A7FDB2">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288" w:hRule="atLeast"/>
        </w:trPr>
        <w:tc>
          <w:tcPr>
            <w:tcW w:w="0" w:type="auto"/>
            <w:shd w:val="clear" w:color="auto" w:fill="auto"/>
            <w:noWrap/>
          </w:tcPr>
          <w:p w14:paraId="4DD32ABF">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Dry lot</w:t>
            </w:r>
          </w:p>
        </w:tc>
        <w:tc>
          <w:tcPr>
            <w:tcW w:w="0" w:type="auto"/>
            <w:shd w:val="clear" w:color="auto" w:fill="auto"/>
            <w:noWrap/>
          </w:tcPr>
          <w:p w14:paraId="391BC6D7">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5FEEE53E">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3CBC7C77">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Liquid with crust</w:t>
            </w:r>
          </w:p>
        </w:tc>
        <w:tc>
          <w:tcPr>
            <w:tcW w:w="0" w:type="auto"/>
            <w:shd w:val="clear" w:color="auto" w:fill="auto"/>
            <w:noWrap/>
          </w:tcPr>
          <w:p w14:paraId="25FFC32A">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717B223E">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288" w:hRule="atLeast"/>
        </w:trPr>
        <w:tc>
          <w:tcPr>
            <w:tcW w:w="0" w:type="auto"/>
            <w:shd w:val="clear" w:color="auto" w:fill="auto"/>
            <w:noWrap/>
          </w:tcPr>
          <w:p w14:paraId="6ADD6432">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Liquid/Slurry</w:t>
            </w:r>
          </w:p>
        </w:tc>
        <w:tc>
          <w:tcPr>
            <w:tcW w:w="0" w:type="auto"/>
            <w:shd w:val="clear" w:color="auto" w:fill="auto"/>
            <w:noWrap/>
          </w:tcPr>
          <w:p w14:paraId="4A59C8DA">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w:t>
            </w:r>
          </w:p>
        </w:tc>
      </w:tr>
      <w:tr w14:paraId="7847C751">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1200" w:hRule="atLeast"/>
        </w:trPr>
        <w:tc>
          <w:tcPr>
            <w:tcW w:w="0" w:type="auto"/>
            <w:shd w:val="clear" w:color="auto" w:fill="auto"/>
            <w:noWrap/>
          </w:tcPr>
          <w:p w14:paraId="1BDD9691">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Manure with litter (poultry)</w:t>
            </w:r>
          </w:p>
        </w:tc>
        <w:tc>
          <w:tcPr>
            <w:tcW w:w="0" w:type="auto"/>
            <w:shd w:val="clear" w:color="auto" w:fill="auto"/>
            <w:noWrap/>
          </w:tcPr>
          <w:p w14:paraId="1EE5FDD6">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38B73691">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288" w:hRule="atLeast"/>
        </w:trPr>
        <w:tc>
          <w:tcPr>
            <w:tcW w:w="0" w:type="auto"/>
            <w:shd w:val="clear" w:color="auto" w:fill="auto"/>
            <w:noWrap/>
          </w:tcPr>
          <w:p w14:paraId="74B660B0">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Manure without litter (poultry)</w:t>
            </w:r>
          </w:p>
        </w:tc>
        <w:tc>
          <w:tcPr>
            <w:tcW w:w="0" w:type="auto"/>
            <w:shd w:val="clear" w:color="auto" w:fill="auto"/>
            <w:noWrap/>
          </w:tcPr>
          <w:p w14:paraId="13A8404B">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658D2707">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288" w:hRule="atLeast"/>
        </w:trPr>
        <w:tc>
          <w:tcPr>
            <w:tcW w:w="0" w:type="auto"/>
            <w:shd w:val="clear" w:color="auto" w:fill="auto"/>
            <w:noWrap/>
          </w:tcPr>
          <w:p w14:paraId="67B530CA">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Solid</w:t>
            </w:r>
          </w:p>
        </w:tc>
        <w:tc>
          <w:tcPr>
            <w:tcW w:w="0" w:type="auto"/>
            <w:shd w:val="clear" w:color="auto" w:fill="auto"/>
            <w:noWrap/>
          </w:tcPr>
          <w:p w14:paraId="2D1DA69A">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49BCA65C">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288" w:hRule="atLeast"/>
        </w:trPr>
        <w:tc>
          <w:tcPr>
            <w:tcW w:w="0" w:type="auto"/>
            <w:shd w:val="clear" w:color="auto" w:fill="auto"/>
            <w:noWrap/>
          </w:tcPr>
          <w:p w14:paraId="731F2383">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Solid storage</w:t>
            </w:r>
          </w:p>
        </w:tc>
        <w:tc>
          <w:tcPr>
            <w:tcW w:w="0" w:type="auto"/>
            <w:shd w:val="clear" w:color="auto" w:fill="auto"/>
            <w:noWrap/>
          </w:tcPr>
          <w:p w14:paraId="0CA24EFB">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Solid</w:t>
            </w:r>
          </w:p>
        </w:tc>
      </w:tr>
      <w:tr w14:paraId="652A4417">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1296" w:hRule="atLeast"/>
        </w:trPr>
        <w:tc>
          <w:tcPr>
            <w:tcW w:w="0" w:type="auto"/>
            <w:shd w:val="clear" w:color="auto" w:fill="auto"/>
            <w:noWrap/>
          </w:tcPr>
          <w:p w14:paraId="6546F395">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Confinement</w:t>
            </w:r>
          </w:p>
        </w:tc>
        <w:tc>
          <w:tcPr>
            <w:tcW w:w="4400" w:type="dxa"/>
            <w:shd w:val="clear" w:color="auto" w:fill="auto"/>
          </w:tcPr>
          <w:p w14:paraId="6DFB8500">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 for dairy and other cattle in feedlot systems; Solid for dairy and cattle excluding those in feedlot systems, sheep, goats, swine and poultry</w:t>
            </w:r>
          </w:p>
        </w:tc>
      </w:tr>
      <w:tr w14:paraId="7C229E21">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1296" w:hRule="atLeast"/>
        </w:trPr>
        <w:tc>
          <w:tcPr>
            <w:tcW w:w="0" w:type="auto"/>
            <w:shd w:val="clear" w:color="auto" w:fill="auto"/>
            <w:noWrap/>
          </w:tcPr>
          <w:p w14:paraId="21830032">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Daily spread</w:t>
            </w:r>
          </w:p>
        </w:tc>
        <w:tc>
          <w:tcPr>
            <w:tcW w:w="4400" w:type="dxa"/>
            <w:shd w:val="clear" w:color="auto" w:fill="auto"/>
          </w:tcPr>
          <w:p w14:paraId="39AB4FD6">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 for dairy cattle in mixed systems and swine; solid for dairy cattle excluding those in mixed systems,</w:t>
            </w:r>
            <w:r>
              <w:rPr>
                <w:rFonts w:hint="eastAsia" w:ascii="Times New Roman" w:hAnsi="Times New Roman" w:eastAsia="SimSun" w:cs="Times New Roman"/>
                <w:color w:val="000000"/>
                <w:kern w:val="0"/>
                <w:sz w:val="24"/>
                <w:szCs w:val="24"/>
                <w:lang w:val="en-US" w:bidi="ar"/>
              </w:rPr>
              <w:t xml:space="preserve"> </w:t>
            </w:r>
            <w:r>
              <w:rPr>
                <w:rFonts w:ascii="Times New Roman" w:hAnsi="Times New Roman" w:eastAsia="SimSun" w:cs="Times New Roman"/>
                <w:color w:val="000000"/>
                <w:kern w:val="0"/>
                <w:sz w:val="24"/>
                <w:szCs w:val="24"/>
                <w:lang w:val="en-US" w:bidi="ar"/>
              </w:rPr>
              <w:t>other cattle, sheep, goats and poultry</w:t>
            </w:r>
          </w:p>
        </w:tc>
      </w:tr>
      <w:tr w14:paraId="6BC3DB4B">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Ex>
        <w:trPr>
          <w:trHeight w:val="1296" w:hRule="atLeast"/>
        </w:trPr>
        <w:tc>
          <w:tcPr>
            <w:tcW w:w="0" w:type="auto"/>
            <w:shd w:val="clear" w:color="auto" w:fill="auto"/>
            <w:noWrap/>
          </w:tcPr>
          <w:p w14:paraId="57194C93">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Pit</w:t>
            </w:r>
          </w:p>
        </w:tc>
        <w:tc>
          <w:tcPr>
            <w:tcW w:w="4400" w:type="dxa"/>
            <w:shd w:val="clear" w:color="auto" w:fill="auto"/>
          </w:tcPr>
          <w:p w14:paraId="009B9586">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Liquid for dairy cattle, other cattle, sheep, goats, swine, poultry excluding those intensive systems; solid for poultry in intensive systems</w:t>
            </w:r>
          </w:p>
        </w:tc>
      </w:tr>
    </w:tbl>
    <w:p w14:paraId="53C0AD21">
      <w:pPr>
        <w:jc w:val="center"/>
        <w:rPr>
          <w:rFonts w:ascii="Times New Roman" w:hAnsi="Times New Roman" w:cs="Times New Roman"/>
          <w:lang w:val="en-US"/>
        </w:rPr>
      </w:pPr>
    </w:p>
    <w:p w14:paraId="22FAF0AB">
      <w:pPr>
        <w:jc w:val="center"/>
        <w:rPr>
          <w:rFonts w:ascii="Times New Roman" w:hAnsi="Times New Roman" w:cs="Times New Roman"/>
          <w:lang w:val="en-US"/>
        </w:rPr>
      </w:pPr>
    </w:p>
    <w:p w14:paraId="21BEAB20">
      <w:pPr>
        <w:jc w:val="center"/>
        <w:rPr>
          <w:rFonts w:ascii="Times New Roman" w:hAnsi="Times New Roman" w:cs="Times New Roman"/>
          <w:lang w:val="en-US"/>
        </w:rPr>
      </w:pPr>
      <w:r>
        <w:rPr>
          <w:rFonts w:hint="eastAsia" w:ascii="Times New Roman" w:hAnsi="Times New Roman" w:cs="Times New Roman"/>
          <w:lang w:val="en-US"/>
        </w:rPr>
        <w:t xml:space="preserve">         </w:t>
      </w:r>
      <w:r>
        <w:rPr>
          <w:rFonts w:hint="eastAsia" w:ascii="Times New Roman" w:hAnsi="Times New Roman" w:cs="Times New Roman"/>
          <w:lang w:val="en-US"/>
        </w:rPr>
        <w:drawing>
          <wp:inline distT="0" distB="0" distL="114300" distR="114300">
            <wp:extent cx="3580765" cy="4300855"/>
            <wp:effectExtent l="0" t="0" r="635" b="4445"/>
            <wp:docPr id="6" name="图片 6" descr="Decision_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ecision_tree"/>
                    <pic:cNvPicPr>
                      <a:picLocks noChangeAspect="1"/>
                    </pic:cNvPicPr>
                  </pic:nvPicPr>
                  <pic:blipFill>
                    <a:blip r:embed="rId9"/>
                    <a:srcRect r="56468"/>
                    <a:stretch>
                      <a:fillRect/>
                    </a:stretch>
                  </pic:blipFill>
                  <pic:spPr>
                    <a:xfrm>
                      <a:off x="0" y="0"/>
                      <a:ext cx="3589468" cy="4311164"/>
                    </a:xfrm>
                    <a:prstGeom prst="rect">
                      <a:avLst/>
                    </a:prstGeom>
                  </pic:spPr>
                </pic:pic>
              </a:graphicData>
            </a:graphic>
          </wp:inline>
        </w:drawing>
      </w:r>
    </w:p>
    <w:p w14:paraId="2AB79FD3">
      <w:pPr>
        <w:pStyle w:val="10"/>
        <w:spacing w:before="0" w:beforeAutospacing="0" w:after="240" w:line="480" w:lineRule="auto"/>
        <w:jc w:val="center"/>
        <w:rPr>
          <w:rFonts w:ascii="Times New Roman" w:hAnsi="Times New Roman"/>
          <w:sz w:val="24"/>
          <w:szCs w:val="24"/>
        </w:rPr>
      </w:pPr>
      <w:r>
        <w:rPr>
          <w:rFonts w:hint="eastAsia" w:ascii="Times New Roman" w:hAnsi="Times New Roman"/>
          <w:b/>
          <w:bCs/>
          <w:sz w:val="24"/>
          <w:szCs w:val="24"/>
        </w:rPr>
        <w:t xml:space="preserve">Fig. S4 </w:t>
      </w:r>
      <w:r>
        <w:rPr>
          <w:rFonts w:hint="eastAsia" w:ascii="Times New Roman" w:hAnsi="Times New Roman"/>
          <w:sz w:val="24"/>
          <w:szCs w:val="24"/>
        </w:rPr>
        <w:t xml:space="preserve">Decision making tree </w:t>
      </w:r>
      <w:r>
        <w:rPr>
          <w:rFonts w:ascii="Times New Roman" w:hAnsi="Times New Roman"/>
          <w:sz w:val="24"/>
          <w:szCs w:val="24"/>
        </w:rPr>
        <w:t>determin</w:t>
      </w:r>
      <w:r>
        <w:rPr>
          <w:rFonts w:hint="eastAsia" w:ascii="Times New Roman" w:hAnsi="Times New Roman"/>
          <w:sz w:val="24"/>
          <w:szCs w:val="24"/>
        </w:rPr>
        <w:t>ing</w:t>
      </w:r>
      <w:r>
        <w:rPr>
          <w:rFonts w:ascii="Times New Roman" w:hAnsi="Times New Roman"/>
          <w:sz w:val="24"/>
          <w:szCs w:val="24"/>
        </w:rPr>
        <w:t xml:space="preserve"> </w:t>
      </w:r>
      <w:r>
        <w:rPr>
          <w:rFonts w:hint="eastAsia" w:ascii="Times New Roman" w:hAnsi="Times New Roman"/>
          <w:sz w:val="24"/>
          <w:szCs w:val="24"/>
        </w:rPr>
        <w:t>solid manure</w:t>
      </w:r>
      <w:r>
        <w:rPr>
          <w:rFonts w:ascii="Times New Roman" w:hAnsi="Times New Roman"/>
          <w:sz w:val="24"/>
          <w:szCs w:val="24"/>
        </w:rPr>
        <w:t xml:space="preserve"> system fractions</w:t>
      </w:r>
      <w:r>
        <w:rPr>
          <w:rFonts w:hint="eastAsia" w:ascii="Times New Roman" w:hAnsi="Times New Roman"/>
          <w:sz w:val="24"/>
          <w:szCs w:val="24"/>
        </w:rPr>
        <w:t xml:space="preserve"> at the grid level</w:t>
      </w:r>
    </w:p>
    <w:p w14:paraId="617B3A24">
      <w:pPr>
        <w:jc w:val="center"/>
        <w:rPr>
          <w:rFonts w:ascii="Times New Roman" w:hAnsi="Times New Roman" w:cs="Times New Roman"/>
          <w:lang w:val="en-US"/>
        </w:rPr>
      </w:pPr>
    </w:p>
    <w:p w14:paraId="4F7264C6">
      <w:pPr>
        <w:jc w:val="center"/>
        <w:rPr>
          <w:b/>
          <w:bCs/>
        </w:rPr>
      </w:pPr>
      <w:r>
        <w:drawing>
          <wp:inline distT="0" distB="0" distL="114300" distR="114300">
            <wp:extent cx="3064510" cy="2964815"/>
            <wp:effectExtent l="0" t="0" r="2540" b="698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a:srcRect t="3999" b="4278"/>
                    <a:stretch>
                      <a:fillRect/>
                    </a:stretch>
                  </pic:blipFill>
                  <pic:spPr>
                    <a:xfrm>
                      <a:off x="0" y="0"/>
                      <a:ext cx="3070142" cy="2970486"/>
                    </a:xfrm>
                    <a:prstGeom prst="rect">
                      <a:avLst/>
                    </a:prstGeom>
                    <a:noFill/>
                    <a:ln>
                      <a:noFill/>
                    </a:ln>
                  </pic:spPr>
                </pic:pic>
              </a:graphicData>
            </a:graphic>
          </wp:inline>
        </w:drawing>
      </w:r>
    </w:p>
    <w:p w14:paraId="7290D6C5">
      <w:pPr>
        <w:jc w:val="center"/>
        <w:rPr>
          <w:rFonts w:ascii="Times New Roman" w:hAnsi="Times New Roman" w:cs="Times New Roman"/>
          <w:sz w:val="24"/>
          <w:szCs w:val="24"/>
          <w:lang w:val="en-US"/>
        </w:rPr>
      </w:pPr>
      <w:r>
        <w:rPr>
          <w:rFonts w:ascii="Times New Roman" w:hAnsi="Times New Roman" w:cs="Times New Roman"/>
          <w:b/>
          <w:bCs/>
          <w:sz w:val="24"/>
          <w:szCs w:val="24"/>
          <w:lang w:val="en-US"/>
        </w:rPr>
        <w:t>Fig. S</w:t>
      </w:r>
      <w:r>
        <w:rPr>
          <w:rFonts w:hint="eastAsia" w:ascii="Times New Roman" w:hAnsi="Times New Roman" w:cs="Times New Roman"/>
          <w:b/>
          <w:bCs/>
          <w:sz w:val="24"/>
          <w:szCs w:val="24"/>
          <w:lang w:val="en-US"/>
        </w:rPr>
        <w:t>5</w:t>
      </w:r>
      <w:r>
        <w:rPr>
          <w:rFonts w:ascii="Times New Roman" w:hAnsi="Times New Roman" w:cs="Times New Roman"/>
          <w:b/>
          <w:bCs/>
          <w:sz w:val="24"/>
          <w:szCs w:val="24"/>
          <w:lang w:val="en-US"/>
        </w:rPr>
        <w:t xml:space="preserve"> </w:t>
      </w:r>
      <w:r>
        <w:rPr>
          <w:rFonts w:hint="eastAsia" w:ascii="Times New Roman" w:hAnsi="Times New Roman" w:cs="Times New Roman"/>
          <w:sz w:val="24"/>
          <w:szCs w:val="24"/>
          <w:lang w:val="en-US"/>
        </w:rPr>
        <w:t>Cumulative proportion of specific crop areas (data source: Eustat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{"citationID":"XFxpnwJR","properties":{"formattedCitation":"\\super 19\\nosupersub{}","plainCitation":"19","noteIndex":0},"citationItems":[{"id":20032,"uris":["http://zotero.org/users/7789508/items/LDQGWK7P"],"itemData":{"id":20032,"type":"dataset","title":"Eurostat","URL":"https://ec.europa.eu/eurostat","author":[{"family":"European Union","given":""}],"issued":{"date-parts":[["2024"]]}}}],"schema":"https://github.com/citation-style-language/schema/raw/master/csl-citation.json"}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kern w:val="0"/>
          <w:sz w:val="24"/>
          <w:vertAlign w:val="superscript"/>
        </w:rPr>
        <w:t>19</w:t>
      </w:r>
      <w:r>
        <w:rPr>
          <w:rFonts w:ascii="Times New Roman" w:hAnsi="Times New Roman" w:cs="Times New Roman"/>
          <w:sz w:val="24"/>
          <w:szCs w:val="24"/>
          <w:lang w:val="en-US"/>
        </w:rPr>
        <w:fldChar w:fldCharType="end"/>
      </w:r>
      <w:r>
        <w:rPr>
          <w:rFonts w:hint="eastAsia" w:ascii="Times New Roman" w:hAnsi="Times New Roman" w:cs="Times New Roman"/>
          <w:sz w:val="24"/>
          <w:szCs w:val="24"/>
          <w:lang w:val="en-US"/>
        </w:rPr>
        <w:t xml:space="preserve">) </w:t>
      </w:r>
    </w:p>
    <w:p w14:paraId="2370536E">
      <w:pPr>
        <w:rPr>
          <w:rFonts w:ascii="Times New Roman" w:hAnsi="Times New Roman" w:cs="Times New Roman"/>
          <w:lang w:val="en-US"/>
        </w:rPr>
      </w:pPr>
    </w:p>
    <w:p w14:paraId="273D7B3A">
      <w:pPr>
        <w:jc w:val="center"/>
        <w:rPr>
          <w:rFonts w:ascii="Times New Roman" w:hAnsi="Times New Roman" w:cs="Times New Roman"/>
          <w:sz w:val="24"/>
          <w:szCs w:val="24"/>
          <w:lang w:val="en-US"/>
        </w:rPr>
      </w:pPr>
      <w:r>
        <w:rPr>
          <w:rFonts w:ascii="Times New Roman" w:hAnsi="Times New Roman" w:cs="Times New Roman"/>
          <w:b/>
          <w:bCs/>
          <w:sz w:val="24"/>
          <w:szCs w:val="24"/>
        </w:rPr>
        <w:t xml:space="preserve">Table </w:t>
      </w:r>
      <w:r>
        <w:rPr>
          <w:rFonts w:hint="eastAsia" w:ascii="Times New Roman" w:hAnsi="Times New Roman" w:cs="Times New Roman"/>
          <w:b/>
          <w:bCs/>
          <w:sz w:val="24"/>
          <w:szCs w:val="24"/>
          <w:lang w:val="en-US"/>
        </w:rPr>
        <w:t>S3</w:t>
      </w:r>
      <w:r>
        <w:rPr>
          <w:rFonts w:ascii="Times New Roman" w:hAnsi="Times New Roman" w:cs="Times New Roman"/>
          <w:b/>
          <w:bCs/>
          <w:sz w:val="24"/>
          <w:szCs w:val="24"/>
        </w:rPr>
        <w:t>.</w:t>
      </w:r>
      <w:r>
        <w:rPr>
          <w:rFonts w:ascii="Times New Roman" w:hAnsi="Times New Roman" w:cs="Times New Roman"/>
          <w:sz w:val="24"/>
          <w:szCs w:val="24"/>
        </w:rPr>
        <w:t xml:space="preserve"> Feed types and map</w:t>
      </w:r>
      <w:r>
        <w:rPr>
          <w:rFonts w:hint="eastAsia" w:ascii="Times New Roman" w:hAnsi="Times New Roman" w:cs="Times New Roman"/>
          <w:sz w:val="24"/>
          <w:szCs w:val="24"/>
          <w:lang w:val="en-US"/>
        </w:rPr>
        <w:t>ping</w:t>
      </w:r>
      <w:r>
        <w:rPr>
          <w:rFonts w:ascii="Times New Roman" w:hAnsi="Times New Roman" w:cs="Times New Roman"/>
          <w:sz w:val="24"/>
          <w:szCs w:val="24"/>
        </w:rPr>
        <w:t xml:space="preserve"> schemes</w:t>
      </w:r>
      <w:r>
        <w:rPr>
          <w:rFonts w:hint="eastAsia" w:ascii="Times New Roman" w:hAnsi="Times New Roman" w:cs="Times New Roman"/>
          <w:sz w:val="24"/>
          <w:szCs w:val="24"/>
          <w:lang w:val="en-US"/>
        </w:rPr>
        <w:t xml:space="preserve"> among datasets</w:t>
      </w:r>
    </w:p>
    <w:tbl>
      <w:tblPr>
        <w:tblStyle w:val="13"/>
        <w:tblW w:w="823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25"/>
        <w:gridCol w:w="2693"/>
        <w:gridCol w:w="3119"/>
      </w:tblGrid>
      <w:tr w14:paraId="13AC02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trPr>
        <w:tc>
          <w:tcPr>
            <w:tcW w:w="2425" w:type="dxa"/>
            <w:tcBorders>
              <w:top w:val="nil"/>
              <w:left w:val="nil"/>
              <w:right w:val="nil"/>
              <w:insideV w:val="nil"/>
            </w:tcBorders>
            <w:shd w:val="clear" w:color="auto" w:fill="F4B083" w:themeFill="accent2" w:themeFillTint="99"/>
            <w:vAlign w:val="center"/>
          </w:tcPr>
          <w:p w14:paraId="7CAD38DB">
            <w:pPr>
              <w:jc w:val="center"/>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Feed type</w:t>
            </w:r>
            <w:r>
              <w:rPr>
                <w:rFonts w:hint="eastAsia" w:ascii="Times New Roman" w:hAnsi="Times New Roman" w:cs="Times New Roman"/>
                <w:b/>
                <w:bCs/>
                <w:color w:val="000000" w:themeColor="text1"/>
                <w:sz w:val="24"/>
                <w:szCs w:val="24"/>
                <w14:textFill>
                  <w14:solidFill>
                    <w14:schemeClr w14:val="tx1"/>
                  </w14:solidFill>
                </w14:textFill>
              </w:rPr>
              <w:t>s in our study</w:t>
            </w:r>
          </w:p>
        </w:tc>
        <w:tc>
          <w:tcPr>
            <w:tcW w:w="2693" w:type="dxa"/>
            <w:tcBorders>
              <w:top w:val="nil"/>
              <w:left w:val="nil"/>
              <w:right w:val="nil"/>
              <w:insideV w:val="nil"/>
            </w:tcBorders>
            <w:shd w:val="clear" w:color="auto" w:fill="F4B083" w:themeFill="accent2" w:themeFillTint="99"/>
            <w:vAlign w:val="center"/>
          </w:tcPr>
          <w:p w14:paraId="1C6B3321">
            <w:pPr>
              <w:spacing w:after="0"/>
              <w:jc w:val="center"/>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Feed type in E</w:t>
            </w:r>
            <w:r>
              <w:rPr>
                <w:rFonts w:hint="eastAsia" w:ascii="Times New Roman" w:hAnsi="Times New Roman" w:cs="Times New Roman"/>
                <w:b/>
                <w:bCs/>
                <w:color w:val="000000" w:themeColor="text1"/>
                <w:sz w:val="24"/>
                <w:szCs w:val="24"/>
                <w14:textFill>
                  <w14:solidFill>
                    <w14:schemeClr w14:val="tx1"/>
                  </w14:solidFill>
                </w14:textFill>
              </w:rPr>
              <w:t>urosta</w:t>
            </w:r>
            <w:r>
              <w:rPr>
                <w:rFonts w:hint="eastAsia" w:ascii="Times New Roman" w:hAnsi="Times New Roman" w:cs="Times New Roman"/>
                <w:b/>
                <w:bCs/>
                <w:color w:val="auto"/>
                <w:sz w:val="24"/>
                <w:szCs w:val="24"/>
              </w:rPr>
              <w:t>t</w:t>
            </w:r>
            <w:r>
              <w:rPr>
                <w:rFonts w:ascii="Times New Roman" w:hAnsi="Times New Roman" w:cs="Times New Roman"/>
                <w:b/>
                <w:bCs/>
                <w:color w:val="FFFFFF" w:themeColor="background1"/>
                <w:sz w:val="24"/>
                <w:szCs w:val="24"/>
                <w14:textFill>
                  <w14:solidFill>
                    <w14:schemeClr w14:val="bg1"/>
                  </w14:solidFill>
                </w14:textFill>
              </w:rPr>
              <w:fldChar w:fldCharType="begin"/>
            </w:r>
            <w:r>
              <w:rPr>
                <w:rFonts w:ascii="Times New Roman" w:hAnsi="Times New Roman" w:cs="Times New Roman"/>
                <w:b/>
                <w:bCs/>
                <w:color w:val="auto"/>
                <w:sz w:val="24"/>
                <w:szCs w:val="24"/>
              </w:rPr>
              <w:instrText xml:space="preserve"> ADDIN ZOTERO_ITEM CSL_CITATION {"citationID":"TMBmLIQe","properties":{"formattedCitation":"\\super 19\\nosupersub{}","plainCitation":"19","noteIndex":0},"citationItems":[{"id":20032,"uris":["http://zotero.org/users/7789508/items/LDQGWK7P"],"itemData":{"id":20032,"type":"dataset","title":"Eurostat","URL":"https://ec.europa.eu/eurostat","author":[{"family":"European Union","given":""}],"issued":{"date-parts":[["2024"]]}}}],"schema":"https://github.com/citation-style-language/schema/raw/master/csl-citation.json"} </w:instrText>
            </w:r>
            <w:r>
              <w:rPr>
                <w:rFonts w:ascii="Times New Roman" w:hAnsi="Times New Roman" w:cs="Times New Roman"/>
                <w:b/>
                <w:bCs/>
                <w:color w:val="FFFFFF" w:themeColor="background1"/>
                <w:sz w:val="24"/>
                <w:szCs w:val="24"/>
                <w14:textFill>
                  <w14:solidFill>
                    <w14:schemeClr w14:val="bg1"/>
                  </w14:solidFill>
                </w14:textFill>
              </w:rPr>
              <w:fldChar w:fldCharType="separate"/>
            </w:r>
            <w:r>
              <w:rPr>
                <w:rFonts w:ascii="Times New Roman" w:hAnsi="Times New Roman" w:cs="Times New Roman"/>
                <w:b/>
                <w:bCs/>
                <w:color w:val="auto"/>
                <w:kern w:val="0"/>
                <w:sz w:val="24"/>
                <w:vertAlign w:val="superscript"/>
              </w:rPr>
              <w:t>19</w:t>
            </w:r>
            <w:r>
              <w:rPr>
                <w:rFonts w:ascii="Times New Roman" w:hAnsi="Times New Roman" w:cs="Times New Roman"/>
                <w:b/>
                <w:bCs/>
                <w:color w:val="FFFFFF" w:themeColor="background1"/>
                <w:sz w:val="24"/>
                <w:szCs w:val="24"/>
                <w14:textFill>
                  <w14:solidFill>
                    <w14:schemeClr w14:val="bg1"/>
                  </w14:solidFill>
                </w14:textFill>
              </w:rPr>
              <w:fldChar w:fldCharType="end"/>
            </w:r>
          </w:p>
        </w:tc>
        <w:tc>
          <w:tcPr>
            <w:tcW w:w="3119" w:type="dxa"/>
            <w:tcBorders>
              <w:top w:val="nil"/>
              <w:left w:val="nil"/>
              <w:right w:val="nil"/>
              <w:insideV w:val="nil"/>
            </w:tcBorders>
            <w:shd w:val="clear" w:color="auto" w:fill="F4B083" w:themeFill="accent2" w:themeFillTint="99"/>
            <w:vAlign w:val="center"/>
          </w:tcPr>
          <w:p w14:paraId="57953F58">
            <w:pPr>
              <w:spacing w:after="0"/>
              <w:jc w:val="center"/>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Mapping scheme based on LUCAS</w:t>
            </w:r>
            <w:r>
              <w:rPr>
                <w:rFonts w:ascii="Times New Roman" w:hAnsi="Times New Roman" w:cs="Times New Roman"/>
                <w:b/>
                <w:bCs/>
                <w:color w:val="FFFFFF" w:themeColor="background1"/>
                <w:sz w:val="24"/>
                <w:szCs w:val="24"/>
                <w14:textFill>
                  <w14:solidFill>
                    <w14:schemeClr w14:val="bg1"/>
                  </w14:solidFill>
                </w14:textFill>
              </w:rPr>
              <w:fldChar w:fldCharType="begin"/>
            </w:r>
            <w:r>
              <w:rPr>
                <w:rFonts w:ascii="Times New Roman" w:hAnsi="Times New Roman" w:cs="Times New Roman"/>
                <w:b/>
                <w:bCs/>
                <w:color w:val="auto"/>
                <w:sz w:val="24"/>
                <w:szCs w:val="24"/>
              </w:rPr>
              <w:instrText xml:space="preserve"> ADDIN ZOTERO_ITEM CSL_CITATION {"citationID":"vi9GRMKR","properties":{"formattedCitation":"\\super 2\\nosupersub{}","plainCitation":"2","noteIndex":0},"citationItems":[{"id":20066,"uris":["http://zotero.org/users/7789508/items/PJ64EVZ9"],"itemData":{"id":20066,"type":"article-journal","abstract":"Detailed parcel-level crop type mapping for the whole European Union (EU) is necessary for the evaluation of agricultural policies. The Copernicus program, and Sentinel-1 (S1) in particular, offers the opportunity to monitor agricultural land at a continental scale and in a timely manner. However, so far the potential of S1 has not been explored at such a scale. Capitalizing on the unique LUCAS 2018 Copernicus in-situ survey, we present the first continental crop type map at 10-m spatial resolution for the EU based on S1A and S1B Synthetic Aperture Radar observations for the year 2018. Random Forest classification algorithms are tuned to detect 19 different crop types. We assess the accuracy of this EU crop map with three approaches. First, the accuracy is assessed with independent LUCAS core in-situ observations over the continent. Second, an accuracy assessment is done specifically for main crop types from farmers declarations from 6 EU member countries or regions totaling &gt;3M parcels and 8.21Mha. Finally, the crop areas derived by classification are compared to the subnational (NUTS 2) area statistics reported by Eurostat. The overall accuracy for the map is reported as 80.3% when grouping main crop classes and 76% when considering all 19 crop type classes separately. Highest accuracies are obtained for rape and turnip rape with user and produced accuracies higher than 96%. The correlation between the remotely sensed estimated and Eurostat reported crop area ranges from 0.93 (potatoes) to 0.99 (rape and turnip rape). Finally, we discuss how the framework presented here can underpin the operational delivery of in-season high-resolution based crop mapping.","archive_location":"120 citation(s)","call-number":"1","container-title":"Remote Sensing of Environment","DOI":"10.1016/j.rse.2021.112708","ISSN":"0034-4257","journalAbbreviation":"Remote Sensing of Environment","page":"112708","source":"13.85 (Q1)","title":"From parcel to continental scale – A first European crop type map based on Sentinel-1 and LUCAS Copernicus in-situ observations","volume":"266","author":[{"family":"Andrimont","given":"Raphaël","non-dropping-particle":"d’"},{"family":"Verhegghen","given":"Astrid"},{"family":"Lemoine","given":"Guido"},{"family":"Kempeneers","given":"Pieter"},{"family":"Meroni","given":"Michele"},{"family":"Velde","given":"Marijn","non-dropping-particle":"van der"}],"issued":{"date-parts":[["2021",12,1]]}}}],"schema":"https://github.com/citation-style-language/schema/raw/master/csl-citation.json"} </w:instrText>
            </w:r>
            <w:r>
              <w:rPr>
                <w:rFonts w:ascii="Times New Roman" w:hAnsi="Times New Roman" w:cs="Times New Roman"/>
                <w:b/>
                <w:bCs/>
                <w:color w:val="FFFFFF" w:themeColor="background1"/>
                <w:sz w:val="24"/>
                <w:szCs w:val="24"/>
                <w14:textFill>
                  <w14:solidFill>
                    <w14:schemeClr w14:val="bg1"/>
                  </w14:solidFill>
                </w14:textFill>
              </w:rPr>
              <w:fldChar w:fldCharType="separate"/>
            </w:r>
            <w:r>
              <w:rPr>
                <w:rFonts w:ascii="Times New Roman" w:hAnsi="Times New Roman" w:cs="Times New Roman"/>
                <w:b/>
                <w:bCs/>
                <w:color w:val="auto"/>
                <w:kern w:val="0"/>
                <w:sz w:val="24"/>
                <w:vertAlign w:val="superscript"/>
              </w:rPr>
              <w:t>2</w:t>
            </w:r>
            <w:r>
              <w:rPr>
                <w:rFonts w:ascii="Times New Roman" w:hAnsi="Times New Roman" w:cs="Times New Roman"/>
                <w:b/>
                <w:bCs/>
                <w:color w:val="FFFFFF" w:themeColor="background1"/>
                <w:sz w:val="24"/>
                <w:szCs w:val="24"/>
                <w14:textFill>
                  <w14:solidFill>
                    <w14:schemeClr w14:val="bg1"/>
                  </w14:solidFill>
                </w14:textFill>
              </w:rPr>
              <w:fldChar w:fldCharType="end"/>
            </w:r>
            <w:r>
              <w:rPr>
                <w:rFonts w:ascii="Times New Roman" w:hAnsi="Times New Roman" w:cs="Times New Roman"/>
                <w:b/>
                <w:bCs/>
                <w:color w:val="000000" w:themeColor="text1"/>
                <w:sz w:val="24"/>
                <w:szCs w:val="24"/>
                <w14:textFill>
                  <w14:solidFill>
                    <w14:schemeClr w14:val="tx1"/>
                  </w14:solidFill>
                </w14:textFill>
              </w:rPr>
              <w:t xml:space="preserve"> or CROPGRID</w:t>
            </w:r>
            <w:r>
              <w:rPr>
                <w:rFonts w:ascii="Times New Roman" w:hAnsi="Times New Roman" w:cs="Times New Roman"/>
                <w:b/>
                <w:bCs/>
                <w:color w:val="FFFFFF" w:themeColor="background1"/>
                <w:sz w:val="24"/>
                <w:szCs w:val="24"/>
                <w14:textFill>
                  <w14:solidFill>
                    <w14:schemeClr w14:val="bg1"/>
                  </w14:solidFill>
                </w14:textFill>
              </w:rPr>
              <w:fldChar w:fldCharType="begin"/>
            </w:r>
            <w:r>
              <w:rPr>
                <w:rFonts w:ascii="Times New Roman" w:hAnsi="Times New Roman" w:cs="Times New Roman"/>
                <w:b/>
                <w:bCs/>
                <w:color w:val="auto"/>
                <w:sz w:val="24"/>
                <w:szCs w:val="24"/>
              </w:rPr>
              <w:instrText xml:space="preserve"> ADDIN ZOTERO_ITEM CSL_CITATION {"citationID":"uE3uXAg6","properties":{"formattedCitation":"\\super 1\\nosupersub{}","plainCitation":"1","noteIndex":0},"citationItems":[{"id":19507,"uris":["http://zotero.org/users/7789508/items/PHRUWHHG"],"itemData":{"id":19507,"type":"article-journal","abstract":"Abstract\n            \n              CROPGRIDS is a comprehensive global geo-referenced dataset providing area information for 173 crops for the year 2020, at a resolution of 0.05° (about 5.6 km at the equator). It represents a major update of the Monfreda\n              et al\n              . (2008) dataset (hereafter MRF), the most widely used geospatial dataset previously available, covering 175 crops with reference year 2000 at 10 km spatial resolution. CROPGRIDS builds on information originally provided in MRF and expands it using 27 selected published gridded datasets, subnational data of 52 countries obtained from National Statistical Offices, and the 2020 national-level statistics from FAOSTAT, providing more recent harvested and crop (physical) areas for 173 crops at regional, national, and global levels. The CROPGRIDS data advance the current state of knowledge on the spatial distribution of crops, providing useful inputs for modelling studies and sustainability analyses relevant to national and international processes.","archive_location":"0 citation(s)","call-number":"2","container-title":"Scientific Data","DOI":"10.1038/s41597-024-03247-7","ISSN":"2052-4463","issue":"1","journalAbbreviation":"Sci Data","language":"en","page":"413","source":"8.501 (Q1)","title":"CROPGRIDS: a global geo-referenced dataset of 173 crops","title-short":"CROPGRIDS","volume":"11","author":[{"family":"Tang","given":"Fiona H. M."},{"family":"Nguyen","given":"Thu Ha"},{"family":"Conchedda","given":"Giulia"},{"family":"Casse","given":"Leon"},{"family":"Tubiello","given":"Francesco N."},{"family":"Maggi","given":"Federico"}],"issued":{"date-parts":[["2024",4,22]]}}}],"schema":"https://github.com/citation-style-language/schema/raw/master/csl-citation.json"} </w:instrText>
            </w:r>
            <w:r>
              <w:rPr>
                <w:rFonts w:ascii="Times New Roman" w:hAnsi="Times New Roman" w:cs="Times New Roman"/>
                <w:b/>
                <w:bCs/>
                <w:color w:val="FFFFFF" w:themeColor="background1"/>
                <w:sz w:val="24"/>
                <w:szCs w:val="24"/>
                <w14:textFill>
                  <w14:solidFill>
                    <w14:schemeClr w14:val="bg1"/>
                  </w14:solidFill>
                </w14:textFill>
              </w:rPr>
              <w:fldChar w:fldCharType="separate"/>
            </w:r>
            <w:r>
              <w:rPr>
                <w:rFonts w:ascii="Times New Roman" w:hAnsi="Times New Roman" w:cs="Times New Roman"/>
                <w:b/>
                <w:bCs/>
                <w:color w:val="auto"/>
                <w:kern w:val="0"/>
                <w:sz w:val="24"/>
                <w:vertAlign w:val="superscript"/>
              </w:rPr>
              <w:t>1</w:t>
            </w:r>
            <w:r>
              <w:rPr>
                <w:rFonts w:ascii="Times New Roman" w:hAnsi="Times New Roman" w:cs="Times New Roman"/>
                <w:b/>
                <w:bCs/>
                <w:color w:val="FFFFFF" w:themeColor="background1"/>
                <w:sz w:val="24"/>
                <w:szCs w:val="24"/>
                <w14:textFill>
                  <w14:solidFill>
                    <w14:schemeClr w14:val="bg1"/>
                  </w14:solidFill>
                </w14:textFill>
              </w:rPr>
              <w:fldChar w:fldCharType="end"/>
            </w:r>
            <w:r>
              <w:rPr>
                <w:rFonts w:ascii="Times New Roman" w:hAnsi="Times New Roman" w:cs="Times New Roman"/>
                <w:b/>
                <w:bCs/>
                <w:color w:val="000000" w:themeColor="text1"/>
                <w:sz w:val="24"/>
                <w:szCs w:val="24"/>
                <w14:textFill>
                  <w14:solidFill>
                    <w14:schemeClr w14:val="tx1"/>
                  </w14:solidFill>
                </w14:textFill>
              </w:rPr>
              <w:t xml:space="preserve"> maps</w:t>
            </w:r>
          </w:p>
        </w:tc>
      </w:tr>
      <w:tr w14:paraId="33A95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7" w:hRule="atLeast"/>
        </w:trPr>
        <w:tc>
          <w:tcPr>
            <w:tcW w:w="2425" w:type="dxa"/>
            <w:tcBorders>
              <w:left w:val="nil"/>
            </w:tcBorders>
            <w:shd w:val="clear" w:color="auto" w:fill="auto"/>
          </w:tcPr>
          <w:p w14:paraId="48E18DC1">
            <w:pPr>
              <w:jc w:val="center"/>
              <w:rPr>
                <w:rFonts w:ascii="Times New Roman" w:hAnsi="Times New Roman" w:cs="Times New Roman"/>
                <w:b w:val="0"/>
                <w:bCs w:val="0"/>
                <w:color w:val="000000" w:themeColor="text1"/>
                <w:sz w:val="24"/>
                <w:szCs w:val="24"/>
                <w14:textFill>
                  <w14:solidFill>
                    <w14:schemeClr w14:val="tx1"/>
                  </w14:solidFill>
                </w14:textFill>
              </w:rPr>
            </w:pPr>
            <w:r>
              <w:rPr>
                <w:rFonts w:ascii="Times New Roman" w:hAnsi="Times New Roman" w:cs="Times New Roman"/>
                <w:b w:val="0"/>
                <w:bCs w:val="0"/>
                <w:color w:val="000000" w:themeColor="text1"/>
                <w:sz w:val="24"/>
                <w:szCs w:val="24"/>
                <w14:textFill>
                  <w14:solidFill>
                    <w14:schemeClr w14:val="tx1"/>
                  </w14:solidFill>
                </w14:textFill>
              </w:rPr>
              <w:t>Temporary grassland</w:t>
            </w:r>
          </w:p>
        </w:tc>
        <w:tc>
          <w:tcPr>
            <w:tcW w:w="2693" w:type="dxa"/>
            <w:shd w:val="clear" w:color="auto" w:fill="auto"/>
          </w:tcPr>
          <w:p w14:paraId="10080506">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Temporary grasses (G1000)</w:t>
            </w:r>
          </w:p>
        </w:tc>
        <w:tc>
          <w:tcPr>
            <w:tcW w:w="3119" w:type="dxa"/>
            <w:shd w:val="clear" w:color="auto" w:fill="auto"/>
          </w:tcPr>
          <w:p w14:paraId="1EB57DD7">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Grassland (500) * Share</w:t>
            </w:r>
            <w:r>
              <w:rPr>
                <w:rFonts w:ascii="Times New Roman" w:hAnsi="Times New Roman" w:cs="Times New Roman"/>
                <w:color w:val="000000" w:themeColor="text1"/>
                <w:sz w:val="24"/>
                <w:szCs w:val="24"/>
                <w:vertAlign w:val="subscript"/>
                <w14:textFill>
                  <w14:solidFill>
                    <w14:schemeClr w14:val="tx1"/>
                  </w14:solidFill>
                </w14:textFill>
              </w:rPr>
              <w:t>temporary</w:t>
            </w:r>
          </w:p>
        </w:tc>
      </w:tr>
      <w:tr w14:paraId="1215FA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6" w:hRule="atLeast"/>
        </w:trPr>
        <w:tc>
          <w:tcPr>
            <w:tcW w:w="2425" w:type="dxa"/>
            <w:tcBorders>
              <w:left w:val="nil"/>
            </w:tcBorders>
            <w:shd w:val="clear" w:color="auto" w:fill="auto"/>
          </w:tcPr>
          <w:p w14:paraId="03C536CB">
            <w:pPr>
              <w:jc w:val="center"/>
              <w:rPr>
                <w:rFonts w:ascii="Times New Roman" w:hAnsi="Times New Roman" w:cs="Times New Roman"/>
                <w:b w:val="0"/>
                <w:bCs w:val="0"/>
                <w:color w:val="000000" w:themeColor="text1"/>
                <w:sz w:val="24"/>
                <w:szCs w:val="24"/>
                <w:lang w:val="en-US"/>
                <w14:textFill>
                  <w14:solidFill>
                    <w14:schemeClr w14:val="tx1"/>
                  </w14:solidFill>
                </w14:textFill>
              </w:rPr>
            </w:pPr>
            <w:r>
              <w:rPr>
                <w:rFonts w:hint="eastAsia" w:ascii="Times New Roman" w:hAnsi="Times New Roman" w:cs="Times New Roman"/>
                <w:b w:val="0"/>
                <w:bCs w:val="0"/>
                <w:color w:val="000000" w:themeColor="text1"/>
                <w:sz w:val="24"/>
                <w:szCs w:val="24"/>
                <w:lang w:val="en-US"/>
                <w14:textFill>
                  <w14:solidFill>
                    <w14:schemeClr w14:val="tx1"/>
                  </w14:solidFill>
                </w14:textFill>
              </w:rPr>
              <w:t>Permanent grassland</w:t>
            </w:r>
          </w:p>
        </w:tc>
        <w:tc>
          <w:tcPr>
            <w:tcW w:w="2693" w:type="dxa"/>
            <w:shd w:val="clear" w:color="auto" w:fill="auto"/>
          </w:tcPr>
          <w:p w14:paraId="3FD3C4CA">
            <w:pPr>
              <w:spacing w:after="0"/>
              <w:jc w:val="center"/>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Permanent grassland (J0000)</w:t>
            </w:r>
          </w:p>
        </w:tc>
        <w:tc>
          <w:tcPr>
            <w:tcW w:w="3119" w:type="dxa"/>
            <w:shd w:val="clear" w:color="auto" w:fill="auto"/>
          </w:tcPr>
          <w:p w14:paraId="3A315851">
            <w:pPr>
              <w:jc w:val="center"/>
              <w:rPr>
                <w:rFonts w:ascii="Times New Roman" w:hAnsi="Times New Roman" w:cs="Times New Roman"/>
                <w:color w:val="000000" w:themeColor="text1"/>
                <w:sz w:val="24"/>
                <w:szCs w:val="24"/>
                <w:lang w:val="en-US"/>
                <w14:textFill>
                  <w14:solidFill>
                    <w14:schemeClr w14:val="tx1"/>
                  </w14:solidFill>
                </w14:textFill>
              </w:rPr>
            </w:pPr>
            <w:r>
              <w:rPr>
                <w:rFonts w:hint="eastAsia" w:ascii="Times New Roman" w:hAnsi="Times New Roman" w:cs="Times New Roman"/>
                <w:color w:val="000000" w:themeColor="text1"/>
                <w:sz w:val="24"/>
                <w:szCs w:val="24"/>
                <w:lang w:val="en-US"/>
                <w14:textFill>
                  <w14:solidFill>
                    <w14:schemeClr w14:val="tx1"/>
                  </w14:solidFill>
                </w14:textFill>
              </w:rPr>
              <w:t>Grassland (500) * Share</w:t>
            </w:r>
            <w:r>
              <w:rPr>
                <w:rFonts w:hint="eastAsia" w:ascii="Times New Roman" w:hAnsi="Times New Roman" w:cs="Times New Roman"/>
                <w:color w:val="000000" w:themeColor="text1"/>
                <w:sz w:val="24"/>
                <w:szCs w:val="24"/>
                <w:vertAlign w:val="subscript"/>
                <w:lang w:val="en-US"/>
                <w14:textFill>
                  <w14:solidFill>
                    <w14:schemeClr w14:val="tx1"/>
                  </w14:solidFill>
                </w14:textFill>
              </w:rPr>
              <w:t>permanent</w:t>
            </w:r>
          </w:p>
        </w:tc>
      </w:tr>
      <w:tr w14:paraId="486283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6" w:hRule="atLeast"/>
        </w:trPr>
        <w:tc>
          <w:tcPr>
            <w:tcW w:w="2425" w:type="dxa"/>
            <w:tcBorders>
              <w:left w:val="nil"/>
            </w:tcBorders>
            <w:shd w:val="clear" w:color="auto" w:fill="auto"/>
          </w:tcPr>
          <w:p w14:paraId="703B1A31">
            <w:pPr>
              <w:jc w:val="center"/>
              <w:rPr>
                <w:rFonts w:ascii="Times New Roman" w:hAnsi="Times New Roman" w:cs="Times New Roman"/>
                <w:b w:val="0"/>
                <w:bCs w:val="0"/>
                <w:color w:val="000000" w:themeColor="text1"/>
                <w:sz w:val="24"/>
                <w:szCs w:val="24"/>
                <w14:textFill>
                  <w14:solidFill>
                    <w14:schemeClr w14:val="tx1"/>
                  </w14:solidFill>
                </w14:textFill>
              </w:rPr>
            </w:pPr>
            <w:r>
              <w:rPr>
                <w:rFonts w:ascii="Times New Roman" w:hAnsi="Times New Roman" w:cs="Times New Roman"/>
                <w:b w:val="0"/>
                <w:bCs w:val="0"/>
                <w:color w:val="000000" w:themeColor="text1"/>
                <w:sz w:val="24"/>
                <w:szCs w:val="24"/>
                <w14:textFill>
                  <w14:solidFill>
                    <w14:schemeClr w14:val="tx1"/>
                  </w14:solidFill>
                </w14:textFill>
              </w:rPr>
              <w:t>Legume fodder</w:t>
            </w:r>
          </w:p>
        </w:tc>
        <w:tc>
          <w:tcPr>
            <w:tcW w:w="2693" w:type="dxa"/>
            <w:shd w:val="clear" w:color="auto" w:fill="auto"/>
          </w:tcPr>
          <w:p w14:paraId="2668B181">
            <w:pPr>
              <w:spacing w:after="0"/>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Alfalfa (G2100)</w:t>
            </w:r>
          </w:p>
          <w:p w14:paraId="196E6454">
            <w:pPr>
              <w:spacing w:after="0"/>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Other legume (G2900)</w:t>
            </w:r>
          </w:p>
        </w:tc>
        <w:tc>
          <w:tcPr>
            <w:tcW w:w="3119" w:type="dxa"/>
            <w:shd w:val="clear" w:color="auto" w:fill="auto"/>
          </w:tcPr>
          <w:p w14:paraId="3B0BA26A">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Other fodder (excl. temporary grass) (250) * Share </w:t>
            </w:r>
            <w:r>
              <w:rPr>
                <w:rFonts w:ascii="Times New Roman" w:hAnsi="Times New Roman" w:cs="Times New Roman"/>
                <w:color w:val="000000" w:themeColor="text1"/>
                <w:sz w:val="24"/>
                <w:szCs w:val="24"/>
                <w:vertAlign w:val="subscript"/>
                <w14:textFill>
                  <w14:solidFill>
                    <w14:schemeClr w14:val="tx1"/>
                  </w14:solidFill>
                </w14:textFill>
              </w:rPr>
              <w:t>legume</w:t>
            </w:r>
          </w:p>
        </w:tc>
      </w:tr>
      <w:tr w14:paraId="1F592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6" w:hRule="atLeast"/>
        </w:trPr>
        <w:tc>
          <w:tcPr>
            <w:tcW w:w="2425" w:type="dxa"/>
            <w:tcBorders>
              <w:left w:val="nil"/>
            </w:tcBorders>
            <w:shd w:val="clear" w:color="auto" w:fill="auto"/>
          </w:tcPr>
          <w:p w14:paraId="065486DB">
            <w:pPr>
              <w:spacing w:after="0"/>
              <w:jc w:val="center"/>
              <w:rPr>
                <w:rFonts w:ascii="Times New Roman" w:hAnsi="Times New Roman" w:cs="Times New Roman"/>
                <w:b w:val="0"/>
                <w:bCs w:val="0"/>
                <w:color w:val="000000" w:themeColor="text1"/>
                <w:sz w:val="24"/>
                <w:szCs w:val="24"/>
                <w14:textFill>
                  <w14:solidFill>
                    <w14:schemeClr w14:val="tx1"/>
                  </w14:solidFill>
                </w14:textFill>
              </w:rPr>
            </w:pPr>
            <w:r>
              <w:rPr>
                <w:rFonts w:ascii="Times New Roman" w:hAnsi="Times New Roman" w:cs="Times New Roman"/>
                <w:b w:val="0"/>
                <w:bCs w:val="0"/>
                <w:color w:val="000000" w:themeColor="text1"/>
                <w:sz w:val="24"/>
                <w:szCs w:val="24"/>
                <w14:textFill>
                  <w14:solidFill>
                    <w14:schemeClr w14:val="tx1"/>
                  </w14:solidFill>
                </w14:textFill>
              </w:rPr>
              <w:t>Green maize</w:t>
            </w:r>
          </w:p>
        </w:tc>
        <w:tc>
          <w:tcPr>
            <w:tcW w:w="2693" w:type="dxa"/>
            <w:shd w:val="clear" w:color="auto" w:fill="auto"/>
          </w:tcPr>
          <w:p w14:paraId="73C63D85">
            <w:pPr>
              <w:spacing w:after="0"/>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Green maize (G3000)</w:t>
            </w:r>
          </w:p>
        </w:tc>
        <w:tc>
          <w:tcPr>
            <w:tcW w:w="3119" w:type="dxa"/>
            <w:shd w:val="clear" w:color="auto" w:fill="auto"/>
          </w:tcPr>
          <w:p w14:paraId="17331FD7">
            <w:pPr>
              <w:spacing w:after="0"/>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Maize * Share </w:t>
            </w:r>
            <w:r>
              <w:rPr>
                <w:rFonts w:ascii="Times New Roman" w:hAnsi="Times New Roman" w:cs="Times New Roman"/>
                <w:color w:val="000000" w:themeColor="text1"/>
                <w:sz w:val="24"/>
                <w:szCs w:val="24"/>
                <w:vertAlign w:val="subscript"/>
                <w14:textFill>
                  <w14:solidFill>
                    <w14:schemeClr w14:val="tx1"/>
                  </w14:solidFill>
                </w14:textFill>
              </w:rPr>
              <w:t>green maize</w:t>
            </w:r>
          </w:p>
        </w:tc>
      </w:tr>
      <w:tr w14:paraId="15D13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6" w:hRule="atLeast"/>
        </w:trPr>
        <w:tc>
          <w:tcPr>
            <w:tcW w:w="2425" w:type="dxa"/>
            <w:tcBorders>
              <w:left w:val="nil"/>
              <w:bottom w:val="nil"/>
            </w:tcBorders>
            <w:shd w:val="clear" w:color="auto" w:fill="auto"/>
          </w:tcPr>
          <w:p w14:paraId="3B17DEE8">
            <w:pPr>
              <w:jc w:val="center"/>
              <w:rPr>
                <w:rFonts w:ascii="Times New Roman" w:hAnsi="Times New Roman" w:cs="Times New Roman"/>
                <w:b w:val="0"/>
                <w:bCs w:val="0"/>
                <w:color w:val="000000" w:themeColor="text1"/>
                <w:sz w:val="24"/>
                <w:szCs w:val="24"/>
                <w14:textFill>
                  <w14:solidFill>
                    <w14:schemeClr w14:val="tx1"/>
                  </w14:solidFill>
                </w14:textFill>
              </w:rPr>
            </w:pPr>
            <w:r>
              <w:rPr>
                <w:rFonts w:ascii="Times New Roman" w:hAnsi="Times New Roman" w:cs="Times New Roman"/>
                <w:b w:val="0"/>
                <w:bCs w:val="0"/>
                <w:color w:val="000000" w:themeColor="text1"/>
                <w:sz w:val="24"/>
                <w:szCs w:val="24"/>
                <w14:textFill>
                  <w14:solidFill>
                    <w14:schemeClr w14:val="tx1"/>
                  </w14:solidFill>
                </w14:textFill>
              </w:rPr>
              <w:t>Other fodder</w:t>
            </w:r>
          </w:p>
        </w:tc>
        <w:tc>
          <w:tcPr>
            <w:tcW w:w="2693" w:type="dxa"/>
            <w:shd w:val="clear" w:color="auto" w:fill="auto"/>
          </w:tcPr>
          <w:p w14:paraId="1DCF337D">
            <w:pPr>
              <w:spacing w:after="0"/>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Other plants harvested green from arable land (G9000)</w:t>
            </w:r>
          </w:p>
          <w:p w14:paraId="30F707A5">
            <w:pPr>
              <w:spacing w:after="0"/>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Other root crops (R9000)</w:t>
            </w:r>
          </w:p>
        </w:tc>
        <w:tc>
          <w:tcPr>
            <w:tcW w:w="3119" w:type="dxa"/>
            <w:shd w:val="clear" w:color="auto" w:fill="auto"/>
          </w:tcPr>
          <w:p w14:paraId="0FED187D">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Other fodder (excl. temporary grass) (250) * (1-Share</w:t>
            </w:r>
            <w:r>
              <w:rPr>
                <w:rFonts w:ascii="Times New Roman" w:hAnsi="Times New Roman" w:cs="Times New Roman"/>
                <w:color w:val="000000" w:themeColor="text1"/>
                <w:sz w:val="24"/>
                <w:szCs w:val="24"/>
                <w:vertAlign w:val="subscript"/>
                <w14:textFill>
                  <w14:solidFill>
                    <w14:schemeClr w14:val="tx1"/>
                  </w14:solidFill>
                </w14:textFill>
              </w:rPr>
              <w:t xml:space="preserve"> legume</w:t>
            </w:r>
            <w:r>
              <w:rPr>
                <w:rFonts w:ascii="Times New Roman" w:hAnsi="Times New Roman" w:cs="Times New Roman"/>
                <w:color w:val="000000" w:themeColor="text1"/>
                <w:sz w:val="24"/>
                <w:szCs w:val="24"/>
                <w14:textFill>
                  <w14:solidFill>
                    <w14:schemeClr w14:val="tx1"/>
                  </w14:solidFill>
                </w14:textFill>
              </w:rPr>
              <w:t>) + other roots (223)</w:t>
            </w:r>
          </w:p>
        </w:tc>
      </w:tr>
    </w:tbl>
    <w:p w14:paraId="16D8A118">
      <w:pPr>
        <w:rPr>
          <w:rFonts w:ascii="Times New Roman" w:hAnsi="Times New Roman" w:cs="Times New Roman"/>
        </w:rPr>
      </w:pPr>
      <w:r>
        <w:rPr>
          <w:rFonts w:ascii="Times New Roman" w:hAnsi="Times New Roman" w:cs="Times New Roman"/>
        </w:rPr>
        <w:t>Note: numbers in brackets are codes of land use types in corresponding datasets</w:t>
      </w:r>
    </w:p>
    <w:p w14:paraId="52506E12">
      <w:pPr>
        <w:jc w:val="center"/>
        <w:rPr>
          <w:rFonts w:ascii="Times New Roman" w:hAnsi="Times New Roman" w:cs="Times New Roman"/>
        </w:rPr>
      </w:pPr>
    </w:p>
    <w:p w14:paraId="19804364">
      <w:pPr>
        <w:jc w:val="center"/>
        <w:rPr>
          <w:rFonts w:ascii="Times New Roman" w:hAnsi="Times New Roman" w:cs="Times New Roman"/>
          <w:sz w:val="24"/>
          <w:szCs w:val="24"/>
        </w:rPr>
      </w:pPr>
    </w:p>
    <w:p w14:paraId="3ADBE025">
      <w:pPr>
        <w:pStyle w:val="10"/>
        <w:spacing w:before="0" w:beforeAutospacing="0" w:after="240" w:line="480" w:lineRule="auto"/>
        <w:jc w:val="center"/>
        <w:rPr>
          <w:rFonts w:ascii="Times New Roman" w:hAnsi="Times New Roman"/>
          <w:sz w:val="24"/>
          <w:szCs w:val="24"/>
        </w:rPr>
      </w:pPr>
      <w:r>
        <w:rPr>
          <w:rFonts w:hint="eastAsia" w:ascii="Times New Roman" w:hAnsi="Times New Roman"/>
          <w:b/>
          <w:bCs/>
          <w:sz w:val="24"/>
          <w:szCs w:val="24"/>
        </w:rPr>
        <w:t xml:space="preserve">Table S4 </w:t>
      </w:r>
      <w:r>
        <w:rPr>
          <w:rFonts w:hint="eastAsia" w:ascii="Times New Roman" w:hAnsi="Times New Roman"/>
          <w:sz w:val="24"/>
          <w:szCs w:val="24"/>
        </w:rPr>
        <w:t>Mapping table for crops in this study, fertilizer use by crops (FUBC)</w:t>
      </w:r>
      <w:r>
        <w:rPr>
          <w:rFonts w:ascii="Times New Roman" w:hAnsi="Times New Roman"/>
          <w:sz w:val="24"/>
          <w:szCs w:val="24"/>
        </w:rPr>
        <w:fldChar w:fldCharType="begin"/>
      </w:r>
      <w:r>
        <w:rPr>
          <w:rFonts w:ascii="Times New Roman" w:hAnsi="Times New Roman"/>
          <w:sz w:val="24"/>
          <w:szCs w:val="24"/>
        </w:rPr>
        <w:instrText xml:space="preserve"> ADDIN ZOTERO_ITEM CSL_CITATION {"citationID":"IMnFPNKW","properties":{"formattedCitation":"\\super 5\\nosupersub{}","plainCitation":"5","noteIndex":0},"citationItems":[{"id":11401,"uris":["http://zotero.org/users/7789508/items/NFVQU4EL"],"itemData":{"id":11401,"type":"article-journal","abstract":"Understanding how much inorganic fertilizer (referred to as fertilizer) is applied to different crops at national, regional and global levels is an essential component of fertilizer consumption analysis and demand projection. Good information on fertilizer use by crop (FUBC) is rarely available because it is difficult to collect and time-consuming to process and validate. To fill this gap, a first global FUBC report was published in 1992 for the 1990/1991 period, based on an expert survey conducted jointly by the Food and Agriculture Organization (FAO) of the UN, the International Fertilizer Development Center (IFDC) and the International Fertilizer Association (IFA). Since then, similar expert surveys have been carried out and published every two to four years in the main fertilizer-consuming countries. Since 2008 IFA has led these efforts and, to our knowledge, remains the only globally available data set on FUBC. This dataset includes data (in CSV format) from a survey carried out by IFA to represent the 2017–18 period as well as a collation of all historic FUBC data.","archive_location":"4 citation(s)","call-number":"2","container-title":"Scientific Data","DOI":"10.1038/s41597-022-01592-z","ISSN":"2052-4463","issue":"1","journalAbbreviation":"Sci Data","language":"en","license":"2022 The Author(s)","note":"number: 1\npublisher: Nature Publishing Group","page":"501","source":"8.501 (Q1)","title":"Global data on fertilizer use by crop and by country","volume":"9","author":[{"family":"Ludemann","given":"Cameron I."},{"family":"Gruere","given":"Armelle"},{"family":"Heffer","given":"Patrick"},{"family":"Dobermann","given":"Achim"}],"issued":{"date-parts":[["2022",8,17]]}}}],"schema":"https://github.com/citation-style-language/schema/raw/master/csl-citation.json"} </w:instrText>
      </w:r>
      <w:r>
        <w:rPr>
          <w:rFonts w:ascii="Times New Roman" w:hAnsi="Times New Roman"/>
          <w:sz w:val="24"/>
          <w:szCs w:val="24"/>
        </w:rPr>
        <w:fldChar w:fldCharType="separate"/>
      </w:r>
      <w:r>
        <w:rPr>
          <w:rFonts w:ascii="Times New Roman" w:hAnsi="Times New Roman"/>
          <w:kern w:val="0"/>
          <w:sz w:val="24"/>
          <w:vertAlign w:val="superscript"/>
        </w:rPr>
        <w:t>5</w:t>
      </w:r>
      <w:r>
        <w:rPr>
          <w:rFonts w:ascii="Times New Roman" w:hAnsi="Times New Roman"/>
          <w:sz w:val="24"/>
          <w:szCs w:val="24"/>
        </w:rPr>
        <w:fldChar w:fldCharType="end"/>
      </w:r>
      <w:r>
        <w:rPr>
          <w:rFonts w:hint="eastAsia" w:ascii="Times New Roman" w:hAnsi="Times New Roman"/>
          <w:sz w:val="24"/>
          <w:szCs w:val="24"/>
        </w:rPr>
        <w:t xml:space="preserve"> dataset and the MITTERA-EUROPE</w:t>
      </w:r>
      <w:r>
        <w:rPr>
          <w:rFonts w:ascii="Times New Roman" w:hAnsi="Times New Roman"/>
          <w:sz w:val="24"/>
          <w:szCs w:val="24"/>
        </w:rPr>
        <w:fldChar w:fldCharType="begin"/>
      </w:r>
      <w:r>
        <w:rPr>
          <w:rFonts w:ascii="Times New Roman" w:hAnsi="Times New Roman"/>
          <w:sz w:val="24"/>
          <w:szCs w:val="24"/>
        </w:rPr>
        <w:instrText xml:space="preserve"> ADDIN ZOTERO_ITEM CSL_CITATION {"citationID":"Wu1CIrqk","properties":{"formattedCitation":"\\super 15\\nosupersub{}","plainCitation":"15","noteIndex":0},"citationItems":[{"id":6698,"uris":["http://zotero.org/users/7789508/items/NAZC36UL"],"itemData":{"id":6698,"type":"article-journal","container-title":"Journal of Environmental Quality","language":"en","page":"16","source":"Zotero","title":"Integrated assessment of nitrogen losses from agriculture in EU-27 using MITERRA-EUROPE","volume":"38","author":[{"family":"Velthof","given":"G L"},{"family":"Oudendag","given":"D"},{"family":"Witzke","given":"H P"},{"family":"Asman","given":"W A H"},{"family":"Klimont","given":"Z"},{"family":"Oenema","given":"O"}],"issued":{"date-parts":[["2009"]]}}}],"schema":"https://github.com/citation-style-language/schema/raw/master/csl-citation.json"} </w:instrText>
      </w:r>
      <w:r>
        <w:rPr>
          <w:rFonts w:ascii="Times New Roman" w:hAnsi="Times New Roman"/>
          <w:sz w:val="24"/>
          <w:szCs w:val="24"/>
        </w:rPr>
        <w:fldChar w:fldCharType="separate"/>
      </w:r>
      <w:r>
        <w:rPr>
          <w:rFonts w:ascii="Times New Roman" w:hAnsi="Times New Roman"/>
          <w:kern w:val="0"/>
          <w:sz w:val="24"/>
          <w:vertAlign w:val="superscript"/>
        </w:rPr>
        <w:t>15</w:t>
      </w:r>
      <w:r>
        <w:rPr>
          <w:rFonts w:ascii="Times New Roman" w:hAnsi="Times New Roman"/>
          <w:sz w:val="24"/>
          <w:szCs w:val="24"/>
        </w:rPr>
        <w:fldChar w:fldCharType="end"/>
      </w:r>
      <w:r>
        <w:rPr>
          <w:rFonts w:hint="eastAsia" w:ascii="Times New Roman" w:hAnsi="Times New Roman"/>
          <w:sz w:val="24"/>
          <w:szCs w:val="24"/>
        </w:rPr>
        <w:t xml:space="preserve"> model</w:t>
      </w:r>
    </w:p>
    <w:tbl>
      <w:tblPr>
        <w:tblStyle w:val="13"/>
        <w:tblW w:w="811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60"/>
        <w:gridCol w:w="1843"/>
        <w:gridCol w:w="2268"/>
        <w:gridCol w:w="1843"/>
      </w:tblGrid>
      <w:tr w14:paraId="6E50D9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atLeast"/>
          <w:tblHeader/>
        </w:trPr>
        <w:tc>
          <w:tcPr>
            <w:tcW w:w="2160" w:type="dxa"/>
            <w:tcBorders>
              <w:top w:val="nil"/>
              <w:left w:val="nil"/>
              <w:right w:val="nil"/>
              <w:insideV w:val="nil"/>
            </w:tcBorders>
            <w:shd w:val="clear" w:color="auto" w:fill="F4B083" w:themeFill="accent2" w:themeFillTint="99"/>
            <w:vAlign w:val="center"/>
          </w:tcPr>
          <w:p w14:paraId="56BF888D">
            <w:pPr>
              <w:widowControl/>
              <w:jc w:val="center"/>
              <w:textAlignment w:val="center"/>
              <w:rPr>
                <w:rFonts w:ascii="Times New Roman" w:hAnsi="Times New Roman" w:cs="Times New Roman"/>
                <w:b/>
                <w:bCs/>
                <w:color w:val="000000"/>
                <w:sz w:val="24"/>
                <w:szCs w:val="24"/>
              </w:rPr>
            </w:pPr>
            <w:r>
              <w:rPr>
                <w:rFonts w:ascii="Times New Roman" w:hAnsi="Times New Roman" w:eastAsia="SimSun" w:cs="Times New Roman"/>
                <w:b/>
                <w:bCs/>
                <w:color w:val="000000"/>
                <w:kern w:val="0"/>
                <w:sz w:val="24"/>
                <w:szCs w:val="24"/>
                <w:lang w:val="en-US" w:bidi="ar"/>
              </w:rPr>
              <w:t>Commodity name</w:t>
            </w:r>
            <w:r>
              <w:rPr>
                <w:rFonts w:hint="eastAsia" w:ascii="Times New Roman" w:hAnsi="Times New Roman" w:eastAsia="SimSun" w:cs="Times New Roman"/>
                <w:b/>
                <w:bCs/>
                <w:color w:val="000000"/>
                <w:kern w:val="0"/>
                <w:sz w:val="24"/>
                <w:szCs w:val="24"/>
                <w:lang w:val="en-US" w:bidi="ar"/>
              </w:rPr>
              <w:t>s</w:t>
            </w:r>
            <w:r>
              <w:rPr>
                <w:rFonts w:ascii="Times New Roman" w:hAnsi="Times New Roman" w:eastAsia="SimSun" w:cs="Times New Roman"/>
                <w:b/>
                <w:bCs/>
                <w:color w:val="000000"/>
                <w:kern w:val="0"/>
                <w:sz w:val="24"/>
                <w:szCs w:val="24"/>
                <w:lang w:val="en-US" w:bidi="ar"/>
              </w:rPr>
              <w:t xml:space="preserve"> in this study</w:t>
            </w:r>
          </w:p>
        </w:tc>
        <w:tc>
          <w:tcPr>
            <w:tcW w:w="1843" w:type="dxa"/>
            <w:tcBorders>
              <w:top w:val="nil"/>
              <w:left w:val="nil"/>
              <w:right w:val="nil"/>
              <w:insideV w:val="nil"/>
            </w:tcBorders>
            <w:shd w:val="clear" w:color="auto" w:fill="F4B083" w:themeFill="accent2" w:themeFillTint="99"/>
            <w:noWrap/>
            <w:vAlign w:val="center"/>
          </w:tcPr>
          <w:p w14:paraId="0CE6689C">
            <w:pPr>
              <w:widowControl/>
              <w:jc w:val="center"/>
              <w:textAlignment w:val="center"/>
              <w:rPr>
                <w:rFonts w:ascii="Times New Roman" w:hAnsi="Times New Roman" w:cs="Times New Roman"/>
                <w:b/>
                <w:bCs/>
                <w:color w:val="000000"/>
                <w:sz w:val="24"/>
                <w:szCs w:val="24"/>
              </w:rPr>
            </w:pPr>
            <w:r>
              <w:rPr>
                <w:rFonts w:ascii="Times New Roman" w:hAnsi="Times New Roman" w:eastAsia="SimSun" w:cs="Times New Roman"/>
                <w:b/>
                <w:bCs/>
                <w:color w:val="000000"/>
                <w:kern w:val="0"/>
                <w:sz w:val="24"/>
                <w:szCs w:val="24"/>
                <w:lang w:val="en-US" w:bidi="ar"/>
              </w:rPr>
              <w:t>FUBC name</w:t>
            </w:r>
            <w:r>
              <w:rPr>
                <w:rFonts w:hint="eastAsia" w:ascii="Times New Roman" w:hAnsi="Times New Roman" w:eastAsia="SimSun" w:cs="Times New Roman"/>
                <w:b/>
                <w:bCs/>
                <w:color w:val="000000"/>
                <w:kern w:val="0"/>
                <w:sz w:val="24"/>
                <w:szCs w:val="24"/>
                <w:lang w:val="en-US" w:bidi="ar"/>
              </w:rPr>
              <w:t>s</w:t>
            </w:r>
          </w:p>
        </w:tc>
        <w:tc>
          <w:tcPr>
            <w:tcW w:w="2268" w:type="dxa"/>
            <w:tcBorders>
              <w:top w:val="nil"/>
              <w:left w:val="nil"/>
              <w:right w:val="nil"/>
              <w:insideV w:val="nil"/>
            </w:tcBorders>
            <w:shd w:val="clear" w:color="auto" w:fill="F4B083" w:themeFill="accent2" w:themeFillTint="99"/>
            <w:noWrap/>
            <w:vAlign w:val="center"/>
          </w:tcPr>
          <w:p w14:paraId="7E47E4E9">
            <w:pPr>
              <w:widowControl/>
              <w:jc w:val="center"/>
              <w:textAlignment w:val="center"/>
              <w:rPr>
                <w:rFonts w:ascii="Times New Roman" w:hAnsi="Times New Roman" w:eastAsia="SimSun" w:cs="Times New Roman"/>
                <w:b/>
                <w:bCs/>
                <w:color w:val="000000"/>
                <w:kern w:val="0"/>
                <w:sz w:val="24"/>
                <w:szCs w:val="24"/>
                <w:lang w:val="en-US" w:bidi="ar"/>
              </w:rPr>
            </w:pPr>
            <w:r>
              <w:rPr>
                <w:rFonts w:ascii="Times New Roman" w:hAnsi="Times New Roman" w:eastAsia="SimSun" w:cs="Times New Roman"/>
                <w:b/>
                <w:bCs/>
                <w:color w:val="000000"/>
                <w:kern w:val="0"/>
                <w:sz w:val="24"/>
                <w:szCs w:val="24"/>
                <w:lang w:val="en-US" w:bidi="ar"/>
              </w:rPr>
              <w:t>Crop group</w:t>
            </w:r>
            <w:r>
              <w:rPr>
                <w:rFonts w:hint="eastAsia" w:ascii="Times New Roman" w:hAnsi="Times New Roman" w:eastAsia="SimSun" w:cs="Times New Roman"/>
                <w:b/>
                <w:bCs/>
                <w:color w:val="000000"/>
                <w:kern w:val="0"/>
                <w:sz w:val="24"/>
                <w:szCs w:val="24"/>
                <w:lang w:val="en-US" w:bidi="ar"/>
              </w:rPr>
              <w:t>s</w:t>
            </w:r>
            <w:r>
              <w:rPr>
                <w:rFonts w:ascii="Times New Roman" w:hAnsi="Times New Roman" w:eastAsia="SimSun" w:cs="Times New Roman"/>
                <w:b/>
                <w:bCs/>
                <w:color w:val="000000"/>
                <w:kern w:val="0"/>
                <w:sz w:val="24"/>
                <w:szCs w:val="24"/>
                <w:lang w:val="en-US" w:bidi="ar"/>
              </w:rPr>
              <w:t xml:space="preserve"> for the manure allocation</w:t>
            </w:r>
          </w:p>
        </w:tc>
        <w:tc>
          <w:tcPr>
            <w:tcW w:w="1843" w:type="dxa"/>
            <w:tcBorders>
              <w:top w:val="nil"/>
              <w:left w:val="nil"/>
              <w:right w:val="nil"/>
              <w:insideV w:val="nil"/>
            </w:tcBorders>
            <w:shd w:val="clear" w:color="auto" w:fill="F4B083" w:themeFill="accent2" w:themeFillTint="99"/>
            <w:noWrap/>
            <w:vAlign w:val="center"/>
          </w:tcPr>
          <w:p w14:paraId="2725C059">
            <w:pPr>
              <w:widowControl/>
              <w:jc w:val="center"/>
              <w:textAlignment w:val="center"/>
              <w:rPr>
                <w:rFonts w:ascii="Times New Roman" w:hAnsi="Times New Roman" w:eastAsia="SimSun" w:cs="Times New Roman"/>
                <w:b/>
                <w:bCs/>
                <w:color w:val="000000"/>
                <w:kern w:val="0"/>
                <w:sz w:val="24"/>
                <w:szCs w:val="24"/>
                <w:lang w:val="en-US" w:bidi="ar"/>
              </w:rPr>
            </w:pPr>
            <w:r>
              <w:rPr>
                <w:rFonts w:ascii="Times New Roman" w:hAnsi="Times New Roman" w:eastAsia="SimSun" w:cs="Times New Roman"/>
                <w:b/>
                <w:bCs/>
                <w:color w:val="000000"/>
                <w:kern w:val="0"/>
                <w:sz w:val="24"/>
                <w:szCs w:val="24"/>
                <w:lang w:val="en-US" w:bidi="ar"/>
              </w:rPr>
              <w:t>Coefficient</w:t>
            </w:r>
            <w:r>
              <w:rPr>
                <w:rFonts w:hint="eastAsia" w:ascii="Times New Roman" w:hAnsi="Times New Roman" w:eastAsia="SimSun" w:cs="Times New Roman"/>
                <w:b/>
                <w:bCs/>
                <w:color w:val="000000"/>
                <w:kern w:val="0"/>
                <w:sz w:val="24"/>
                <w:szCs w:val="24"/>
                <w:lang w:val="en-US" w:bidi="ar"/>
              </w:rPr>
              <w:t>s</w:t>
            </w:r>
            <w:r>
              <w:rPr>
                <w:rFonts w:ascii="Times New Roman" w:hAnsi="Times New Roman" w:eastAsia="SimSun" w:cs="Times New Roman"/>
                <w:b/>
                <w:bCs/>
                <w:color w:val="000000"/>
                <w:kern w:val="0"/>
                <w:sz w:val="24"/>
                <w:szCs w:val="24"/>
                <w:lang w:val="en-US" w:bidi="ar"/>
              </w:rPr>
              <w:t xml:space="preserve"> for the manure allocation</w:t>
            </w:r>
          </w:p>
        </w:tc>
      </w:tr>
      <w:tr w14:paraId="28EDE1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2160" w:type="dxa"/>
            <w:tcBorders>
              <w:left w:val="nil"/>
            </w:tcBorders>
            <w:shd w:val="clear" w:color="auto" w:fill="auto"/>
            <w:noWrap/>
          </w:tcPr>
          <w:p w14:paraId="2EC7BFF0">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Wheat</w:t>
            </w:r>
          </w:p>
        </w:tc>
        <w:tc>
          <w:tcPr>
            <w:tcW w:w="1843" w:type="dxa"/>
            <w:shd w:val="clear" w:color="auto" w:fill="auto"/>
            <w:noWrap/>
          </w:tcPr>
          <w:p w14:paraId="401B2BEF">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Wheat</w:t>
            </w:r>
          </w:p>
        </w:tc>
        <w:tc>
          <w:tcPr>
            <w:tcW w:w="2268" w:type="dxa"/>
            <w:shd w:val="clear" w:color="auto" w:fill="auto"/>
            <w:noWrap/>
          </w:tcPr>
          <w:p w14:paraId="6D71502E">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Group1 (G1)</w:t>
            </w:r>
          </w:p>
        </w:tc>
        <w:tc>
          <w:tcPr>
            <w:tcW w:w="1843" w:type="dxa"/>
            <w:shd w:val="clear" w:color="auto" w:fill="auto"/>
            <w:noWrap/>
          </w:tcPr>
          <w:p w14:paraId="2F1DE52E">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1</w:t>
            </w:r>
          </w:p>
        </w:tc>
      </w:tr>
      <w:tr w14:paraId="23B0B5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49009D6E">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Barley</w:t>
            </w:r>
          </w:p>
        </w:tc>
        <w:tc>
          <w:tcPr>
            <w:tcW w:w="1843" w:type="dxa"/>
            <w:shd w:val="clear" w:color="auto" w:fill="auto"/>
            <w:noWrap/>
          </w:tcPr>
          <w:p w14:paraId="37A4737B">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Barley</w:t>
            </w:r>
          </w:p>
        </w:tc>
        <w:tc>
          <w:tcPr>
            <w:tcW w:w="2268" w:type="dxa"/>
            <w:shd w:val="clear" w:color="auto" w:fill="auto"/>
            <w:noWrap/>
          </w:tcPr>
          <w:p w14:paraId="3AEF0C74">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Group1 (G1)</w:t>
            </w:r>
          </w:p>
        </w:tc>
        <w:tc>
          <w:tcPr>
            <w:tcW w:w="1843" w:type="dxa"/>
            <w:shd w:val="clear" w:color="auto" w:fill="auto"/>
            <w:noWrap/>
          </w:tcPr>
          <w:p w14:paraId="7FBD7EA6">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1</w:t>
            </w:r>
          </w:p>
        </w:tc>
      </w:tr>
      <w:tr w14:paraId="28D41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2" w:hRule="atLeast"/>
        </w:trPr>
        <w:tc>
          <w:tcPr>
            <w:tcW w:w="2160" w:type="dxa"/>
            <w:tcBorders>
              <w:left w:val="nil"/>
            </w:tcBorders>
            <w:shd w:val="clear" w:color="auto" w:fill="auto"/>
            <w:noWrap/>
          </w:tcPr>
          <w:p w14:paraId="4D3260E7">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Maize</w:t>
            </w:r>
          </w:p>
        </w:tc>
        <w:tc>
          <w:tcPr>
            <w:tcW w:w="1843" w:type="dxa"/>
            <w:shd w:val="clear" w:color="auto" w:fill="auto"/>
          </w:tcPr>
          <w:p w14:paraId="20BC66F8">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Grain maize, including corn cob maize</w:t>
            </w:r>
          </w:p>
        </w:tc>
        <w:tc>
          <w:tcPr>
            <w:tcW w:w="2268" w:type="dxa"/>
            <w:shd w:val="clear" w:color="auto" w:fill="auto"/>
          </w:tcPr>
          <w:p w14:paraId="76C704E4">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tcPr>
          <w:p w14:paraId="4C13A600">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2EEC4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6C31C9FC">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Green maize</w:t>
            </w:r>
          </w:p>
        </w:tc>
        <w:tc>
          <w:tcPr>
            <w:tcW w:w="1843" w:type="dxa"/>
            <w:shd w:val="clear" w:color="auto" w:fill="auto"/>
            <w:noWrap/>
          </w:tcPr>
          <w:p w14:paraId="4D1EB99D">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Silage maize</w:t>
            </w:r>
          </w:p>
        </w:tc>
        <w:tc>
          <w:tcPr>
            <w:tcW w:w="2268" w:type="dxa"/>
            <w:shd w:val="clear" w:color="auto" w:fill="auto"/>
            <w:noWrap/>
          </w:tcPr>
          <w:p w14:paraId="2EC3999F">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noWrap/>
          </w:tcPr>
          <w:p w14:paraId="20E93D95">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044B5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399DD31D">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Temp</w:t>
            </w:r>
            <w:r>
              <w:rPr>
                <w:rFonts w:hint="eastAsia" w:ascii="Times New Roman" w:hAnsi="Times New Roman" w:eastAsia="SimSun" w:cs="Times New Roman"/>
                <w:b w:val="0"/>
                <w:bCs w:val="0"/>
                <w:color w:val="000000"/>
                <w:kern w:val="0"/>
                <w:sz w:val="24"/>
                <w:szCs w:val="24"/>
                <w:lang w:val="en-US" w:bidi="ar"/>
              </w:rPr>
              <w:t>o</w:t>
            </w:r>
            <w:r>
              <w:rPr>
                <w:rFonts w:ascii="Times New Roman" w:hAnsi="Times New Roman" w:eastAsia="SimSun" w:cs="Times New Roman"/>
                <w:b w:val="0"/>
                <w:bCs w:val="0"/>
                <w:color w:val="000000"/>
                <w:kern w:val="0"/>
                <w:sz w:val="24"/>
                <w:szCs w:val="24"/>
                <w:lang w:val="en-US" w:bidi="ar"/>
              </w:rPr>
              <w:t>ra</w:t>
            </w:r>
            <w:r>
              <w:rPr>
                <w:rFonts w:hint="eastAsia" w:ascii="Times New Roman" w:hAnsi="Times New Roman" w:eastAsia="SimSun" w:cs="Times New Roman"/>
                <w:b w:val="0"/>
                <w:bCs w:val="0"/>
                <w:color w:val="000000"/>
                <w:kern w:val="0"/>
                <w:sz w:val="24"/>
                <w:szCs w:val="24"/>
                <w:lang w:val="en-US" w:bidi="ar"/>
              </w:rPr>
              <w:t>r</w:t>
            </w:r>
            <w:r>
              <w:rPr>
                <w:rFonts w:ascii="Times New Roman" w:hAnsi="Times New Roman" w:eastAsia="SimSun" w:cs="Times New Roman"/>
                <w:b w:val="0"/>
                <w:bCs w:val="0"/>
                <w:color w:val="000000"/>
                <w:kern w:val="0"/>
                <w:sz w:val="24"/>
                <w:szCs w:val="24"/>
                <w:lang w:val="en-US" w:bidi="ar"/>
              </w:rPr>
              <w:t>y grassland</w:t>
            </w:r>
          </w:p>
        </w:tc>
        <w:tc>
          <w:tcPr>
            <w:tcW w:w="1843" w:type="dxa"/>
            <w:shd w:val="clear" w:color="auto" w:fill="auto"/>
            <w:noWrap/>
          </w:tcPr>
          <w:p w14:paraId="76B8DB05">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Grassland*</w:t>
            </w:r>
          </w:p>
        </w:tc>
        <w:tc>
          <w:tcPr>
            <w:tcW w:w="2268" w:type="dxa"/>
            <w:shd w:val="clear" w:color="auto" w:fill="auto"/>
            <w:noWrap/>
          </w:tcPr>
          <w:p w14:paraId="2CB746B4">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Grass (Grass G1)</w:t>
            </w:r>
          </w:p>
        </w:tc>
        <w:tc>
          <w:tcPr>
            <w:tcW w:w="1843" w:type="dxa"/>
            <w:shd w:val="clear" w:color="auto" w:fill="auto"/>
            <w:noWrap/>
          </w:tcPr>
          <w:p w14:paraId="0E2032D9">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1</w:t>
            </w:r>
          </w:p>
        </w:tc>
      </w:tr>
      <w:tr w14:paraId="5A1039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5A85E830">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Legume fodder</w:t>
            </w:r>
          </w:p>
        </w:tc>
        <w:tc>
          <w:tcPr>
            <w:tcW w:w="1843" w:type="dxa"/>
            <w:shd w:val="clear" w:color="auto" w:fill="auto"/>
            <w:noWrap/>
          </w:tcPr>
          <w:p w14:paraId="5E2972D2">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Fodder (legumes)</w:t>
            </w:r>
          </w:p>
        </w:tc>
        <w:tc>
          <w:tcPr>
            <w:tcW w:w="2268" w:type="dxa"/>
            <w:shd w:val="clear" w:color="auto" w:fill="auto"/>
            <w:noWrap/>
          </w:tcPr>
          <w:p w14:paraId="7726C604">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Group4 (G4)</w:t>
            </w:r>
          </w:p>
        </w:tc>
        <w:tc>
          <w:tcPr>
            <w:tcW w:w="1843" w:type="dxa"/>
            <w:shd w:val="clear" w:color="auto" w:fill="auto"/>
            <w:noWrap/>
          </w:tcPr>
          <w:p w14:paraId="25877E97">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w:t>
            </w:r>
          </w:p>
        </w:tc>
      </w:tr>
      <w:tr w14:paraId="328D7A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3B7ACAC0">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Rapeseed</w:t>
            </w:r>
          </w:p>
        </w:tc>
        <w:tc>
          <w:tcPr>
            <w:tcW w:w="1843" w:type="dxa"/>
            <w:shd w:val="clear" w:color="auto" w:fill="auto"/>
            <w:noWrap/>
          </w:tcPr>
          <w:p w14:paraId="70C10D20">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 xml:space="preserve">Oilseed rape </w:t>
            </w:r>
          </w:p>
        </w:tc>
        <w:tc>
          <w:tcPr>
            <w:tcW w:w="2268" w:type="dxa"/>
            <w:shd w:val="clear" w:color="auto" w:fill="auto"/>
            <w:noWrap/>
          </w:tcPr>
          <w:p w14:paraId="39217B9D">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Group1 (G1)</w:t>
            </w:r>
          </w:p>
        </w:tc>
        <w:tc>
          <w:tcPr>
            <w:tcW w:w="1843" w:type="dxa"/>
            <w:shd w:val="clear" w:color="auto" w:fill="auto"/>
            <w:noWrap/>
          </w:tcPr>
          <w:p w14:paraId="548FFA98">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1</w:t>
            </w:r>
          </w:p>
        </w:tc>
      </w:tr>
      <w:tr w14:paraId="2F284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78ABEACC">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Sunflower</w:t>
            </w:r>
          </w:p>
        </w:tc>
        <w:tc>
          <w:tcPr>
            <w:tcW w:w="1843" w:type="dxa"/>
            <w:shd w:val="clear" w:color="auto" w:fill="auto"/>
            <w:noWrap/>
          </w:tcPr>
          <w:p w14:paraId="765B9163">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Sunflower, soya, linseed</w:t>
            </w:r>
          </w:p>
        </w:tc>
        <w:tc>
          <w:tcPr>
            <w:tcW w:w="2268" w:type="dxa"/>
            <w:shd w:val="clear" w:color="auto" w:fill="auto"/>
            <w:noWrap/>
          </w:tcPr>
          <w:p w14:paraId="31E577C7">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noWrap/>
          </w:tcPr>
          <w:p w14:paraId="4B30EE06">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27844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378A2E83">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Soybean</w:t>
            </w:r>
          </w:p>
        </w:tc>
        <w:tc>
          <w:tcPr>
            <w:tcW w:w="1843" w:type="dxa"/>
            <w:shd w:val="clear" w:color="auto" w:fill="auto"/>
            <w:noWrap/>
          </w:tcPr>
          <w:p w14:paraId="4B2721EB">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Sunflower, soya, linseed</w:t>
            </w:r>
          </w:p>
        </w:tc>
        <w:tc>
          <w:tcPr>
            <w:tcW w:w="2268" w:type="dxa"/>
            <w:shd w:val="clear" w:color="auto" w:fill="auto"/>
            <w:noWrap/>
          </w:tcPr>
          <w:p w14:paraId="374D1567">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Group4 (G4)</w:t>
            </w:r>
          </w:p>
        </w:tc>
        <w:tc>
          <w:tcPr>
            <w:tcW w:w="1843" w:type="dxa"/>
            <w:shd w:val="clear" w:color="auto" w:fill="auto"/>
            <w:noWrap/>
          </w:tcPr>
          <w:p w14:paraId="233AF2E0">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w:t>
            </w:r>
          </w:p>
        </w:tc>
      </w:tr>
      <w:tr w14:paraId="1185D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18E8C620">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Oats</w:t>
            </w:r>
          </w:p>
        </w:tc>
        <w:tc>
          <w:tcPr>
            <w:tcW w:w="1843" w:type="dxa"/>
            <w:shd w:val="clear" w:color="auto" w:fill="auto"/>
            <w:noWrap/>
          </w:tcPr>
          <w:p w14:paraId="35056635">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Rye, triticale, oats, rice</w:t>
            </w:r>
          </w:p>
        </w:tc>
        <w:tc>
          <w:tcPr>
            <w:tcW w:w="2268" w:type="dxa"/>
            <w:shd w:val="clear" w:color="auto" w:fill="auto"/>
            <w:noWrap/>
          </w:tcPr>
          <w:p w14:paraId="2B2EDC04">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noWrap/>
          </w:tcPr>
          <w:p w14:paraId="3FBB5A59">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2D29B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571A70FA">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Rice</w:t>
            </w:r>
          </w:p>
        </w:tc>
        <w:tc>
          <w:tcPr>
            <w:tcW w:w="1843" w:type="dxa"/>
            <w:shd w:val="clear" w:color="auto" w:fill="auto"/>
            <w:noWrap/>
          </w:tcPr>
          <w:p w14:paraId="2C6D02AF">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Rye, triticale, oats, rice</w:t>
            </w:r>
          </w:p>
        </w:tc>
        <w:tc>
          <w:tcPr>
            <w:tcW w:w="2268" w:type="dxa"/>
            <w:shd w:val="clear" w:color="auto" w:fill="auto"/>
            <w:noWrap/>
          </w:tcPr>
          <w:p w14:paraId="6D0CC192">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Group4 (G4)</w:t>
            </w:r>
          </w:p>
        </w:tc>
        <w:tc>
          <w:tcPr>
            <w:tcW w:w="1843" w:type="dxa"/>
            <w:shd w:val="clear" w:color="auto" w:fill="auto"/>
            <w:noWrap/>
          </w:tcPr>
          <w:p w14:paraId="1D6B019E">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w:t>
            </w:r>
          </w:p>
        </w:tc>
      </w:tr>
      <w:tr w14:paraId="1AB40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352C8EA2">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Rye</w:t>
            </w:r>
          </w:p>
        </w:tc>
        <w:tc>
          <w:tcPr>
            <w:tcW w:w="1843" w:type="dxa"/>
            <w:shd w:val="clear" w:color="auto" w:fill="auto"/>
            <w:noWrap/>
          </w:tcPr>
          <w:p w14:paraId="0968BBF0">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Rye, triticale, oats, rice</w:t>
            </w:r>
          </w:p>
        </w:tc>
        <w:tc>
          <w:tcPr>
            <w:tcW w:w="2268" w:type="dxa"/>
            <w:shd w:val="clear" w:color="auto" w:fill="auto"/>
            <w:noWrap/>
          </w:tcPr>
          <w:p w14:paraId="11FEACEC">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noWrap/>
          </w:tcPr>
          <w:p w14:paraId="723C9F31">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5C3C8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06ED902F">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Potato</w:t>
            </w:r>
          </w:p>
        </w:tc>
        <w:tc>
          <w:tcPr>
            <w:tcW w:w="1843" w:type="dxa"/>
            <w:shd w:val="clear" w:color="auto" w:fill="auto"/>
            <w:noWrap/>
          </w:tcPr>
          <w:p w14:paraId="62C11E0F">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Potato</w:t>
            </w:r>
          </w:p>
        </w:tc>
        <w:tc>
          <w:tcPr>
            <w:tcW w:w="2268" w:type="dxa"/>
            <w:shd w:val="clear" w:color="auto" w:fill="auto"/>
            <w:noWrap/>
          </w:tcPr>
          <w:p w14:paraId="25AB0E20">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noWrap/>
          </w:tcPr>
          <w:p w14:paraId="2E49B1F3">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42DEB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18FA1032">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Sugarbeet</w:t>
            </w:r>
          </w:p>
        </w:tc>
        <w:tc>
          <w:tcPr>
            <w:tcW w:w="1843" w:type="dxa"/>
            <w:shd w:val="clear" w:color="auto" w:fill="auto"/>
            <w:noWrap/>
          </w:tcPr>
          <w:p w14:paraId="4C4C132C">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Sugar beet</w:t>
            </w:r>
          </w:p>
        </w:tc>
        <w:tc>
          <w:tcPr>
            <w:tcW w:w="2268" w:type="dxa"/>
            <w:shd w:val="clear" w:color="auto" w:fill="auto"/>
            <w:noWrap/>
          </w:tcPr>
          <w:p w14:paraId="1D8863FD">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Group1 (G1)</w:t>
            </w:r>
          </w:p>
        </w:tc>
        <w:tc>
          <w:tcPr>
            <w:tcW w:w="1843" w:type="dxa"/>
            <w:shd w:val="clear" w:color="auto" w:fill="auto"/>
            <w:noWrap/>
          </w:tcPr>
          <w:p w14:paraId="1470B50F">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1</w:t>
            </w:r>
          </w:p>
        </w:tc>
      </w:tr>
      <w:tr w14:paraId="3E283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748F7DEE">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Peas and beans</w:t>
            </w:r>
          </w:p>
        </w:tc>
        <w:tc>
          <w:tcPr>
            <w:tcW w:w="1843" w:type="dxa"/>
            <w:shd w:val="clear" w:color="auto" w:fill="auto"/>
            <w:noWrap/>
          </w:tcPr>
          <w:p w14:paraId="3FDF11F1">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Pulses</w:t>
            </w:r>
          </w:p>
        </w:tc>
        <w:tc>
          <w:tcPr>
            <w:tcW w:w="2268" w:type="dxa"/>
            <w:shd w:val="clear" w:color="auto" w:fill="auto"/>
            <w:noWrap/>
          </w:tcPr>
          <w:p w14:paraId="6BC01567">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Group4 (G4)</w:t>
            </w:r>
          </w:p>
        </w:tc>
        <w:tc>
          <w:tcPr>
            <w:tcW w:w="1843" w:type="dxa"/>
            <w:shd w:val="clear" w:color="auto" w:fill="auto"/>
            <w:noWrap/>
          </w:tcPr>
          <w:p w14:paraId="4301FBDE">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w:t>
            </w:r>
          </w:p>
        </w:tc>
      </w:tr>
      <w:tr w14:paraId="1E7B7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282F28BE">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Nuts</w:t>
            </w:r>
          </w:p>
        </w:tc>
        <w:tc>
          <w:tcPr>
            <w:tcW w:w="1843" w:type="dxa"/>
            <w:shd w:val="clear" w:color="auto" w:fill="auto"/>
            <w:noWrap/>
          </w:tcPr>
          <w:p w14:paraId="343AD252">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Other crops</w:t>
            </w:r>
          </w:p>
        </w:tc>
        <w:tc>
          <w:tcPr>
            <w:tcW w:w="2268" w:type="dxa"/>
            <w:shd w:val="clear" w:color="auto" w:fill="auto"/>
            <w:noWrap/>
          </w:tcPr>
          <w:p w14:paraId="4FA370B3">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Group3 (G3)</w:t>
            </w:r>
          </w:p>
        </w:tc>
        <w:tc>
          <w:tcPr>
            <w:tcW w:w="1843" w:type="dxa"/>
            <w:shd w:val="clear" w:color="auto" w:fill="auto"/>
            <w:noWrap/>
          </w:tcPr>
          <w:p w14:paraId="4C2765DB">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0.25</w:t>
            </w:r>
          </w:p>
        </w:tc>
      </w:tr>
      <w:tr w14:paraId="71E8C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00F00010">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Fruit</w:t>
            </w:r>
          </w:p>
        </w:tc>
        <w:tc>
          <w:tcPr>
            <w:tcW w:w="1843" w:type="dxa"/>
            <w:shd w:val="clear" w:color="auto" w:fill="auto"/>
            <w:noWrap/>
          </w:tcPr>
          <w:p w14:paraId="123F1445">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Permanent fruit</w:t>
            </w:r>
          </w:p>
        </w:tc>
        <w:tc>
          <w:tcPr>
            <w:tcW w:w="2268" w:type="dxa"/>
            <w:shd w:val="clear" w:color="auto" w:fill="auto"/>
            <w:noWrap/>
          </w:tcPr>
          <w:p w14:paraId="18F96639">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Group3 (G3)</w:t>
            </w:r>
          </w:p>
        </w:tc>
        <w:tc>
          <w:tcPr>
            <w:tcW w:w="1843" w:type="dxa"/>
            <w:shd w:val="clear" w:color="auto" w:fill="auto"/>
            <w:noWrap/>
          </w:tcPr>
          <w:p w14:paraId="32D35ECE">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0.25</w:t>
            </w:r>
          </w:p>
        </w:tc>
      </w:tr>
      <w:tr w14:paraId="141157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60" w:type="dxa"/>
            <w:tcBorders>
              <w:left w:val="nil"/>
            </w:tcBorders>
            <w:shd w:val="clear" w:color="auto" w:fill="auto"/>
            <w:noWrap/>
          </w:tcPr>
          <w:p w14:paraId="0A64DA9C">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Vegetable</w:t>
            </w:r>
          </w:p>
        </w:tc>
        <w:tc>
          <w:tcPr>
            <w:tcW w:w="1843" w:type="dxa"/>
            <w:shd w:val="clear" w:color="auto" w:fill="auto"/>
            <w:noWrap/>
          </w:tcPr>
          <w:p w14:paraId="5A234AF1">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Vegetables</w:t>
            </w:r>
          </w:p>
        </w:tc>
        <w:tc>
          <w:tcPr>
            <w:tcW w:w="2268" w:type="dxa"/>
            <w:shd w:val="clear" w:color="auto" w:fill="auto"/>
            <w:noWrap/>
          </w:tcPr>
          <w:p w14:paraId="16FEE934">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Group2 (G2)</w:t>
            </w:r>
          </w:p>
        </w:tc>
        <w:tc>
          <w:tcPr>
            <w:tcW w:w="1843" w:type="dxa"/>
            <w:shd w:val="clear" w:color="auto" w:fill="auto"/>
            <w:noWrap/>
          </w:tcPr>
          <w:p w14:paraId="4C4527B6">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r w14:paraId="52663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2160" w:type="dxa"/>
            <w:tcBorders>
              <w:left w:val="nil"/>
              <w:bottom w:val="nil"/>
            </w:tcBorders>
            <w:shd w:val="clear" w:color="auto" w:fill="auto"/>
            <w:noWrap/>
          </w:tcPr>
          <w:p w14:paraId="784FB555">
            <w:pPr>
              <w:widowControl/>
              <w:jc w:val="left"/>
              <w:textAlignment w:val="center"/>
              <w:rPr>
                <w:rFonts w:ascii="Times New Roman" w:hAnsi="Times New Roman" w:cs="Times New Roman"/>
                <w:b w:val="0"/>
                <w:bCs w:val="0"/>
                <w:color w:val="000000"/>
                <w:sz w:val="24"/>
                <w:szCs w:val="24"/>
              </w:rPr>
            </w:pPr>
            <w:r>
              <w:rPr>
                <w:rFonts w:ascii="Times New Roman" w:hAnsi="Times New Roman" w:eastAsia="SimSun" w:cs="Times New Roman"/>
                <w:b w:val="0"/>
                <w:bCs w:val="0"/>
                <w:color w:val="000000"/>
                <w:kern w:val="0"/>
                <w:sz w:val="24"/>
                <w:szCs w:val="24"/>
                <w:lang w:val="en-US" w:bidi="ar"/>
              </w:rPr>
              <w:t>Permanent grassland</w:t>
            </w:r>
          </w:p>
        </w:tc>
        <w:tc>
          <w:tcPr>
            <w:tcW w:w="1843" w:type="dxa"/>
            <w:shd w:val="clear" w:color="auto" w:fill="auto"/>
          </w:tcPr>
          <w:p w14:paraId="24EC8833">
            <w:pPr>
              <w:widowControl/>
              <w:jc w:val="left"/>
              <w:textAlignment w:val="center"/>
              <w:rPr>
                <w:rFonts w:ascii="Times New Roman" w:hAnsi="Times New Roman" w:cs="Times New Roman"/>
                <w:color w:val="000000"/>
                <w:sz w:val="24"/>
                <w:szCs w:val="24"/>
              </w:rPr>
            </w:pPr>
            <w:r>
              <w:rPr>
                <w:rFonts w:ascii="Times New Roman" w:hAnsi="Times New Roman" w:eastAsia="SimSun" w:cs="Times New Roman"/>
                <w:color w:val="000000"/>
                <w:kern w:val="0"/>
                <w:sz w:val="24"/>
                <w:szCs w:val="24"/>
                <w:lang w:val="en-US" w:bidi="ar"/>
              </w:rPr>
              <w:t>Grassland*</w:t>
            </w:r>
          </w:p>
        </w:tc>
        <w:tc>
          <w:tcPr>
            <w:tcW w:w="2268" w:type="dxa"/>
            <w:shd w:val="clear" w:color="auto" w:fill="auto"/>
          </w:tcPr>
          <w:p w14:paraId="2131CBFE">
            <w:pPr>
              <w:widowControl/>
              <w:jc w:val="left"/>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Grass (Grass G2)</w:t>
            </w:r>
          </w:p>
        </w:tc>
        <w:tc>
          <w:tcPr>
            <w:tcW w:w="1843" w:type="dxa"/>
            <w:shd w:val="clear" w:color="auto" w:fill="auto"/>
          </w:tcPr>
          <w:p w14:paraId="0E6BA359">
            <w:pPr>
              <w:widowControl/>
              <w:jc w:val="center"/>
              <w:textAlignment w:val="center"/>
              <w:rPr>
                <w:rFonts w:ascii="Times New Roman" w:hAnsi="Times New Roman" w:eastAsia="SimSun" w:cs="Times New Roman"/>
                <w:color w:val="000000"/>
                <w:kern w:val="0"/>
                <w:sz w:val="24"/>
                <w:szCs w:val="24"/>
                <w:lang w:val="en-US" w:bidi="ar"/>
              </w:rPr>
            </w:pPr>
            <w:r>
              <w:rPr>
                <w:rFonts w:hint="eastAsia" w:ascii="Times New Roman" w:hAnsi="Times New Roman" w:eastAsia="SimSun" w:cs="Times New Roman"/>
                <w:color w:val="000000"/>
                <w:kern w:val="0"/>
                <w:sz w:val="24"/>
                <w:szCs w:val="24"/>
                <w:lang w:val="en-US" w:bidi="ar"/>
              </w:rPr>
              <w:t>0.5</w:t>
            </w:r>
          </w:p>
        </w:tc>
      </w:tr>
    </w:tbl>
    <w:p w14:paraId="36ABE410">
      <w:pPr>
        <w:rPr>
          <w:rFonts w:ascii="Times New Roman" w:hAnsi="Times New Roman" w:cs="Times New Roman"/>
          <w:lang w:val="en-US"/>
        </w:rPr>
      </w:pPr>
      <w:r>
        <w:rPr>
          <w:rFonts w:hint="eastAsia" w:ascii="Times New Roman" w:hAnsi="Times New Roman" w:cs="Times New Roman"/>
          <w:lang w:val="en-US"/>
        </w:rPr>
        <w:t>Note: * means ratios of permanent grass fertilizer use to temporary grass fertilizer use were taken from Einarsson et al.</w:t>
      </w:r>
      <w:r>
        <w:rPr>
          <w:rFonts w:ascii="Times New Roman" w:hAnsi="Times New Roman" w:cs="Times New Roman"/>
          <w:lang w:val="en-US"/>
        </w:rPr>
        <w:fldChar w:fldCharType="begin"/>
      </w:r>
      <w:r>
        <w:rPr>
          <w:rFonts w:ascii="Times New Roman" w:hAnsi="Times New Roman" w:cs="Times New Roman"/>
          <w:lang w:val="en-US"/>
        </w:rPr>
        <w:instrText xml:space="preserve"> ADDIN ZOTERO_ITEM CSL_CITATION {"citationID":"xRouxczl","properties":{"formattedCitation":"\\super 6\\nosupersub{}","plainCitation":"6","noteIndex":0},"citationItems":[{"id":11398,"uris":["http://zotero.org/users/7789508/items/B2N543XU"],"itemData":{"id":11398,"type":"article-journal","abstract":"This paper presents EuropeAgriDB v1.0, a dataset of crop production and nitrogen (N) flows in European cropland 1961–2019. The dataset covers 26 present-day countries, detailing the cropland N harvests in 17 crop categories as well as cropland N inputs in synthetic fertilizers, manure, symbiotic fixation, and atmospheric deposition. The study builds on established methods but goes beyond previous research by combining data from FAOSTAT, Eurostat, and a range of national data sources. The result is a detailed, complete, and consistent dataset, intended as a basis for further analyses of past and present agricultural production patterns, as well as construction of scenarios for the future.","archive_location":"8 citation(s)","call-number":"2","container-title":"Scientific Data","DOI":"10.1038/s41597-021-01061-z","ISSN":"2052-4463","issue":"1","journalAbbreviation":"Sci Data","language":"en","license":"2021 The Author(s)","note":"number: 1\npublisher: Nature Publishing Group","page":"288","source":"8.501 (Q1)","title":"Crop production and nitrogen use in European cropland and grassland 1961–2019","volume":"8","author":[{"family":"Einarsson","given":"Rasmus"},{"family":"Sanz-Cobena","given":"Alberto"},{"family":"Aguilera","given":"Eduardo"},{"family":"Billen","given":"Gilles"},{"family":"Garnier","given":"Josette"},{"family":"Grinsven","given":"Hans J. M.","non-dropping-particle":"van"},{"family":"Lassaletta","given":"Luis"}],"issued":{"date-parts":[["2021",10,29]]}}}],"schema":"https://github.com/citation-style-language/schema/raw/master/csl-citation.json"} </w:instrText>
      </w:r>
      <w:r>
        <w:rPr>
          <w:rFonts w:ascii="Times New Roman" w:hAnsi="Times New Roman" w:cs="Times New Roman"/>
          <w:lang w:val="en-US"/>
        </w:rPr>
        <w:fldChar w:fldCharType="separate"/>
      </w:r>
      <w:r>
        <w:rPr>
          <w:rFonts w:ascii="Times New Roman" w:hAnsi="Times New Roman" w:cs="Times New Roman"/>
          <w:kern w:val="0"/>
          <w:vertAlign w:val="superscript"/>
        </w:rPr>
        <w:t>6</w:t>
      </w:r>
      <w:r>
        <w:rPr>
          <w:rFonts w:ascii="Times New Roman" w:hAnsi="Times New Roman" w:cs="Times New Roman"/>
          <w:lang w:val="en-US"/>
        </w:rPr>
        <w:fldChar w:fldCharType="end"/>
      </w:r>
    </w:p>
    <w:p w14:paraId="7B59118D">
      <w:pPr>
        <w:jc w:val="left"/>
        <w:rPr>
          <w:rFonts w:ascii="Times New Roman" w:hAnsi="Times New Roman" w:cs="Times New Roman"/>
          <w:lang w:val="en-US"/>
        </w:rPr>
      </w:pPr>
      <w:r>
        <w:rPr>
          <w:rFonts w:hint="eastAsia" w:ascii="Times New Roman" w:hAnsi="Times New Roman" w:cs="Times New Roman"/>
          <w:lang w:val="en-US"/>
        </w:rPr>
        <w:t>G1, G2 ,G3, G4, Grass G1 and Grass G2 are abbreviations of crop and grass groups for manure allocations, which correspond to abbreviations used in equations in our main text.</w:t>
      </w:r>
    </w:p>
    <w:p w14:paraId="230342F7">
      <w:pPr>
        <w:rPr>
          <w:rFonts w:ascii="Times New Roman" w:hAnsi="Times New Roman" w:cs="Times New Roman"/>
          <w:lang w:val="en-US"/>
        </w:rPr>
      </w:pPr>
    </w:p>
    <w:p w14:paraId="2695B830">
      <w:pPr>
        <w:jc w:val="center"/>
        <w:rPr>
          <w:rFonts w:ascii="Times New Roman" w:hAnsi="Times New Roman" w:cs="Times New Roman"/>
          <w:lang w:val="en-US"/>
        </w:rPr>
      </w:pPr>
      <w:r>
        <w:rPr>
          <w:rFonts w:hint="eastAsia"/>
          <w:lang w:val="en-US"/>
        </w:rPr>
        <w:t xml:space="preserve"> </w:t>
      </w:r>
    </w:p>
    <w:p w14:paraId="23226C53">
      <w:pPr>
        <w:jc w:val="center"/>
        <w:rPr>
          <w:rFonts w:ascii="Times New Roman" w:hAnsi="Times New Roman" w:cs="Times New Roman"/>
          <w:sz w:val="24"/>
          <w:szCs w:val="24"/>
          <w:lang w:val="en-US"/>
        </w:rPr>
      </w:pPr>
      <w:r>
        <w:rPr>
          <w:rFonts w:ascii="Times New Roman" w:hAnsi="Times New Roman" w:cs="Times New Roman"/>
          <w:b/>
          <w:bCs/>
          <w:sz w:val="24"/>
          <w:szCs w:val="24"/>
          <w:lang w:val="en-US"/>
        </w:rPr>
        <w:t>Table S</w:t>
      </w:r>
      <w:r>
        <w:rPr>
          <w:rFonts w:hint="eastAsia" w:ascii="Times New Roman" w:hAnsi="Times New Roman" w:cs="Times New Roman"/>
          <w:b/>
          <w:bCs/>
          <w:sz w:val="24"/>
          <w:szCs w:val="24"/>
          <w:lang w:val="en-US"/>
        </w:rPr>
        <w:t>5</w:t>
      </w:r>
      <w:r>
        <w:rPr>
          <w:rFonts w:hint="eastAsia" w:ascii="Times New Roman" w:hAnsi="Times New Roman" w:cs="Times New Roman"/>
          <w:sz w:val="24"/>
          <w:szCs w:val="24"/>
          <w:lang w:val="en-US"/>
        </w:rPr>
        <w:t xml:space="preserve"> Country categories regarding grassland fertilization</w:t>
      </w: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0"/>
        <w:gridCol w:w="3112"/>
        <w:gridCol w:w="3940"/>
      </w:tblGrid>
      <w:tr w14:paraId="35F1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blHeader/>
        </w:trPr>
        <w:tc>
          <w:tcPr>
            <w:tcW w:w="839" w:type="pct"/>
            <w:shd w:val="clear" w:color="auto" w:fill="F4B083" w:themeFill="accent2" w:themeFillTint="99"/>
            <w:noWrap/>
            <w:vAlign w:val="bottom"/>
          </w:tcPr>
          <w:p w14:paraId="4D36BBF2">
            <w:pPr>
              <w:widowControl/>
              <w:spacing w:after="0" w:line="240" w:lineRule="auto"/>
              <w:jc w:val="left"/>
              <w:rPr>
                <w:rFonts w:ascii="Times New Roman" w:hAnsi="Times New Roman" w:eastAsia="Times New Roman" w:cs="Times New Roman"/>
                <w:b/>
                <w:bCs/>
                <w:color w:val="000000"/>
                <w:kern w:val="0"/>
                <w:sz w:val="24"/>
                <w:szCs w:val="24"/>
                <w14:ligatures w14:val="none"/>
              </w:rPr>
            </w:pPr>
            <w:r>
              <w:rPr>
                <w:rFonts w:ascii="Times New Roman" w:hAnsi="Times New Roman" w:eastAsia="Times New Roman" w:cs="Times New Roman"/>
                <w:b/>
                <w:bCs/>
                <w:color w:val="000000"/>
                <w:kern w:val="0"/>
                <w:sz w:val="24"/>
                <w:szCs w:val="24"/>
                <w14:ligatures w14:val="none"/>
              </w:rPr>
              <w:t>Country groups</w:t>
            </w:r>
          </w:p>
        </w:tc>
        <w:tc>
          <w:tcPr>
            <w:tcW w:w="2404" w:type="pct"/>
            <w:shd w:val="clear" w:color="auto" w:fill="F4B083" w:themeFill="accent2" w:themeFillTint="99"/>
            <w:noWrap/>
            <w:vAlign w:val="bottom"/>
          </w:tcPr>
          <w:p w14:paraId="47D50BC7">
            <w:pPr>
              <w:widowControl/>
              <w:spacing w:after="0" w:line="240" w:lineRule="auto"/>
              <w:jc w:val="left"/>
              <w:rPr>
                <w:rFonts w:ascii="Times New Roman" w:hAnsi="Times New Roman" w:eastAsia="Times New Roman" w:cs="Times New Roman"/>
                <w:b/>
                <w:bCs/>
                <w:color w:val="000000"/>
                <w:kern w:val="0"/>
                <w:sz w:val="24"/>
                <w:szCs w:val="24"/>
                <w14:ligatures w14:val="none"/>
              </w:rPr>
            </w:pPr>
            <w:r>
              <w:rPr>
                <w:rFonts w:ascii="Times New Roman" w:hAnsi="Times New Roman" w:eastAsia="Times New Roman" w:cs="Times New Roman"/>
                <w:b/>
                <w:bCs/>
                <w:color w:val="000000"/>
                <w:kern w:val="0"/>
                <w:sz w:val="24"/>
                <w:szCs w:val="24"/>
                <w14:ligatures w14:val="none"/>
              </w:rPr>
              <w:t>Characters of fertilization on grasses</w:t>
            </w:r>
          </w:p>
        </w:tc>
        <w:tc>
          <w:tcPr>
            <w:tcW w:w="1757" w:type="pct"/>
            <w:shd w:val="clear" w:color="auto" w:fill="F4B083" w:themeFill="accent2" w:themeFillTint="99"/>
            <w:noWrap/>
            <w:vAlign w:val="center"/>
          </w:tcPr>
          <w:p w14:paraId="5331BB77">
            <w:pPr>
              <w:widowControl/>
              <w:spacing w:after="0" w:line="240" w:lineRule="auto"/>
              <w:jc w:val="center"/>
              <w:rPr>
                <w:rFonts w:ascii="Times New Roman" w:hAnsi="Times New Roman" w:eastAsia="Times New Roman" w:cs="Times New Roman"/>
                <w:b/>
                <w:bCs/>
                <w:color w:val="000000"/>
                <w:kern w:val="0"/>
                <w:sz w:val="24"/>
                <w:szCs w:val="24"/>
                <w14:ligatures w14:val="none"/>
              </w:rPr>
            </w:pPr>
            <w:r>
              <w:rPr>
                <w:rFonts w:ascii="Times New Roman" w:hAnsi="Times New Roman" w:eastAsia="Times New Roman" w:cs="Times New Roman"/>
                <w:b/>
                <w:bCs/>
                <w:color w:val="000000"/>
                <w:kern w:val="0"/>
                <w:sz w:val="24"/>
                <w:szCs w:val="24"/>
                <w14:ligatures w14:val="none"/>
              </w:rPr>
              <w:t>Cou</w:t>
            </w:r>
            <w:r>
              <w:rPr>
                <w:rFonts w:ascii="Times New Roman" w:hAnsi="Times New Roman" w:cs="Times New Roman"/>
                <w:b/>
                <w:bCs/>
                <w:color w:val="000000"/>
                <w:kern w:val="0"/>
                <w:sz w:val="24"/>
                <w:szCs w:val="24"/>
                <w14:ligatures w14:val="none"/>
              </w:rPr>
              <w:t>n</w:t>
            </w:r>
            <w:r>
              <w:rPr>
                <w:rFonts w:ascii="Times New Roman" w:hAnsi="Times New Roman" w:eastAsia="Times New Roman" w:cs="Times New Roman"/>
                <w:b/>
                <w:bCs/>
                <w:color w:val="000000"/>
                <w:kern w:val="0"/>
                <w:sz w:val="24"/>
                <w:szCs w:val="24"/>
                <w14:ligatures w14:val="none"/>
              </w:rPr>
              <w:t>tries</w:t>
            </w:r>
          </w:p>
        </w:tc>
      </w:tr>
      <w:tr w14:paraId="76355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839" w:type="pct"/>
            <w:shd w:val="clear" w:color="auto" w:fill="auto"/>
            <w:noWrap/>
            <w:vAlign w:val="center"/>
          </w:tcPr>
          <w:p w14:paraId="138030BD">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Group</w:t>
            </w:r>
            <w:r>
              <w:rPr>
                <w:rFonts w:hint="eastAsia"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1 (GF1)</w:t>
            </w:r>
          </w:p>
        </w:tc>
        <w:tc>
          <w:tcPr>
            <w:tcW w:w="2404" w:type="pct"/>
            <w:shd w:val="clear" w:color="auto" w:fill="auto"/>
            <w:noWrap/>
            <w:vAlign w:val="center"/>
          </w:tcPr>
          <w:p w14:paraId="37DA6F78">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Only temporary grasses are fertilized</w:t>
            </w:r>
          </w:p>
        </w:tc>
        <w:tc>
          <w:tcPr>
            <w:tcW w:w="1757" w:type="pct"/>
            <w:shd w:val="clear" w:color="auto" w:fill="auto"/>
            <w:vAlign w:val="bottom"/>
          </w:tcPr>
          <w:p w14:paraId="51F319E5">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Bulgaria, Spain, Greece, Estonia, Finland, Hungary, Croatia, Netherlands, Lithuania, Latvia, Sweden, Romania, Portugal, the U</w:t>
            </w:r>
            <w:r>
              <w:rPr>
                <w:rFonts w:hint="eastAsia" w:ascii="Times New Roman" w:hAnsi="Times New Roman" w:cs="Times New Roman"/>
                <w:color w:val="000000"/>
                <w:kern w:val="0"/>
                <w:sz w:val="24"/>
                <w:szCs w:val="24"/>
                <w14:ligatures w14:val="none"/>
              </w:rPr>
              <w:t>nited Kingdom</w:t>
            </w:r>
          </w:p>
        </w:tc>
      </w:tr>
      <w:tr w14:paraId="08667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39" w:type="pct"/>
            <w:shd w:val="clear" w:color="auto" w:fill="auto"/>
            <w:noWrap/>
            <w:vAlign w:val="center"/>
          </w:tcPr>
          <w:p w14:paraId="770E003C">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Group</w:t>
            </w:r>
            <w:r>
              <w:rPr>
                <w:rFonts w:hint="eastAsia"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2 (GF2)</w:t>
            </w:r>
          </w:p>
        </w:tc>
        <w:tc>
          <w:tcPr>
            <w:tcW w:w="2404" w:type="pct"/>
            <w:shd w:val="clear" w:color="auto" w:fill="auto"/>
            <w:vAlign w:val="bottom"/>
          </w:tcPr>
          <w:p w14:paraId="6F2BF681">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Ratios between tempora</w:t>
            </w:r>
            <w:r>
              <w:rPr>
                <w:rFonts w:ascii="Times New Roman" w:hAnsi="Times New Roman" w:cs="Times New Roman"/>
                <w:color w:val="000000"/>
                <w:kern w:val="0"/>
                <w:sz w:val="24"/>
                <w:szCs w:val="24"/>
                <w14:ligatures w14:val="none"/>
              </w:rPr>
              <w:t>r</w:t>
            </w:r>
            <w:r>
              <w:rPr>
                <w:rFonts w:ascii="Times New Roman" w:hAnsi="Times New Roman" w:eastAsia="Times New Roman" w:cs="Times New Roman"/>
                <w:color w:val="000000"/>
                <w:kern w:val="0"/>
                <w:sz w:val="24"/>
                <w:szCs w:val="24"/>
                <w14:ligatures w14:val="none"/>
              </w:rPr>
              <w:t>y and permanent grasses could be obtained from Einarsson et al. directly</w:t>
            </w:r>
          </w:p>
        </w:tc>
        <w:tc>
          <w:tcPr>
            <w:tcW w:w="1757" w:type="pct"/>
            <w:shd w:val="clear" w:color="auto" w:fill="auto"/>
            <w:noWrap/>
            <w:vAlign w:val="center"/>
          </w:tcPr>
          <w:p w14:paraId="049CA4AF">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Belgium,</w:t>
            </w:r>
            <w:r>
              <w:rPr>
                <w:rFonts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Germany,</w:t>
            </w:r>
            <w:r>
              <w:rPr>
                <w:rFonts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Denmark,</w:t>
            </w:r>
            <w:r>
              <w:rPr>
                <w:rFonts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Ireland</w:t>
            </w:r>
          </w:p>
        </w:tc>
      </w:tr>
      <w:tr w14:paraId="766AE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52" w:hRule="atLeast"/>
        </w:trPr>
        <w:tc>
          <w:tcPr>
            <w:tcW w:w="839" w:type="pct"/>
            <w:shd w:val="clear" w:color="auto" w:fill="auto"/>
            <w:noWrap/>
            <w:vAlign w:val="center"/>
          </w:tcPr>
          <w:p w14:paraId="5EF32715">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Group</w:t>
            </w:r>
            <w:r>
              <w:rPr>
                <w:rFonts w:hint="eastAsia"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3 (GF3)</w:t>
            </w:r>
          </w:p>
        </w:tc>
        <w:tc>
          <w:tcPr>
            <w:tcW w:w="2404" w:type="pct"/>
            <w:shd w:val="clear" w:color="auto" w:fill="auto"/>
            <w:vAlign w:val="bottom"/>
          </w:tcPr>
          <w:p w14:paraId="312F45E5">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Ratios between temporary and permanent grasses could be calculated via information in Einarsson et al.</w:t>
            </w: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{"citationID":"PiFDBz3k","properties":{"formattedCitation":"\\super 6\\nosupersub{}","plainCitation":"6","noteIndex":0},"citationItems":[{"id":11398,"uris":["http://zotero.org/users/7789508/items/B2N543XU"],"itemData":{"id":11398,"type":"article-journal","abstract":"This paper presents EuropeAgriDB v1.0, a dataset of crop production and nitrogen (N) flows in European cropland 1961–2019. The dataset covers 26 present-day countries, detailing the cropland N harvests in 17 crop categories as well as cropland N inputs in synthetic fertilizers, manure, symbiotic fixation, and atmospheric deposition. The study builds on established methods but goes beyond previous research by combining data from FAOSTAT, Eurostat, and a range of national data sources. The result is a detailed, complete, and consistent dataset, intended as a basis for further analyses of past and present agricultural production patterns, as well as construction of scenarios for the future.","archive_location":"8 citation(s)","call-number":"2","container-title":"Scientific Data","DOI":"10.1038/s41597-021-01061-z","ISSN":"2052-4463","issue":"1","journalAbbreviation":"Sci Data","language":"en","license":"2021 The Author(s)","note":"number: 1\npublisher: Nature Publishing Group","page":"288","source":"8.501 (Q1)","title":"Crop production and nitrogen use in European cropland and grassland 1961–2019","volume":"8","author":[{"family":"Einarsson","given":"Rasmus"},{"family":"Sanz-Cobena","given":"Alberto"},{"family":"Aguilera","given":"Eduardo"},{"family":"Billen","given":"Gilles"},{"family":"Garnier","given":"Josette"},{"family":"Grinsven","given":"Hans J. M.","non-dropping-particle":"van"},{"family":"Lassaletta","given":"Luis"}],"issued":{"date-parts":[["2021",10,29]]}},"label":"page"}],"schema":"https://github.com/citation-style-language/schema/raw/master/csl-citation.json"}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6</w:t>
            </w:r>
            <w:r>
              <w:rPr>
                <w:rFonts w:ascii="Times New Roman" w:hAnsi="Times New Roman" w:eastAsia="Times New Roman" w:cs="Times New Roman"/>
                <w:color w:val="000000"/>
                <w:kern w:val="0"/>
                <w:sz w:val="24"/>
                <w:szCs w:val="24"/>
                <w14:ligatures w14:val="none"/>
              </w:rPr>
              <w:fldChar w:fldCharType="end"/>
            </w:r>
            <w:r>
              <w:rPr>
                <w:rFonts w:ascii="Times New Roman" w:hAnsi="Times New Roman" w:eastAsia="Times New Roman" w:cs="Times New Roman"/>
                <w:color w:val="000000"/>
                <w:kern w:val="0"/>
                <w:sz w:val="24"/>
                <w:szCs w:val="24"/>
                <w14:ligatures w14:val="none"/>
              </w:rPr>
              <w:t xml:space="preserve"> and Ludemann et al.</w:t>
            </w: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{"citationID":"DkJrH4cw","properties":{"formattedCitation":"\\super 5\\nosupersub{}","plainCitation":"5","noteIndex":0},"citationItems":[{"id":11401,"uris":["http://zotero.org/users/7789508/items/NFVQU4EL"],"itemData":{"id":11401,"type":"article-journal","abstract":"Understanding how much inorganic fertilizer (referred to as fertilizer) is applied to different crops at national, regional and global levels is an essential component of fertilizer consumption analysis and demand projection. Good information on fertilizer use by crop (FUBC) is rarely available because it is difficult to collect and time-consuming to process and validate. To fill this gap, a first global FUBC report was published in 1992 for the 1990/1991 period, based on an expert survey conducted jointly by the Food and Agriculture Organization (FAO) of the UN, the International Fertilizer Development Center (IFDC) and the International Fertilizer Association (IFA). Since then, similar expert surveys have been carried out and published every two to four years in the main fertilizer-consuming countries. Since 2008 IFA has led these efforts and, to our knowledge, remains the only globally available data set on FUBC. This dataset includes data (in CSV format) from a survey carried out by IFA to represent the 2017–18 period as well as a collation of all historic FUBC data.","archive_location":"4 citation(s)","call-number":"2","container-title":"Scientific Data","DOI":"10.1038/s41597-022-01592-z","ISSN":"2052-4463","issue":"1","journalAbbreviation":"Sci Data","language":"en","license":"2022 The Author(s)","note":"number: 1\npublisher: Nature Publishing Group","page":"501","source":"8.501 (Q1)","title":"Global data on fertilizer use by crop and by country","volume":"9","author":[{"family":"Ludemann","given":"Cameron I."},{"family":"Gruere","given":"Armelle"},{"family":"Heffer","given":"Patrick"},{"family":"Dobermann","given":"Achim"}],"issued":{"date-parts":[["2022",8,17]]}}}],"schema":"https://github.com/citation-style-language/schema/raw/master/csl-citation.json"}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5</w:t>
            </w:r>
            <w:r>
              <w:rPr>
                <w:rFonts w:ascii="Times New Roman" w:hAnsi="Times New Roman" w:eastAsia="Times New Roman" w:cs="Times New Roman"/>
                <w:color w:val="000000"/>
                <w:kern w:val="0"/>
                <w:sz w:val="24"/>
                <w:szCs w:val="24"/>
                <w14:ligatures w14:val="none"/>
              </w:rPr>
              <w:fldChar w:fldCharType="end"/>
            </w:r>
          </w:p>
        </w:tc>
        <w:tc>
          <w:tcPr>
            <w:tcW w:w="1757" w:type="pct"/>
            <w:shd w:val="clear" w:color="auto" w:fill="auto"/>
            <w:vAlign w:val="center"/>
          </w:tcPr>
          <w:p w14:paraId="7D991FEE">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Austria, Czech Republic, France, Italy, Poland, Slovakia, Slovenia, Norway, Switzerland</w:t>
            </w:r>
          </w:p>
        </w:tc>
      </w:tr>
      <w:tr w14:paraId="65880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6" w:hRule="atLeast"/>
        </w:trPr>
        <w:tc>
          <w:tcPr>
            <w:tcW w:w="839" w:type="pct"/>
            <w:shd w:val="clear" w:color="auto" w:fill="auto"/>
            <w:noWrap/>
            <w:vAlign w:val="bottom"/>
          </w:tcPr>
          <w:p w14:paraId="7D497A3A">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Group</w:t>
            </w:r>
            <w:r>
              <w:rPr>
                <w:rFonts w:hint="eastAsia"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4 (GF4)</w:t>
            </w:r>
          </w:p>
        </w:tc>
        <w:tc>
          <w:tcPr>
            <w:tcW w:w="2404" w:type="pct"/>
            <w:shd w:val="clear" w:color="auto" w:fill="auto"/>
            <w:vAlign w:val="bottom"/>
          </w:tcPr>
          <w:p w14:paraId="06E30BAB">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No information, just refer to nei</w:t>
            </w:r>
            <w:r>
              <w:rPr>
                <w:rFonts w:ascii="Times New Roman" w:hAnsi="Times New Roman" w:cs="Times New Roman"/>
                <w:color w:val="000000"/>
                <w:kern w:val="0"/>
                <w:sz w:val="24"/>
                <w:szCs w:val="24"/>
                <w14:ligatures w14:val="none"/>
              </w:rPr>
              <w:t>gh</w:t>
            </w:r>
            <w:r>
              <w:rPr>
                <w:rFonts w:ascii="Times New Roman" w:hAnsi="Times New Roman" w:eastAsia="Times New Roman" w:cs="Times New Roman"/>
                <w:color w:val="000000"/>
                <w:kern w:val="0"/>
                <w:sz w:val="24"/>
                <w:szCs w:val="24"/>
                <w14:ligatures w14:val="none"/>
              </w:rPr>
              <w:t>bouring countries</w:t>
            </w:r>
          </w:p>
        </w:tc>
        <w:tc>
          <w:tcPr>
            <w:tcW w:w="1757" w:type="pct"/>
            <w:shd w:val="clear" w:color="auto" w:fill="auto"/>
            <w:noWrap/>
            <w:vAlign w:val="bottom"/>
          </w:tcPr>
          <w:p w14:paraId="4F4357B1">
            <w:pPr>
              <w:widowControl/>
              <w:spacing w:after="0" w:line="240" w:lineRule="auto"/>
              <w:jc w:val="left"/>
              <w:rPr>
                <w:rFonts w:ascii="Times New Roman" w:hAnsi="Times New Roman" w:eastAsia="Times New Roman" w:cs="Times New Roman"/>
                <w:color w:val="000000"/>
                <w:kern w:val="0"/>
                <w:sz w:val="24"/>
                <w:szCs w:val="24"/>
                <w:lang w:val="nl-BE"/>
                <w14:ligatures w14:val="none"/>
              </w:rPr>
            </w:pPr>
            <w:r>
              <w:rPr>
                <w:rFonts w:ascii="Times New Roman" w:hAnsi="Times New Roman" w:eastAsia="Times New Roman" w:cs="Times New Roman"/>
                <w:color w:val="000000"/>
                <w:kern w:val="0"/>
                <w:sz w:val="24"/>
                <w:szCs w:val="24"/>
                <w:lang w:val="nl-BE"/>
                <w14:ligatures w14:val="none"/>
              </w:rPr>
              <w:t>Cyprus,Malta,Luxembourg, Iceland, Liechtenstein</w:t>
            </w:r>
          </w:p>
        </w:tc>
      </w:tr>
    </w:tbl>
    <w:p w14:paraId="67BE6EC4">
      <w:pPr>
        <w:jc w:val="left"/>
        <w:rPr>
          <w:rFonts w:ascii="Times New Roman" w:hAnsi="Times New Roman" w:cs="Times New Roman"/>
          <w:lang w:val="en-US"/>
        </w:rPr>
      </w:pPr>
      <w:r>
        <w:rPr>
          <w:rFonts w:hint="eastAsia" w:ascii="Times New Roman" w:hAnsi="Times New Roman" w:cs="Times New Roman"/>
          <w:lang w:val="en-US"/>
        </w:rPr>
        <w:t>Note: GF1, GF2 and GF3 are abbreviations of grassland fertilization groups, which correspond to abbreviations used in equations in our main text.</w:t>
      </w:r>
    </w:p>
    <w:p w14:paraId="62BF03BC">
      <w:pPr>
        <w:rPr>
          <w:rFonts w:ascii="Times New Roman" w:hAnsi="Times New Roman" w:cs="Times New Roman"/>
          <w:b/>
          <w:bCs/>
          <w:lang w:val="en-US"/>
        </w:rPr>
      </w:pPr>
    </w:p>
    <w:p w14:paraId="5CA3137A">
      <w:pPr>
        <w:rPr>
          <w:rFonts w:ascii="Times New Roman" w:hAnsi="Times New Roman" w:cs="Times New Roman"/>
          <w:b/>
          <w:bCs/>
          <w:lang w:val="en-US"/>
        </w:rPr>
      </w:pPr>
    </w:p>
    <w:p w14:paraId="5FA8FBB9">
      <w:pPr>
        <w:jc w:val="center"/>
        <w:rPr>
          <w:rFonts w:ascii="Times New Roman" w:hAnsi="Times New Roman" w:cs="Times New Roman"/>
          <w:lang w:val="en-US"/>
        </w:rPr>
      </w:pPr>
      <w:r>
        <w:rPr>
          <w:rFonts w:hint="eastAsia" w:ascii="Times New Roman" w:hAnsi="Times New Roman" w:cs="Times New Roman"/>
          <w:b/>
          <w:bCs/>
          <w:lang w:val="en-US"/>
        </w:rPr>
        <w:t>Table S6</w:t>
      </w:r>
      <w:r>
        <w:rPr>
          <w:rFonts w:hint="eastAsia" w:ascii="Times New Roman" w:hAnsi="Times New Roman" w:cs="Times New Roman"/>
          <w:lang w:val="en-US"/>
        </w:rPr>
        <w:t xml:space="preserve"> Regression functions estimating each items in ammonia models in Zhan et al.</w:t>
      </w:r>
      <w:r>
        <w:rPr>
          <w:rFonts w:ascii="Times New Roman" w:hAnsi="Times New Roman" w:cs="Times New Roman"/>
          <w:lang w:val="en-US"/>
        </w:rPr>
        <w:fldChar w:fldCharType="begin"/>
      </w:r>
      <w:r>
        <w:rPr>
          <w:rFonts w:ascii="Times New Roman" w:hAnsi="Times New Roman" w:cs="Times New Roman"/>
          <w:lang w:val="en-US"/>
        </w:rPr>
        <w:instrText xml:space="preserve"> ADDIN ZOTERO_ITEM CSL_CITATION {"citationID":"W5VLdDvw","properties":{"formattedCitation":"\\super 17\\nosupersub{}","plainCitation":"17","noteIndex":0},"citationItems":[{"id":10583,"uris":["http://zotero.org/users/7789508/items/S5CRPDAE"],"itemData":{"id":10583,"type":"article-journal","archive_location":"26 citation(s)","call-number":"1","container-title":"Environmental Science &amp; Technology","DOI":"10.1021/acs.est.0c05149","ISSN":"0013-936X, 1520-5851","issue":"2","journalAbbreviation":"Environ. Sci. Technol.","language":"en","page":"1329-1338","source":"11.357 (Q1)","title":"Improved Estimates of Ammonia Emissions from Global Croplands","volume":"55","author":[{"family":"Zhan","given":"Xiaoying"},{"family":"Adalibieke","given":"Wulahati"},{"family":"Cui","given":"Xiaoqing"},{"family":"Winiwarter","given":"Wilfried"},{"family":"Reis","given":"Stefan"},{"family":"Zhang","given":"Lin"},{"family":"Bai","given":"Zhaohai"},{"family":"Wang","given":"Qihui"},{"family":"Huang","given":"Weichen"},{"family":"Zhou","given":"Feng"}],"issued":{"date-parts":[["2021",1,19]]}}}],"schema":"https://github.com/citation-style-language/schema/raw/master/csl-citation.json"} </w:instrText>
      </w:r>
      <w:r>
        <w:rPr>
          <w:rFonts w:ascii="Times New Roman" w:hAnsi="Times New Roman" w:cs="Times New Roman"/>
          <w:lang w:val="en-US"/>
        </w:rPr>
        <w:fldChar w:fldCharType="separate"/>
      </w:r>
      <w:r>
        <w:rPr>
          <w:rFonts w:ascii="Times New Roman" w:hAnsi="Times New Roman" w:cs="Times New Roman"/>
          <w:kern w:val="0"/>
          <w:vertAlign w:val="superscript"/>
        </w:rPr>
        <w:t>17</w:t>
      </w:r>
      <w:r>
        <w:rPr>
          <w:rFonts w:ascii="Times New Roman" w:hAnsi="Times New Roman" w:cs="Times New Roman"/>
          <w:lang w:val="en-US"/>
        </w:rPr>
        <w:fldChar w:fldCharType="end"/>
      </w:r>
    </w:p>
    <w:tbl>
      <w:tblPr>
        <w:tblStyle w:val="3"/>
        <w:tblW w:w="83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2"/>
        <w:gridCol w:w="3881"/>
        <w:gridCol w:w="3203"/>
      </w:tblGrid>
      <w:tr w14:paraId="755E2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1222" w:type="dxa"/>
            <w:shd w:val="clear" w:color="auto" w:fill="F4B083" w:themeFill="accent2" w:themeFillTint="99"/>
            <w:noWrap/>
            <w:vAlign w:val="bottom"/>
          </w:tcPr>
          <w:p w14:paraId="336300E1">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 </w:t>
            </w:r>
          </w:p>
        </w:tc>
        <w:tc>
          <w:tcPr>
            <w:tcW w:w="3881" w:type="dxa"/>
            <w:shd w:val="clear" w:color="auto" w:fill="F4B083" w:themeFill="accent2" w:themeFillTint="99"/>
            <w:noWrap/>
            <w:vAlign w:val="bottom"/>
          </w:tcPr>
          <w:p w14:paraId="78258489">
            <w:pPr>
              <w:widowControl/>
              <w:spacing w:after="0" w:line="240" w:lineRule="auto"/>
              <w:jc w:val="center"/>
              <w:rPr>
                <w:rFonts w:ascii="Times New Roman" w:hAnsi="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Rice</w:t>
            </w:r>
          </w:p>
        </w:tc>
        <w:tc>
          <w:tcPr>
            <w:tcW w:w="3203" w:type="dxa"/>
            <w:shd w:val="clear" w:color="auto" w:fill="F4B083" w:themeFill="accent2" w:themeFillTint="99"/>
            <w:noWrap/>
            <w:vAlign w:val="bottom"/>
          </w:tcPr>
          <w:p w14:paraId="525A82F0">
            <w:pPr>
              <w:widowControl/>
              <w:spacing w:after="0" w:line="240" w:lineRule="auto"/>
              <w:jc w:val="center"/>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Upland crops</w:t>
            </w:r>
          </w:p>
        </w:tc>
      </w:tr>
      <w:tr w14:paraId="341CB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1222" w:type="dxa"/>
            <w:shd w:val="clear" w:color="auto" w:fill="auto"/>
            <w:noWrap/>
            <w:vAlign w:val="bottom"/>
          </w:tcPr>
          <w:p w14:paraId="37C23036">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EF_SF0</w:t>
            </w:r>
          </w:p>
        </w:tc>
        <w:tc>
          <w:tcPr>
            <w:tcW w:w="3881" w:type="dxa"/>
            <w:shd w:val="clear" w:color="auto" w:fill="auto"/>
            <w:noWrap/>
            <w:vAlign w:val="bottom"/>
          </w:tcPr>
          <w:p w14:paraId="2FC05279">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eastAsia="Times New Roman" w:cs="Times New Roman"/>
                <w:color w:val="000000"/>
                <w:kern w:val="0"/>
                <w:sz w:val="20"/>
                <w:szCs w:val="20"/>
                <w14:ligatures w14:val="none"/>
              </w:rPr>
              <w:t>0.13</w:t>
            </w:r>
            <w:r>
              <w:rPr>
                <w:rFonts w:ascii="Times New Roman" w:hAnsi="Times New Roman" w:cs="Times New Roman"/>
                <w:color w:val="000000"/>
                <w:kern w:val="0"/>
                <w:sz w:val="20"/>
                <w:szCs w:val="20"/>
                <w14:ligatures w14:val="none"/>
              </w:rPr>
              <w:t>2992</w:t>
            </w:r>
          </w:p>
        </w:tc>
        <w:tc>
          <w:tcPr>
            <w:tcW w:w="3203" w:type="dxa"/>
            <w:shd w:val="clear" w:color="auto" w:fill="auto"/>
            <w:noWrap/>
            <w:vAlign w:val="bottom"/>
          </w:tcPr>
          <w:p w14:paraId="0028B10C">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eastAsia="Times New Roman" w:cs="Times New Roman"/>
                <w:color w:val="000000"/>
                <w:kern w:val="0"/>
                <w:sz w:val="20"/>
                <w:szCs w:val="20"/>
                <w14:ligatures w14:val="none"/>
              </w:rPr>
              <w:t>0.093</w:t>
            </w:r>
            <w:r>
              <w:rPr>
                <w:rFonts w:ascii="Times New Roman" w:hAnsi="Times New Roman" w:cs="Times New Roman"/>
                <w:color w:val="000000"/>
                <w:kern w:val="0"/>
                <w:sz w:val="20"/>
                <w:szCs w:val="20"/>
                <w14:ligatures w14:val="none"/>
              </w:rPr>
              <w:t>408</w:t>
            </w:r>
          </w:p>
        </w:tc>
      </w:tr>
      <w:tr w14:paraId="0F2DE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8" w:hRule="atLeast"/>
          <w:jc w:val="center"/>
        </w:trPr>
        <w:tc>
          <w:tcPr>
            <w:tcW w:w="1222" w:type="dxa"/>
            <w:shd w:val="clear" w:color="auto" w:fill="auto"/>
            <w:noWrap/>
            <w:vAlign w:val="bottom"/>
          </w:tcPr>
          <w:p w14:paraId="4CE2E255">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i/>
                <w:iCs/>
                <w:color w:val="000000"/>
                <w:kern w:val="0"/>
                <w:sz w:val="24"/>
                <w:szCs w:val="24"/>
                <w14:ligatures w14:val="none"/>
              </w:rPr>
              <w:t>f</w:t>
            </w:r>
            <w:r>
              <w:rPr>
                <w:rFonts w:hint="eastAsia" w:ascii="Times New Roman" w:hAnsi="Times New Roman" w:cs="Times New Roman"/>
                <w:i/>
                <w:iCs/>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(pH)</w:t>
            </w:r>
          </w:p>
        </w:tc>
        <w:tc>
          <w:tcPr>
            <w:tcW w:w="3881" w:type="dxa"/>
            <w:shd w:val="clear" w:color="auto" w:fill="auto"/>
            <w:noWrap/>
            <w:vAlign w:val="bottom"/>
          </w:tcPr>
          <w:p w14:paraId="3711BECE">
            <w:pPr>
              <w:widowControl/>
              <w:spacing w:after="0" w:line="240" w:lineRule="auto"/>
              <w:jc w:val="center"/>
              <w:rPr>
                <w:rFonts w:ascii="Times New Roman" w:hAnsi="Times New Roman" w:cs="Times New Roman"/>
                <w:iCs/>
                <w:color w:val="000000"/>
                <w:kern w:val="0"/>
                <w:sz w:val="20"/>
                <w:szCs w:val="20"/>
                <w14:ligatures w14:val="none"/>
              </w:rPr>
            </w:pPr>
            <m:oMathPara>
              <m:oMath>
                <m:r>
                  <m:rPr>
                    <m:nor/>
                    <m:sty m:val="p"/>
                  </m:rPr>
                  <w:rPr>
                    <w:rFonts w:ascii="Times New Roman" w:hAnsi="Times New Roman" w:cs="Times New Roman"/>
                    <w:iCs/>
                    <w:color w:val="000000"/>
                    <w:kern w:val="0"/>
                    <w:sz w:val="20"/>
                    <w:szCs w:val="20"/>
                    <w14:ligatures w14:val="none"/>
                  </w:rPr>
                  <m:t>0.0224×</m:t>
                </m:r>
                <m:sSup>
                  <m:sSupPr>
                    <m:ctrlPr>
                      <w:rPr>
                        <w:rFonts w:ascii="Cambria Math" w:hAnsi="Cambria Math" w:cs="Times New Roman"/>
                        <w:iCs/>
                        <w:color w:val="000000"/>
                        <w:kern w:val="0"/>
                        <w:sz w:val="20"/>
                        <w:szCs w:val="20"/>
                        <w14:ligatures w14:val="none"/>
                      </w:rPr>
                    </m:ctrlPr>
                  </m:sSupPr>
                  <m:e>
                    <m:r>
                      <m:rPr>
                        <m:nor/>
                        <m:sty m:val="p"/>
                      </m:rPr>
                      <w:rPr>
                        <w:rFonts w:ascii="Times New Roman" w:hAnsi="Times New Roman" w:cs="Times New Roman"/>
                        <w:iCs/>
                        <w:color w:val="000000"/>
                        <w:kern w:val="0"/>
                        <w:sz w:val="20"/>
                        <w:szCs w:val="20"/>
                        <w14:ligatures w14:val="none"/>
                      </w:rPr>
                      <m:t>e</m:t>
                    </m:r>
                    <m:ctrlPr>
                      <w:rPr>
                        <w:rFonts w:ascii="Cambria Math" w:hAnsi="Cambria Math" w:cs="Times New Roman"/>
                        <w:iCs/>
                        <w:color w:val="000000"/>
                        <w:kern w:val="0"/>
                        <w:sz w:val="20"/>
                        <w:szCs w:val="20"/>
                        <w14:ligatures w14:val="none"/>
                      </w:rPr>
                    </m:ctrlPr>
                  </m:e>
                  <m:sup>
                    <m:r>
                      <m:rPr>
                        <m:nor/>
                        <m:sty m:val="p"/>
                      </m:rPr>
                      <w:rPr>
                        <w:rFonts w:ascii="Times New Roman" w:hAnsi="Times New Roman" w:cs="Times New Roman"/>
                        <w:iCs/>
                        <w:color w:val="000000"/>
                        <w:kern w:val="0"/>
                        <w:sz w:val="20"/>
                        <w:szCs w:val="20"/>
                        <w14:ligatures w14:val="none"/>
                      </w:rPr>
                      <m:t>0.5555 ×pH</m:t>
                    </m:r>
                    <m:ctrlPr>
                      <w:rPr>
                        <w:rFonts w:ascii="Cambria Math" w:hAnsi="Cambria Math" w:cs="Times New Roman"/>
                        <w:iCs/>
                        <w:color w:val="000000"/>
                        <w:kern w:val="0"/>
                        <w:sz w:val="20"/>
                        <w:szCs w:val="20"/>
                        <w14:ligatures w14:val="none"/>
                      </w:rPr>
                    </m:ctrlPr>
                  </m:sup>
                </m:sSup>
              </m:oMath>
            </m:oMathPara>
          </w:p>
        </w:tc>
        <w:tc>
          <w:tcPr>
            <w:tcW w:w="3203" w:type="dxa"/>
            <w:shd w:val="clear" w:color="auto" w:fill="auto"/>
            <w:noWrap/>
            <w:vAlign w:val="bottom"/>
          </w:tcPr>
          <w:p w14:paraId="3ED1BC34">
            <w:pPr>
              <w:widowControl/>
              <w:spacing w:after="0" w:line="240" w:lineRule="auto"/>
              <w:jc w:val="center"/>
              <w:rPr>
                <w:rFonts w:ascii="Times New Roman" w:hAnsi="Times New Roman" w:cs="Times New Roman"/>
                <w:color w:val="000000"/>
                <w:kern w:val="0"/>
                <w:sz w:val="20"/>
                <w:szCs w:val="20"/>
                <w14:ligatures w14:val="none"/>
              </w:rPr>
            </w:pPr>
            <m:oMathPara>
              <m:oMath>
                <m:r>
                  <m:rPr>
                    <m:nor/>
                    <m:sty m:val="p"/>
                  </m:rPr>
                  <w:rPr>
                    <w:rFonts w:ascii="Times New Roman" w:hAnsi="Times New Roman" w:cs="Times New Roman"/>
                    <w:iCs/>
                    <w:color w:val="000000"/>
                    <w:kern w:val="0"/>
                    <w:sz w:val="20"/>
                    <w:szCs w:val="20"/>
                    <w14:ligatures w14:val="none"/>
                  </w:rPr>
                  <m:t>0.0429×</m:t>
                </m:r>
                <m:sSup>
                  <m:sSupPr>
                    <m:ctrlPr>
                      <w:rPr>
                        <w:rFonts w:ascii="Cambria Math" w:hAnsi="Cambria Math" w:cs="Times New Roman"/>
                        <w:iCs/>
                        <w:color w:val="000000"/>
                        <w:kern w:val="0"/>
                        <w:sz w:val="20"/>
                        <w:szCs w:val="20"/>
                        <w14:ligatures w14:val="none"/>
                      </w:rPr>
                    </m:ctrlPr>
                  </m:sSupPr>
                  <m:e>
                    <m:r>
                      <m:rPr>
                        <m:nor/>
                        <m:sty m:val="p"/>
                      </m:rPr>
                      <w:rPr>
                        <w:rFonts w:ascii="Times New Roman" w:hAnsi="Times New Roman" w:cs="Times New Roman"/>
                        <w:iCs/>
                        <w:color w:val="000000"/>
                        <w:kern w:val="0"/>
                        <w:sz w:val="20"/>
                        <w:szCs w:val="20"/>
                        <w14:ligatures w14:val="none"/>
                      </w:rPr>
                      <m:t>e</m:t>
                    </m:r>
                    <m:ctrlPr>
                      <w:rPr>
                        <w:rFonts w:ascii="Cambria Math" w:hAnsi="Cambria Math" w:cs="Times New Roman"/>
                        <w:iCs/>
                        <w:color w:val="000000"/>
                        <w:kern w:val="0"/>
                        <w:sz w:val="20"/>
                        <w:szCs w:val="20"/>
                        <w14:ligatures w14:val="none"/>
                      </w:rPr>
                    </m:ctrlPr>
                  </m:e>
                  <m:sup>
                    <m:r>
                      <m:rPr>
                        <m:nor/>
                        <m:sty m:val="p"/>
                      </m:rPr>
                      <w:rPr>
                        <w:rFonts w:ascii="Times New Roman" w:hAnsi="Times New Roman" w:cs="Times New Roman"/>
                        <w:iCs/>
                        <w:color w:val="000000"/>
                        <w:kern w:val="0"/>
                        <w:sz w:val="20"/>
                        <w:szCs w:val="20"/>
                        <w14:ligatures w14:val="none"/>
                      </w:rPr>
                      <m:t>0.4955×pH</m:t>
                    </m:r>
                    <m:ctrlPr>
                      <w:rPr>
                        <w:rFonts w:ascii="Cambria Math" w:hAnsi="Cambria Math" w:cs="Times New Roman"/>
                        <w:iCs/>
                        <w:color w:val="000000"/>
                        <w:kern w:val="0"/>
                        <w:sz w:val="20"/>
                        <w:szCs w:val="20"/>
                        <w14:ligatures w14:val="none"/>
                      </w:rPr>
                    </m:ctrlPr>
                  </m:sup>
                </m:sSup>
              </m:oMath>
            </m:oMathPara>
          </w:p>
        </w:tc>
      </w:tr>
      <w:tr w14:paraId="3EFAC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1222" w:type="dxa"/>
            <w:shd w:val="clear" w:color="auto" w:fill="auto"/>
            <w:noWrap/>
            <w:vAlign w:val="bottom"/>
          </w:tcPr>
          <w:p w14:paraId="6F485550">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i/>
                <w:iCs/>
                <w:color w:val="000000"/>
                <w:kern w:val="0"/>
                <w:sz w:val="24"/>
                <w:szCs w:val="24"/>
                <w14:ligatures w14:val="none"/>
              </w:rPr>
              <w:t>f</w:t>
            </w:r>
            <w:r>
              <w:rPr>
                <w:rFonts w:hint="eastAsia" w:ascii="Times New Roman" w:hAnsi="Times New Roman" w:cs="Times New Roman"/>
                <w:i/>
                <w:iCs/>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(Temp)</w:t>
            </w:r>
          </w:p>
        </w:tc>
        <w:tc>
          <w:tcPr>
            <w:tcW w:w="3881" w:type="dxa"/>
            <w:shd w:val="clear" w:color="auto" w:fill="auto"/>
            <w:noWrap/>
            <w:vAlign w:val="bottom"/>
          </w:tcPr>
          <w:p w14:paraId="44FDC64A">
            <w:pPr>
              <w:widowControl/>
              <w:spacing w:after="0" w:line="240" w:lineRule="auto"/>
              <w:jc w:val="center"/>
              <w:rPr>
                <w:rFonts w:ascii="Times New Roman" w:hAnsi="Times New Roman" w:cs="Times New Roman"/>
                <w:color w:val="000000"/>
                <w:kern w:val="0"/>
                <w:sz w:val="20"/>
                <w:szCs w:val="20"/>
                <w14:ligatures w14:val="none"/>
              </w:rPr>
            </w:pPr>
            <m:oMathPara>
              <m:oMath>
                <m:r>
                  <m:rPr>
                    <m:nor/>
                    <m:sty m:val="p"/>
                  </m:rPr>
                  <w:rPr>
                    <w:rFonts w:ascii="Times New Roman" w:hAnsi="Times New Roman" w:cs="Times New Roman"/>
                    <w:color w:val="000000"/>
                    <w:kern w:val="0"/>
                    <w:sz w:val="20"/>
                    <w:szCs w:val="20"/>
                    <w14:ligatures w14:val="none"/>
                  </w:rPr>
                  <m:t>0.0033×</m:t>
                </m:r>
                <m:sSup>
                  <m:sSupPr>
                    <m:ctrlPr>
                      <w:rPr>
                        <w:rFonts w:ascii="Cambria Math" w:hAnsi="Cambria Math" w:cs="Times New Roman"/>
                        <w:i/>
                        <w:color w:val="000000"/>
                        <w:kern w:val="0"/>
                        <w:sz w:val="20"/>
                        <w:szCs w:val="20"/>
                        <w14:ligatures w14:val="none"/>
                      </w:rPr>
                    </m:ctrlPr>
                  </m:sSupPr>
                  <m:e>
                    <m:r>
                      <m:rPr>
                        <m:nor/>
                        <m:sty m:val="p"/>
                      </m:rPr>
                      <w:rPr>
                        <w:rFonts w:ascii="Times New Roman" w:hAnsi="Times New Roman" w:cs="Times New Roman"/>
                        <w:color w:val="000000"/>
                        <w:kern w:val="0"/>
                        <w:sz w:val="20"/>
                        <w:szCs w:val="20"/>
                        <w14:ligatures w14:val="none"/>
                      </w:rPr>
                      <m:t>e</m:t>
                    </m:r>
                    <m:ctrlPr>
                      <w:rPr>
                        <w:rFonts w:ascii="Cambria Math" w:hAnsi="Cambria Math" w:cs="Times New Roman"/>
                        <w:i/>
                        <w:color w:val="000000"/>
                        <w:kern w:val="0"/>
                        <w:sz w:val="20"/>
                        <w:szCs w:val="20"/>
                        <w14:ligatures w14:val="none"/>
                      </w:rPr>
                    </m:ctrlPr>
                  </m:e>
                  <m:sup>
                    <m:r>
                      <m:rPr>
                        <m:nor/>
                        <m:sty m:val="p"/>
                      </m:rPr>
                      <w:rPr>
                        <w:rFonts w:ascii="Times New Roman" w:hAnsi="Times New Roman" w:cs="Times New Roman"/>
                        <w:color w:val="000000"/>
                        <w:kern w:val="0"/>
                        <w:sz w:val="20"/>
                        <w:szCs w:val="20"/>
                        <w14:ligatures w14:val="none"/>
                      </w:rPr>
                      <m:t>0.2233</m:t>
                    </m:r>
                    <m:ctrlPr>
                      <w:rPr>
                        <w:rFonts w:ascii="Cambria Math" w:hAnsi="Cambria Math" w:cs="Times New Roman"/>
                        <w:i/>
                        <w:color w:val="000000"/>
                        <w:kern w:val="0"/>
                        <w:sz w:val="20"/>
                        <w:szCs w:val="20"/>
                        <w14:ligatures w14:val="none"/>
                      </w:rPr>
                    </m:ctrlPr>
                  </m:sup>
                </m:sSup>
                <m:r>
                  <m:rPr>
                    <m:nor/>
                    <m:sty m:val="p"/>
                  </m:rPr>
                  <w:rPr>
                    <w:rFonts w:ascii="Times New Roman" w:hAnsi="Times New Roman" w:cs="Times New Roman"/>
                    <w:color w:val="000000"/>
                    <w:kern w:val="0"/>
                    <w:sz w:val="20"/>
                    <w:szCs w:val="20"/>
                    <w14:ligatures w14:val="none"/>
                  </w:rPr>
                  <m:t>×Temp</m:t>
                </m:r>
              </m:oMath>
            </m:oMathPara>
          </w:p>
        </w:tc>
        <w:tc>
          <w:tcPr>
            <w:tcW w:w="3203" w:type="dxa"/>
            <w:shd w:val="clear" w:color="auto" w:fill="auto"/>
            <w:noWrap/>
            <w:vAlign w:val="bottom"/>
          </w:tcPr>
          <w:p w14:paraId="56ACD1D5">
            <w:pPr>
              <w:widowControl/>
              <w:spacing w:after="0" w:line="240" w:lineRule="auto"/>
              <w:jc w:val="center"/>
              <w:rPr>
                <w:rFonts w:ascii="Times New Roman" w:hAnsi="Times New Roman" w:cs="Times New Roman"/>
                <w:color w:val="000000"/>
                <w:kern w:val="0"/>
                <w:sz w:val="20"/>
                <w:szCs w:val="20"/>
                <w14:ligatures w14:val="none"/>
              </w:rPr>
            </w:pPr>
            <m:oMathPara>
              <m:oMath>
                <m:r>
                  <m:rPr>
                    <m:nor/>
                    <m:sty m:val="p"/>
                  </m:rPr>
                  <w:rPr>
                    <w:rFonts w:ascii="Times New Roman" w:hAnsi="Times New Roman" w:cs="Times New Roman"/>
                    <w:color w:val="000000"/>
                    <w:kern w:val="0"/>
                    <w:sz w:val="20"/>
                    <w:szCs w:val="20"/>
                    <w14:ligatures w14:val="none"/>
                  </w:rPr>
                  <m:t>0.179×</m:t>
                </m:r>
                <m:sSup>
                  <m:sSupPr>
                    <m:ctrlPr>
                      <w:rPr>
                        <w:rFonts w:ascii="Cambria Math" w:hAnsi="Cambria Math" w:cs="Times New Roman"/>
                        <w:i/>
                        <w:color w:val="000000"/>
                        <w:kern w:val="0"/>
                        <w:sz w:val="20"/>
                        <w:szCs w:val="20"/>
                        <w14:ligatures w14:val="none"/>
                      </w:rPr>
                    </m:ctrlPr>
                  </m:sSupPr>
                  <m:e>
                    <m:r>
                      <m:rPr>
                        <m:nor/>
                        <m:sty m:val="p"/>
                      </m:rPr>
                      <w:rPr>
                        <w:rFonts w:ascii="Times New Roman" w:hAnsi="Times New Roman" w:cs="Times New Roman"/>
                        <w:color w:val="000000"/>
                        <w:kern w:val="0"/>
                        <w:sz w:val="20"/>
                        <w:szCs w:val="20"/>
                        <w14:ligatures w14:val="none"/>
                      </w:rPr>
                      <m:t>e</m:t>
                    </m:r>
                    <m:ctrlPr>
                      <w:rPr>
                        <w:rFonts w:ascii="Cambria Math" w:hAnsi="Cambria Math" w:cs="Times New Roman"/>
                        <w:i/>
                        <w:color w:val="000000"/>
                        <w:kern w:val="0"/>
                        <w:sz w:val="20"/>
                        <w:szCs w:val="20"/>
                        <w14:ligatures w14:val="none"/>
                      </w:rPr>
                    </m:ctrlPr>
                  </m:e>
                  <m:sup>
                    <m:r>
                      <m:rPr>
                        <m:nor/>
                        <m:sty m:val="p"/>
                      </m:rPr>
                      <w:rPr>
                        <w:rFonts w:ascii="Times New Roman" w:hAnsi="Times New Roman" w:cs="Times New Roman"/>
                        <w:color w:val="000000"/>
                        <w:kern w:val="0"/>
                        <w:sz w:val="20"/>
                        <w:szCs w:val="20"/>
                        <w14:ligatures w14:val="none"/>
                      </w:rPr>
                      <m:t>0.094</m:t>
                    </m:r>
                    <m:ctrlPr>
                      <w:rPr>
                        <w:rFonts w:ascii="Cambria Math" w:hAnsi="Cambria Math" w:cs="Times New Roman"/>
                        <w:i/>
                        <w:color w:val="000000"/>
                        <w:kern w:val="0"/>
                        <w:sz w:val="20"/>
                        <w:szCs w:val="20"/>
                        <w14:ligatures w14:val="none"/>
                      </w:rPr>
                    </m:ctrlPr>
                  </m:sup>
                </m:sSup>
                <m:r>
                  <m:rPr>
                    <m:nor/>
                    <m:sty m:val="p"/>
                  </m:rPr>
                  <w:rPr>
                    <w:rFonts w:ascii="Times New Roman" w:hAnsi="Times New Roman" w:cs="Times New Roman"/>
                    <w:color w:val="000000"/>
                    <w:kern w:val="0"/>
                    <w:sz w:val="20"/>
                    <w:szCs w:val="20"/>
                    <w14:ligatures w14:val="none"/>
                  </w:rPr>
                  <m:t>×Temp</m:t>
                </m:r>
              </m:oMath>
            </m:oMathPara>
          </w:p>
        </w:tc>
      </w:tr>
      <w:tr w14:paraId="44FF0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1222" w:type="dxa"/>
            <w:shd w:val="clear" w:color="auto" w:fill="auto"/>
            <w:noWrap/>
            <w:vAlign w:val="bottom"/>
          </w:tcPr>
          <w:p w14:paraId="35B5DBEF">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i/>
                <w:iCs/>
                <w:color w:val="000000"/>
                <w:kern w:val="0"/>
                <w:sz w:val="24"/>
                <w:szCs w:val="24"/>
                <w14:ligatures w14:val="none"/>
              </w:rPr>
              <w:t>f</w:t>
            </w:r>
            <w:r>
              <w:rPr>
                <w:rFonts w:hint="eastAsia"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(Windsd)</w:t>
            </w:r>
          </w:p>
        </w:tc>
        <w:tc>
          <w:tcPr>
            <w:tcW w:w="3881" w:type="dxa"/>
            <w:shd w:val="clear" w:color="auto" w:fill="auto"/>
            <w:noWrap/>
            <w:vAlign w:val="bottom"/>
          </w:tcPr>
          <w:p w14:paraId="1CC33A57">
            <w:pPr>
              <w:widowControl/>
              <w:spacing w:after="0" w:line="240" w:lineRule="auto"/>
              <w:jc w:val="center"/>
              <w:rPr>
                <w:rFonts w:ascii="Times New Roman" w:hAnsi="Times New Roman" w:cs="Times New Roman"/>
                <w:color w:val="000000"/>
                <w:kern w:val="0"/>
                <w:sz w:val="20"/>
                <w:szCs w:val="20"/>
                <w14:ligatures w14:val="none"/>
              </w:rPr>
            </w:pPr>
            <m:oMathPara>
              <m:oMath>
                <m:r>
                  <m:rPr>
                    <m:nor/>
                    <m:sty m:val="p"/>
                  </m:rPr>
                  <w:rPr>
                    <w:rFonts w:ascii="Times New Roman" w:hAnsi="Times New Roman" w:cs="Times New Roman"/>
                    <w:color w:val="000000"/>
                    <w:kern w:val="0"/>
                    <w:sz w:val="20"/>
                    <w:szCs w:val="20"/>
                    <w14:ligatures w14:val="none"/>
                  </w:rPr>
                  <m:t>0.2737×Ln Windsd+1.0605</m:t>
                </m:r>
              </m:oMath>
            </m:oMathPara>
          </w:p>
        </w:tc>
        <w:tc>
          <w:tcPr>
            <w:tcW w:w="3203" w:type="dxa"/>
            <w:shd w:val="clear" w:color="auto" w:fill="auto"/>
            <w:noWrap/>
            <w:vAlign w:val="bottom"/>
          </w:tcPr>
          <w:p w14:paraId="08A1DF45">
            <w:pPr>
              <w:widowControl/>
              <w:spacing w:after="0" w:line="240" w:lineRule="auto"/>
              <w:jc w:val="center"/>
              <w:rPr>
                <w:rFonts w:ascii="Times New Roman" w:hAnsi="Times New Roman" w:cs="Times New Roman"/>
                <w:color w:val="000000"/>
                <w:kern w:val="0"/>
                <w:sz w:val="20"/>
                <w:szCs w:val="20"/>
                <w14:ligatures w14:val="none"/>
              </w:rPr>
            </w:pPr>
            <m:oMathPara>
              <m:oMath>
                <m:r>
                  <m:rPr>
                    <m:nor/>
                    <m:sty m:val="p"/>
                  </m:rPr>
                  <w:rPr>
                    <w:rFonts w:ascii="Times New Roman" w:hAnsi="Times New Roman" w:cs="Times New Roman"/>
                    <w:color w:val="000000"/>
                    <w:kern w:val="0"/>
                    <w:sz w:val="20"/>
                    <w:szCs w:val="20"/>
                    <w14:ligatures w14:val="none"/>
                  </w:rPr>
                  <m:t>0.2737×Ln Windsd+0.9975</m:t>
                </m:r>
              </m:oMath>
            </m:oMathPara>
          </w:p>
        </w:tc>
      </w:tr>
      <w:tr w14:paraId="5ACA8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1222" w:type="dxa"/>
            <w:shd w:val="clear" w:color="auto" w:fill="auto"/>
            <w:noWrap/>
            <w:vAlign w:val="center"/>
          </w:tcPr>
          <w:p w14:paraId="07D6FDC0">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i/>
                <w:iCs/>
                <w:color w:val="000000"/>
                <w:kern w:val="0"/>
                <w:sz w:val="24"/>
                <w:szCs w:val="24"/>
                <w14:ligatures w14:val="none"/>
              </w:rPr>
              <w:t>f</w:t>
            </w:r>
            <w:r>
              <w:rPr>
                <w:rFonts w:hint="eastAsia" w:ascii="Times New Roman" w:hAnsi="Times New Roman" w:cs="Times New Roman"/>
                <w:color w:val="000000"/>
                <w:kern w:val="0"/>
                <w:sz w:val="24"/>
                <w:szCs w:val="24"/>
                <w14:ligatures w14:val="none"/>
              </w:rPr>
              <w:t xml:space="preserve"> </w:t>
            </w:r>
            <w:r>
              <w:rPr>
                <w:rFonts w:ascii="Times New Roman" w:hAnsi="Times New Roman" w:eastAsia="Times New Roman" w:cs="Times New Roman"/>
                <w:color w:val="000000"/>
                <w:kern w:val="0"/>
                <w:sz w:val="24"/>
                <w:szCs w:val="24"/>
                <w14:ligatures w14:val="none"/>
              </w:rPr>
              <w:t>(Ftype)</w:t>
            </w:r>
          </w:p>
        </w:tc>
        <w:tc>
          <w:tcPr>
            <w:tcW w:w="3881" w:type="dxa"/>
            <w:shd w:val="clear" w:color="auto" w:fill="auto"/>
            <w:noWrap/>
            <w:vAlign w:val="bottom"/>
          </w:tcPr>
          <w:p w14:paraId="36E48056">
            <w:pPr>
              <w:widowControl/>
              <w:spacing w:after="0" w:line="240" w:lineRule="auto"/>
              <w:jc w:val="center"/>
              <w:rPr>
                <w:rFonts w:ascii="Times New Roman" w:hAnsi="Times New Roman" w:cs="Times New Roman"/>
                <w:color w:val="000000"/>
                <w:kern w:val="0"/>
                <w:sz w:val="20"/>
                <w:szCs w:val="20"/>
                <w14:ligatures w14:val="none"/>
              </w:rPr>
            </w:pPr>
          </w:p>
          <w:p w14:paraId="75BF1689">
            <w:pPr>
              <w:widowControl/>
              <w:spacing w:after="0" w:line="240" w:lineRule="auto"/>
              <w:jc w:val="center"/>
              <w:rPr>
                <w:rFonts w:ascii="Times New Roman" w:hAnsi="Times New Roman" w:cs="Times New Roman"/>
                <w:color w:val="000000"/>
                <w:kern w:val="0"/>
                <w:sz w:val="20"/>
                <w:szCs w:val="20"/>
                <w14:ligatures w14:val="none"/>
              </w:rPr>
            </w:pPr>
            <m:oMathPara>
              <m:oMath>
                <m:nary>
                  <m:naryPr>
                    <m:chr m:val="∑"/>
                    <m:limLoc m:val="subSup"/>
                    <m:supHide m:val="1"/>
                    <m:ctrlPr>
                      <w:rPr>
                        <w:rFonts w:ascii="Cambria Math" w:hAnsi="Cambria Math" w:cs="Times New Roman"/>
                        <w:i/>
                        <w:color w:val="000000"/>
                        <w:kern w:val="0"/>
                        <w:sz w:val="20"/>
                        <w:szCs w:val="20"/>
                        <w14:ligatures w14:val="none"/>
                      </w:rPr>
                    </m:ctrlPr>
                  </m:naryPr>
                  <m:sub>
                    <m:r>
                      <m:rPr>
                        <m:nor/>
                        <m:sty m:val="p"/>
                      </m:rPr>
                      <w:rPr>
                        <w:rFonts w:ascii="Times New Roman" w:hAnsi="Times New Roman" w:cs="Times New Roman"/>
                        <w:color w:val="000000"/>
                        <w:kern w:val="0"/>
                        <w:sz w:val="20"/>
                        <w:szCs w:val="20"/>
                        <w14:ligatures w14:val="none"/>
                      </w:rPr>
                      <m:t>j</m:t>
                    </m:r>
                    <m:ctrlPr>
                      <w:rPr>
                        <w:rFonts w:ascii="Cambria Math" w:hAnsi="Cambria Math" w:cs="Times New Roman"/>
                        <w:i/>
                        <w:color w:val="000000"/>
                        <w:kern w:val="0"/>
                        <w:sz w:val="20"/>
                        <w:szCs w:val="20"/>
                        <w14:ligatures w14:val="none"/>
                      </w:rPr>
                    </m:ctrlPr>
                  </m:sub>
                  <m:sup>
                    <m:ctrlPr>
                      <w:rPr>
                        <w:rFonts w:ascii="Cambria Math" w:hAnsi="Cambria Math" w:cs="Times New Roman"/>
                        <w:i/>
                        <w:color w:val="000000"/>
                        <w:kern w:val="0"/>
                        <w:sz w:val="20"/>
                        <w:szCs w:val="20"/>
                        <w14:ligatures w14:val="none"/>
                      </w:rPr>
                    </m:ctrlPr>
                  </m:sup>
                  <m:e>
                    <m:sSub>
                      <m:sSubPr>
                        <m:ctrlPr>
                          <w:rPr>
                            <w:rFonts w:ascii="Cambria Math" w:hAnsi="Cambria Math" w:cs="Times New Roman"/>
                            <w:i/>
                            <w:color w:val="000000"/>
                            <w:kern w:val="0"/>
                            <w:sz w:val="20"/>
                            <w:szCs w:val="20"/>
                            <w14:ligatures w14:val="none"/>
                          </w:rPr>
                        </m:ctrlPr>
                      </m:sSubPr>
                      <m:e>
                        <m:r>
                          <m:rPr>
                            <m:nor/>
                            <m:sty m:val="p"/>
                          </m:rPr>
                          <w:rPr>
                            <w:rFonts w:ascii="Times New Roman" w:hAnsi="Times New Roman" w:cs="Times New Roman"/>
                            <w:color w:val="000000"/>
                            <w:kern w:val="0"/>
                            <w:sz w:val="20"/>
                            <w:szCs w:val="20"/>
                            <w14:ligatures w14:val="none"/>
                          </w:rPr>
                          <m:t>Prop</m:t>
                        </m:r>
                        <m:ctrlPr>
                          <w:rPr>
                            <w:rFonts w:ascii="Cambria Math" w:hAnsi="Cambria Math" w:cs="Times New Roman"/>
                            <w:i/>
                            <w:color w:val="000000"/>
                            <w:kern w:val="0"/>
                            <w:sz w:val="20"/>
                            <w:szCs w:val="20"/>
                            <w14:ligatures w14:val="none"/>
                          </w:rPr>
                        </m:ctrlPr>
                      </m:e>
                      <m:sub>
                        <m:r>
                          <m:rPr>
                            <m:nor/>
                            <m:sty m:val="p"/>
                          </m:rPr>
                          <w:rPr>
                            <w:rFonts w:ascii="Times New Roman" w:hAnsi="Times New Roman" w:cs="Times New Roman"/>
                            <w:color w:val="000000"/>
                            <w:kern w:val="0"/>
                            <w:sz w:val="20"/>
                            <w:szCs w:val="20"/>
                            <w14:ligatures w14:val="none"/>
                          </w:rPr>
                          <m:t>j</m:t>
                        </m:r>
                        <m:ctrlPr>
                          <w:rPr>
                            <w:rFonts w:ascii="Cambria Math" w:hAnsi="Cambria Math" w:cs="Times New Roman"/>
                            <w:i/>
                            <w:color w:val="000000"/>
                            <w:kern w:val="0"/>
                            <w:sz w:val="20"/>
                            <w:szCs w:val="20"/>
                            <w14:ligatures w14:val="none"/>
                          </w:rPr>
                        </m:ctrlPr>
                      </m:sub>
                    </m:sSub>
                    <m:r>
                      <m:rPr>
                        <m:nor/>
                        <m:sty m:val="p"/>
                      </m:rPr>
                      <w:rPr>
                        <w:rFonts w:ascii="Times New Roman" w:hAnsi="Times New Roman" w:cs="Times New Roman"/>
                        <w:color w:val="000000"/>
                        <w:kern w:val="0"/>
                        <w:sz w:val="20"/>
                        <w:szCs w:val="20"/>
                        <w14:ligatures w14:val="none"/>
                      </w:rPr>
                      <m:t>×</m:t>
                    </m:r>
                    <m:sSub>
                      <m:sSubPr>
                        <m:ctrlPr>
                          <w:rPr>
                            <w:rFonts w:ascii="Cambria Math" w:hAnsi="Cambria Math" w:cs="Times New Roman"/>
                            <w:i/>
                            <w:color w:val="000000"/>
                            <w:kern w:val="0"/>
                            <w:sz w:val="20"/>
                            <w:szCs w:val="20"/>
                            <w14:ligatures w14:val="none"/>
                          </w:rPr>
                        </m:ctrlPr>
                      </m:sSubPr>
                      <m:e>
                        <m:r>
                          <m:rPr>
                            <m:nor/>
                            <m:sty m:val="p"/>
                          </m:rPr>
                          <w:rPr>
                            <w:rFonts w:ascii="Times New Roman" w:hAnsi="Times New Roman" w:cs="Times New Roman"/>
                            <w:color w:val="000000"/>
                            <w:kern w:val="0"/>
                            <w:sz w:val="20"/>
                            <w:szCs w:val="20"/>
                            <w14:ligatures w14:val="none"/>
                          </w:rPr>
                          <m:t>y</m:t>
                        </m:r>
                        <m:ctrlPr>
                          <w:rPr>
                            <w:rFonts w:ascii="Cambria Math" w:hAnsi="Cambria Math" w:cs="Times New Roman"/>
                            <w:i/>
                            <w:color w:val="000000"/>
                            <w:kern w:val="0"/>
                            <w:sz w:val="20"/>
                            <w:szCs w:val="20"/>
                            <w14:ligatures w14:val="none"/>
                          </w:rPr>
                        </m:ctrlPr>
                      </m:e>
                      <m:sub>
                        <m:r>
                          <m:rPr>
                            <m:nor/>
                            <m:sty m:val="p"/>
                          </m:rPr>
                          <w:rPr>
                            <w:rFonts w:ascii="Times New Roman" w:hAnsi="Times New Roman" w:cs="Times New Roman"/>
                            <w:color w:val="000000"/>
                            <w:kern w:val="0"/>
                            <w:sz w:val="20"/>
                            <w:szCs w:val="20"/>
                            <w14:ligatures w14:val="none"/>
                          </w:rPr>
                          <m:t>j</m:t>
                        </m:r>
                        <m:ctrlPr>
                          <w:rPr>
                            <w:rFonts w:ascii="Cambria Math" w:hAnsi="Cambria Math" w:cs="Times New Roman"/>
                            <w:i/>
                            <w:color w:val="000000"/>
                            <w:kern w:val="0"/>
                            <w:sz w:val="20"/>
                            <w:szCs w:val="20"/>
                            <w14:ligatures w14:val="none"/>
                          </w:rPr>
                        </m:ctrlPr>
                      </m:sub>
                    </m:sSub>
                    <m:ctrlPr>
                      <w:rPr>
                        <w:rFonts w:ascii="Cambria Math" w:hAnsi="Cambria Math" w:cs="Times New Roman"/>
                        <w:i/>
                        <w:color w:val="000000"/>
                        <w:kern w:val="0"/>
                        <w:sz w:val="20"/>
                        <w:szCs w:val="20"/>
                        <w14:ligatures w14:val="none"/>
                      </w:rPr>
                    </m:ctrlPr>
                  </m:e>
                </m:nary>
              </m:oMath>
            </m:oMathPara>
          </w:p>
          <w:p w14:paraId="6DE79D74">
            <w:pPr>
              <w:widowControl/>
              <w:spacing w:after="0" w:line="240" w:lineRule="auto"/>
              <w:jc w:val="center"/>
              <w:rPr>
                <w:rFonts w:ascii="Times New Roman" w:hAnsi="Times New Roman" w:cs="Times New Roman"/>
                <w:color w:val="000000"/>
                <w:kern w:val="0"/>
                <w:sz w:val="20"/>
                <w:szCs w:val="20"/>
                <w14:ligatures w14:val="none"/>
              </w:rPr>
            </w:pPr>
            <w:r>
              <w:rPr>
                <w:rFonts w:hint="eastAsia" w:ascii="Times New Roman" w:hAnsi="Times New Roman" w:cs="Times New Roman"/>
                <w:color w:val="000000"/>
                <w:kern w:val="0"/>
                <w:sz w:val="20"/>
                <w:szCs w:val="20"/>
                <w14:ligatures w14:val="none"/>
              </w:rPr>
              <w:t xml:space="preserve">where </w:t>
            </w:r>
            <m:oMath>
              <m:sSub>
                <m:sSubPr>
                  <m:ctrlPr>
                    <w:rPr>
                      <w:rFonts w:ascii="Cambria Math" w:hAnsi="Cambria Math" w:cs="Times New Roman"/>
                      <w:iCs/>
                      <w:color w:val="000000"/>
                      <w:kern w:val="0"/>
                      <w:sz w:val="20"/>
                      <w:szCs w:val="20"/>
                      <w14:ligatures w14:val="none"/>
                    </w:rPr>
                  </m:ctrlPr>
                </m:sSubPr>
                <m:e>
                  <m:r>
                    <m:rPr>
                      <m:sty m:val="p"/>
                    </m:rPr>
                    <w:rPr>
                      <w:rFonts w:ascii="Cambria Math" w:hAnsi="Cambria Math" w:cs="Times New Roman"/>
                      <w:color w:val="000000"/>
                      <w:kern w:val="0"/>
                      <w:sz w:val="20"/>
                      <w:szCs w:val="20"/>
                      <w14:ligatures w14:val="none"/>
                    </w:rPr>
                    <m:t>y</m:t>
                  </m:r>
                  <m:ctrlPr>
                    <w:rPr>
                      <w:rFonts w:ascii="Cambria Math" w:hAnsi="Cambria Math" w:cs="Times New Roman"/>
                      <w:iCs/>
                      <w:color w:val="000000"/>
                      <w:kern w:val="0"/>
                      <w:sz w:val="20"/>
                      <w:szCs w:val="20"/>
                      <w14:ligatures w14:val="none"/>
                    </w:rPr>
                  </m:ctrlPr>
                </m:e>
                <m:sub>
                  <m:r>
                    <m:rPr>
                      <m:sty m:val="p"/>
                    </m:rPr>
                    <w:rPr>
                      <w:rFonts w:ascii="Cambria Math" w:hAnsi="Cambria Math" w:cs="Times New Roman"/>
                      <w:color w:val="000000"/>
                      <w:kern w:val="0"/>
                      <w:sz w:val="20"/>
                      <w:szCs w:val="20"/>
                      <w14:ligatures w14:val="none"/>
                    </w:rPr>
                    <m:t>j</m:t>
                  </m:r>
                  <m:ctrlPr>
                    <w:rPr>
                      <w:rFonts w:ascii="Cambria Math" w:hAnsi="Cambria Math" w:cs="Times New Roman"/>
                      <w:iCs/>
                      <w:color w:val="000000"/>
                      <w:kern w:val="0"/>
                      <w:sz w:val="20"/>
                      <w:szCs w:val="20"/>
                      <w14:ligatures w14:val="none"/>
                    </w:rPr>
                  </m:ctrlPr>
                </m:sub>
              </m:sSub>
              <m:r>
                <m:rPr/>
                <w:rPr>
                  <w:rFonts w:ascii="Cambria Math" w:hAnsi="Cambria Math" w:cs="Times New Roman"/>
                  <w:color w:val="000000"/>
                  <w:kern w:val="0"/>
                  <w:sz w:val="20"/>
                  <w:szCs w:val="20"/>
                  <w14:ligatures w14:val="none"/>
                </w:rPr>
                <m:t>=</m:t>
              </m:r>
              <m:d>
                <m:dPr>
                  <m:begChr m:val="{"/>
                  <m:endChr m:val=""/>
                  <m:ctrlPr>
                    <w:rPr>
                      <w:rFonts w:ascii="Cambria Math" w:hAnsi="Cambria Math" w:cs="Times New Roman"/>
                      <w:i/>
                      <w:color w:val="000000"/>
                      <w:kern w:val="0"/>
                      <w:sz w:val="20"/>
                      <w:szCs w:val="20"/>
                      <w14:ligatures w14:val="none"/>
                    </w:rPr>
                  </m:ctrlPr>
                </m:dPr>
                <m:e>
                  <m:eqArr>
                    <m:eqArrPr>
                      <m:ctrlPr>
                        <w:rPr>
                          <w:rFonts w:ascii="Cambria Math" w:hAnsi="Cambria Math" w:cs="Times New Roman"/>
                          <w:i/>
                          <w:color w:val="000000"/>
                          <w:kern w:val="0"/>
                          <w:sz w:val="20"/>
                          <w:szCs w:val="20"/>
                          <w14:ligatures w14:val="none"/>
                        </w:rPr>
                      </m:ctrlPr>
                    </m:eqArrPr>
                    <m:e>
                      <m:r>
                        <m:rPr>
                          <m:nor/>
                          <m:sty m:val="p"/>
                        </m:rPr>
                        <w:rPr>
                          <w:rFonts w:ascii="Times New Roman" w:hAnsi="Times New Roman" w:cs="Times New Roman"/>
                          <w:color w:val="000000"/>
                          <w:kern w:val="0"/>
                          <w:sz w:val="20"/>
                          <w:szCs w:val="20"/>
                          <w14:ligatures w14:val="none"/>
                        </w:rPr>
                        <m:t>1.4797, j=ABC</m:t>
                      </m:r>
                      <m:ctrlPr>
                        <w:rPr>
                          <w:rFonts w:ascii="Cambria Math" w:hAnsi="Cambria Math" w:cs="Times New Roman"/>
                          <w:i/>
                          <w:color w:val="000000"/>
                          <w:kern w:val="0"/>
                          <w:sz w:val="20"/>
                          <w:szCs w:val="20"/>
                          <w14:ligatures w14:val="none"/>
                        </w:rPr>
                      </m:ctrlPr>
                    </m:e>
                    <m:e>
                      <m:r>
                        <m:rPr>
                          <m:nor/>
                          <m:sty m:val="p"/>
                        </m:rPr>
                        <w:rPr>
                          <w:rFonts w:ascii="Times New Roman" w:hAnsi="Times New Roman" w:cs="Times New Roman"/>
                          <w:color w:val="000000"/>
                          <w:kern w:val="0"/>
                          <w:sz w:val="20"/>
                          <w:szCs w:val="20"/>
                          <w14:ligatures w14:val="none"/>
                        </w:rPr>
                        <m:t>1, j=Urea, AP,other NP, NK,NPK</m:t>
                      </m:r>
                      <m:ctrlPr>
                        <w:rPr>
                          <w:rFonts w:ascii="Cambria Math" w:hAnsi="Cambria Math" w:eastAsia="Cambria Math" w:cs="Times New Roman"/>
                          <w:i/>
                          <w:color w:val="000000"/>
                          <w:kern w:val="0"/>
                          <w:sz w:val="20"/>
                          <w:szCs w:val="20"/>
                          <w14:ligatures w14:val="none"/>
                        </w:rPr>
                      </m:ctrlPr>
                    </m:e>
                    <m:e>
                      <m:r>
                        <m:rPr>
                          <m:nor/>
                          <m:sty m:val="p"/>
                        </m:rPr>
                        <w:rPr>
                          <w:rFonts w:ascii="Times New Roman" w:hAnsi="Times New Roman" w:cs="Times New Roman"/>
                          <w:color w:val="000000"/>
                          <w:kern w:val="0"/>
                          <w:sz w:val="20"/>
                          <w:szCs w:val="20"/>
                          <w14:ligatures w14:val="none"/>
                        </w:rPr>
                        <m:t>0.3345, j=AN,CAN,AS,AA,</m:t>
                      </m:r>
                      <m:ctrlPr>
                        <w:rPr>
                          <w:rFonts w:ascii="Cambria Math" w:hAnsi="Cambria Math" w:eastAsia="Cambria Math" w:cs="Times New Roman"/>
                          <w:i/>
                          <w:color w:val="000000"/>
                          <w:kern w:val="0"/>
                          <w:sz w:val="20"/>
                          <w:szCs w:val="20"/>
                          <w14:ligatures w14:val="none"/>
                        </w:rPr>
                      </m:ctrlPr>
                    </m:e>
                    <m:e>
                      <m:r>
                        <m:rPr>
                          <m:nor/>
                          <m:sty m:val="p"/>
                        </m:rPr>
                        <w:rPr>
                          <w:rFonts w:ascii="Times New Roman" w:hAnsi="Times New Roman" w:cs="Times New Roman"/>
                          <w:color w:val="000000"/>
                          <w:kern w:val="0"/>
                          <w:sz w:val="20"/>
                          <w:szCs w:val="20"/>
                          <w14:ligatures w14:val="none"/>
                        </w:rPr>
                        <m:t xml:space="preserve"> N solutions</m:t>
                      </m:r>
                      <m:ctrlPr>
                        <w:rPr>
                          <w:rFonts w:ascii="Cambria Math" w:hAnsi="Cambria Math" w:cs="Times New Roman"/>
                          <w:i/>
                          <w:color w:val="000000"/>
                          <w:kern w:val="0"/>
                          <w:sz w:val="20"/>
                          <w:szCs w:val="20"/>
                          <w14:ligatures w14:val="none"/>
                        </w:rPr>
                      </m:ctrlPr>
                    </m:e>
                  </m:eqArr>
                  <m:ctrlPr>
                    <w:rPr>
                      <w:rFonts w:ascii="Cambria Math" w:hAnsi="Cambria Math" w:cs="Times New Roman"/>
                      <w:i/>
                      <w:color w:val="000000"/>
                      <w:kern w:val="0"/>
                      <w:sz w:val="20"/>
                      <w:szCs w:val="20"/>
                      <w14:ligatures w14:val="none"/>
                    </w:rPr>
                  </m:ctrlPr>
                </m:e>
              </m:d>
            </m:oMath>
            <w:r>
              <w:rPr>
                <w:rFonts w:hint="eastAsia" w:ascii="Times New Roman" w:hAnsi="Times New Roman" w:cs="Times New Roman"/>
                <w:color w:val="000000"/>
                <w:kern w:val="0"/>
                <w:sz w:val="20"/>
                <w:szCs w:val="20"/>
                <w14:ligatures w14:val="none"/>
              </w:rPr>
              <w:t xml:space="preserve"> </w:t>
            </w:r>
          </w:p>
          <w:p w14:paraId="5DD15ACE">
            <w:pPr>
              <w:widowControl/>
              <w:spacing w:after="0" w:line="240" w:lineRule="auto"/>
              <w:jc w:val="center"/>
              <w:rPr>
                <w:rFonts w:ascii="Times New Roman" w:hAnsi="Times New Roman" w:cs="Times New Roman"/>
                <w:color w:val="000000"/>
                <w:kern w:val="0"/>
                <w:sz w:val="20"/>
                <w:szCs w:val="20"/>
                <w14:ligatures w14:val="none"/>
              </w:rPr>
            </w:pPr>
          </w:p>
        </w:tc>
        <w:tc>
          <w:tcPr>
            <w:tcW w:w="3203" w:type="dxa"/>
            <w:shd w:val="clear" w:color="auto" w:fill="auto"/>
            <w:noWrap/>
            <w:vAlign w:val="bottom"/>
          </w:tcPr>
          <w:p w14:paraId="30C5C038">
            <w:pPr>
              <w:widowControl/>
              <w:spacing w:after="0" w:line="240" w:lineRule="auto"/>
              <w:jc w:val="center"/>
              <w:rPr>
                <w:rFonts w:ascii="Times New Roman" w:hAnsi="Times New Roman" w:cs="Times New Roman"/>
                <w:color w:val="000000"/>
                <w:kern w:val="0"/>
                <w:sz w:val="20"/>
                <w:szCs w:val="20"/>
                <w14:ligatures w14:val="none"/>
              </w:rPr>
            </w:pPr>
          </w:p>
          <w:p w14:paraId="0C4D768F">
            <w:pPr>
              <w:widowControl/>
              <w:spacing w:after="0" w:line="240" w:lineRule="auto"/>
              <w:jc w:val="center"/>
              <w:rPr>
                <w:rFonts w:ascii="Times New Roman" w:hAnsi="Times New Roman" w:cs="Times New Roman"/>
                <w:color w:val="000000"/>
                <w:kern w:val="0"/>
                <w:sz w:val="20"/>
                <w:szCs w:val="20"/>
                <w14:ligatures w14:val="none"/>
              </w:rPr>
            </w:pPr>
            <m:oMathPara>
              <m:oMath>
                <m:nary>
                  <m:naryPr>
                    <m:chr m:val="∑"/>
                    <m:limLoc m:val="subSup"/>
                    <m:supHide m:val="1"/>
                    <m:ctrlPr>
                      <w:rPr>
                        <w:rFonts w:ascii="Cambria Math" w:hAnsi="Cambria Math" w:cs="Times New Roman"/>
                        <w:color w:val="000000"/>
                        <w:kern w:val="0"/>
                        <w:sz w:val="20"/>
                        <w:szCs w:val="20"/>
                        <w14:ligatures w14:val="none"/>
                      </w:rPr>
                    </m:ctrlPr>
                  </m:naryPr>
                  <m:sub>
                    <m:r>
                      <m:rPr>
                        <m:nor/>
                        <m:sty m:val="p"/>
                      </m:rPr>
                      <w:rPr>
                        <w:rFonts w:ascii="Times New Roman" w:hAnsi="Times New Roman" w:cs="Times New Roman"/>
                        <w:color w:val="000000"/>
                        <w:kern w:val="0"/>
                        <w:sz w:val="20"/>
                        <w:szCs w:val="20"/>
                        <w14:ligatures w14:val="none"/>
                      </w:rPr>
                      <m:t>j</m:t>
                    </m:r>
                    <m:ctrlPr>
                      <w:rPr>
                        <w:rFonts w:ascii="Cambria Math" w:hAnsi="Cambria Math" w:cs="Times New Roman"/>
                        <w:color w:val="000000"/>
                        <w:kern w:val="0"/>
                        <w:sz w:val="20"/>
                        <w:szCs w:val="20"/>
                        <w14:ligatures w14:val="none"/>
                      </w:rPr>
                    </m:ctrlPr>
                  </m:sub>
                  <m:sup>
                    <m:ctrlPr>
                      <w:rPr>
                        <w:rFonts w:ascii="Cambria Math" w:hAnsi="Cambria Math" w:cs="Times New Roman"/>
                        <w:color w:val="000000"/>
                        <w:kern w:val="0"/>
                        <w:sz w:val="20"/>
                        <w:szCs w:val="20"/>
                        <w14:ligatures w14:val="none"/>
                      </w:rPr>
                    </m:ctrlPr>
                  </m:sup>
                  <m:e>
                    <m:sSub>
                      <m:sSubPr>
                        <m:ctrlPr>
                          <w:rPr>
                            <w:rFonts w:ascii="Cambria Math" w:hAnsi="Cambria Math" w:cs="Times New Roman"/>
                            <w:color w:val="000000"/>
                            <w:kern w:val="0"/>
                            <w:sz w:val="20"/>
                            <w:szCs w:val="20"/>
                            <w14:ligatures w14:val="none"/>
                          </w:rPr>
                        </m:ctrlPr>
                      </m:sSubPr>
                      <m:e>
                        <m:r>
                          <m:rPr>
                            <m:nor/>
                            <m:sty m:val="p"/>
                          </m:rPr>
                          <w:rPr>
                            <w:rFonts w:ascii="Times New Roman" w:hAnsi="Times New Roman" w:cs="Times New Roman"/>
                            <w:color w:val="000000"/>
                            <w:kern w:val="0"/>
                            <w:sz w:val="20"/>
                            <w:szCs w:val="20"/>
                            <w14:ligatures w14:val="none"/>
                          </w:rPr>
                          <m:t>Prop</m:t>
                        </m:r>
                        <m:ctrlPr>
                          <w:rPr>
                            <w:rFonts w:ascii="Cambria Math" w:hAnsi="Cambria Math" w:cs="Times New Roman"/>
                            <w:color w:val="000000"/>
                            <w:kern w:val="0"/>
                            <w:sz w:val="20"/>
                            <w:szCs w:val="20"/>
                            <w14:ligatures w14:val="none"/>
                          </w:rPr>
                        </m:ctrlPr>
                      </m:e>
                      <m:sub>
                        <m:r>
                          <m:rPr>
                            <m:nor/>
                            <m:sty m:val="p"/>
                          </m:rPr>
                          <w:rPr>
                            <w:rFonts w:ascii="Times New Roman" w:hAnsi="Times New Roman" w:cs="Times New Roman"/>
                            <w:color w:val="000000"/>
                            <w:kern w:val="0"/>
                            <w:sz w:val="20"/>
                            <w:szCs w:val="20"/>
                            <w14:ligatures w14:val="none"/>
                          </w:rPr>
                          <m:t>j</m:t>
                        </m:r>
                        <m:ctrlPr>
                          <w:rPr>
                            <w:rFonts w:ascii="Cambria Math" w:hAnsi="Cambria Math" w:cs="Times New Roman"/>
                            <w:color w:val="000000"/>
                            <w:kern w:val="0"/>
                            <w:sz w:val="20"/>
                            <w:szCs w:val="20"/>
                            <w14:ligatures w14:val="none"/>
                          </w:rPr>
                        </m:ctrlPr>
                      </m:sub>
                    </m:sSub>
                    <m:r>
                      <m:rPr>
                        <m:nor/>
                        <m:sty m:val="p"/>
                      </m:rPr>
                      <w:rPr>
                        <w:rFonts w:ascii="Times New Roman" w:hAnsi="Times New Roman" w:cs="Times New Roman"/>
                        <w:color w:val="000000"/>
                        <w:kern w:val="0"/>
                        <w:sz w:val="20"/>
                        <w:szCs w:val="20"/>
                        <w14:ligatures w14:val="none"/>
                      </w:rPr>
                      <m:t>×</m:t>
                    </m:r>
                    <m:sSub>
                      <m:sSubPr>
                        <m:ctrlPr>
                          <w:rPr>
                            <w:rFonts w:ascii="Cambria Math" w:hAnsi="Cambria Math" w:cs="Times New Roman"/>
                            <w:color w:val="000000"/>
                            <w:kern w:val="0"/>
                            <w:sz w:val="20"/>
                            <w:szCs w:val="20"/>
                            <w14:ligatures w14:val="none"/>
                          </w:rPr>
                        </m:ctrlPr>
                      </m:sSubPr>
                      <m:e>
                        <m:r>
                          <m:rPr>
                            <m:nor/>
                            <m:sty m:val="p"/>
                          </m:rPr>
                          <w:rPr>
                            <w:rFonts w:ascii="Times New Roman" w:hAnsi="Times New Roman" w:cs="Times New Roman"/>
                            <w:color w:val="000000"/>
                            <w:kern w:val="0"/>
                            <w:sz w:val="20"/>
                            <w:szCs w:val="20"/>
                            <w14:ligatures w14:val="none"/>
                          </w:rPr>
                          <m:t>y</m:t>
                        </m:r>
                        <m:ctrlPr>
                          <w:rPr>
                            <w:rFonts w:ascii="Cambria Math" w:hAnsi="Cambria Math" w:cs="Times New Roman"/>
                            <w:color w:val="000000"/>
                            <w:kern w:val="0"/>
                            <w:sz w:val="20"/>
                            <w:szCs w:val="20"/>
                            <w14:ligatures w14:val="none"/>
                          </w:rPr>
                        </m:ctrlPr>
                      </m:e>
                      <m:sub>
                        <m:r>
                          <m:rPr>
                            <m:nor/>
                            <m:sty m:val="p"/>
                          </m:rPr>
                          <w:rPr>
                            <w:rFonts w:ascii="Times New Roman" w:hAnsi="Times New Roman" w:cs="Times New Roman"/>
                            <w:color w:val="000000"/>
                            <w:kern w:val="0"/>
                            <w:sz w:val="20"/>
                            <w:szCs w:val="20"/>
                            <w14:ligatures w14:val="none"/>
                          </w:rPr>
                          <m:t>j</m:t>
                        </m:r>
                        <m:ctrlPr>
                          <w:rPr>
                            <w:rFonts w:ascii="Cambria Math" w:hAnsi="Cambria Math" w:cs="Times New Roman"/>
                            <w:color w:val="000000"/>
                            <w:kern w:val="0"/>
                            <w:sz w:val="20"/>
                            <w:szCs w:val="20"/>
                            <w14:ligatures w14:val="none"/>
                          </w:rPr>
                        </m:ctrlPr>
                      </m:sub>
                    </m:sSub>
                    <m:ctrlPr>
                      <w:rPr>
                        <w:rFonts w:ascii="Cambria Math" w:hAnsi="Cambria Math" w:cs="Times New Roman"/>
                        <w:color w:val="000000"/>
                        <w:kern w:val="0"/>
                        <w:sz w:val="20"/>
                        <w:szCs w:val="20"/>
                        <w14:ligatures w14:val="none"/>
                      </w:rPr>
                    </m:ctrlPr>
                  </m:e>
                </m:nary>
              </m:oMath>
            </m:oMathPara>
          </w:p>
          <w:p w14:paraId="6359055D">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W</w:t>
            </w:r>
            <w:r>
              <w:rPr>
                <w:rFonts w:hint="eastAsia" w:ascii="Times New Roman" w:hAnsi="Times New Roman" w:cs="Times New Roman"/>
                <w:color w:val="000000"/>
                <w:kern w:val="0"/>
                <w:sz w:val="20"/>
                <w:szCs w:val="20"/>
                <w14:ligatures w14:val="none"/>
              </w:rPr>
              <w:t>here</w:t>
            </w:r>
            <m:oMath>
              <m:sSub>
                <m:sSubPr>
                  <m:ctrlPr>
                    <w:rPr>
                      <w:rFonts w:ascii="Cambria Math" w:hAnsi="Cambria Math" w:cs="Times New Roman"/>
                      <w:color w:val="000000"/>
                      <w:kern w:val="0"/>
                      <w:sz w:val="20"/>
                      <w:szCs w:val="20"/>
                      <w14:ligatures w14:val="none"/>
                    </w:rPr>
                  </m:ctrlPr>
                </m:sSubPr>
                <m:e>
                  <m:r>
                    <m:rPr>
                      <m:nor/>
                      <m:sty m:val="p"/>
                    </m:rPr>
                    <w:rPr>
                      <w:rFonts w:ascii="Cambria Math" w:hAnsi="Cambria Math" w:cs="Times New Roman"/>
                      <w:color w:val="000000"/>
                      <w:kern w:val="0"/>
                      <w:sz w:val="20"/>
                      <w:szCs w:val="20"/>
                      <w14:ligatures w14:val="none"/>
                    </w:rPr>
                    <m:t xml:space="preserve"> y</m:t>
                  </m:r>
                  <m:ctrlPr>
                    <w:rPr>
                      <w:rFonts w:ascii="Cambria Math" w:hAnsi="Cambria Math" w:cs="Times New Roman"/>
                      <w:color w:val="000000"/>
                      <w:kern w:val="0"/>
                      <w:sz w:val="20"/>
                      <w:szCs w:val="20"/>
                      <w14:ligatures w14:val="none"/>
                    </w:rPr>
                  </m:ctrlPr>
                </m:e>
                <m:sub>
                  <m:r>
                    <m:rPr>
                      <m:nor/>
                      <m:sty m:val="p"/>
                    </m:rPr>
                    <w:rPr>
                      <w:rFonts w:ascii="Cambria Math" w:hAnsi="Cambria Math" w:cs="Times New Roman"/>
                      <w:color w:val="000000"/>
                      <w:kern w:val="0"/>
                      <w:sz w:val="20"/>
                      <w:szCs w:val="20"/>
                      <w14:ligatures w14:val="none"/>
                    </w:rPr>
                    <m:t>j</m:t>
                  </m:r>
                  <m:ctrlPr>
                    <w:rPr>
                      <w:rFonts w:ascii="Cambria Math" w:hAnsi="Cambria Math" w:cs="Times New Roman"/>
                      <w:color w:val="000000"/>
                      <w:kern w:val="0"/>
                      <w:sz w:val="20"/>
                      <w:szCs w:val="20"/>
                      <w14:ligatures w14:val="none"/>
                    </w:rPr>
                  </m:ctrlPr>
                </m:sub>
              </m:sSub>
              <m:r>
                <m:rPr>
                  <m:nor/>
                  <m:sty m:val="p"/>
                </m:rPr>
                <w:rPr>
                  <w:rFonts w:ascii="Cambria Math" w:hAnsi="Cambria Math" w:cs="Times New Roman"/>
                  <w:color w:val="000000"/>
                  <w:kern w:val="0"/>
                  <w:sz w:val="20"/>
                  <w:szCs w:val="20"/>
                  <w14:ligatures w14:val="none"/>
                </w:rPr>
                <m:t>=</m:t>
              </m:r>
            </m:oMath>
          </w:p>
          <w:p w14:paraId="1B68C2F4">
            <w:pPr>
              <w:widowControl/>
              <w:spacing w:after="0" w:line="240" w:lineRule="auto"/>
              <w:jc w:val="center"/>
              <w:rPr>
                <w:rFonts w:ascii="Times New Roman" w:hAnsi="Times New Roman" w:cs="Times New Roman"/>
                <w:color w:val="000000"/>
                <w:kern w:val="0"/>
                <w:sz w:val="20"/>
                <w:szCs w:val="20"/>
                <w14:ligatures w14:val="none"/>
              </w:rPr>
            </w:pPr>
            <m:oMathPara>
              <m:oMath>
                <m:d>
                  <m:dPr>
                    <m:begChr m:val="{"/>
                    <m:endChr m:val=""/>
                    <m:ctrlPr>
                      <w:rPr>
                        <w:rFonts w:ascii="Cambria Math" w:hAnsi="Cambria Math" w:cs="Times New Roman"/>
                        <w:color w:val="000000"/>
                        <w:kern w:val="0"/>
                        <w:sz w:val="20"/>
                        <w:szCs w:val="20"/>
                        <w14:ligatures w14:val="none"/>
                      </w:rPr>
                    </m:ctrlPr>
                  </m:dPr>
                  <m:e>
                    <m:eqArr>
                      <m:eqArrPr>
                        <m:ctrlPr>
                          <w:rPr>
                            <w:rFonts w:ascii="Cambria Math" w:hAnsi="Cambria Math" w:cs="Times New Roman"/>
                            <w:color w:val="000000"/>
                            <w:kern w:val="0"/>
                            <w:sz w:val="20"/>
                            <w:szCs w:val="20"/>
                            <w14:ligatures w14:val="none"/>
                          </w:rPr>
                        </m:ctrlPr>
                      </m:eqArrPr>
                      <m:e>
                        <m:r>
                          <m:rPr>
                            <m:nor/>
                            <m:sty m:val="p"/>
                          </m:rPr>
                          <w:rPr>
                            <w:rFonts w:ascii="Times New Roman" w:hAnsi="Times New Roman" w:cs="Times New Roman"/>
                            <w:color w:val="000000"/>
                            <w:kern w:val="0"/>
                            <w:sz w:val="20"/>
                            <w:szCs w:val="20"/>
                            <w14:ligatures w14:val="none"/>
                          </w:rPr>
                          <m:t>2.2910, j=ABC</m:t>
                        </m:r>
                        <m:ctrlPr>
                          <w:rPr>
                            <w:rFonts w:ascii="Cambria Math" w:hAnsi="Cambria Math" w:cs="Times New Roman"/>
                            <w:color w:val="000000"/>
                            <w:kern w:val="0"/>
                            <w:sz w:val="20"/>
                            <w:szCs w:val="20"/>
                            <w14:ligatures w14:val="none"/>
                          </w:rPr>
                        </m:ctrlPr>
                      </m:e>
                      <m:e>
                        <m:r>
                          <m:rPr>
                            <m:nor/>
                            <m:sty m:val="p"/>
                          </m:rPr>
                          <w:rPr>
                            <w:rFonts w:ascii="Times New Roman" w:hAnsi="Times New Roman" w:cs="Times New Roman"/>
                            <w:color w:val="000000"/>
                            <w:kern w:val="0"/>
                            <w:sz w:val="20"/>
                            <w:szCs w:val="20"/>
                            <w14:ligatures w14:val="none"/>
                          </w:rPr>
                          <m:t>1, j=Urea, AP,other NP, NK,NPK</m:t>
                        </m:r>
                        <m:ctrlPr>
                          <w:rPr>
                            <w:rFonts w:ascii="Cambria Math" w:hAnsi="Cambria Math" w:eastAsia="Cambria Math" w:cs="Times New Roman"/>
                            <w:color w:val="000000"/>
                            <w:kern w:val="0"/>
                            <w:sz w:val="20"/>
                            <w:szCs w:val="20"/>
                            <w14:ligatures w14:val="none"/>
                          </w:rPr>
                        </m:ctrlPr>
                      </m:e>
                      <m:e>
                        <m:r>
                          <m:rPr>
                            <m:nor/>
                            <m:sty m:val="p"/>
                          </m:rPr>
                          <w:rPr>
                            <w:rFonts w:ascii="Times New Roman" w:hAnsi="Times New Roman" w:cs="Times New Roman"/>
                            <w:color w:val="000000"/>
                            <w:kern w:val="0"/>
                            <w:sz w:val="20"/>
                            <w:szCs w:val="20"/>
                            <w14:ligatures w14:val="none"/>
                          </w:rPr>
                          <m:t>0.5779, j=AN,CAN,AS,AA,</m:t>
                        </m:r>
                        <m:ctrlPr>
                          <w:rPr>
                            <w:rFonts w:ascii="Cambria Math" w:hAnsi="Cambria Math" w:eastAsia="Cambria Math" w:cs="Times New Roman"/>
                            <w:color w:val="000000"/>
                            <w:kern w:val="0"/>
                            <w:sz w:val="20"/>
                            <w:szCs w:val="20"/>
                            <w14:ligatures w14:val="none"/>
                          </w:rPr>
                        </m:ctrlPr>
                      </m:e>
                      <m:e>
                        <m:r>
                          <m:rPr>
                            <m:nor/>
                            <m:sty m:val="p"/>
                          </m:rPr>
                          <w:rPr>
                            <w:rFonts w:ascii="Times New Roman" w:hAnsi="Times New Roman" w:cs="Times New Roman"/>
                            <w:color w:val="000000"/>
                            <w:kern w:val="0"/>
                            <w:sz w:val="20"/>
                            <w:szCs w:val="20"/>
                            <w14:ligatures w14:val="none"/>
                          </w:rPr>
                          <m:t xml:space="preserve"> N solutions</m:t>
                        </m:r>
                        <m:ctrlPr>
                          <w:rPr>
                            <w:rFonts w:ascii="Cambria Math" w:hAnsi="Cambria Math" w:cs="Times New Roman"/>
                            <w:color w:val="000000"/>
                            <w:kern w:val="0"/>
                            <w:sz w:val="20"/>
                            <w:szCs w:val="20"/>
                            <w14:ligatures w14:val="none"/>
                          </w:rPr>
                        </m:ctrlPr>
                      </m:e>
                    </m:eqArr>
                    <m:ctrlPr>
                      <w:rPr>
                        <w:rFonts w:ascii="Cambria Math" w:hAnsi="Cambria Math" w:cs="Times New Roman"/>
                        <w:color w:val="000000"/>
                        <w:kern w:val="0"/>
                        <w:sz w:val="20"/>
                        <w:szCs w:val="20"/>
                        <w14:ligatures w14:val="none"/>
                      </w:rPr>
                    </m:ctrlPr>
                  </m:e>
                </m:d>
              </m:oMath>
            </m:oMathPara>
          </w:p>
          <w:p w14:paraId="4395898C">
            <w:pPr>
              <w:widowControl/>
              <w:spacing w:after="0" w:line="240" w:lineRule="auto"/>
              <w:jc w:val="center"/>
              <w:rPr>
                <w:rFonts w:ascii="Times New Roman" w:hAnsi="Times New Roman" w:cs="Times New Roman"/>
                <w:color w:val="000000"/>
                <w:kern w:val="0"/>
                <w:sz w:val="20"/>
                <w:szCs w:val="20"/>
                <w14:ligatures w14:val="none"/>
              </w:rPr>
            </w:pPr>
          </w:p>
        </w:tc>
      </w:tr>
      <w:tr w14:paraId="1C307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1222" w:type="dxa"/>
            <w:shd w:val="clear" w:color="auto" w:fill="auto"/>
            <w:noWrap/>
            <w:vAlign w:val="center"/>
          </w:tcPr>
          <w:p w14:paraId="274C72A9">
            <w:pPr>
              <w:widowControl/>
              <w:spacing w:after="0" w:line="240" w:lineRule="auto"/>
              <w:jc w:val="center"/>
              <w:rPr>
                <w:rFonts w:ascii="Times New Roman" w:hAnsi="Times New Roman" w:cs="Times New Roman"/>
                <w:color w:val="000000"/>
                <w:kern w:val="0"/>
                <w:sz w:val="24"/>
                <w:szCs w:val="24"/>
                <w14:ligatures w14:val="none"/>
              </w:rPr>
            </w:pPr>
            <w:r>
              <w:rPr>
                <w:rFonts w:hint="eastAsia" w:ascii="Times New Roman" w:hAnsi="Times New Roman" w:cs="Times New Roman"/>
                <w:i/>
                <w:iCs/>
                <w:color w:val="000000"/>
                <w:kern w:val="0"/>
                <w:sz w:val="24"/>
                <w:szCs w:val="24"/>
                <w14:ligatures w14:val="none"/>
              </w:rPr>
              <w:t>f</w:t>
            </w:r>
            <w:r>
              <w:rPr>
                <w:rFonts w:hint="eastAsia" w:ascii="Times New Roman" w:hAnsi="Times New Roman" w:cs="Times New Roman"/>
                <w:color w:val="000000"/>
                <w:kern w:val="0"/>
                <w:sz w:val="24"/>
                <w:szCs w:val="24"/>
                <w14:ligatures w14:val="none"/>
              </w:rPr>
              <w:t xml:space="preserve"> (Methd)</w:t>
            </w:r>
          </w:p>
        </w:tc>
        <w:tc>
          <w:tcPr>
            <w:tcW w:w="3881" w:type="dxa"/>
            <w:shd w:val="clear" w:color="auto" w:fill="auto"/>
            <w:noWrap/>
            <w:vAlign w:val="bottom"/>
          </w:tcPr>
          <w:p w14:paraId="182975BC">
            <w:pPr>
              <w:widowControl/>
              <w:spacing w:after="0" w:line="240" w:lineRule="auto"/>
              <w:jc w:val="left"/>
              <w:rPr>
                <w:rFonts w:ascii="Times New Roman" w:hAnsi="Times New Roman" w:cs="Times New Roman"/>
                <w:kern w:val="0"/>
                <w:sz w:val="20"/>
                <w:szCs w:val="20"/>
                <w14:ligatures w14:val="none"/>
              </w:rPr>
            </w:pPr>
            <m:oMathPara>
              <m:oMath>
                <m:d>
                  <m:dPr>
                    <m:begChr m:val="{"/>
                    <m:endChr m:val=""/>
                    <m:ctrlPr>
                      <w:rPr>
                        <w:rFonts w:ascii="Cambria Math" w:hAnsi="Cambria Math" w:eastAsia="Times New Roman" w:cs="Times New Roman"/>
                        <w:i/>
                        <w:kern w:val="0"/>
                        <w:sz w:val="20"/>
                        <w:szCs w:val="20"/>
                        <w14:ligatures w14:val="none"/>
                      </w:rPr>
                    </m:ctrlPr>
                  </m:dPr>
                  <m:e>
                    <m:eqArr>
                      <m:eqArrPr>
                        <m:ctrlPr>
                          <w:rPr>
                            <w:rFonts w:ascii="Cambria Math" w:hAnsi="Cambria Math" w:eastAsia="Times New Roman" w:cs="Times New Roman"/>
                            <w:i/>
                            <w:kern w:val="0"/>
                            <w:sz w:val="20"/>
                            <w:szCs w:val="20"/>
                            <w14:ligatures w14:val="none"/>
                          </w:rPr>
                        </m:ctrlPr>
                      </m:eqArrPr>
                      <m:e>
                        <m:r>
                          <m:rPr>
                            <m:nor/>
                            <m:sty m:val="p"/>
                          </m:rPr>
                          <w:rPr>
                            <w:rFonts w:ascii="Times New Roman" w:hAnsi="Times New Roman" w:eastAsia="Times New Roman" w:cs="Times New Roman"/>
                            <w:kern w:val="0"/>
                            <w:sz w:val="20"/>
                            <w:szCs w:val="20"/>
                            <w14:ligatures w14:val="none"/>
                          </w:rPr>
                          <m:t>1,</m:t>
                        </m:r>
                        <m:r>
                          <m:rPr>
                            <m:nor/>
                            <m:sty m:val="p"/>
                          </m:rPr>
                          <w:rPr>
                            <w:rFonts w:ascii="Times New Roman" w:hAnsi="Times New Roman" w:cs="Times New Roman"/>
                            <w:kern w:val="0"/>
                            <w:sz w:val="20"/>
                            <w:szCs w:val="20"/>
                            <w14:ligatures w14:val="none"/>
                          </w:rPr>
                          <m:t xml:space="preserve"> j=ABC,Urea,AP,other NP,</m:t>
                        </m:r>
                        <m:ctrlPr>
                          <w:rPr>
                            <w:rFonts w:ascii="Cambria Math" w:hAnsi="Cambria Math" w:eastAsia="Times New Roman" w:cs="Times New Roman"/>
                            <w:i/>
                            <w:kern w:val="0"/>
                            <w:sz w:val="20"/>
                            <w:szCs w:val="20"/>
                            <w14:ligatures w14:val="none"/>
                          </w:rPr>
                        </m:ctrlPr>
                      </m:e>
                      <m:e>
                        <m:r>
                          <m:rPr>
                            <m:nor/>
                            <m:sty m:val="p"/>
                          </m:rPr>
                          <w:rPr>
                            <w:rFonts w:ascii="Times New Roman" w:hAnsi="Times New Roman" w:cs="Times New Roman"/>
                            <w:kern w:val="0"/>
                            <w:sz w:val="20"/>
                            <w:szCs w:val="20"/>
                            <w14:ligatures w14:val="none"/>
                          </w:rPr>
                          <m:t xml:space="preserve"> NK,AN,</m:t>
                        </m:r>
                        <m:r>
                          <m:rPr>
                            <m:nor/>
                            <m:sty m:val="p"/>
                          </m:rPr>
                          <w:rPr>
                            <w:rFonts w:ascii="Times New Roman" w:hAnsi="Times New Roman" w:eastAsia="Times New Roman" w:cs="Times New Roman"/>
                            <w:kern w:val="0"/>
                            <w:sz w:val="20"/>
                            <w:szCs w:val="20"/>
                            <w14:ligatures w14:val="none"/>
                          </w:rPr>
                          <m:t>C</m:t>
                        </m:r>
                        <m:r>
                          <m:rPr>
                            <m:nor/>
                            <m:sty m:val="p"/>
                          </m:rPr>
                          <w:rPr>
                            <w:rFonts w:ascii="Times New Roman" w:hAnsi="Times New Roman" w:cs="Times New Roman"/>
                            <w:kern w:val="0"/>
                            <w:sz w:val="20"/>
                            <w:szCs w:val="20"/>
                            <w14:ligatures w14:val="none"/>
                          </w:rPr>
                          <m:t>AN,AS</m:t>
                        </m:r>
                        <m:ctrlPr>
                          <w:rPr>
                            <w:rFonts w:ascii="Cambria Math" w:hAnsi="Cambria Math" w:eastAsia="Cambria Math" w:cs="Times New Roman"/>
                            <w:i/>
                            <w:kern w:val="0"/>
                            <w:sz w:val="20"/>
                            <w:szCs w:val="20"/>
                            <w14:ligatures w14:val="none"/>
                          </w:rPr>
                        </m:ctrlPr>
                      </m:e>
                      <m:e>
                        <m:r>
                          <m:rPr>
                            <m:nor/>
                            <m:sty m:val="p"/>
                          </m:rPr>
                          <w:rPr>
                            <w:rFonts w:ascii="Times New Roman" w:hAnsi="Times New Roman" w:eastAsia="Times New Roman" w:cs="Times New Roman"/>
                            <w:kern w:val="0"/>
                            <w:sz w:val="20"/>
                            <w:szCs w:val="20"/>
                            <w14:ligatures w14:val="none"/>
                          </w:rPr>
                          <m:t>0</m:t>
                        </m:r>
                        <m:r>
                          <m:rPr>
                            <m:nor/>
                            <m:sty m:val="p"/>
                          </m:rPr>
                          <w:rPr>
                            <w:rFonts w:ascii="Times New Roman" w:hAnsi="Times New Roman" w:cs="Times New Roman"/>
                            <w:kern w:val="0"/>
                            <w:sz w:val="20"/>
                            <w:szCs w:val="20"/>
                            <w14:ligatures w14:val="none"/>
                          </w:rPr>
                          <m:t>.7326, j=AA, N solutions</m:t>
                        </m:r>
                        <m:ctrlPr>
                          <w:rPr>
                            <w:rFonts w:ascii="Cambria Math" w:hAnsi="Cambria Math" w:eastAsia="Times New Roman" w:cs="Times New Roman"/>
                            <w:i/>
                            <w:kern w:val="0"/>
                            <w:sz w:val="20"/>
                            <w:szCs w:val="20"/>
                            <w14:ligatures w14:val="none"/>
                          </w:rPr>
                        </m:ctrlPr>
                      </m:e>
                    </m:eqArr>
                    <m:ctrlPr>
                      <w:rPr>
                        <w:rFonts w:ascii="Cambria Math" w:hAnsi="Cambria Math" w:eastAsia="Times New Roman" w:cs="Times New Roman"/>
                        <w:i/>
                        <w:kern w:val="0"/>
                        <w:sz w:val="20"/>
                        <w:szCs w:val="20"/>
                        <w14:ligatures w14:val="none"/>
                      </w:rPr>
                    </m:ctrlPr>
                  </m:e>
                </m:d>
              </m:oMath>
            </m:oMathPara>
          </w:p>
          <w:p w14:paraId="3AD78C85">
            <w:pPr>
              <w:widowControl/>
              <w:spacing w:after="0" w:line="240" w:lineRule="auto"/>
              <w:jc w:val="left"/>
              <w:rPr>
                <w:rFonts w:ascii="Times New Roman" w:hAnsi="Times New Roman" w:cs="Times New Roman"/>
                <w:kern w:val="0"/>
                <w:sz w:val="20"/>
                <w:szCs w:val="20"/>
                <w14:ligatures w14:val="none"/>
              </w:rPr>
            </w:pPr>
          </w:p>
        </w:tc>
        <w:tc>
          <w:tcPr>
            <w:tcW w:w="3203" w:type="dxa"/>
            <w:shd w:val="clear" w:color="auto" w:fill="auto"/>
            <w:noWrap/>
            <w:vAlign w:val="bottom"/>
          </w:tcPr>
          <w:p w14:paraId="251CC564">
            <w:pPr>
              <w:widowControl/>
              <w:spacing w:after="0" w:line="240" w:lineRule="auto"/>
              <w:jc w:val="left"/>
              <w:rPr>
                <w:rFonts w:ascii="Times New Roman" w:hAnsi="Times New Roman" w:cs="Times New Roman"/>
                <w:kern w:val="0"/>
                <w:sz w:val="20"/>
                <w:szCs w:val="20"/>
                <w14:ligatures w14:val="none"/>
              </w:rPr>
            </w:pPr>
            <m:oMathPara>
              <m:oMath>
                <m:d>
                  <m:dPr>
                    <m:begChr m:val="{"/>
                    <m:endChr m:val=""/>
                    <m:ctrlPr>
                      <w:rPr>
                        <w:rFonts w:ascii="Cambria Math" w:hAnsi="Cambria Math" w:eastAsia="Times New Roman" w:cs="Times New Roman"/>
                        <w:i/>
                        <w:kern w:val="0"/>
                        <w:sz w:val="20"/>
                        <w:szCs w:val="20"/>
                        <w14:ligatures w14:val="none"/>
                      </w:rPr>
                    </m:ctrlPr>
                  </m:dPr>
                  <m:e>
                    <m:eqArr>
                      <m:eqArrPr>
                        <m:ctrlPr>
                          <w:rPr>
                            <w:rFonts w:ascii="Cambria Math" w:hAnsi="Cambria Math" w:eastAsia="Times New Roman" w:cs="Times New Roman"/>
                            <w:i/>
                            <w:kern w:val="0"/>
                            <w:sz w:val="20"/>
                            <w:szCs w:val="20"/>
                            <w14:ligatures w14:val="none"/>
                          </w:rPr>
                        </m:ctrlPr>
                      </m:eqArrPr>
                      <m:e>
                        <m:r>
                          <m:rPr>
                            <m:nor/>
                            <m:sty m:val="p"/>
                          </m:rPr>
                          <w:rPr>
                            <w:rFonts w:ascii="Times New Roman" w:hAnsi="Times New Roman" w:eastAsia="Times New Roman" w:cs="Times New Roman"/>
                            <w:kern w:val="0"/>
                            <w:sz w:val="20"/>
                            <w:szCs w:val="20"/>
                            <w14:ligatures w14:val="none"/>
                          </w:rPr>
                          <m:t>1,</m:t>
                        </m:r>
                        <m:r>
                          <m:rPr>
                            <m:nor/>
                            <m:sty m:val="p"/>
                          </m:rPr>
                          <w:rPr>
                            <w:rFonts w:ascii="Times New Roman" w:hAnsi="Times New Roman" w:cs="Times New Roman"/>
                            <w:kern w:val="0"/>
                            <w:sz w:val="20"/>
                            <w:szCs w:val="20"/>
                            <w14:ligatures w14:val="none"/>
                          </w:rPr>
                          <m:t xml:space="preserve"> j=ABC, Urea,AP, other NP,</m:t>
                        </m:r>
                        <m:ctrlPr>
                          <w:rPr>
                            <w:rFonts w:ascii="Cambria Math" w:hAnsi="Cambria Math" w:eastAsia="Times New Roman" w:cs="Times New Roman"/>
                            <w:i/>
                            <w:kern w:val="0"/>
                            <w:sz w:val="20"/>
                            <w:szCs w:val="20"/>
                            <w14:ligatures w14:val="none"/>
                          </w:rPr>
                        </m:ctrlPr>
                      </m:e>
                      <m:e>
                        <m:r>
                          <m:rPr>
                            <m:nor/>
                            <m:sty m:val="p"/>
                          </m:rPr>
                          <w:rPr>
                            <w:rFonts w:ascii="Times New Roman" w:hAnsi="Times New Roman" w:cs="Times New Roman"/>
                            <w:kern w:val="0"/>
                            <w:sz w:val="20"/>
                            <w:szCs w:val="20"/>
                            <w14:ligatures w14:val="none"/>
                          </w:rPr>
                          <m:t xml:space="preserve"> NK, AN, </m:t>
                        </m:r>
                        <m:r>
                          <m:rPr>
                            <m:nor/>
                            <m:sty m:val="p"/>
                          </m:rPr>
                          <w:rPr>
                            <w:rFonts w:ascii="Times New Roman" w:hAnsi="Times New Roman" w:eastAsia="Times New Roman" w:cs="Times New Roman"/>
                            <w:kern w:val="0"/>
                            <w:sz w:val="20"/>
                            <w:szCs w:val="20"/>
                            <w14:ligatures w14:val="none"/>
                          </w:rPr>
                          <m:t>C</m:t>
                        </m:r>
                        <m:r>
                          <m:rPr>
                            <m:nor/>
                            <m:sty m:val="p"/>
                          </m:rPr>
                          <w:rPr>
                            <w:rFonts w:ascii="Times New Roman" w:hAnsi="Times New Roman" w:cs="Times New Roman"/>
                            <w:kern w:val="0"/>
                            <w:sz w:val="20"/>
                            <w:szCs w:val="20"/>
                            <w14:ligatures w14:val="none"/>
                          </w:rPr>
                          <m:t>AN, AS</m:t>
                        </m:r>
                        <m:ctrlPr>
                          <w:rPr>
                            <w:rFonts w:ascii="Cambria Math" w:hAnsi="Cambria Math" w:eastAsia="Cambria Math" w:cs="Times New Roman"/>
                            <w:i/>
                            <w:kern w:val="0"/>
                            <w:sz w:val="20"/>
                            <w:szCs w:val="20"/>
                            <w14:ligatures w14:val="none"/>
                          </w:rPr>
                        </m:ctrlPr>
                      </m:e>
                      <m:e>
                        <m:r>
                          <m:rPr>
                            <m:nor/>
                            <m:sty m:val="p"/>
                          </m:rPr>
                          <w:rPr>
                            <w:rFonts w:ascii="Times New Roman" w:hAnsi="Times New Roman" w:eastAsia="Times New Roman" w:cs="Times New Roman"/>
                            <w:kern w:val="0"/>
                            <w:sz w:val="20"/>
                            <w:szCs w:val="20"/>
                            <w14:ligatures w14:val="none"/>
                          </w:rPr>
                          <m:t>0</m:t>
                        </m:r>
                        <m:r>
                          <m:rPr>
                            <m:nor/>
                            <m:sty m:val="p"/>
                          </m:rPr>
                          <w:rPr>
                            <w:rFonts w:ascii="Times New Roman" w:hAnsi="Times New Roman" w:cs="Times New Roman"/>
                            <w:kern w:val="0"/>
                            <w:sz w:val="20"/>
                            <w:szCs w:val="20"/>
                            <w14:ligatures w14:val="none"/>
                          </w:rPr>
                          <m:t>.4966, j= N solutions</m:t>
                        </m:r>
                        <m:ctrlPr>
                          <w:rPr>
                            <w:rFonts w:ascii="Cambria Math" w:hAnsi="Cambria Math" w:eastAsia="Cambria Math" w:cs="Times New Roman"/>
                            <w:i/>
                            <w:kern w:val="0"/>
                            <w:sz w:val="20"/>
                            <w:szCs w:val="20"/>
                            <w14:ligatures w14:val="none"/>
                          </w:rPr>
                        </m:ctrlPr>
                      </m:e>
                      <m:e>
                        <m:r>
                          <m:rPr>
                            <m:nor/>
                            <m:sty m:val="p"/>
                          </m:rPr>
                          <w:rPr>
                            <w:rFonts w:ascii="Times New Roman" w:hAnsi="Times New Roman" w:eastAsia="Cambria Math" w:cs="Times New Roman"/>
                            <w:iCs/>
                            <w:kern w:val="0"/>
                            <w:sz w:val="20"/>
                            <w:szCs w:val="20"/>
                            <w14:ligatures w14:val="none"/>
                          </w:rPr>
                          <m:t>0</m:t>
                        </m:r>
                        <m:r>
                          <m:rPr>
                            <m:nor/>
                            <m:sty m:val="p"/>
                          </m:rPr>
                          <w:rPr>
                            <w:rFonts w:ascii="Times New Roman" w:hAnsi="Times New Roman" w:cs="Times New Roman"/>
                            <w:iCs/>
                            <w:kern w:val="0"/>
                            <w:sz w:val="20"/>
                            <w:szCs w:val="20"/>
                            <w14:ligatures w14:val="none"/>
                          </w:rPr>
                          <m:t>.2477, j=AA</m:t>
                        </m:r>
                        <m:ctrlPr>
                          <w:rPr>
                            <w:rFonts w:ascii="Cambria Math" w:hAnsi="Cambria Math" w:eastAsia="Times New Roman" w:cs="Times New Roman"/>
                            <w:i/>
                            <w:kern w:val="0"/>
                            <w:sz w:val="20"/>
                            <w:szCs w:val="20"/>
                            <w14:ligatures w14:val="none"/>
                          </w:rPr>
                        </m:ctrlPr>
                      </m:e>
                    </m:eqArr>
                    <m:ctrlPr>
                      <w:rPr>
                        <w:rFonts w:ascii="Cambria Math" w:hAnsi="Cambria Math" w:eastAsia="Times New Roman" w:cs="Times New Roman"/>
                        <w:i/>
                        <w:kern w:val="0"/>
                        <w:sz w:val="20"/>
                        <w:szCs w:val="20"/>
                        <w14:ligatures w14:val="none"/>
                      </w:rPr>
                    </m:ctrlPr>
                  </m:e>
                </m:d>
              </m:oMath>
            </m:oMathPara>
          </w:p>
          <w:p w14:paraId="7A369CF6">
            <w:pPr>
              <w:widowControl/>
              <w:spacing w:after="0" w:line="240" w:lineRule="auto"/>
              <w:jc w:val="left"/>
              <w:rPr>
                <w:rFonts w:ascii="Times New Roman" w:hAnsi="Times New Roman" w:eastAsia="Times New Roman" w:cs="Times New Roman"/>
                <w:kern w:val="0"/>
                <w:sz w:val="20"/>
                <w:szCs w:val="20"/>
                <w14:ligatures w14:val="none"/>
              </w:rPr>
            </w:pPr>
          </w:p>
        </w:tc>
      </w:tr>
    </w:tbl>
    <w:p w14:paraId="07C586B4">
      <w:pPr>
        <w:rPr>
          <w:rFonts w:ascii="Times New Roman" w:hAnsi="Times New Roman"/>
          <w:lang w:val="en-US"/>
        </w:rPr>
      </w:pPr>
      <w:r>
        <w:rPr>
          <w:rFonts w:hint="eastAsia" w:ascii="Times New Roman" w:hAnsi="Times New Roman"/>
          <w:lang w:val="en-US"/>
        </w:rPr>
        <w:t xml:space="preserve">Note: </w:t>
      </w:r>
      <w:r>
        <w:rPr>
          <w:rFonts w:ascii="Times New Roman" w:hAnsi="Times New Roman"/>
          <w:lang w:val="en-US"/>
        </w:rPr>
        <w:t>EF_SF0</w:t>
      </w:r>
      <w:r>
        <w:rPr>
          <w:rFonts w:hint="eastAsia" w:ascii="Times New Roman" w:hAnsi="Times New Roman"/>
          <w:lang w:val="en-US"/>
        </w:rPr>
        <w:t xml:space="preserve"> is the emission factors of synthetic fertilizers under the reference condition (</w:t>
      </w:r>
      <w:r>
        <w:rPr>
          <w:rFonts w:ascii="Times New Roman" w:hAnsi="Times New Roman"/>
          <w:lang w:val="en-US"/>
        </w:rPr>
        <w:t xml:space="preserve">chamber-based using urea applied through broadcasting with soil pH of 7 and air temperature </w:t>
      </w:r>
      <w:r>
        <w:rPr>
          <w:rFonts w:ascii="Times New Roman" w:hAnsi="Times New Roman" w:cs="Times New Roman"/>
          <w:lang w:val="en-US"/>
        </w:rPr>
        <w:t>of 20℃</w:t>
      </w:r>
      <w:r>
        <w:rPr>
          <w:rFonts w:ascii="Times New Roman" w:hAnsi="Times New Roman"/>
          <w:lang w:val="en-US"/>
        </w:rPr>
        <w:t xml:space="preserve"> for upland crops or of 26</w:t>
      </w:r>
      <w:r>
        <w:rPr>
          <w:rFonts w:ascii="Times New Roman" w:hAnsi="Times New Roman" w:cs="Times New Roman"/>
          <w:lang w:val="en-US"/>
        </w:rPr>
        <w:t>℃</w:t>
      </w:r>
      <w:r>
        <w:rPr>
          <w:rFonts w:ascii="Times New Roman" w:hAnsi="Times New Roman"/>
          <w:lang w:val="en-US"/>
        </w:rPr>
        <w:t>for rice</w:t>
      </w:r>
      <w:r>
        <w:rPr>
          <w:rFonts w:hint="eastAsia" w:ascii="Times New Roman" w:hAnsi="Times New Roman"/>
          <w:lang w:val="en-US"/>
        </w:rPr>
        <w:t xml:space="preserve">). </w:t>
      </w:r>
      <w:r>
        <w:rPr>
          <w:rFonts w:hint="eastAsia" w:ascii="Times New Roman" w:hAnsi="Times New Roman"/>
          <w:i/>
          <w:iCs/>
          <w:lang w:val="en-US"/>
        </w:rPr>
        <w:t>f</w:t>
      </w:r>
      <w:r>
        <w:rPr>
          <w:rFonts w:hint="eastAsia" w:ascii="Times New Roman" w:hAnsi="Times New Roman"/>
          <w:lang w:val="en-US"/>
        </w:rPr>
        <w:t>(pH),</w:t>
      </w:r>
      <w:r>
        <w:rPr>
          <w:rFonts w:ascii="Times New Roman" w:hAnsi="Times New Roman"/>
          <w:lang w:val="en-US"/>
        </w:rPr>
        <w:t xml:space="preserve"> </w:t>
      </w:r>
      <w:r>
        <w:rPr>
          <w:rFonts w:hint="eastAsia" w:ascii="Times New Roman" w:hAnsi="Times New Roman"/>
          <w:i/>
          <w:iCs/>
          <w:lang w:val="en-US"/>
        </w:rPr>
        <w:t>f</w:t>
      </w:r>
      <w:r>
        <w:rPr>
          <w:rFonts w:hint="eastAsia" w:ascii="Times New Roman" w:hAnsi="Times New Roman"/>
          <w:lang w:val="en-US"/>
        </w:rPr>
        <w:t xml:space="preserve">(Temp), </w:t>
      </w:r>
      <w:r>
        <w:rPr>
          <w:rFonts w:hint="eastAsia" w:ascii="Times New Roman" w:hAnsi="Times New Roman"/>
          <w:i/>
          <w:iCs/>
          <w:lang w:val="en-US"/>
        </w:rPr>
        <w:t>f</w:t>
      </w:r>
      <w:r>
        <w:rPr>
          <w:rFonts w:hint="eastAsia" w:ascii="Times New Roman" w:hAnsi="Times New Roman"/>
          <w:lang w:val="en-US"/>
        </w:rPr>
        <w:t>(</w:t>
      </w:r>
      <w:r>
        <w:rPr>
          <w:rFonts w:ascii="Times New Roman" w:hAnsi="Times New Roman"/>
          <w:lang w:val="en-US"/>
        </w:rPr>
        <w:t>Windsd</w:t>
      </w:r>
      <w:r>
        <w:rPr>
          <w:rFonts w:hint="eastAsia" w:ascii="Times New Roman" w:hAnsi="Times New Roman"/>
          <w:lang w:val="en-US"/>
        </w:rPr>
        <w:t xml:space="preserve">), </w:t>
      </w:r>
      <w:r>
        <w:rPr>
          <w:rFonts w:hint="eastAsia" w:ascii="Times New Roman" w:hAnsi="Times New Roman"/>
          <w:i/>
          <w:iCs/>
          <w:lang w:val="en-US"/>
        </w:rPr>
        <w:t>f</w:t>
      </w:r>
      <w:r>
        <w:rPr>
          <w:rFonts w:hint="eastAsia" w:ascii="Times New Roman" w:hAnsi="Times New Roman"/>
          <w:lang w:val="en-US"/>
        </w:rPr>
        <w:t>(</w:t>
      </w:r>
      <w:r>
        <w:rPr>
          <w:rFonts w:ascii="Times New Roman" w:hAnsi="Times New Roman"/>
          <w:lang w:val="en-US"/>
        </w:rPr>
        <w:t>FType</w:t>
      </w:r>
      <w:r>
        <w:rPr>
          <w:rFonts w:hint="eastAsia" w:ascii="Times New Roman" w:hAnsi="Times New Roman"/>
          <w:lang w:val="en-US"/>
        </w:rPr>
        <w:t xml:space="preserve">), and </w:t>
      </w:r>
      <w:r>
        <w:rPr>
          <w:rFonts w:hint="eastAsia" w:ascii="Times New Roman" w:hAnsi="Times New Roman"/>
          <w:i/>
          <w:iCs/>
          <w:lang w:val="en-US"/>
        </w:rPr>
        <w:t>f</w:t>
      </w:r>
      <w:r>
        <w:rPr>
          <w:rFonts w:hint="eastAsia" w:ascii="Times New Roman" w:hAnsi="Times New Roman"/>
          <w:lang w:val="en-US"/>
        </w:rPr>
        <w:t>(</w:t>
      </w:r>
      <w:r>
        <w:rPr>
          <w:rFonts w:ascii="Times New Roman" w:hAnsi="Times New Roman"/>
          <w:lang w:val="en-US"/>
        </w:rPr>
        <w:t>Methd</w:t>
      </w:r>
      <w:r>
        <w:rPr>
          <w:rFonts w:hint="eastAsia" w:ascii="Times New Roman" w:hAnsi="Times New Roman"/>
          <w:lang w:val="en-US"/>
        </w:rPr>
        <w:t xml:space="preserve">) are emission </w:t>
      </w:r>
      <w:r>
        <w:rPr>
          <w:rFonts w:ascii="Times New Roman" w:hAnsi="Times New Roman"/>
          <w:lang w:val="en-US"/>
        </w:rPr>
        <w:t>modifying functions</w:t>
      </w:r>
      <w:r>
        <w:rPr>
          <w:rFonts w:hint="eastAsia" w:ascii="Times New Roman" w:hAnsi="Times New Roman"/>
          <w:lang w:val="en-US"/>
        </w:rPr>
        <w:t xml:space="preserve"> for</w:t>
      </w:r>
      <w:r>
        <w:rPr>
          <w:rFonts w:ascii="Times New Roman" w:hAnsi="Times New Roman"/>
          <w:lang w:val="en-US"/>
        </w:rPr>
        <w:t xml:space="preserve"> </w:t>
      </w:r>
      <w:r>
        <w:rPr>
          <w:rFonts w:ascii="Times New Roman" w:hAnsi="Times New Roman"/>
        </w:rPr>
        <w:t>soil pH, air temperature</w:t>
      </w:r>
      <w:r>
        <w:rPr>
          <w:rFonts w:ascii="Times New Roman" w:hAnsi="Times New Roman"/>
          <w:lang w:val="en-US"/>
        </w:rPr>
        <w:t xml:space="preserve"> and</w:t>
      </w:r>
      <w:r>
        <w:rPr>
          <w:rFonts w:ascii="Times New Roman" w:hAnsi="Times New Roman"/>
        </w:rPr>
        <w:t xml:space="preserve"> wind speed</w:t>
      </w:r>
      <w:r>
        <w:rPr>
          <w:rFonts w:ascii="Times New Roman" w:hAnsi="Times New Roman"/>
          <w:lang w:val="en-US"/>
        </w:rPr>
        <w:t xml:space="preserve"> </w:t>
      </w:r>
      <w:r>
        <w:rPr>
          <w:rFonts w:ascii="Times New Roman" w:hAnsi="Times New Roman"/>
        </w:rPr>
        <w:t>during crop growth seasons</w:t>
      </w:r>
      <w:r>
        <w:rPr>
          <w:rFonts w:hint="eastAsia" w:ascii="Times New Roman" w:hAnsi="Times New Roman"/>
        </w:rPr>
        <w:t xml:space="preserve"> (vary with crop types)</w:t>
      </w:r>
      <w:r>
        <w:rPr>
          <w:rFonts w:ascii="Times New Roman" w:hAnsi="Times New Roman"/>
        </w:rPr>
        <w:t xml:space="preserve">, </w:t>
      </w:r>
      <w:r>
        <w:rPr>
          <w:rFonts w:ascii="Times New Roman" w:hAnsi="Times New Roman"/>
          <w:lang w:val="en-US"/>
        </w:rPr>
        <w:t xml:space="preserve">and </w:t>
      </w:r>
      <w:r>
        <w:rPr>
          <w:rFonts w:ascii="Times New Roman" w:hAnsi="Times New Roman"/>
        </w:rPr>
        <w:t xml:space="preserve">fertilizer application </w:t>
      </w:r>
      <w:r>
        <w:rPr>
          <w:rFonts w:ascii="Times New Roman" w:hAnsi="Times New Roman"/>
          <w:lang w:val="en-US"/>
        </w:rPr>
        <w:t xml:space="preserve">types </w:t>
      </w:r>
      <w:r>
        <w:rPr>
          <w:rFonts w:ascii="Times New Roman" w:hAnsi="Times New Roman"/>
        </w:rPr>
        <w:t xml:space="preserve">and </w:t>
      </w:r>
      <w:r>
        <w:rPr>
          <w:rFonts w:ascii="Times New Roman" w:hAnsi="Times New Roman"/>
          <w:lang w:val="en-US"/>
        </w:rPr>
        <w:t>methods</w:t>
      </w:r>
      <w:r>
        <w:rPr>
          <w:rFonts w:hint="eastAsia" w:ascii="Times New Roman" w:hAnsi="Times New Roman"/>
          <w:lang w:val="en-US"/>
        </w:rPr>
        <w:t>. Subscript</w:t>
      </w:r>
      <w:r>
        <w:rPr>
          <w:rFonts w:hint="eastAsia" w:ascii="Times New Roman" w:hAnsi="Times New Roman"/>
          <w:i/>
          <w:iCs/>
          <w:lang w:val="en-US"/>
        </w:rPr>
        <w:t xml:space="preserve"> j</w:t>
      </w:r>
      <w:r>
        <w:rPr>
          <w:rFonts w:hint="eastAsia" w:ascii="Times New Roman" w:hAnsi="Times New Roman"/>
          <w:lang w:val="en-US"/>
        </w:rPr>
        <w:t xml:space="preserve"> represents the type of synthetic fertilizer, including ABC(ammonium bicarbonate), AP(Ammonium phosphate), other NP (NP compound </w:t>
      </w:r>
      <w:r>
        <w:rPr>
          <w:rFonts w:ascii="Times New Roman" w:hAnsi="Times New Roman"/>
          <w:lang w:val="en-US"/>
        </w:rPr>
        <w:t>except</w:t>
      </w:r>
      <w:r>
        <w:rPr>
          <w:rFonts w:hint="eastAsia" w:ascii="Times New Roman" w:hAnsi="Times New Roman"/>
          <w:lang w:val="en-US"/>
        </w:rPr>
        <w:t xml:space="preserve"> AP), NK (NK compound), NPK(NPK compound), AN(ammonium nitrate), CAN(calcium ammonium nitrate), AS(ammonium sulfate), and AA(anhydrous ammonia). Prop</w:t>
      </w:r>
      <w:r>
        <w:rPr>
          <w:rFonts w:hint="eastAsia" w:ascii="Times New Roman" w:hAnsi="Times New Roman"/>
          <w:vertAlign w:val="subscript"/>
          <w:lang w:val="en-US"/>
        </w:rPr>
        <w:t>j</w:t>
      </w:r>
      <w:r>
        <w:rPr>
          <w:rFonts w:hint="eastAsia" w:ascii="Times New Roman" w:hAnsi="Times New Roman"/>
          <w:lang w:val="en-US"/>
        </w:rPr>
        <w:t xml:space="preserve"> is the proportion of synthetic fertilizer </w:t>
      </w:r>
      <w:r>
        <w:rPr>
          <w:rFonts w:hint="eastAsia" w:ascii="Times New Roman" w:hAnsi="Times New Roman"/>
          <w:i/>
          <w:iCs/>
          <w:lang w:val="en-US"/>
        </w:rPr>
        <w:t>j</w:t>
      </w:r>
      <w:r>
        <w:rPr>
          <w:rFonts w:hint="eastAsia" w:ascii="Times New Roman" w:hAnsi="Times New Roman"/>
          <w:lang w:val="en-US"/>
        </w:rPr>
        <w:t>.</w:t>
      </w:r>
    </w:p>
    <w:p w14:paraId="1FCFE05B">
      <w:pPr>
        <w:rPr>
          <w:rFonts w:ascii="Times New Roman" w:hAnsi="Times New Roman"/>
          <w:sz w:val="24"/>
          <w:szCs w:val="24"/>
          <w:lang w:val="en-US"/>
        </w:rPr>
      </w:pPr>
    </w:p>
    <w:p w14:paraId="5AD6D055">
      <w:pPr>
        <w:rPr>
          <w:rFonts w:ascii="Times New Roman" w:hAnsi="Times New Roman"/>
          <w:sz w:val="24"/>
          <w:szCs w:val="24"/>
          <w:lang w:val="en-US"/>
        </w:rPr>
      </w:pPr>
    </w:p>
    <w:p w14:paraId="3FCD5519">
      <w:pPr>
        <w:jc w:val="center"/>
        <w:rPr>
          <w:rFonts w:ascii="Times New Roman" w:hAnsi="Times New Roman" w:cs="Times New Roman"/>
          <w:b/>
          <w:bCs/>
          <w:sz w:val="24"/>
          <w:szCs w:val="24"/>
          <w:lang w:val="en-US"/>
        </w:rPr>
      </w:pPr>
      <w:r>
        <w:rPr>
          <w:rFonts w:hint="eastAsia" w:ascii="Times New Roman" w:hAnsi="Times New Roman" w:cs="Times New Roman"/>
          <w:b/>
          <w:bCs/>
          <w:sz w:val="24"/>
          <w:szCs w:val="24"/>
          <w:lang w:val="en-US"/>
        </w:rPr>
        <w:t xml:space="preserve">Table S7 </w:t>
      </w:r>
      <w:r>
        <w:rPr>
          <w:rFonts w:hint="eastAsia" w:ascii="Times New Roman" w:hAnsi="Times New Roman" w:cs="Times New Roman"/>
          <w:sz w:val="24"/>
          <w:szCs w:val="24"/>
          <w:lang w:val="en-US"/>
        </w:rPr>
        <w:t>Datasets used to update the ammonia models proposed by Zhan et al.</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{"citationID":"6BSnmAvs","properties":{"formattedCitation":"\\super 17\\nosupersub{}","plainCitation":"17","noteIndex":0},"citationItems":[{"id":10583,"uris":["http://zotero.org/users/7789508/items/S5CRPDAE"],"itemData":{"id":10583,"type":"article-journal","archive_location":"26 citation(s)","call-number":"1","container-title":"Environmental Science &amp; Technology","DOI":"10.1021/acs.est.0c05149","ISSN":"0013-936X, 1520-5851","issue":"2","journalAbbreviation":"Environ. Sci. Technol.","language":"en","page":"1329-1338","source":"11.357 (Q1)","title":"Improved Estimates of Ammonia Emissions from Global Croplands","volume":"55","author":[{"family":"Zhan","given":"Xiaoying"},{"family":"Adalibieke","given":"Wulahati"},{"family":"Cui","given":"Xiaoqing"},{"family":"Winiwarter","given":"Wilfried"},{"family":"Reis","given":"Stefan"},{"family":"Zhang","given":"Lin"},{"family":"Bai","given":"Zhaohai"},{"family":"Wang","given":"Qihui"},{"family":"Huang","given":"Weichen"},{"family":"Zhou","given":"Feng"}],"issued":{"date-parts":[["2021",1,19]]}}}],"schema":"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kern w:val="0"/>
          <w:sz w:val="24"/>
          <w:vertAlign w:val="superscript"/>
        </w:rPr>
        <w:t>17</w:t>
      </w:r>
      <w:r>
        <w:rPr>
          <w:rFonts w:ascii="Times New Roman" w:hAnsi="Times New Roman" w:cs="Times New Roman"/>
          <w:sz w:val="24"/>
          <w:szCs w:val="24"/>
          <w:lang w:val="en-US"/>
        </w:rPr>
        <w:fldChar w:fldCharType="end"/>
      </w:r>
    </w:p>
    <w:tbl>
      <w:tblPr>
        <w:tblStyle w:val="12"/>
        <w:tblW w:w="8306" w:type="dxa"/>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autofit"/>
        <w:tblCellMar>
          <w:top w:w="0" w:type="dxa"/>
          <w:left w:w="108" w:type="dxa"/>
          <w:bottom w:w="0" w:type="dxa"/>
          <w:right w:w="108" w:type="dxa"/>
        </w:tblCellMar>
      </w:tblPr>
      <w:tblGrid>
        <w:gridCol w:w="2220"/>
        <w:gridCol w:w="3309"/>
        <w:gridCol w:w="1417"/>
        <w:gridCol w:w="1360"/>
      </w:tblGrid>
      <w:tr w14:paraId="54CB6621">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300" w:hRule="atLeast"/>
          <w:tblHeader/>
        </w:trPr>
        <w:tc>
          <w:tcPr>
            <w:tcW w:w="2220" w:type="dxa"/>
            <w:tcBorders>
              <w:top w:val="single" w:color="000000" w:themeColor="text1" w:sz="4" w:space="0"/>
              <w:left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7B7B27F3">
            <w:pPr>
              <w:widowControl/>
              <w:spacing w:after="0" w:line="240" w:lineRule="auto"/>
              <w:jc w:val="left"/>
              <w:rPr>
                <w:rFonts w:ascii="Times New Roman" w:hAnsi="Times New Roman" w:cs="Times New Roman"/>
                <w:b/>
                <w:bCs/>
                <w:color w:val="000000"/>
                <w:kern w:val="0"/>
                <w:sz w:val="24"/>
                <w:szCs w:val="24"/>
                <w14:ligatures w14:val="none"/>
              </w:rPr>
            </w:pPr>
            <w:r>
              <w:rPr>
                <w:rFonts w:ascii="Times New Roman" w:hAnsi="Times New Roman" w:eastAsia="Times New Roman" w:cs="Times New Roman"/>
                <w:b/>
                <w:bCs/>
                <w:color w:val="000000"/>
                <w:kern w:val="0"/>
                <w:sz w:val="24"/>
                <w:szCs w:val="24"/>
                <w14:ligatures w14:val="none"/>
              </w:rPr>
              <w:t>Variable</w:t>
            </w:r>
            <w:r>
              <w:rPr>
                <w:rFonts w:hint="eastAsia" w:ascii="Times New Roman" w:hAnsi="Times New Roman" w:cs="Times New Roman"/>
                <w:b/>
                <w:bCs/>
                <w:color w:val="000000"/>
                <w:kern w:val="0"/>
                <w:sz w:val="24"/>
                <w:szCs w:val="24"/>
                <w14:ligatures w14:val="none"/>
              </w:rPr>
              <w:t>s</w:t>
            </w:r>
          </w:p>
        </w:tc>
        <w:tc>
          <w:tcPr>
            <w:tcW w:w="3309" w:type="dxa"/>
            <w:tcBorders>
              <w:top w:val="single" w:color="000000" w:themeColor="text1" w:sz="4" w:space="0"/>
              <w:bottom w:val="single" w:color="000000" w:themeColor="text1" w:sz="4" w:space="0"/>
              <w:right w:val="nil"/>
              <w:insideH w:val="single" w:sz="4" w:space="0"/>
              <w:insideV w:val="nil"/>
            </w:tcBorders>
            <w:shd w:val="clear" w:color="auto" w:fill="F4B083" w:themeFill="accent2" w:themeFillTint="99"/>
            <w:noWrap/>
          </w:tcPr>
          <w:p w14:paraId="3EB8922F">
            <w:pPr>
              <w:widowControl/>
              <w:spacing w:after="0" w:line="240" w:lineRule="auto"/>
              <w:jc w:val="left"/>
              <w:rPr>
                <w:rFonts w:ascii="Times New Roman" w:hAnsi="Times New Roman" w:cs="Times New Roman"/>
                <w:b/>
                <w:bCs/>
                <w:color w:val="000000"/>
                <w:kern w:val="0"/>
                <w:sz w:val="24"/>
                <w:szCs w:val="24"/>
                <w14:ligatures w14:val="none"/>
              </w:rPr>
            </w:pPr>
            <w:r>
              <w:rPr>
                <w:rFonts w:ascii="Times New Roman" w:hAnsi="Times New Roman" w:eastAsia="Times New Roman" w:cs="Times New Roman"/>
                <w:b/>
                <w:bCs/>
                <w:color w:val="000000"/>
                <w:kern w:val="0"/>
                <w:sz w:val="24"/>
                <w:szCs w:val="24"/>
                <w14:ligatures w14:val="none"/>
              </w:rPr>
              <w:t>Dataset</w:t>
            </w:r>
            <w:r>
              <w:rPr>
                <w:rFonts w:hint="eastAsia" w:ascii="Times New Roman" w:hAnsi="Times New Roman" w:cs="Times New Roman"/>
                <w:b/>
                <w:bCs/>
                <w:color w:val="000000"/>
                <w:kern w:val="0"/>
                <w:sz w:val="24"/>
                <w:szCs w:val="24"/>
                <w14:ligatures w14:val="none"/>
              </w:rPr>
              <w:t>s</w:t>
            </w:r>
          </w:p>
        </w:tc>
        <w:tc>
          <w:tcPr>
            <w:tcW w:w="1417" w:type="dxa"/>
            <w:tcBorders>
              <w:top w:val="single" w:color="000000" w:themeColor="text1" w:sz="4" w:space="0"/>
              <w:bottom w:val="single" w:color="000000" w:themeColor="text1" w:sz="4" w:space="0"/>
              <w:right w:val="nil"/>
              <w:insideH w:val="single" w:sz="4" w:space="0"/>
              <w:insideV w:val="nil"/>
            </w:tcBorders>
            <w:shd w:val="clear" w:color="auto" w:fill="F4B083" w:themeFill="accent2" w:themeFillTint="99"/>
          </w:tcPr>
          <w:p w14:paraId="6DE3CAF7">
            <w:pPr>
              <w:widowControl/>
              <w:spacing w:after="0" w:line="240" w:lineRule="auto"/>
              <w:jc w:val="left"/>
              <w:rPr>
                <w:rFonts w:ascii="Times New Roman" w:hAnsi="Times New Roman" w:cs="Times New Roman"/>
                <w:b/>
                <w:bCs/>
                <w:color w:val="000000"/>
                <w:kern w:val="0"/>
                <w:sz w:val="24"/>
                <w:szCs w:val="24"/>
                <w14:ligatures w14:val="none"/>
              </w:rPr>
            </w:pPr>
            <w:r>
              <w:rPr>
                <w:rFonts w:ascii="Times New Roman" w:hAnsi="Times New Roman" w:cs="Times New Roman"/>
                <w:b/>
                <w:bCs/>
                <w:color w:val="000000"/>
                <w:kern w:val="0"/>
                <w:sz w:val="24"/>
                <w:szCs w:val="24"/>
                <w14:ligatures w14:val="none"/>
              </w:rPr>
              <w:t>Time</w:t>
            </w:r>
          </w:p>
        </w:tc>
        <w:tc>
          <w:tcPr>
            <w:tcW w:w="1360" w:type="dxa"/>
            <w:tcBorders>
              <w:top w:val="single" w:color="000000" w:themeColor="text1" w:sz="4" w:space="0"/>
              <w:bottom w:val="single" w:color="000000" w:themeColor="text1" w:sz="4" w:space="0"/>
              <w:right w:val="single" w:color="000000" w:themeColor="text1" w:sz="4" w:space="0"/>
              <w:insideH w:val="single" w:sz="4" w:space="0"/>
              <w:insideV w:val="nil"/>
            </w:tcBorders>
            <w:shd w:val="clear" w:color="auto" w:fill="F4B083" w:themeFill="accent2" w:themeFillTint="99"/>
            <w:noWrap/>
          </w:tcPr>
          <w:p w14:paraId="49CCE71F">
            <w:pPr>
              <w:widowControl/>
              <w:spacing w:after="0" w:line="240" w:lineRule="auto"/>
              <w:jc w:val="left"/>
              <w:rPr>
                <w:rFonts w:ascii="Times New Roman" w:hAnsi="Times New Roman" w:cs="Times New Roman"/>
                <w:b/>
                <w:bCs/>
                <w:color w:val="000000"/>
                <w:kern w:val="0"/>
                <w:sz w:val="24"/>
                <w:szCs w:val="24"/>
                <w14:ligatures w14:val="none"/>
              </w:rPr>
            </w:pPr>
            <w:r>
              <w:rPr>
                <w:rFonts w:ascii="Times New Roman" w:hAnsi="Times New Roman" w:eastAsia="Times New Roman" w:cs="Times New Roman"/>
                <w:b/>
                <w:bCs/>
                <w:color w:val="000000"/>
                <w:kern w:val="0"/>
                <w:sz w:val="24"/>
                <w:szCs w:val="24"/>
                <w14:ligatures w14:val="none"/>
              </w:rPr>
              <w:t>Ref</w:t>
            </w:r>
          </w:p>
        </w:tc>
      </w:tr>
      <w:tr w14:paraId="1309CD72">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600" w:hRule="atLeast"/>
        </w:trPr>
        <w:tc>
          <w:tcPr>
            <w:tcW w:w="2220" w:type="dxa"/>
            <w:shd w:val="clear" w:color="auto" w:fill="auto"/>
            <w:noWrap/>
          </w:tcPr>
          <w:p w14:paraId="1A19DFF9">
            <w:pPr>
              <w:widowControl/>
              <w:spacing w:after="0" w:line="240" w:lineRule="auto"/>
              <w:jc w:val="left"/>
              <w:rPr>
                <w:rFonts w:ascii="Times New Roman" w:hAnsi="Times New Roman" w:eastAsia="Times New Roman" w:cs="Times New Roman"/>
                <w:b w:val="0"/>
                <w:bCs w:val="0"/>
                <w:color w:val="000000"/>
                <w:kern w:val="0"/>
                <w:sz w:val="24"/>
                <w:szCs w:val="24"/>
                <w14:ligatures w14:val="none"/>
              </w:rPr>
            </w:pPr>
            <w:r>
              <w:rPr>
                <w:rFonts w:ascii="Times New Roman" w:hAnsi="Times New Roman" w:eastAsia="Times New Roman" w:cs="Times New Roman"/>
                <w:b w:val="0"/>
                <w:bCs w:val="0"/>
                <w:color w:val="000000"/>
                <w:kern w:val="0"/>
                <w:sz w:val="24"/>
                <w:szCs w:val="24"/>
                <w14:ligatures w14:val="none"/>
              </w:rPr>
              <w:t>Soil pH</w:t>
            </w:r>
          </w:p>
        </w:tc>
        <w:tc>
          <w:tcPr>
            <w:tcW w:w="3309" w:type="dxa"/>
            <w:shd w:val="clear" w:color="auto" w:fill="auto"/>
          </w:tcPr>
          <w:p w14:paraId="6DB22115">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Harmonized World Soil Database (HWSD) v1.2</w:t>
            </w:r>
          </w:p>
        </w:tc>
        <w:tc>
          <w:tcPr>
            <w:tcW w:w="1417" w:type="dxa"/>
            <w:shd w:val="clear" w:color="auto" w:fill="auto"/>
          </w:tcPr>
          <w:p w14:paraId="12D1F343">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t>No specific year</w:t>
            </w:r>
          </w:p>
        </w:tc>
        <w:tc>
          <w:tcPr>
            <w:tcW w:w="1360" w:type="dxa"/>
            <w:shd w:val="clear" w:color="auto" w:fill="auto"/>
            <w:noWrap/>
          </w:tcPr>
          <w:p w14:paraId="65AC035C">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fldChar w:fldCharType="begin"/>
            </w:r>
            <w:r>
              <w:rPr>
                <w:rFonts w:ascii="Times New Roman" w:hAnsi="Times New Roman" w:cs="Times New Roman"/>
                <w:color w:val="000000"/>
                <w:kern w:val="0"/>
                <w:sz w:val="24"/>
                <w:szCs w:val="24"/>
                <w14:ligatures w14:val="none"/>
              </w:rPr>
              <w:instrText xml:space="preserve"> ADDIN ZOTERO_ITEM CSL_CITATION {"citationID":"TEtcQb3x","properties":{"formattedCitation":"\\super 20\\nosupersub{}","plainCitation":"20","noteIndex":0},"citationItems":[{"id":16595,"uris":["http://zotero.org/users/7789508/items/NJXMSDNY"],"itemData":{"id":16595,"type":"dataset","language":"en","source":"Zotero","title":"Harmonized World Soil Database - Version 1.2","URL":"https://www.fao.org/soils-portal/data-hub/soil-maps-and-databases/harmonized-world-soil-database-v12/en/","author":[{"family":"FAO","given":""},{"family":"International Institute for Applied Systems Analysis(IIASA)","given":""},{"family":"ISRIC-World Soil Information","given":""},{"family":"Institute of Soil Science, Chinese Academy of Sciences (ISSCAS)","given":""},{"family":"Joint Research Centre of the European Commission (JRC)","given":""}]}}],"schema":"https://github.com/citation-style-language/schema/raw/master/csl-citation.json"} </w:instrText>
            </w:r>
            <w:r>
              <w:rPr>
                <w:rFonts w:ascii="Times New Roman" w:hAnsi="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20</w:t>
            </w:r>
            <w:r>
              <w:rPr>
                <w:rFonts w:ascii="Times New Roman" w:hAnsi="Times New Roman" w:cs="Times New Roman"/>
                <w:color w:val="000000"/>
                <w:kern w:val="0"/>
                <w:sz w:val="24"/>
                <w:szCs w:val="24"/>
                <w14:ligatures w14:val="none"/>
              </w:rPr>
              <w:fldChar w:fldCharType="end"/>
            </w:r>
          </w:p>
        </w:tc>
      </w:tr>
      <w:tr w14:paraId="67F092BA">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600" w:hRule="atLeast"/>
        </w:trPr>
        <w:tc>
          <w:tcPr>
            <w:tcW w:w="2220" w:type="dxa"/>
            <w:shd w:val="clear" w:color="auto" w:fill="auto"/>
            <w:noWrap/>
          </w:tcPr>
          <w:p w14:paraId="7A1B4CE7">
            <w:pPr>
              <w:widowControl/>
              <w:spacing w:after="0" w:line="240" w:lineRule="auto"/>
              <w:jc w:val="left"/>
              <w:rPr>
                <w:rFonts w:ascii="Times New Roman" w:hAnsi="Times New Roman" w:eastAsia="Times New Roman" w:cs="Times New Roman"/>
                <w:b w:val="0"/>
                <w:bCs w:val="0"/>
                <w:color w:val="000000"/>
                <w:kern w:val="0"/>
                <w:sz w:val="24"/>
                <w:szCs w:val="24"/>
                <w14:ligatures w14:val="none"/>
              </w:rPr>
            </w:pPr>
            <w:r>
              <w:rPr>
                <w:rFonts w:ascii="Times New Roman" w:hAnsi="Times New Roman" w:eastAsia="Times New Roman" w:cs="Times New Roman"/>
                <w:b w:val="0"/>
                <w:bCs w:val="0"/>
                <w:color w:val="000000"/>
                <w:kern w:val="0"/>
                <w:sz w:val="24"/>
                <w:szCs w:val="24"/>
                <w14:ligatures w14:val="none"/>
              </w:rPr>
              <w:t>Temp</w:t>
            </w:r>
            <w:r>
              <w:rPr>
                <w:rFonts w:hint="eastAsia" w:ascii="Times New Roman" w:hAnsi="Times New Roman" w:cs="Times New Roman"/>
                <w:b w:val="0"/>
                <w:bCs w:val="0"/>
                <w:color w:val="000000"/>
                <w:kern w:val="0"/>
                <w:sz w:val="24"/>
                <w:szCs w:val="24"/>
                <w14:ligatures w14:val="none"/>
              </w:rPr>
              <w:t>e</w:t>
            </w:r>
            <w:r>
              <w:rPr>
                <w:rFonts w:ascii="Times New Roman" w:hAnsi="Times New Roman" w:eastAsia="Times New Roman" w:cs="Times New Roman"/>
                <w:b w:val="0"/>
                <w:bCs w:val="0"/>
                <w:color w:val="000000"/>
                <w:kern w:val="0"/>
                <w:sz w:val="24"/>
                <w:szCs w:val="24"/>
                <w14:ligatures w14:val="none"/>
              </w:rPr>
              <w:t>rature</w:t>
            </w:r>
          </w:p>
        </w:tc>
        <w:tc>
          <w:tcPr>
            <w:tcW w:w="3309" w:type="dxa"/>
            <w:shd w:val="clear" w:color="auto" w:fill="auto"/>
          </w:tcPr>
          <w:p w14:paraId="0462267E">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Climatic Research Unit gridded Time Series (CRU TS) v4.07</w:t>
            </w:r>
          </w:p>
        </w:tc>
        <w:tc>
          <w:tcPr>
            <w:tcW w:w="1417" w:type="dxa"/>
            <w:shd w:val="clear" w:color="auto" w:fill="auto"/>
          </w:tcPr>
          <w:p w14:paraId="66E6B5A8">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t>2017</w:t>
            </w:r>
          </w:p>
        </w:tc>
        <w:tc>
          <w:tcPr>
            <w:tcW w:w="1360" w:type="dxa"/>
            <w:shd w:val="clear" w:color="auto" w:fill="auto"/>
            <w:noWrap/>
          </w:tcPr>
          <w:p w14:paraId="446B6AE4">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{"citationID":"7R5cHeoa","properties":{"formattedCitation":"\\super 21\\nosupersub{}","plainCitation":"21","noteIndex":0},"citationItems":[{"id":20026,"uris":["http://zotero.org/users/7789508/items/4E7HITMG"],"itemData":{"id":20026,"type":"article-journal","abstract":"CRU TS (Climatic Research Unit gridded Time Series) is a widely used climate dataset on a 0.5° latitude by 0.5° longitude grid over all land domains of the world except Antarctica. It is derived by the interpolation of monthly climate anomalies from extensive networks of weather station observations. Here we describe the construction of a major new version, CRU TS v4. It is updated to span 1901–2018 by the inclusion of additional station observations, and it will be updated annually. The interpolation process has been changed to use angular-distance weighting (ADW), and the production of secondary variables has been revised to better suit this approach. This implementation of ADW provides improved traceability between each gridded value and the input observations, and allows more informative diagnostics that dataset users can utilise to assess how dataset quality might vary geographically.","archive_location":"2502 citation(s)","call-number":"2","container-title":"Scientific Data","DOI":"10.1038/s41597-020-0453-3","ISSN":"2052-4463","issue":"1","journalAbbreviation":"Scientific Data","page":"109","source":"8.501 (Q1)","title":"Version 4 of the CRU TS monthly high-resolution gridded multivariate climate dataset","volume":"7","author":[{"family":"Harris","given":"Ian"},{"family":"Osborn","given":"Timothy J."},{"family":"Jones","given":"Phil"},{"family":"Lister","given":"David"}],"issued":{"date-parts":[["2020",4,3]]}}}],"schema":"https://github.com/citation-style-language/schema/raw/master/csl-citation.json"}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21</w:t>
            </w:r>
            <w:r>
              <w:rPr>
                <w:rFonts w:ascii="Times New Roman" w:hAnsi="Times New Roman" w:eastAsia="Times New Roman" w:cs="Times New Roman"/>
                <w:color w:val="000000"/>
                <w:kern w:val="0"/>
                <w:sz w:val="24"/>
                <w:szCs w:val="24"/>
                <w14:ligatures w14:val="none"/>
              </w:rPr>
              <w:fldChar w:fldCharType="end"/>
            </w:r>
          </w:p>
        </w:tc>
      </w:tr>
      <w:tr w14:paraId="1FE87FB7">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300" w:hRule="atLeast"/>
        </w:trPr>
        <w:tc>
          <w:tcPr>
            <w:tcW w:w="2220" w:type="dxa"/>
            <w:shd w:val="clear" w:color="auto" w:fill="auto"/>
            <w:noWrap/>
          </w:tcPr>
          <w:p w14:paraId="1339EAF9">
            <w:pPr>
              <w:widowControl/>
              <w:spacing w:after="0" w:line="240" w:lineRule="auto"/>
              <w:jc w:val="left"/>
              <w:rPr>
                <w:rFonts w:ascii="Times New Roman" w:hAnsi="Times New Roman" w:eastAsia="Times New Roman" w:cs="Times New Roman"/>
                <w:b w:val="0"/>
                <w:bCs w:val="0"/>
                <w:color w:val="000000"/>
                <w:kern w:val="0"/>
                <w:sz w:val="24"/>
                <w:szCs w:val="24"/>
                <w14:ligatures w14:val="none"/>
              </w:rPr>
            </w:pPr>
            <w:r>
              <w:rPr>
                <w:rFonts w:ascii="Times New Roman" w:hAnsi="Times New Roman" w:eastAsia="Times New Roman" w:cs="Times New Roman"/>
                <w:b w:val="0"/>
                <w:bCs w:val="0"/>
                <w:color w:val="000000"/>
                <w:kern w:val="0"/>
                <w:sz w:val="24"/>
                <w:szCs w:val="24"/>
                <w14:ligatures w14:val="none"/>
              </w:rPr>
              <w:t>Wind speed</w:t>
            </w:r>
          </w:p>
        </w:tc>
        <w:tc>
          <w:tcPr>
            <w:tcW w:w="3309" w:type="dxa"/>
            <w:shd w:val="clear" w:color="auto" w:fill="auto"/>
          </w:tcPr>
          <w:p w14:paraId="2FF82089">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TerraClimate</w:t>
            </w:r>
          </w:p>
        </w:tc>
        <w:tc>
          <w:tcPr>
            <w:tcW w:w="1417" w:type="dxa"/>
            <w:shd w:val="clear" w:color="auto" w:fill="auto"/>
          </w:tcPr>
          <w:p w14:paraId="48D24EB9">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t>2017</w:t>
            </w:r>
          </w:p>
        </w:tc>
        <w:tc>
          <w:tcPr>
            <w:tcW w:w="1360" w:type="dxa"/>
            <w:shd w:val="clear" w:color="auto" w:fill="auto"/>
            <w:noWrap/>
          </w:tcPr>
          <w:p w14:paraId="5D04E595">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{"citationID":"eBcNT4Rp","properties":{"formattedCitation":"\\super 22\\nosupersub{}","plainCitation":"22","noteIndex":0},"citationItems":[{"id":16591,"uris":["http://zotero.org/users/7789508/items/TEN94WYR"],"itemData":{"id":16591,"type":"article-journal","abstract":"We present TerraClimate, a dataset of high-spatial resolution (1/24°, ~4-km)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datasets.","container-title":"Scientific Data","DOI":"10.1038/sdata.2017.191","ISSN":"2052-4463","issue":"1","journalAbbreviation":"Sci Data","language":"en","license":"2018 The Author(s)","note":"number: 1\npublisher: Nature Publishing Group","page":"170191","source":"www.nature.com","title":"TerraClimate, a high-resolution global dataset of monthly climate and climatic water balance from 1958–2015","volume":"5","author":[{"family":"Abatzoglou","given":"John T."},{"family":"Dobrowski","given":"Solomon Z."},{"family":"Parks","given":"Sean A."},{"family":"Hegewisch","given":"Katherine C."}],"issued":{"date-parts":[["2018",1,9]]}}}],"schema":"https://github.com/citation-style-language/schema/raw/master/csl-citation.json"}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22</w:t>
            </w:r>
            <w:r>
              <w:rPr>
                <w:rFonts w:ascii="Times New Roman" w:hAnsi="Times New Roman" w:eastAsia="Times New Roman" w:cs="Times New Roman"/>
                <w:color w:val="000000"/>
                <w:kern w:val="0"/>
                <w:sz w:val="24"/>
                <w:szCs w:val="24"/>
                <w14:ligatures w14:val="none"/>
              </w:rPr>
              <w:fldChar w:fldCharType="end"/>
            </w:r>
          </w:p>
        </w:tc>
      </w:tr>
      <w:tr w14:paraId="16CF436C">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300" w:hRule="atLeast"/>
        </w:trPr>
        <w:tc>
          <w:tcPr>
            <w:tcW w:w="2220" w:type="dxa"/>
            <w:shd w:val="clear" w:color="auto" w:fill="auto"/>
            <w:noWrap/>
          </w:tcPr>
          <w:p w14:paraId="35784940">
            <w:pPr>
              <w:widowControl/>
              <w:spacing w:after="0" w:line="240" w:lineRule="auto"/>
              <w:jc w:val="left"/>
              <w:rPr>
                <w:rFonts w:ascii="Times New Roman" w:hAnsi="Times New Roman" w:eastAsia="Times New Roman" w:cs="Times New Roman"/>
                <w:b w:val="0"/>
                <w:bCs w:val="0"/>
                <w:color w:val="000000"/>
                <w:kern w:val="0"/>
                <w:sz w:val="24"/>
                <w:szCs w:val="24"/>
                <w14:ligatures w14:val="none"/>
              </w:rPr>
            </w:pPr>
            <w:r>
              <w:rPr>
                <w:rFonts w:ascii="Times New Roman" w:hAnsi="Times New Roman" w:eastAsia="Times New Roman" w:cs="Times New Roman"/>
                <w:b w:val="0"/>
                <w:bCs w:val="0"/>
                <w:color w:val="000000"/>
                <w:kern w:val="0"/>
                <w:sz w:val="24"/>
                <w:szCs w:val="24"/>
                <w14:ligatures w14:val="none"/>
              </w:rPr>
              <w:t>Fertilizer type</w:t>
            </w:r>
          </w:p>
        </w:tc>
        <w:tc>
          <w:tcPr>
            <w:tcW w:w="3309" w:type="dxa"/>
            <w:shd w:val="clear" w:color="auto" w:fill="auto"/>
          </w:tcPr>
          <w:p w14:paraId="629EF7D0">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IFASTAT</w:t>
            </w:r>
          </w:p>
        </w:tc>
        <w:tc>
          <w:tcPr>
            <w:tcW w:w="1417" w:type="dxa"/>
            <w:shd w:val="clear" w:color="auto" w:fill="auto"/>
          </w:tcPr>
          <w:p w14:paraId="22CBD217">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t>2017</w:t>
            </w:r>
          </w:p>
        </w:tc>
        <w:tc>
          <w:tcPr>
            <w:tcW w:w="1360" w:type="dxa"/>
            <w:shd w:val="clear" w:color="auto" w:fill="auto"/>
            <w:noWrap/>
          </w:tcPr>
          <w:p w14:paraId="0795BF0E">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{"citationID":"TGkGpBt1","properties":{"formattedCitation":"\\super 23\\nosupersub{}","plainCitation":"23","noteIndex":0},"citationItems":[{"id":20024,"uris":["http://zotero.org/users/7789508/items/FTWIX9Y2"],"itemData":{"id":20024,"type":"dataset","title":"IFASTAT database","URL":"https://www.ifastat.org/databases/supply-trade","author":[{"family":"International Fertilizer Industry Association (IFA)","given":""}],"issued":{"date-parts":[["2024"]]}}}],"schema":"https://github.com/citation-style-language/schema/raw/master/csl-citation.json"}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23</w:t>
            </w:r>
            <w:r>
              <w:rPr>
                <w:rFonts w:ascii="Times New Roman" w:hAnsi="Times New Roman" w:eastAsia="Times New Roman" w:cs="Times New Roman"/>
                <w:color w:val="000000"/>
                <w:kern w:val="0"/>
                <w:sz w:val="24"/>
                <w:szCs w:val="24"/>
                <w14:ligatures w14:val="none"/>
              </w:rPr>
              <w:fldChar w:fldCharType="end"/>
            </w:r>
          </w:p>
        </w:tc>
      </w:tr>
      <w:tr w14:paraId="321C040C">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375" w:hRule="atLeast"/>
        </w:trPr>
        <w:tc>
          <w:tcPr>
            <w:tcW w:w="2220" w:type="dxa"/>
            <w:shd w:val="clear" w:color="auto" w:fill="auto"/>
          </w:tcPr>
          <w:p w14:paraId="285A36B7">
            <w:pPr>
              <w:widowControl/>
              <w:spacing w:after="0" w:line="240" w:lineRule="auto"/>
              <w:jc w:val="left"/>
              <w:rPr>
                <w:rFonts w:ascii="Times New Roman" w:hAnsi="Times New Roman" w:eastAsia="Times New Roman" w:cs="Times New Roman"/>
                <w:b w:val="0"/>
                <w:bCs w:val="0"/>
                <w:color w:val="000000"/>
                <w:kern w:val="0"/>
                <w:sz w:val="24"/>
                <w:szCs w:val="24"/>
                <w14:ligatures w14:val="none"/>
              </w:rPr>
            </w:pPr>
            <w:r>
              <w:rPr>
                <w:rFonts w:ascii="Times New Roman" w:hAnsi="Times New Roman" w:eastAsia="Times New Roman" w:cs="Times New Roman"/>
                <w:b w:val="0"/>
                <w:bCs w:val="0"/>
                <w:color w:val="000000"/>
                <w:kern w:val="0"/>
                <w:sz w:val="24"/>
                <w:szCs w:val="24"/>
                <w14:ligatures w14:val="none"/>
              </w:rPr>
              <w:t>Fertilization method</w:t>
            </w:r>
          </w:p>
        </w:tc>
        <w:tc>
          <w:tcPr>
            <w:tcW w:w="3309" w:type="dxa"/>
            <w:shd w:val="clear" w:color="auto" w:fill="auto"/>
          </w:tcPr>
          <w:p w14:paraId="27F1D1F7">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Eustat</w:t>
            </w:r>
          </w:p>
        </w:tc>
        <w:tc>
          <w:tcPr>
            <w:tcW w:w="1417" w:type="dxa"/>
            <w:shd w:val="clear" w:color="auto" w:fill="auto"/>
          </w:tcPr>
          <w:p w14:paraId="54DE3365">
            <w:pPr>
              <w:widowControl/>
              <w:spacing w:after="0" w:line="240" w:lineRule="auto"/>
              <w:jc w:val="left"/>
              <w:rPr>
                <w:rFonts w:ascii="Times New Roman" w:hAnsi="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t>2010</w:t>
            </w:r>
          </w:p>
        </w:tc>
        <w:tc>
          <w:tcPr>
            <w:tcW w:w="1360" w:type="dxa"/>
            <w:shd w:val="clear" w:color="auto" w:fill="auto"/>
            <w:noWrap/>
          </w:tcPr>
          <w:p w14:paraId="0310AF26">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{"citationID":"WDJgCxVK","properties":{"formattedCitation":"\\super 24\\nosupersub{}","plainCitation":"24","noteIndex":0},"citationItems":[{"id":20075,"uris":["http://zotero.org/users/7789508/items/N44NZGFR"],"itemData":{"id":20075,"type":"webpage","title":"Tilled arable area by tillage practice, EU-27, IS, NO, CH, ME and HR, 2010","URL":"https://ec.europa.eu/eurostat/statistics-explained/index.php?title=File:Tilled_arable_area_by_tillage_practice,_EU-27,_IS,_NO,_CH,_ME_and_HR,_2010.png&amp;oldid=137925#file","author":[{"family":"Eustat","given":""}],"issued":{"date-parts":[["2013"]]}}}],"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24</w:t>
            </w:r>
            <w:r>
              <w:rPr>
                <w:rFonts w:ascii="Times New Roman" w:hAnsi="Times New Roman" w:eastAsia="Times New Roman" w:cs="Times New Roman"/>
                <w:color w:val="000000"/>
                <w:kern w:val="0"/>
                <w:sz w:val="24"/>
                <w:szCs w:val="24"/>
                <w14:ligatures w14:val="none"/>
              </w:rPr>
              <w:fldChar w:fldCharType="end"/>
            </w:r>
          </w:p>
        </w:tc>
      </w:tr>
      <w:tr w14:paraId="0626EAB8">
        <w:tblPrEx>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Ex>
        <w:trPr>
          <w:trHeight w:val="600" w:hRule="atLeast"/>
        </w:trPr>
        <w:tc>
          <w:tcPr>
            <w:tcW w:w="2220" w:type="dxa"/>
            <w:shd w:val="clear" w:color="auto" w:fill="auto"/>
            <w:noWrap/>
          </w:tcPr>
          <w:p w14:paraId="77D3FF86">
            <w:pPr>
              <w:widowControl/>
              <w:spacing w:after="0" w:line="240" w:lineRule="auto"/>
              <w:jc w:val="left"/>
              <w:rPr>
                <w:rFonts w:ascii="Times New Roman" w:hAnsi="Times New Roman" w:eastAsia="Times New Roman" w:cs="Times New Roman"/>
                <w:b w:val="0"/>
                <w:bCs w:val="0"/>
                <w:color w:val="000000"/>
                <w:kern w:val="0"/>
                <w:sz w:val="24"/>
                <w:szCs w:val="24"/>
                <w14:ligatures w14:val="none"/>
              </w:rPr>
            </w:pPr>
            <w:r>
              <w:rPr>
                <w:rFonts w:ascii="Times New Roman" w:hAnsi="Times New Roman" w:eastAsia="Times New Roman" w:cs="Times New Roman"/>
                <w:b w:val="0"/>
                <w:bCs w:val="0"/>
                <w:color w:val="000000"/>
                <w:kern w:val="0"/>
                <w:sz w:val="24"/>
                <w:szCs w:val="24"/>
                <w14:ligatures w14:val="none"/>
              </w:rPr>
              <w:t>Crop growth period</w:t>
            </w:r>
          </w:p>
        </w:tc>
        <w:tc>
          <w:tcPr>
            <w:tcW w:w="3309" w:type="dxa"/>
            <w:shd w:val="clear" w:color="auto" w:fill="auto"/>
          </w:tcPr>
          <w:p w14:paraId="1AFEAD3F">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t>USDA Foreign Agricultural Service;IFA Crop Calendars by Country</w:t>
            </w:r>
          </w:p>
        </w:tc>
        <w:tc>
          <w:tcPr>
            <w:tcW w:w="1417" w:type="dxa"/>
            <w:shd w:val="clear" w:color="auto" w:fill="auto"/>
          </w:tcPr>
          <w:p w14:paraId="5A4ED03E">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cs="Times New Roman"/>
                <w:color w:val="000000"/>
                <w:kern w:val="0"/>
                <w:sz w:val="24"/>
                <w:szCs w:val="24"/>
                <w14:ligatures w14:val="none"/>
              </w:rPr>
              <w:t>No specific year</w:t>
            </w:r>
          </w:p>
        </w:tc>
        <w:tc>
          <w:tcPr>
            <w:tcW w:w="1360" w:type="dxa"/>
            <w:shd w:val="clear" w:color="auto" w:fill="auto"/>
            <w:noWrap/>
          </w:tcPr>
          <w:p w14:paraId="3748FD37">
            <w:pPr>
              <w:widowControl/>
              <w:spacing w:after="0" w:line="240" w:lineRule="auto"/>
              <w:jc w:val="left"/>
              <w:rPr>
                <w:rFonts w:ascii="Times New Roman" w:hAnsi="Times New Roman" w:eastAsia="Times New Roman" w:cs="Times New Roman"/>
                <w:color w:val="000000"/>
                <w:kern w:val="0"/>
                <w:sz w:val="24"/>
                <w:szCs w:val="24"/>
                <w14:ligatures w14:val="none"/>
              </w:rPr>
            </w:pPr>
            <w:r>
              <w:rPr>
                <w:rFonts w:ascii="Times New Roman" w:hAnsi="Times New Roman" w:eastAsia="Times New Roman" w:cs="Times New Roman"/>
                <w:color w:val="000000"/>
                <w:kern w:val="0"/>
                <w:sz w:val="24"/>
                <w:szCs w:val="24"/>
                <w14:ligatures w14:val="none"/>
              </w:rPr>
              <w:fldChar w:fldCharType="begin"/>
            </w:r>
            <w:r>
              <w:rPr>
                <w:rFonts w:ascii="Times New Roman" w:hAnsi="Times New Roman" w:eastAsia="Times New Roman" w:cs="Times New Roman"/>
                <w:color w:val="000000"/>
                <w:kern w:val="0"/>
                <w:sz w:val="24"/>
                <w:szCs w:val="24"/>
                <w14:ligatures w14:val="none"/>
              </w:rPr>
              <w:instrText xml:space="preserve"> ADDIN ZOTERO_ITEM CSL_CITATION {"citationID":"fKWUybTd","properties":{"formattedCitation":"\\super 25,26\\nosupersub{}","plainCitation":"25,26","noteIndex":0},"citationItems":[{"id":20070,"uris":["http://zotero.org/users/7789508/items/3S7YRFQV"],"itemData":{"id":20070,"type":"webpage","title":"USDA Foreign Agricultural Service","URL":"https://ipad.fas.usda.gov/rssiws/al/crop_calendar/europe.aspx","author":[{"family":"US Department of Agriculture","given":""}],"issued":{"date-parts":[["2024"]]}},"label":"page"},{"id":20072,"uris":["http://zotero.org/users/7789508/items/MJ5FX73R"],"itemData":{"id":20072,"type":"document","title":"FUBC Crop Calendars by Country","URL":"https://www.ifastat.org/consumption/fertilizer-use-by-crop","author":[{"family":"International Fertilizer Industry Association (IFA)","given":""}],"issued":{"date-parts":[["2024"]]}},"label":"page"}],"schema":"https://github.com/citation-style-language/schema/raw/master/csl-citation.json"} </w:instrText>
            </w:r>
            <w:r>
              <w:rPr>
                <w:rFonts w:ascii="Times New Roman" w:hAnsi="Times New Roman" w:eastAsia="Times New Roman" w:cs="Times New Roman"/>
                <w:color w:val="000000"/>
                <w:kern w:val="0"/>
                <w:sz w:val="24"/>
                <w:szCs w:val="24"/>
                <w14:ligatures w14:val="none"/>
              </w:rPr>
              <w:fldChar w:fldCharType="separate"/>
            </w:r>
            <w:r>
              <w:rPr>
                <w:rFonts w:ascii="Times New Roman" w:hAnsi="Times New Roman" w:cs="Times New Roman"/>
                <w:kern w:val="0"/>
                <w:sz w:val="24"/>
                <w:vertAlign w:val="superscript"/>
              </w:rPr>
              <w:t>25,26</w:t>
            </w:r>
            <w:r>
              <w:rPr>
                <w:rFonts w:ascii="Times New Roman" w:hAnsi="Times New Roman" w:eastAsia="Times New Roman" w:cs="Times New Roman"/>
                <w:color w:val="000000"/>
                <w:kern w:val="0"/>
                <w:sz w:val="24"/>
                <w:szCs w:val="24"/>
                <w14:ligatures w14:val="none"/>
              </w:rPr>
              <w:fldChar w:fldCharType="end"/>
            </w:r>
          </w:p>
        </w:tc>
      </w:tr>
    </w:tbl>
    <w:p w14:paraId="43467247">
      <w:pPr>
        <w:jc w:val="center"/>
        <w:rPr>
          <w:rFonts w:ascii="Times New Roman" w:hAnsi="Times New Roman" w:cs="Times New Roman"/>
        </w:rPr>
      </w:pPr>
    </w:p>
    <w:p w14:paraId="17560833">
      <w:pPr>
        <w:jc w:val="center"/>
        <w:rPr>
          <w:rFonts w:ascii="Times New Roman" w:hAnsi="Times New Roman" w:cs="Times New Roman"/>
          <w:lang w:val="en-US"/>
        </w:rPr>
      </w:pPr>
    </w:p>
    <w:p w14:paraId="7E7B0953">
      <w:pPr>
        <w:jc w:val="center"/>
        <w:rPr>
          <w:rFonts w:ascii="Times New Roman" w:hAnsi="Times New Roman" w:cs="Times New Roman"/>
          <w:lang w:val="en-US"/>
        </w:rPr>
      </w:pPr>
      <w:r>
        <w:rPr>
          <w:rFonts w:hint="eastAsia" w:ascii="Times New Roman" w:hAnsi="Times New Roman" w:cs="Times New Roman"/>
          <w:lang w:val="en-US"/>
        </w:rPr>
        <w:drawing>
          <wp:inline distT="0" distB="0" distL="114300" distR="114300">
            <wp:extent cx="5262880" cy="6092825"/>
            <wp:effectExtent l="0" t="0" r="10160" b="3175"/>
            <wp:docPr id="5" name="图片 5" descr="GAINS_Manr_emi_by_livstk_stage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GAINS_Manr_emi_by_livstk_stage_画板 1"/>
                    <pic:cNvPicPr>
                      <a:picLocks noChangeAspect="1"/>
                    </pic:cNvPicPr>
                  </pic:nvPicPr>
                  <pic:blipFill>
                    <a:blip r:embed="rId11"/>
                    <a:stretch>
                      <a:fillRect/>
                    </a:stretch>
                  </pic:blipFill>
                  <pic:spPr>
                    <a:xfrm>
                      <a:off x="0" y="0"/>
                      <a:ext cx="5262880" cy="6092825"/>
                    </a:xfrm>
                    <a:prstGeom prst="rect">
                      <a:avLst/>
                    </a:prstGeom>
                  </pic:spPr>
                </pic:pic>
              </a:graphicData>
            </a:graphic>
          </wp:inline>
        </w:drawing>
      </w:r>
    </w:p>
    <w:p w14:paraId="4637298D">
      <w:pPr>
        <w:pStyle w:val="10"/>
        <w:spacing w:before="0" w:beforeAutospacing="0" w:after="240" w:line="480" w:lineRule="auto"/>
        <w:jc w:val="center"/>
        <w:rPr>
          <w:rFonts w:ascii="Times New Roman" w:hAnsi="Times New Roman" w:eastAsiaTheme="minorEastAsia"/>
          <w:sz w:val="24"/>
          <w:szCs w:val="24"/>
          <w:lang w:val="en-US"/>
        </w:rPr>
      </w:pPr>
      <w:r>
        <w:rPr>
          <w:rFonts w:ascii="Times New Roman" w:hAnsi="Times New Roman"/>
          <w:b/>
          <w:bCs/>
          <w:sz w:val="24"/>
          <w:szCs w:val="24"/>
        </w:rPr>
        <w:t xml:space="preserve">Fig. </w:t>
      </w:r>
      <w:r>
        <w:rPr>
          <w:rFonts w:hint="eastAsia" w:ascii="Times New Roman" w:hAnsi="Times New Roman"/>
          <w:b/>
          <w:bCs/>
          <w:sz w:val="24"/>
          <w:szCs w:val="24"/>
        </w:rPr>
        <w:t>S6</w:t>
      </w:r>
      <w:r>
        <w:rPr>
          <w:rFonts w:ascii="Times New Roman" w:hAnsi="Times New Roman"/>
          <w:sz w:val="24"/>
          <w:szCs w:val="24"/>
        </w:rPr>
        <w:t xml:space="preserve"> Comparisons of </w:t>
      </w:r>
      <w:r>
        <w:rPr>
          <w:rFonts w:hint="eastAsia" w:ascii="Times New Roman" w:hAnsi="Times New Roman"/>
          <w:sz w:val="24"/>
          <w:szCs w:val="24"/>
          <w:lang w:val="en-US"/>
        </w:rPr>
        <w:t>NH</w:t>
      </w:r>
      <w:r>
        <w:rPr>
          <w:rFonts w:hint="eastAsia" w:ascii="Times New Roman" w:hAnsi="Times New Roman"/>
          <w:sz w:val="24"/>
          <w:szCs w:val="24"/>
          <w:vertAlign w:val="subscript"/>
          <w:lang w:val="en-US"/>
        </w:rPr>
        <w:t>3</w:t>
      </w:r>
      <w:r>
        <w:rPr>
          <w:rFonts w:ascii="Times New Roman" w:hAnsi="Times New Roman"/>
          <w:sz w:val="24"/>
          <w:szCs w:val="24"/>
          <w:lang w:val="en-US"/>
        </w:rPr>
        <w:t xml:space="preserve"> emissions by livestock </w:t>
      </w:r>
      <w:r>
        <w:rPr>
          <w:rFonts w:hint="eastAsia" w:ascii="Times New Roman" w:hAnsi="Times New Roman"/>
          <w:sz w:val="24"/>
          <w:szCs w:val="24"/>
          <w:lang w:val="en-US"/>
        </w:rPr>
        <w:t>product</w:t>
      </w:r>
      <w:r>
        <w:rPr>
          <w:rFonts w:ascii="Times New Roman" w:hAnsi="Times New Roman"/>
          <w:sz w:val="24"/>
          <w:szCs w:val="24"/>
          <w:lang w:val="en-US"/>
        </w:rPr>
        <w:t xml:space="preserve"> </w:t>
      </w:r>
      <w:r>
        <w:rPr>
          <w:rFonts w:hint="eastAsia" w:ascii="Times New Roman" w:hAnsi="Times New Roman"/>
          <w:sz w:val="24"/>
          <w:szCs w:val="24"/>
          <w:lang w:val="en-US"/>
        </w:rPr>
        <w:t>and</w:t>
      </w:r>
      <w:r>
        <w:rPr>
          <w:rFonts w:ascii="Times New Roman" w:hAnsi="Times New Roman"/>
          <w:sz w:val="24"/>
          <w:szCs w:val="24"/>
          <w:lang w:val="en-US"/>
        </w:rPr>
        <w:t xml:space="preserve"> stage</w:t>
      </w:r>
      <w:r>
        <w:rPr>
          <w:rFonts w:hint="eastAsia" w:ascii="Times New Roman" w:hAnsi="Times New Roman"/>
          <w:sz w:val="24"/>
          <w:szCs w:val="24"/>
          <w:lang w:val="en-US"/>
        </w:rPr>
        <w:t xml:space="preserve"> between GAINS model and our model with GAINS</w:t>
      </w:r>
      <w:r>
        <w:rPr>
          <w:rFonts w:ascii="Times New Roman" w:hAnsi="Times New Roman"/>
          <w:sz w:val="24"/>
          <w:szCs w:val="24"/>
          <w:lang w:val="en-US"/>
        </w:rPr>
        <w:t>’</w:t>
      </w:r>
      <w:r>
        <w:rPr>
          <w:rFonts w:hint="eastAsia" w:ascii="Times New Roman" w:hAnsi="Times New Roman"/>
          <w:sz w:val="24"/>
          <w:szCs w:val="24"/>
          <w:lang w:val="en-US"/>
        </w:rPr>
        <w:t xml:space="preserve">s excretion and emission factors (GAINS_adj1) and further with mitigation factors (GAINS_adj2) </w:t>
      </w:r>
    </w:p>
    <w:p w14:paraId="4D41DE6A">
      <w:pPr>
        <w:jc w:val="center"/>
        <w:rPr>
          <w:rFonts w:ascii="Times New Roman" w:hAnsi="Times New Roman" w:cs="Times New Roman"/>
        </w:rPr>
      </w:pPr>
    </w:p>
    <w:p w14:paraId="72FE5A54">
      <w:pPr>
        <w:rPr>
          <w:b/>
          <w:bCs/>
          <w:lang w:val="en-US"/>
        </w:rPr>
      </w:pPr>
      <w:r>
        <w:rPr>
          <w:rFonts w:hint="eastAsia"/>
          <w:b/>
          <w:bCs/>
          <w:lang w:val="en-US"/>
        </w:rPr>
        <w:drawing>
          <wp:inline distT="0" distB="0" distL="114300" distR="114300">
            <wp:extent cx="5266690" cy="3950335"/>
            <wp:effectExtent l="0" t="0" r="6350" b="12065"/>
            <wp:docPr id="2" name="图片 2" descr="syn_fert_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yn_fert_use"/>
                    <pic:cNvPicPr>
                      <a:picLocks noChangeAspect="1"/>
                    </pic:cNvPicPr>
                  </pic:nvPicPr>
                  <pic:blipFill>
                    <a:blip r:embed="rId12"/>
                    <a:stretch>
                      <a:fillRect/>
                    </a:stretch>
                  </pic:blipFill>
                  <pic:spPr>
                    <a:xfrm>
                      <a:off x="0" y="0"/>
                      <a:ext cx="5266690" cy="3950335"/>
                    </a:xfrm>
                    <a:prstGeom prst="rect">
                      <a:avLst/>
                    </a:prstGeom>
                  </pic:spPr>
                </pic:pic>
              </a:graphicData>
            </a:graphic>
          </wp:inline>
        </w:drawing>
      </w:r>
      <w:bookmarkStart w:id="1" w:name="_GoBack"/>
      <w:bookmarkEnd w:id="1"/>
    </w:p>
    <w:p w14:paraId="22DC2FD8">
      <w:pPr>
        <w:jc w:val="center"/>
        <w:rPr>
          <w:rFonts w:ascii="Times New Roman" w:hAnsi="Times New Roman" w:cs="Times New Roman"/>
          <w:sz w:val="24"/>
          <w:szCs w:val="24"/>
          <w:lang w:val="en-US"/>
        </w:rPr>
      </w:pPr>
      <w:r>
        <w:rPr>
          <w:rFonts w:ascii="Times New Roman" w:hAnsi="Times New Roman" w:cs="Times New Roman"/>
          <w:b/>
          <w:bCs/>
          <w:sz w:val="24"/>
          <w:szCs w:val="24"/>
        </w:rPr>
        <w:t>Fig</w:t>
      </w:r>
      <w:r>
        <w:rPr>
          <w:rFonts w:hint="eastAsia" w:ascii="Times New Roman" w:hAnsi="Times New Roman" w:cs="Times New Roman"/>
          <w:b/>
          <w:bCs/>
          <w:sz w:val="24"/>
          <w:szCs w:val="24"/>
        </w:rPr>
        <w:t>.</w:t>
      </w:r>
      <w:r>
        <w:rPr>
          <w:rFonts w:ascii="Times New Roman" w:hAnsi="Times New Roman" w:cs="Times New Roman"/>
          <w:b/>
          <w:bCs/>
          <w:sz w:val="24"/>
          <w:szCs w:val="24"/>
        </w:rPr>
        <w:t xml:space="preserve"> </w:t>
      </w:r>
      <w:r>
        <w:rPr>
          <w:rFonts w:hint="eastAsia" w:ascii="Times New Roman" w:hAnsi="Times New Roman" w:cs="Times New Roman"/>
          <w:b/>
          <w:bCs/>
          <w:sz w:val="24"/>
          <w:szCs w:val="24"/>
        </w:rPr>
        <w:t>S7</w:t>
      </w:r>
      <w:r>
        <w:rPr>
          <w:rFonts w:ascii="Times New Roman" w:hAnsi="Times New Roman" w:cs="Times New Roman"/>
          <w:b/>
          <w:bCs/>
          <w:sz w:val="24"/>
          <w:szCs w:val="24"/>
        </w:rPr>
        <w:t xml:space="preserve"> </w:t>
      </w:r>
      <w:r>
        <w:rPr>
          <w:rFonts w:ascii="Times New Roman" w:hAnsi="Times New Roman" w:cs="Times New Roman"/>
          <w:sz w:val="24"/>
          <w:szCs w:val="24"/>
        </w:rPr>
        <w:t xml:space="preserve">Comparisons of </w:t>
      </w:r>
      <w:r>
        <w:rPr>
          <w:rFonts w:hint="eastAsia" w:ascii="Times New Roman" w:hAnsi="Times New Roman" w:cs="Times New Roman"/>
          <w:sz w:val="24"/>
          <w:szCs w:val="24"/>
        </w:rPr>
        <w:t xml:space="preserve">synthetic </w:t>
      </w:r>
      <w:r>
        <w:rPr>
          <w:rFonts w:ascii="Times New Roman" w:hAnsi="Times New Roman" w:cs="Times New Roman"/>
          <w:sz w:val="24"/>
          <w:szCs w:val="24"/>
        </w:rPr>
        <w:t xml:space="preserve">fertilizer N by crop </w:t>
      </w:r>
      <w:r>
        <w:rPr>
          <w:rFonts w:ascii="Times New Roman" w:hAnsi="Times New Roman" w:cs="Times New Roman"/>
          <w:sz w:val="24"/>
          <w:szCs w:val="24"/>
          <w:lang w:val="en-US"/>
        </w:rPr>
        <w:t>product</w:t>
      </w:r>
    </w:p>
    <w:p w14:paraId="3A77DE55">
      <w:pPr>
        <w:rPr>
          <w:rFonts w:ascii="Times New Roman" w:hAnsi="Times New Roman" w:cs="Times New Roman"/>
          <w:sz w:val="24"/>
          <w:szCs w:val="24"/>
          <w:lang w:val="en-US"/>
        </w:rPr>
      </w:pPr>
    </w:p>
    <w:p w14:paraId="467C4A61">
      <w:pPr>
        <w:rPr>
          <w:rFonts w:ascii="Times New Roman" w:hAnsi="Times New Roman" w:cs="Times New Roman"/>
          <w:b/>
          <w:bCs/>
          <w:sz w:val="28"/>
          <w:szCs w:val="28"/>
          <w:lang w:val="en-US"/>
        </w:rPr>
      </w:pPr>
      <w:bookmarkStart w:id="0" w:name="_Hlk181999219"/>
      <w:r>
        <w:rPr>
          <w:rFonts w:hint="eastAsia" w:ascii="Times New Roman" w:hAnsi="Times New Roman" w:cs="Times New Roman"/>
          <w:b/>
          <w:bCs/>
          <w:sz w:val="28"/>
          <w:szCs w:val="28"/>
          <w:lang w:val="en-US"/>
        </w:rPr>
        <w:t>References</w:t>
      </w:r>
    </w:p>
    <w:p w14:paraId="1E5CD57C">
      <w:pPr>
        <w:pStyle w:val="14"/>
        <w:rPr>
          <w:rFonts w:ascii="Times New Roman" w:hAnsi="Times New Roman" w:cs="Times New Roman"/>
          <w:sz w:val="24"/>
        </w:rPr>
      </w:pPr>
      <w:r>
        <w:rPr>
          <w:b/>
          <w:bCs/>
          <w:sz w:val="24"/>
          <w:szCs w:val="24"/>
          <w:lang w:val="en-US"/>
        </w:rPr>
        <w:fldChar w:fldCharType="begin"/>
      </w:r>
      <w:r>
        <w:rPr>
          <w:b/>
          <w:bCs/>
          <w:sz w:val="24"/>
          <w:szCs w:val="24"/>
          <w:lang w:val="nl-BE"/>
        </w:rPr>
        <w:instrText xml:space="preserve"> ADDIN ZOTERO_BIBL {"uncited":[],"omitted":[],"custom":[]} CSL_BIBLIOGRAPHY </w:instrText>
      </w:r>
      <w:r>
        <w:rPr>
          <w:b/>
          <w:bCs/>
          <w:sz w:val="24"/>
          <w:szCs w:val="24"/>
          <w:lang w:val="en-US"/>
        </w:rPr>
        <w:fldChar w:fldCharType="separate"/>
      </w:r>
      <w:r>
        <w:rPr>
          <w:rFonts w:ascii="Times New Roman" w:hAnsi="Times New Roman" w:cs="Times New Roman"/>
          <w:sz w:val="24"/>
          <w:lang w:val="nl-BE"/>
        </w:rPr>
        <w:t>1.</w:t>
      </w:r>
      <w:r>
        <w:rPr>
          <w:rFonts w:ascii="Times New Roman" w:hAnsi="Times New Roman" w:cs="Times New Roman"/>
          <w:sz w:val="24"/>
          <w:lang w:val="nl-BE"/>
        </w:rPr>
        <w:tab/>
      </w:r>
      <w:r>
        <w:rPr>
          <w:rFonts w:ascii="Times New Roman" w:hAnsi="Times New Roman" w:cs="Times New Roman"/>
          <w:sz w:val="24"/>
          <w:lang w:val="nl-BE"/>
        </w:rPr>
        <w:t xml:space="preserve">Tang, F. H. M. </w:t>
      </w:r>
      <w:r>
        <w:rPr>
          <w:rFonts w:ascii="Times New Roman" w:hAnsi="Times New Roman" w:cs="Times New Roman"/>
          <w:i/>
          <w:iCs/>
          <w:sz w:val="24"/>
          <w:lang w:val="nl-BE"/>
        </w:rPr>
        <w:t>et al.</w:t>
      </w:r>
      <w:r>
        <w:rPr>
          <w:rFonts w:ascii="Times New Roman" w:hAnsi="Times New Roman" w:cs="Times New Roman"/>
          <w:sz w:val="24"/>
          <w:lang w:val="nl-BE"/>
        </w:rPr>
        <w:t xml:space="preserve"> </w:t>
      </w:r>
      <w:r>
        <w:rPr>
          <w:rFonts w:ascii="Times New Roman" w:hAnsi="Times New Roman" w:cs="Times New Roman"/>
          <w:sz w:val="24"/>
        </w:rPr>
        <w:t xml:space="preserve">CROPGRIDS: a global geo-referenced dataset of 173 crops. </w:t>
      </w:r>
      <w:r>
        <w:rPr>
          <w:rFonts w:ascii="Times New Roman" w:hAnsi="Times New Roman" w:cs="Times New Roman"/>
          <w:i/>
          <w:iCs/>
          <w:sz w:val="24"/>
        </w:rPr>
        <w:t>Sci Data</w:t>
      </w:r>
      <w:r>
        <w:rPr>
          <w:rFonts w:ascii="Times New Roman" w:hAnsi="Times New Roman" w:cs="Times New Roman"/>
          <w:sz w:val="24"/>
        </w:rPr>
        <w:t xml:space="preserve"> </w:t>
      </w:r>
      <w:r>
        <w:rPr>
          <w:rFonts w:ascii="Times New Roman" w:hAnsi="Times New Roman" w:cs="Times New Roman"/>
          <w:b/>
          <w:bCs/>
          <w:sz w:val="24"/>
        </w:rPr>
        <w:t>11</w:t>
      </w:r>
      <w:r>
        <w:rPr>
          <w:rFonts w:ascii="Times New Roman" w:hAnsi="Times New Roman" w:cs="Times New Roman"/>
          <w:sz w:val="24"/>
        </w:rPr>
        <w:t>, 413</w:t>
      </w:r>
      <w:r>
        <w:rPr>
          <w:rFonts w:hint="eastAsia" w:ascii="Times New Roman" w:hAnsi="Times New Roman" w:cs="Times New Roman"/>
          <w:sz w:val="24"/>
        </w:rPr>
        <w:t>,</w:t>
      </w:r>
      <w:r>
        <w:rPr>
          <w:rFonts w:ascii="Times New Roman" w:hAnsi="Times New Roman" w:cs="Times New Roman"/>
          <w:sz w:val="24"/>
        </w:rPr>
        <w:t xml:space="preserve"> https://doi.org/ 10.1038/s41597-024-03247-7 (2024).</w:t>
      </w:r>
    </w:p>
    <w:p w14:paraId="658A822D">
      <w:pPr>
        <w:pStyle w:val="14"/>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r>
      <w:r>
        <w:rPr>
          <w:rFonts w:ascii="Times New Roman" w:hAnsi="Times New Roman" w:eastAsia="等线" w:cs="Times New Roman"/>
          <w:sz w:val="24"/>
          <w:szCs w:val="24"/>
        </w:rPr>
        <w:t xml:space="preserve">d’Andrimont, R. </w:t>
      </w:r>
      <w:r>
        <w:rPr>
          <w:rFonts w:ascii="Times New Roman" w:hAnsi="Times New Roman" w:eastAsia="等线" w:cs="Times New Roman"/>
          <w:i/>
          <w:iCs/>
          <w:sz w:val="24"/>
          <w:szCs w:val="24"/>
        </w:rPr>
        <w:t>et al.</w:t>
      </w:r>
      <w:r>
        <w:rPr>
          <w:rFonts w:ascii="Times New Roman" w:hAnsi="Times New Roman" w:eastAsia="等线" w:cs="Times New Roman"/>
          <w:sz w:val="24"/>
          <w:szCs w:val="24"/>
        </w:rPr>
        <w:t xml:space="preserve"> From parcel to continental scale </w:t>
      </w:r>
      <w:r>
        <w:rPr>
          <w:rFonts w:ascii="Times New Roman" w:hAnsi="Times New Roman" w:cs="Times New Roman"/>
          <w:sz w:val="24"/>
        </w:rPr>
        <w:t>–</w:t>
      </w:r>
      <w:r>
        <w:rPr>
          <w:rFonts w:ascii="Times New Roman" w:hAnsi="Times New Roman" w:eastAsia="等线" w:cs="Times New Roman"/>
          <w:sz w:val="24"/>
          <w:szCs w:val="24"/>
        </w:rPr>
        <w:t xml:space="preserve"> A first European crop type map based on Sentinel-1 and LUCAS Copernicus in-situ observations. </w:t>
      </w:r>
      <w:r>
        <w:rPr>
          <w:rFonts w:ascii="Times New Roman" w:hAnsi="Times New Roman" w:eastAsia="等线" w:cs="Times New Roman"/>
          <w:i/>
          <w:iCs/>
          <w:sz w:val="24"/>
        </w:rPr>
        <w:t>Remote Sensing of Environment</w:t>
      </w:r>
      <w:r>
        <w:rPr>
          <w:rFonts w:ascii="Times New Roman" w:hAnsi="Times New Roman" w:eastAsia="等线" w:cs="Times New Roman"/>
          <w:sz w:val="24"/>
        </w:rPr>
        <w:t xml:space="preserve"> </w:t>
      </w:r>
      <w:r>
        <w:rPr>
          <w:rFonts w:ascii="Times New Roman" w:hAnsi="Times New Roman" w:eastAsia="等线" w:cs="Times New Roman"/>
          <w:b/>
          <w:bCs/>
          <w:sz w:val="24"/>
        </w:rPr>
        <w:t>266</w:t>
      </w:r>
      <w:r>
        <w:rPr>
          <w:rFonts w:ascii="Times New Roman" w:hAnsi="Times New Roman" w:eastAsia="等线" w:cs="Times New Roman"/>
          <w:sz w:val="24"/>
        </w:rPr>
        <w:t>, 112708</w:t>
      </w:r>
      <w:r>
        <w:rPr>
          <w:rFonts w:hint="eastAsia" w:ascii="Times New Roman" w:hAnsi="Times New Roman" w:eastAsia="等线" w:cs="Times New Roman"/>
          <w:sz w:val="24"/>
        </w:rPr>
        <w:t xml:space="preserve">, </w:t>
      </w:r>
      <w:r>
        <w:rPr>
          <w:rFonts w:ascii="Times New Roman" w:hAnsi="Times New Roman" w:eastAsia="等线" w:cs="Times New Roman"/>
          <w:sz w:val="24"/>
        </w:rPr>
        <w:t>https://doi.org/10.1016/j.rse.2021.112708</w:t>
      </w:r>
      <w:r>
        <w:rPr>
          <w:rFonts w:ascii="Times New Roman" w:hAnsi="Times New Roman" w:eastAsia="等线" w:cs="Times New Roman"/>
          <w:sz w:val="24"/>
          <w:szCs w:val="24"/>
        </w:rPr>
        <w:t xml:space="preserve"> (2021).</w:t>
      </w:r>
    </w:p>
    <w:p w14:paraId="70E502C8">
      <w:pPr>
        <w:pStyle w:val="14"/>
        <w:rPr>
          <w:rFonts w:ascii="Times New Roman" w:hAnsi="Times New Roman" w:eastAsia="等线" w:cs="Times New Roman"/>
          <w:sz w:val="24"/>
          <w:szCs w:val="24"/>
        </w:rPr>
      </w:pPr>
      <w:r>
        <w:rPr>
          <w:rFonts w:ascii="Times New Roman" w:hAnsi="Times New Roman" w:cs="Times New Roman"/>
          <w:sz w:val="24"/>
        </w:rPr>
        <w:t>3.</w:t>
      </w:r>
      <w:r>
        <w:rPr>
          <w:rFonts w:ascii="Times New Roman" w:hAnsi="Times New Roman" w:cs="Times New Roman"/>
          <w:sz w:val="24"/>
        </w:rPr>
        <w:tab/>
      </w:r>
      <w:r>
        <w:rPr>
          <w:rFonts w:ascii="Times New Roman" w:hAnsi="Times New Roman" w:eastAsia="等线" w:cs="Times New Roman"/>
          <w:sz w:val="24"/>
          <w:szCs w:val="24"/>
        </w:rPr>
        <w:t>Copernicus Land Monitoring (CLMS) Grassland 2015 (raster 100 m), Europe, 3-yearly. https://doi.org/10.2909/b77b7ce3-04f8-44ae-aaae-b5e5af0f9682 (2018).</w:t>
      </w:r>
    </w:p>
    <w:p w14:paraId="250D6697">
      <w:pPr>
        <w:pStyle w:val="14"/>
        <w:rPr>
          <w:rFonts w:ascii="Times New Roman" w:hAnsi="Times New Roman" w:eastAsia="等线" w:cs="Times New Roman"/>
          <w:sz w:val="24"/>
          <w:szCs w:val="24"/>
          <w:lang w:val="nl-BE"/>
        </w:rPr>
      </w:pPr>
      <w:r>
        <w:rPr>
          <w:rFonts w:ascii="Times New Roman" w:hAnsi="Times New Roman" w:cs="Times New Roman"/>
          <w:sz w:val="24"/>
        </w:rPr>
        <w:t>4.</w:t>
      </w:r>
      <w:r>
        <w:rPr>
          <w:rFonts w:ascii="Times New Roman" w:hAnsi="Times New Roman" w:cs="Times New Roman"/>
          <w:sz w:val="24"/>
        </w:rPr>
        <w:tab/>
      </w:r>
      <w:r>
        <w:rPr>
          <w:rFonts w:ascii="Times New Roman" w:hAnsi="Times New Roman" w:eastAsia="等线" w:cs="Times New Roman"/>
          <w:sz w:val="24"/>
          <w:szCs w:val="24"/>
        </w:rPr>
        <w:t xml:space="preserve">Gilbert, M. </w:t>
      </w:r>
      <w:r>
        <w:rPr>
          <w:rFonts w:ascii="Times New Roman" w:hAnsi="Times New Roman" w:eastAsia="等线" w:cs="Times New Roman"/>
          <w:i/>
          <w:iCs/>
          <w:sz w:val="24"/>
          <w:szCs w:val="24"/>
        </w:rPr>
        <w:t>et al.</w:t>
      </w:r>
      <w:r>
        <w:rPr>
          <w:rFonts w:ascii="Times New Roman" w:hAnsi="Times New Roman" w:eastAsia="等线" w:cs="Times New Roman"/>
          <w:sz w:val="24"/>
          <w:szCs w:val="24"/>
        </w:rPr>
        <w:t xml:space="preserve"> Global livestock distribution in 2015 (5 minutes of arc).</w:t>
      </w:r>
      <w:r>
        <w:rPr>
          <w:rFonts w:ascii="Times New Roman" w:hAnsi="Times New Roman" w:eastAsia="等线" w:cs="Times New Roman"/>
          <w:i/>
          <w:iCs/>
          <w:sz w:val="24"/>
          <w:szCs w:val="24"/>
        </w:rPr>
        <w:t xml:space="preserve"> </w:t>
      </w:r>
      <w:r>
        <w:rPr>
          <w:rFonts w:ascii="Times New Roman" w:hAnsi="Times New Roman" w:eastAsia="等线" w:cs="Times New Roman"/>
          <w:i/>
          <w:iCs/>
          <w:sz w:val="24"/>
          <w:szCs w:val="24"/>
          <w:lang w:val="nl-BE"/>
        </w:rPr>
        <w:t>Harvard Dataverse</w:t>
      </w:r>
      <w:r>
        <w:rPr>
          <w:rFonts w:hint="eastAsia" w:ascii="Times New Roman" w:hAnsi="Times New Roman" w:eastAsia="等线" w:cs="Times New Roman"/>
          <w:sz w:val="24"/>
          <w:szCs w:val="24"/>
          <w:lang w:val="nl-BE"/>
        </w:rPr>
        <w:t>,</w:t>
      </w:r>
      <w:r>
        <w:rPr>
          <w:rFonts w:ascii="Times New Roman" w:hAnsi="Times New Roman" w:eastAsia="等线" w:cs="Times New Roman"/>
          <w:sz w:val="24"/>
          <w:szCs w:val="24"/>
          <w:lang w:val="nl-BE"/>
        </w:rPr>
        <w:t xml:space="preserve"> https://dataverse.harvard.edu/citation?persistentid=doi:10.7910/dvn/sxhlf3 (2022).</w:t>
      </w:r>
    </w:p>
    <w:p w14:paraId="78B387D8">
      <w:pPr>
        <w:pStyle w:val="14"/>
        <w:rPr>
          <w:rFonts w:ascii="Times New Roman" w:hAnsi="Times New Roman" w:eastAsia="等线" w:cs="Times New Roman"/>
          <w:sz w:val="24"/>
          <w:szCs w:val="24"/>
        </w:rPr>
      </w:pPr>
      <w:r>
        <w:rPr>
          <w:rFonts w:ascii="Times New Roman" w:hAnsi="Times New Roman" w:cs="Times New Roman"/>
          <w:sz w:val="24"/>
        </w:rPr>
        <w:t>5.</w:t>
      </w:r>
      <w:r>
        <w:rPr>
          <w:rFonts w:ascii="Times New Roman" w:hAnsi="Times New Roman" w:cs="Times New Roman"/>
          <w:sz w:val="24"/>
        </w:rPr>
        <w:tab/>
      </w:r>
      <w:r>
        <w:rPr>
          <w:rFonts w:ascii="Times New Roman" w:hAnsi="Times New Roman" w:eastAsia="等线" w:cs="Times New Roman"/>
          <w:sz w:val="24"/>
          <w:szCs w:val="24"/>
        </w:rPr>
        <w:t xml:space="preserve">Ludemann, C. I., Gruere, A., Heffer, P. &amp; Dobermann, A. Global data on fertilizer use by crop and by country. </w:t>
      </w:r>
      <w:r>
        <w:rPr>
          <w:rFonts w:ascii="Times New Roman" w:hAnsi="Times New Roman" w:eastAsia="等线" w:cs="Times New Roman"/>
          <w:i/>
          <w:iCs/>
          <w:sz w:val="24"/>
          <w:szCs w:val="24"/>
        </w:rPr>
        <w:t>Sci Data</w:t>
      </w:r>
      <w:r>
        <w:rPr>
          <w:rFonts w:ascii="Times New Roman" w:hAnsi="Times New Roman" w:eastAsia="等线" w:cs="Times New Roman"/>
          <w:sz w:val="24"/>
          <w:szCs w:val="24"/>
        </w:rPr>
        <w:t xml:space="preserve"> </w:t>
      </w:r>
      <w:r>
        <w:rPr>
          <w:rFonts w:ascii="Times New Roman" w:hAnsi="Times New Roman" w:eastAsia="等线" w:cs="Times New Roman"/>
          <w:b/>
          <w:bCs/>
          <w:sz w:val="24"/>
          <w:szCs w:val="24"/>
        </w:rPr>
        <w:t>9</w:t>
      </w:r>
      <w:r>
        <w:rPr>
          <w:rFonts w:ascii="Times New Roman" w:hAnsi="Times New Roman" w:eastAsia="等线" w:cs="Times New Roman"/>
          <w:sz w:val="24"/>
          <w:szCs w:val="24"/>
        </w:rPr>
        <w:t>, 501</w:t>
      </w:r>
      <w:r>
        <w:rPr>
          <w:rFonts w:hint="eastAsia" w:ascii="Times New Roman" w:hAnsi="Times New Roman" w:eastAsia="等线" w:cs="Times New Roman"/>
          <w:sz w:val="24"/>
          <w:szCs w:val="24"/>
        </w:rPr>
        <w:t xml:space="preserve">, </w:t>
      </w:r>
      <w:r>
        <w:rPr>
          <w:rFonts w:ascii="Times New Roman" w:hAnsi="Times New Roman" w:eastAsia="等线" w:cs="Times New Roman"/>
          <w:sz w:val="24"/>
          <w:szCs w:val="24"/>
        </w:rPr>
        <w:t>https://doi.org/10.1038/s41597-022-01592-z (2022).</w:t>
      </w:r>
    </w:p>
    <w:p w14:paraId="7401A6AF">
      <w:pPr>
        <w:pStyle w:val="14"/>
        <w:rPr>
          <w:rFonts w:ascii="Times New Roman" w:hAnsi="Times New Roman" w:eastAsia="等线" w:cs="Times New Roman"/>
          <w:sz w:val="24"/>
          <w:szCs w:val="24"/>
        </w:rPr>
      </w:pPr>
      <w:r>
        <w:rPr>
          <w:rFonts w:ascii="Times New Roman" w:hAnsi="Times New Roman" w:cs="Times New Roman"/>
          <w:sz w:val="24"/>
        </w:rPr>
        <w:t>6.</w:t>
      </w:r>
      <w:r>
        <w:rPr>
          <w:rFonts w:ascii="Times New Roman" w:hAnsi="Times New Roman" w:cs="Times New Roman"/>
          <w:sz w:val="24"/>
        </w:rPr>
        <w:tab/>
      </w:r>
      <w:r>
        <w:rPr>
          <w:rFonts w:ascii="Times New Roman" w:hAnsi="Times New Roman" w:eastAsia="等线" w:cs="Times New Roman"/>
          <w:sz w:val="24"/>
          <w:szCs w:val="24"/>
        </w:rPr>
        <w:t xml:space="preserve">Einarsson, R. </w:t>
      </w:r>
      <w:r>
        <w:rPr>
          <w:rFonts w:ascii="Times New Roman" w:hAnsi="Times New Roman" w:eastAsia="等线" w:cs="Times New Roman"/>
          <w:i/>
          <w:iCs/>
          <w:sz w:val="24"/>
          <w:szCs w:val="24"/>
        </w:rPr>
        <w:t>et al.</w:t>
      </w:r>
      <w:r>
        <w:rPr>
          <w:rFonts w:ascii="Times New Roman" w:hAnsi="Times New Roman" w:eastAsia="等线" w:cs="Times New Roman"/>
          <w:sz w:val="24"/>
          <w:szCs w:val="24"/>
        </w:rPr>
        <w:t xml:space="preserve"> Crop production and nitrogen use in European cropland and grassland 1961–2019. </w:t>
      </w:r>
      <w:r>
        <w:rPr>
          <w:rFonts w:ascii="Times New Roman" w:hAnsi="Times New Roman" w:eastAsia="等线" w:cs="Times New Roman"/>
          <w:i/>
          <w:iCs/>
          <w:sz w:val="24"/>
          <w:szCs w:val="24"/>
        </w:rPr>
        <w:t>Sci Data</w:t>
      </w:r>
      <w:r>
        <w:rPr>
          <w:rFonts w:ascii="Times New Roman" w:hAnsi="Times New Roman" w:eastAsia="等线" w:cs="Times New Roman"/>
          <w:sz w:val="24"/>
          <w:szCs w:val="24"/>
        </w:rPr>
        <w:t xml:space="preserve"> </w:t>
      </w:r>
      <w:r>
        <w:rPr>
          <w:rFonts w:ascii="Times New Roman" w:hAnsi="Times New Roman" w:eastAsia="等线" w:cs="Times New Roman"/>
          <w:b/>
          <w:bCs/>
          <w:sz w:val="24"/>
          <w:szCs w:val="24"/>
        </w:rPr>
        <w:t>8</w:t>
      </w:r>
      <w:r>
        <w:rPr>
          <w:rFonts w:ascii="Times New Roman" w:hAnsi="Times New Roman" w:eastAsia="等线" w:cs="Times New Roman"/>
          <w:sz w:val="24"/>
          <w:szCs w:val="24"/>
        </w:rPr>
        <w:t>, 288</w:t>
      </w:r>
      <w:r>
        <w:rPr>
          <w:rFonts w:hint="eastAsia" w:ascii="Times New Roman" w:hAnsi="Times New Roman" w:eastAsia="等线" w:cs="Times New Roman"/>
          <w:sz w:val="24"/>
          <w:szCs w:val="24"/>
        </w:rPr>
        <w:t xml:space="preserve">, </w:t>
      </w:r>
      <w:r>
        <w:rPr>
          <w:rFonts w:ascii="Times New Roman" w:hAnsi="Times New Roman" w:eastAsia="等线" w:cs="Times New Roman"/>
          <w:sz w:val="24"/>
          <w:szCs w:val="24"/>
        </w:rPr>
        <w:t>https://doi.org/10.1038/s41597-021-01061-z (2021).</w:t>
      </w:r>
    </w:p>
    <w:p w14:paraId="02EB1878">
      <w:pPr>
        <w:pStyle w:val="14"/>
        <w:rPr>
          <w:rFonts w:ascii="Times New Roman" w:hAnsi="Times New Roman" w:cs="Times New Roman"/>
          <w:sz w:val="24"/>
        </w:rPr>
      </w:pPr>
      <w:r>
        <w:rPr>
          <w:rFonts w:ascii="Times New Roman" w:hAnsi="Times New Roman" w:cs="Times New Roman"/>
          <w:sz w:val="24"/>
        </w:rPr>
        <w:t>7.</w:t>
      </w:r>
      <w:r>
        <w:rPr>
          <w:rFonts w:ascii="Times New Roman" w:hAnsi="Times New Roman" w:cs="Times New Roman"/>
          <w:sz w:val="24"/>
        </w:rPr>
        <w:tab/>
      </w:r>
      <w:r>
        <w:rPr>
          <w:rFonts w:ascii="Times New Roman" w:hAnsi="Times New Roman" w:eastAsia="等线" w:cs="Times New Roman"/>
          <w:sz w:val="24"/>
          <w:szCs w:val="24"/>
          <w14:ligatures w14:val="none"/>
        </w:rPr>
        <w:t>Robinson</w:t>
      </w:r>
      <w:r>
        <w:rPr>
          <w:rFonts w:hint="eastAsia" w:ascii="Times New Roman" w:hAnsi="Times New Roman" w:eastAsia="等线" w:cs="Times New Roman"/>
          <w:sz w:val="24"/>
          <w:szCs w:val="24"/>
          <w14:ligatures w14:val="none"/>
        </w:rPr>
        <w:t xml:space="preserve">, T. </w:t>
      </w:r>
      <w:r>
        <w:rPr>
          <w:rFonts w:hint="eastAsia" w:ascii="Times New Roman" w:hAnsi="Times New Roman" w:eastAsia="等线" w:cs="Times New Roman"/>
          <w:i/>
          <w:iCs/>
          <w:sz w:val="24"/>
          <w:szCs w:val="24"/>
          <w14:ligatures w14:val="none"/>
        </w:rPr>
        <w:t>et al.</w:t>
      </w:r>
      <w:r>
        <w:rPr>
          <w:rFonts w:hint="eastAsia" w:ascii="Times New Roman" w:hAnsi="Times New Roman" w:eastAsia="等线" w:cs="Times New Roman"/>
          <w:sz w:val="24"/>
          <w:szCs w:val="24"/>
          <w14:ligatures w14:val="none"/>
        </w:rPr>
        <w:t xml:space="preserve"> </w:t>
      </w:r>
      <w:r>
        <w:rPr>
          <w:rFonts w:ascii="Times New Roman" w:hAnsi="Times New Roman" w:eastAsia="等线" w:cs="Times New Roman"/>
          <w:i/>
          <w:iCs/>
          <w:sz w:val="24"/>
          <w:szCs w:val="24"/>
          <w14:ligatures w14:val="none"/>
        </w:rPr>
        <w:t>Global Livestock Production Systems</w:t>
      </w:r>
      <w:r>
        <w:rPr>
          <w:rFonts w:ascii="Times New Roman" w:hAnsi="Times New Roman" w:eastAsia="等线" w:cs="Times New Roman"/>
          <w:sz w:val="24"/>
          <w:szCs w:val="24"/>
          <w14:ligatures w14:val="none"/>
        </w:rPr>
        <w:t>. (Food and Agriculture Organization of the United Nations, Rome, 2011).</w:t>
      </w:r>
    </w:p>
    <w:p w14:paraId="10167370">
      <w:pPr>
        <w:pStyle w:val="14"/>
        <w:rPr>
          <w:rFonts w:ascii="Times New Roman" w:hAnsi="Times New Roman" w:cs="Times New Roman"/>
          <w:sz w:val="24"/>
        </w:rPr>
      </w:pPr>
      <w:r>
        <w:rPr>
          <w:rFonts w:ascii="Times New Roman" w:hAnsi="Times New Roman" w:cs="Times New Roman"/>
          <w:sz w:val="24"/>
        </w:rPr>
        <w:t>8.</w:t>
      </w:r>
      <w:r>
        <w:rPr>
          <w:rFonts w:ascii="Times New Roman" w:hAnsi="Times New Roman" w:cs="Times New Roman"/>
          <w:sz w:val="24"/>
        </w:rPr>
        <w:tab/>
      </w:r>
      <w:r>
        <w:rPr>
          <w:rFonts w:ascii="Times New Roman" w:hAnsi="Times New Roman" w:cs="Times New Roman"/>
          <w:sz w:val="24"/>
        </w:rPr>
        <w:t>UNFCCC. National Inventory Submissions 2018 of Annex I Parties, https://unfccc.int/process-and-meetings/transparency-and-reporting/reporting-and-review/reporting-and-review-under-the-convention/greenhouse-gas-inventories-annex-i-parties/submissions/national-inventory-submissions-2018 (2018).</w:t>
      </w:r>
    </w:p>
    <w:p w14:paraId="485739E0">
      <w:pPr>
        <w:pStyle w:val="14"/>
        <w:rPr>
          <w:rFonts w:ascii="Times New Roman" w:hAnsi="Times New Roman" w:cs="Times New Roman"/>
          <w:sz w:val="24"/>
        </w:rPr>
      </w:pPr>
      <w:r>
        <w:rPr>
          <w:rFonts w:ascii="Times New Roman" w:hAnsi="Times New Roman" w:cs="Times New Roman"/>
          <w:sz w:val="24"/>
        </w:rPr>
        <w:t>9.</w:t>
      </w:r>
      <w:r>
        <w:rPr>
          <w:rFonts w:ascii="Times New Roman" w:hAnsi="Times New Roman" w:cs="Times New Roman"/>
          <w:sz w:val="24"/>
        </w:rPr>
        <w:tab/>
      </w:r>
      <w:r>
        <w:rPr>
          <w:rFonts w:ascii="Times New Roman" w:hAnsi="Times New Roman" w:cs="Times New Roman"/>
          <w:sz w:val="24"/>
        </w:rPr>
        <w:t xml:space="preserve">Bioteau, T., Burton, C., Guiziou, F. &amp; Martinez, J. </w:t>
      </w:r>
      <w:r>
        <w:rPr>
          <w:rFonts w:ascii="Times New Roman" w:hAnsi="Times New Roman" w:cs="Times New Roman"/>
          <w:i/>
          <w:iCs/>
          <w:sz w:val="24"/>
        </w:rPr>
        <w:t>Qualitative Assessment of Manure Management in Main Livestock Production Systems and a Review of Gaseous Emissions Factors of Manure throughout EU27</w:t>
      </w:r>
      <w:r>
        <w:rPr>
          <w:rFonts w:ascii="Times New Roman" w:hAnsi="Times New Roman" w:cs="Times New Roman"/>
          <w:sz w:val="24"/>
        </w:rPr>
        <w:t>.</w:t>
      </w:r>
      <w:r>
        <w:rPr>
          <w:rFonts w:hint="eastAsia" w:ascii="Times New Roman" w:hAnsi="Times New Roman" w:cs="Times New Roman"/>
          <w:sz w:val="24"/>
        </w:rPr>
        <w:t>(</w:t>
      </w:r>
      <w:r>
        <w:rPr>
          <w:rFonts w:ascii="Times New Roman" w:hAnsi="Times New Roman" w:cs="Times New Roman"/>
          <w:i/>
          <w:iCs/>
          <w:sz w:val="24"/>
        </w:rPr>
        <w:t xml:space="preserve"> </w:t>
      </w:r>
      <w:r>
        <w:rPr>
          <w:rFonts w:ascii="Times New Roman" w:hAnsi="Times New Roman" w:cs="Times New Roman"/>
          <w:sz w:val="24"/>
        </w:rPr>
        <w:t>European Commission, Joint Research Centre</w:t>
      </w:r>
      <w:r>
        <w:rPr>
          <w:rFonts w:hint="eastAsia" w:ascii="Times New Roman" w:hAnsi="Times New Roman" w:cs="Times New Roman"/>
          <w:sz w:val="24"/>
        </w:rPr>
        <w:t>, 2007)</w:t>
      </w:r>
    </w:p>
    <w:p w14:paraId="55541AF8">
      <w:pPr>
        <w:pStyle w:val="14"/>
        <w:rPr>
          <w:rFonts w:ascii="Times New Roman" w:hAnsi="Times New Roman" w:cs="Times New Roman"/>
          <w:sz w:val="24"/>
        </w:rPr>
      </w:pPr>
      <w:r>
        <w:rPr>
          <w:rFonts w:ascii="Times New Roman" w:hAnsi="Times New Roman" w:cs="Times New Roman"/>
          <w:sz w:val="24"/>
        </w:rPr>
        <w:t>10.</w:t>
      </w:r>
      <w:r>
        <w:rPr>
          <w:rFonts w:ascii="Times New Roman" w:hAnsi="Times New Roman" w:cs="Times New Roman"/>
          <w:sz w:val="24"/>
        </w:rPr>
        <w:tab/>
      </w:r>
      <w:r>
        <w:rPr>
          <w:rFonts w:ascii="Times New Roman" w:hAnsi="Times New Roman" w:cs="Times New Roman"/>
          <w:sz w:val="24"/>
        </w:rPr>
        <w:t xml:space="preserve">Klimont, Z. &amp; Brink, C. </w:t>
      </w:r>
      <w:r>
        <w:rPr>
          <w:rFonts w:ascii="Times New Roman" w:hAnsi="Times New Roman" w:cs="Times New Roman"/>
          <w:i/>
          <w:iCs/>
          <w:sz w:val="24"/>
        </w:rPr>
        <w:t>Modelling of Emissions of Air Pollutants and Greenhouse Gases from Agricultural Sources in Europe</w:t>
      </w:r>
      <w:r>
        <w:rPr>
          <w:rFonts w:ascii="Times New Roman" w:hAnsi="Times New Roman" w:cs="Times New Roman"/>
          <w:sz w:val="24"/>
        </w:rPr>
        <w:t>.</w:t>
      </w:r>
      <w:r>
        <w:rPr>
          <w:rFonts w:hint="eastAsia" w:ascii="Times New Roman" w:hAnsi="Times New Roman" w:cs="Times New Roman"/>
          <w:sz w:val="24"/>
        </w:rPr>
        <w:t xml:space="preserve"> (</w:t>
      </w:r>
      <w:r>
        <w:rPr>
          <w:rFonts w:ascii="Times New Roman" w:hAnsi="Times New Roman" w:cs="Times New Roman"/>
          <w:sz w:val="24"/>
        </w:rPr>
        <w:t>International Institute for Applied Systems Analysis</w:t>
      </w:r>
      <w:r>
        <w:rPr>
          <w:rFonts w:hint="eastAsia" w:ascii="Times New Roman" w:hAnsi="Times New Roman" w:cs="Times New Roman"/>
          <w:sz w:val="24"/>
        </w:rPr>
        <w:t>, 2004)</w:t>
      </w:r>
    </w:p>
    <w:p w14:paraId="169B78B5">
      <w:pPr>
        <w:pStyle w:val="14"/>
        <w:rPr>
          <w:rFonts w:ascii="Times New Roman" w:hAnsi="Times New Roman" w:cs="Times New Roman"/>
          <w:sz w:val="24"/>
        </w:rPr>
      </w:pPr>
      <w:r>
        <w:rPr>
          <w:rFonts w:ascii="Times New Roman" w:hAnsi="Times New Roman" w:cs="Times New Roman"/>
          <w:sz w:val="24"/>
        </w:rPr>
        <w:t>11.</w:t>
      </w:r>
      <w:r>
        <w:rPr>
          <w:rFonts w:ascii="Times New Roman" w:hAnsi="Times New Roman" w:cs="Times New Roman"/>
          <w:sz w:val="24"/>
        </w:rPr>
        <w:tab/>
      </w:r>
      <w:r>
        <w:rPr>
          <w:rFonts w:ascii="Times New Roman" w:hAnsi="Times New Roman" w:cs="Times New Roman"/>
          <w:sz w:val="24"/>
        </w:rPr>
        <w:t xml:space="preserve">Velthof, G. L., Hou, Y. &amp; Oenema, O. Nitrogen excretion factors of livestock in the European Union: a review. </w:t>
      </w:r>
      <w:r>
        <w:rPr>
          <w:rFonts w:ascii="Times New Roman" w:hAnsi="Times New Roman" w:cs="Times New Roman"/>
          <w:i/>
          <w:iCs/>
          <w:sz w:val="24"/>
        </w:rPr>
        <w:t>Journal of the Science of Food and Agriculture</w:t>
      </w:r>
      <w:r>
        <w:rPr>
          <w:rFonts w:ascii="Times New Roman" w:hAnsi="Times New Roman" w:cs="Times New Roman"/>
          <w:sz w:val="24"/>
        </w:rPr>
        <w:t xml:space="preserve"> </w:t>
      </w:r>
      <w:r>
        <w:rPr>
          <w:rFonts w:ascii="Times New Roman" w:hAnsi="Times New Roman" w:cs="Times New Roman"/>
          <w:b/>
          <w:bCs/>
          <w:sz w:val="24"/>
        </w:rPr>
        <w:t>95</w:t>
      </w:r>
      <w:r>
        <w:rPr>
          <w:rFonts w:ascii="Times New Roman" w:hAnsi="Times New Roman" w:cs="Times New Roman"/>
          <w:sz w:val="24"/>
        </w:rPr>
        <w:t>, 3004–3014</w:t>
      </w:r>
      <w:r>
        <w:rPr>
          <w:rFonts w:hint="eastAsia" w:ascii="Times New Roman" w:hAnsi="Times New Roman" w:cs="Times New Roman"/>
          <w:sz w:val="24"/>
        </w:rPr>
        <w:t xml:space="preserve">, </w:t>
      </w:r>
      <w:r>
        <w:rPr>
          <w:rFonts w:ascii="Times New Roman" w:hAnsi="Times New Roman" w:cs="Times New Roman"/>
          <w:sz w:val="24"/>
        </w:rPr>
        <w:t>https://doi.org/10.1002/jsfa.7248 (2015).</w:t>
      </w:r>
    </w:p>
    <w:p w14:paraId="65727EB6">
      <w:pPr>
        <w:pStyle w:val="14"/>
        <w:rPr>
          <w:rFonts w:ascii="Times New Roman" w:hAnsi="Times New Roman" w:cs="Times New Roman"/>
          <w:sz w:val="24"/>
        </w:rPr>
      </w:pPr>
      <w:r>
        <w:rPr>
          <w:rFonts w:ascii="Times New Roman" w:hAnsi="Times New Roman" w:cs="Times New Roman"/>
          <w:sz w:val="24"/>
        </w:rPr>
        <w:t>12.</w:t>
      </w:r>
      <w:r>
        <w:rPr>
          <w:rFonts w:ascii="Times New Roman" w:hAnsi="Times New Roman" w:cs="Times New Roman"/>
          <w:sz w:val="24"/>
        </w:rPr>
        <w:tab/>
      </w:r>
      <w:r>
        <w:rPr>
          <w:rFonts w:ascii="Times New Roman" w:hAnsi="Times New Roman" w:cs="Times New Roman"/>
          <w:sz w:val="24"/>
        </w:rPr>
        <w:t xml:space="preserve">European Environment Agency. </w:t>
      </w:r>
      <w:r>
        <w:rPr>
          <w:rFonts w:ascii="Times New Roman" w:hAnsi="Times New Roman" w:cs="Times New Roman"/>
          <w:i/>
          <w:iCs/>
          <w:sz w:val="24"/>
        </w:rPr>
        <w:t>EMEP/EEA Air Pollutant Emission Inventory Guidebook 2019: Technical Guidance to Prepare National Emission Inventories.</w:t>
      </w:r>
      <w:r>
        <w:rPr>
          <w:rFonts w:ascii="Times New Roman" w:hAnsi="Times New Roman" w:cs="Times New Roman"/>
          <w:sz w:val="24"/>
        </w:rPr>
        <w:t xml:space="preserve"> (Publications Office</w:t>
      </w:r>
      <w:r>
        <w:rPr>
          <w:rFonts w:hint="eastAsia" w:ascii="Times New Roman" w:hAnsi="Times New Roman" w:cs="Times New Roman"/>
          <w:sz w:val="24"/>
        </w:rPr>
        <w:t xml:space="preserve"> of the European Union</w:t>
      </w:r>
      <w:r>
        <w:rPr>
          <w:rFonts w:ascii="Times New Roman" w:hAnsi="Times New Roman" w:cs="Times New Roman"/>
          <w:sz w:val="24"/>
        </w:rPr>
        <w:t>, 2019).</w:t>
      </w:r>
    </w:p>
    <w:p w14:paraId="7473E67A">
      <w:pPr>
        <w:pStyle w:val="14"/>
        <w:rPr>
          <w:rFonts w:ascii="Times New Roman" w:hAnsi="Times New Roman" w:cs="Times New Roman"/>
          <w:sz w:val="24"/>
        </w:rPr>
      </w:pPr>
      <w:r>
        <w:rPr>
          <w:rFonts w:ascii="Times New Roman" w:hAnsi="Times New Roman" w:cs="Times New Roman"/>
          <w:sz w:val="24"/>
        </w:rPr>
        <w:t>13.</w:t>
      </w:r>
      <w:r>
        <w:rPr>
          <w:rFonts w:ascii="Times New Roman" w:hAnsi="Times New Roman" w:cs="Times New Roman"/>
          <w:sz w:val="24"/>
        </w:rPr>
        <w:tab/>
      </w:r>
      <w:r>
        <w:rPr>
          <w:rFonts w:ascii="Times New Roman" w:hAnsi="Times New Roman" w:cs="Times New Roman"/>
          <w:sz w:val="24"/>
        </w:rPr>
        <w:t xml:space="preserve">Menzi, H. Manure management in Europe: results of a recent survey. in </w:t>
      </w:r>
      <w:r>
        <w:rPr>
          <w:rFonts w:ascii="Times New Roman" w:hAnsi="Times New Roman" w:cs="Times New Roman"/>
          <w:i/>
          <w:iCs/>
          <w:sz w:val="24"/>
        </w:rPr>
        <w:t>Proceedings of the 10th International Conference of the RAMIRAN Network</w:t>
      </w:r>
      <w:r>
        <w:rPr>
          <w:rFonts w:ascii="Times New Roman" w:hAnsi="Times New Roman" w:cs="Times New Roman"/>
          <w:sz w:val="24"/>
        </w:rPr>
        <w:t xml:space="preserve"> (University of Veterinary Medicine, Slovak Republic, Štrbské Pleso, High Tatras, Slovak Republic, 2002).</w:t>
      </w:r>
    </w:p>
    <w:p w14:paraId="1D5DD8C6">
      <w:pPr>
        <w:pStyle w:val="14"/>
        <w:rPr>
          <w:rFonts w:ascii="Times New Roman" w:hAnsi="Times New Roman" w:cs="Times New Roman"/>
          <w:sz w:val="24"/>
        </w:rPr>
      </w:pPr>
      <w:r>
        <w:rPr>
          <w:rFonts w:ascii="Times New Roman" w:hAnsi="Times New Roman" w:cs="Times New Roman"/>
          <w:sz w:val="24"/>
        </w:rPr>
        <w:t>14.</w:t>
      </w:r>
      <w:r>
        <w:rPr>
          <w:rFonts w:ascii="Times New Roman" w:hAnsi="Times New Roman" w:cs="Times New Roman"/>
          <w:sz w:val="24"/>
        </w:rPr>
        <w:tab/>
      </w:r>
      <w:r>
        <w:rPr>
          <w:rFonts w:ascii="Times New Roman" w:hAnsi="Times New Roman" w:cs="Times New Roman"/>
          <w:sz w:val="24"/>
        </w:rPr>
        <w:t xml:space="preserve">Schulte-Uebbing, L. &amp; de Vries, W. Reconciling food production and environmental boundaries for nitrogen in the European Union. </w:t>
      </w:r>
      <w:r>
        <w:rPr>
          <w:rFonts w:ascii="Times New Roman" w:hAnsi="Times New Roman" w:cs="Times New Roman"/>
          <w:i/>
          <w:iCs/>
          <w:sz w:val="24"/>
        </w:rPr>
        <w:t>Science of The Total Environment</w:t>
      </w:r>
      <w:r>
        <w:rPr>
          <w:rFonts w:ascii="Times New Roman" w:hAnsi="Times New Roman" w:cs="Times New Roman"/>
          <w:sz w:val="24"/>
        </w:rPr>
        <w:t xml:space="preserve"> </w:t>
      </w:r>
      <w:r>
        <w:rPr>
          <w:rFonts w:ascii="Times New Roman" w:hAnsi="Times New Roman" w:cs="Times New Roman"/>
          <w:b/>
          <w:bCs/>
          <w:sz w:val="24"/>
        </w:rPr>
        <w:t>786</w:t>
      </w:r>
      <w:r>
        <w:rPr>
          <w:rFonts w:ascii="Times New Roman" w:hAnsi="Times New Roman" w:cs="Times New Roman"/>
          <w:sz w:val="24"/>
        </w:rPr>
        <w:t>, 147427</w:t>
      </w:r>
      <w:r>
        <w:rPr>
          <w:rFonts w:hint="eastAsia" w:ascii="Times New Roman" w:hAnsi="Times New Roman" w:cs="Times New Roman"/>
          <w:sz w:val="24"/>
        </w:rPr>
        <w:t xml:space="preserve">, </w:t>
      </w:r>
      <w:r>
        <w:rPr>
          <w:rFonts w:ascii="Times New Roman" w:hAnsi="Times New Roman" w:cs="Times New Roman"/>
          <w:sz w:val="24"/>
          <w:u w:val="single"/>
        </w:rPr>
        <w:t>https://doi.org/10.1016/j.scitotenv.2021.147427</w:t>
      </w:r>
      <w:r>
        <w:rPr>
          <w:rFonts w:hint="eastAsia" w:ascii="Times New Roman" w:hAnsi="Times New Roman" w:cs="Times New Roman"/>
          <w:sz w:val="24"/>
        </w:rPr>
        <w:t xml:space="preserve"> </w:t>
      </w:r>
      <w:r>
        <w:rPr>
          <w:rFonts w:ascii="Times New Roman" w:hAnsi="Times New Roman" w:cs="Times New Roman"/>
          <w:sz w:val="24"/>
        </w:rPr>
        <w:t>(2021).</w:t>
      </w:r>
    </w:p>
    <w:p w14:paraId="3451E08C">
      <w:pPr>
        <w:pStyle w:val="14"/>
        <w:rPr>
          <w:rFonts w:ascii="Times New Roman" w:hAnsi="Times New Roman" w:cs="Times New Roman"/>
          <w:sz w:val="24"/>
        </w:rPr>
      </w:pPr>
      <w:r>
        <w:rPr>
          <w:rFonts w:ascii="Times New Roman" w:hAnsi="Times New Roman" w:cs="Times New Roman"/>
          <w:sz w:val="24"/>
          <w:lang w:val="nl-BE"/>
        </w:rPr>
        <w:t>15.</w:t>
      </w:r>
      <w:r>
        <w:rPr>
          <w:rFonts w:ascii="Times New Roman" w:hAnsi="Times New Roman" w:cs="Times New Roman"/>
          <w:sz w:val="24"/>
          <w:lang w:val="nl-BE"/>
        </w:rPr>
        <w:tab/>
      </w:r>
      <w:r>
        <w:rPr>
          <w:rFonts w:ascii="Times New Roman" w:hAnsi="Times New Roman" w:cs="Times New Roman"/>
          <w:sz w:val="24"/>
          <w:lang w:val="nl-BE"/>
        </w:rPr>
        <w:t xml:space="preserve">Velthof, G. L. </w:t>
      </w:r>
      <w:r>
        <w:rPr>
          <w:rFonts w:ascii="Times New Roman" w:hAnsi="Times New Roman" w:cs="Times New Roman"/>
          <w:i/>
          <w:iCs/>
          <w:sz w:val="24"/>
          <w:lang w:val="nl-BE"/>
        </w:rPr>
        <w:t>et al.</w:t>
      </w:r>
      <w:r>
        <w:rPr>
          <w:rFonts w:ascii="Times New Roman" w:hAnsi="Times New Roman" w:cs="Times New Roman"/>
          <w:sz w:val="24"/>
          <w:lang w:val="nl-BE"/>
        </w:rPr>
        <w:t xml:space="preserve"> </w:t>
      </w:r>
      <w:r>
        <w:rPr>
          <w:rFonts w:ascii="Times New Roman" w:hAnsi="Times New Roman" w:cs="Times New Roman"/>
          <w:sz w:val="24"/>
        </w:rPr>
        <w:t xml:space="preserve">Integrated assessment of nitrogen losses from agriculture in EU-27 using MITERRA-EUROPE. </w:t>
      </w:r>
      <w:r>
        <w:rPr>
          <w:rFonts w:ascii="Times New Roman" w:hAnsi="Times New Roman" w:cs="Times New Roman"/>
          <w:i/>
          <w:iCs/>
          <w:sz w:val="24"/>
        </w:rPr>
        <w:t>Journal of Environmental Quality</w:t>
      </w:r>
      <w:r>
        <w:rPr>
          <w:rFonts w:ascii="Times New Roman" w:hAnsi="Times New Roman" w:cs="Times New Roman"/>
          <w:sz w:val="24"/>
        </w:rPr>
        <w:t xml:space="preserve"> </w:t>
      </w:r>
      <w:r>
        <w:rPr>
          <w:rFonts w:ascii="Times New Roman" w:hAnsi="Times New Roman" w:cs="Times New Roman"/>
          <w:b/>
          <w:bCs/>
          <w:sz w:val="24"/>
        </w:rPr>
        <w:t>38</w:t>
      </w:r>
      <w:r>
        <w:rPr>
          <w:rFonts w:ascii="Times New Roman" w:hAnsi="Times New Roman" w:cs="Times New Roman"/>
          <w:sz w:val="24"/>
        </w:rPr>
        <w:t>, 16</w:t>
      </w:r>
      <w:r>
        <w:rPr>
          <w:rFonts w:hint="eastAsia" w:ascii="Times New Roman" w:hAnsi="Times New Roman" w:cs="Times New Roman"/>
          <w:sz w:val="24"/>
        </w:rPr>
        <w:t xml:space="preserve">, </w:t>
      </w:r>
      <w:r>
        <w:rPr>
          <w:rFonts w:ascii="Times New Roman" w:hAnsi="Times New Roman" w:cs="Times New Roman"/>
          <w:sz w:val="24"/>
        </w:rPr>
        <w:t>https://doi.org/10.2134/jeq2008.0108 (2009).</w:t>
      </w:r>
    </w:p>
    <w:p w14:paraId="442032AD">
      <w:pPr>
        <w:pStyle w:val="14"/>
        <w:rPr>
          <w:rFonts w:ascii="Times New Roman" w:hAnsi="Times New Roman" w:cs="Times New Roman"/>
          <w:sz w:val="24"/>
        </w:rPr>
      </w:pPr>
      <w:r>
        <w:rPr>
          <w:rFonts w:ascii="Times New Roman" w:hAnsi="Times New Roman" w:cs="Times New Roman"/>
          <w:sz w:val="24"/>
        </w:rPr>
        <w:t>16.</w:t>
      </w:r>
      <w:r>
        <w:rPr>
          <w:rFonts w:ascii="Times New Roman" w:hAnsi="Times New Roman" w:cs="Times New Roman"/>
          <w:sz w:val="24"/>
        </w:rPr>
        <w:tab/>
      </w:r>
      <w:r>
        <w:rPr>
          <w:rFonts w:ascii="Times New Roman" w:hAnsi="Times New Roman" w:cs="Times New Roman"/>
          <w:sz w:val="24"/>
        </w:rPr>
        <w:t xml:space="preserve">Sommer, S. G., Webb, J. &amp; Hutchings, N. D. New Emission Factors for Calculation of Ammonia Volatilization From European Livestock Manure Management Systems. </w:t>
      </w:r>
      <w:r>
        <w:rPr>
          <w:rFonts w:ascii="Times New Roman" w:hAnsi="Times New Roman" w:cs="Times New Roman"/>
          <w:i/>
          <w:iCs/>
          <w:sz w:val="24"/>
        </w:rPr>
        <w:t>Frontiers in Sustainable Food Systems</w:t>
      </w:r>
      <w:r>
        <w:rPr>
          <w:rFonts w:ascii="Times New Roman" w:hAnsi="Times New Roman" w:cs="Times New Roman"/>
          <w:sz w:val="24"/>
        </w:rPr>
        <w:t xml:space="preserve"> </w:t>
      </w:r>
      <w:r>
        <w:rPr>
          <w:rFonts w:ascii="Times New Roman" w:hAnsi="Times New Roman" w:cs="Times New Roman"/>
          <w:b/>
          <w:bCs/>
          <w:sz w:val="24"/>
        </w:rPr>
        <w:t>3</w:t>
      </w:r>
      <w:r>
        <w:rPr>
          <w:rFonts w:ascii="Times New Roman" w:hAnsi="Times New Roman" w:cs="Times New Roman"/>
          <w:sz w:val="24"/>
        </w:rPr>
        <w:t>,</w:t>
      </w:r>
      <w:r>
        <w:rPr>
          <w:rFonts w:hint="eastAsia" w:ascii="Times New Roman" w:hAnsi="Times New Roman" w:cs="Times New Roman"/>
          <w:sz w:val="24"/>
        </w:rPr>
        <w:t xml:space="preserve"> </w:t>
      </w:r>
      <w:r>
        <w:rPr>
          <w:rFonts w:ascii="Times New Roman" w:hAnsi="Times New Roman" w:cs="Times New Roman"/>
          <w:sz w:val="24"/>
        </w:rPr>
        <w:t>https://doi.org/10.3389/fsufs.2019.00101 (2019).</w:t>
      </w:r>
    </w:p>
    <w:p w14:paraId="2244EC31">
      <w:pPr>
        <w:pStyle w:val="14"/>
        <w:rPr>
          <w:rFonts w:ascii="Times New Roman" w:hAnsi="Times New Roman" w:cs="Times New Roman"/>
          <w:sz w:val="24"/>
          <w:lang w:val="nl-BE"/>
        </w:rPr>
      </w:pPr>
      <w:r>
        <w:rPr>
          <w:rFonts w:ascii="Times New Roman" w:hAnsi="Times New Roman" w:cs="Times New Roman"/>
          <w:sz w:val="24"/>
        </w:rPr>
        <w:t>17.</w:t>
      </w:r>
      <w:r>
        <w:rPr>
          <w:rFonts w:ascii="Times New Roman" w:hAnsi="Times New Roman" w:cs="Times New Roman"/>
          <w:sz w:val="24"/>
        </w:rPr>
        <w:tab/>
      </w:r>
      <w:r>
        <w:rPr>
          <w:rFonts w:ascii="Times New Roman" w:hAnsi="Times New Roman" w:cs="Times New Roman"/>
          <w:sz w:val="24"/>
        </w:rPr>
        <w:t xml:space="preserve">Zhan, X. </w:t>
      </w:r>
      <w:r>
        <w:rPr>
          <w:rFonts w:ascii="Times New Roman" w:hAnsi="Times New Roman" w:cs="Times New Roman"/>
          <w:i/>
          <w:iCs/>
          <w:sz w:val="24"/>
        </w:rPr>
        <w:t>et al.</w:t>
      </w:r>
      <w:r>
        <w:rPr>
          <w:rFonts w:ascii="Times New Roman" w:hAnsi="Times New Roman" w:cs="Times New Roman"/>
          <w:sz w:val="24"/>
        </w:rPr>
        <w:t xml:space="preserve"> Improved Estimates of Ammonia Emissions from Global Croplands. </w:t>
      </w:r>
      <w:r>
        <w:rPr>
          <w:rFonts w:ascii="Times New Roman" w:hAnsi="Times New Roman" w:cs="Times New Roman"/>
          <w:i/>
          <w:iCs/>
          <w:sz w:val="24"/>
          <w:lang w:val="nl-BE"/>
        </w:rPr>
        <w:t>Environ. Sci. Technol.</w:t>
      </w:r>
      <w:r>
        <w:rPr>
          <w:rFonts w:ascii="Times New Roman" w:hAnsi="Times New Roman" w:cs="Times New Roman"/>
          <w:sz w:val="24"/>
          <w:lang w:val="nl-BE"/>
        </w:rPr>
        <w:t xml:space="preserve"> </w:t>
      </w:r>
      <w:r>
        <w:rPr>
          <w:rFonts w:ascii="Times New Roman" w:hAnsi="Times New Roman" w:cs="Times New Roman"/>
          <w:b/>
          <w:bCs/>
          <w:sz w:val="24"/>
          <w:lang w:val="nl-BE"/>
        </w:rPr>
        <w:t>55</w:t>
      </w:r>
      <w:r>
        <w:rPr>
          <w:rFonts w:ascii="Times New Roman" w:hAnsi="Times New Roman" w:cs="Times New Roman"/>
          <w:sz w:val="24"/>
          <w:lang w:val="nl-BE"/>
        </w:rPr>
        <w:t>, https://doi.org /10.1021/acs.est.0c05149</w:t>
      </w:r>
      <w:r>
        <w:rPr>
          <w:rFonts w:hint="eastAsia" w:ascii="Times New Roman" w:hAnsi="Times New Roman" w:cs="Times New Roman"/>
          <w:sz w:val="24"/>
          <w:lang w:val="nl-BE"/>
        </w:rPr>
        <w:t>,</w:t>
      </w:r>
      <w:r>
        <w:rPr>
          <w:rFonts w:ascii="Times New Roman" w:hAnsi="Times New Roman" w:cs="Times New Roman"/>
          <w:sz w:val="24"/>
          <w:lang w:val="nl-BE"/>
        </w:rPr>
        <w:t xml:space="preserve"> 1329–1338 (2021).</w:t>
      </w:r>
    </w:p>
    <w:p w14:paraId="4925E95E">
      <w:pPr>
        <w:pStyle w:val="14"/>
        <w:rPr>
          <w:rFonts w:ascii="Times New Roman" w:hAnsi="Times New Roman" w:cs="Times New Roman"/>
          <w:sz w:val="24"/>
        </w:rPr>
      </w:pPr>
      <w:r>
        <w:rPr>
          <w:rFonts w:ascii="Times New Roman" w:hAnsi="Times New Roman" w:cs="Times New Roman"/>
          <w:sz w:val="24"/>
          <w:lang w:val="nl-BE"/>
        </w:rPr>
        <w:t>18.</w:t>
      </w:r>
      <w:r>
        <w:rPr>
          <w:rFonts w:ascii="Times New Roman" w:hAnsi="Times New Roman" w:cs="Times New Roman"/>
          <w:sz w:val="24"/>
          <w:lang w:val="nl-BE"/>
        </w:rPr>
        <w:tab/>
      </w:r>
      <w:r>
        <w:rPr>
          <w:rFonts w:ascii="Times New Roman" w:hAnsi="Times New Roman" w:cs="Times New Roman"/>
          <w:sz w:val="24"/>
          <w:lang w:val="nl-BE"/>
        </w:rPr>
        <w:t xml:space="preserve">Uwizeye, A. </w:t>
      </w:r>
      <w:r>
        <w:rPr>
          <w:rFonts w:ascii="Times New Roman" w:hAnsi="Times New Roman" w:cs="Times New Roman"/>
          <w:i/>
          <w:iCs/>
          <w:sz w:val="24"/>
          <w:lang w:val="nl-BE"/>
        </w:rPr>
        <w:t>et al.</w:t>
      </w:r>
      <w:r>
        <w:rPr>
          <w:rFonts w:ascii="Times New Roman" w:hAnsi="Times New Roman" w:cs="Times New Roman"/>
          <w:sz w:val="24"/>
          <w:lang w:val="nl-BE"/>
        </w:rPr>
        <w:t xml:space="preserve"> </w:t>
      </w:r>
      <w:r>
        <w:rPr>
          <w:rFonts w:ascii="Times New Roman" w:hAnsi="Times New Roman" w:cs="Times New Roman"/>
          <w:sz w:val="24"/>
        </w:rPr>
        <w:t xml:space="preserve">Nitrogen emissions along global livestock supply chains. </w:t>
      </w:r>
      <w:r>
        <w:rPr>
          <w:rFonts w:ascii="Times New Roman" w:hAnsi="Times New Roman" w:cs="Times New Roman"/>
          <w:i/>
          <w:iCs/>
          <w:sz w:val="24"/>
        </w:rPr>
        <w:t>Nat Food</w:t>
      </w:r>
      <w:r>
        <w:rPr>
          <w:rFonts w:ascii="Times New Roman" w:hAnsi="Times New Roman" w:cs="Times New Roman"/>
          <w:sz w:val="24"/>
        </w:rPr>
        <w:t xml:space="preserve"> </w:t>
      </w:r>
      <w:r>
        <w:rPr>
          <w:rFonts w:ascii="Times New Roman" w:hAnsi="Times New Roman" w:cs="Times New Roman"/>
          <w:b/>
          <w:bCs/>
          <w:sz w:val="24"/>
        </w:rPr>
        <w:t>1</w:t>
      </w:r>
      <w:r>
        <w:rPr>
          <w:rFonts w:ascii="Times New Roman" w:hAnsi="Times New Roman" w:cs="Times New Roman"/>
          <w:sz w:val="24"/>
        </w:rPr>
        <w:t>, 437–446</w:t>
      </w:r>
      <w:r>
        <w:rPr>
          <w:rFonts w:hint="eastAsia" w:ascii="Times New Roman" w:hAnsi="Times New Roman" w:cs="Times New Roman"/>
          <w:sz w:val="24"/>
        </w:rPr>
        <w:t>,</w:t>
      </w:r>
      <w:r>
        <w:rPr>
          <w:rFonts w:ascii="Times New Roman" w:hAnsi="Times New Roman" w:cs="Times New Roman"/>
          <w:sz w:val="24"/>
        </w:rPr>
        <w:t xml:space="preserve"> https://doi.org/10.1038/s43016-020-0113-y (2020).</w:t>
      </w:r>
    </w:p>
    <w:p w14:paraId="4E76A59F">
      <w:pPr>
        <w:pStyle w:val="14"/>
        <w:rPr>
          <w:rFonts w:ascii="Times New Roman" w:hAnsi="Times New Roman" w:cs="Times New Roman"/>
          <w:sz w:val="24"/>
        </w:rPr>
      </w:pPr>
      <w:r>
        <w:rPr>
          <w:rFonts w:ascii="Times New Roman" w:hAnsi="Times New Roman" w:cs="Times New Roman"/>
          <w:sz w:val="24"/>
        </w:rPr>
        <w:t>19.</w:t>
      </w:r>
      <w:r>
        <w:rPr>
          <w:rFonts w:ascii="Times New Roman" w:hAnsi="Times New Roman" w:cs="Times New Roman"/>
          <w:sz w:val="24"/>
        </w:rPr>
        <w:tab/>
      </w:r>
      <w:r>
        <w:rPr>
          <w:rFonts w:ascii="Times New Roman" w:hAnsi="Times New Roman" w:cs="Times New Roman"/>
          <w:sz w:val="24"/>
        </w:rPr>
        <w:t>European Union. Eurostat, https://ec.europa.eu/eurostat/data/database (2024).</w:t>
      </w:r>
    </w:p>
    <w:p w14:paraId="38BCA2DF">
      <w:pPr>
        <w:pStyle w:val="14"/>
        <w:rPr>
          <w:rFonts w:hint="eastAsia" w:ascii="Times New Roman" w:hAnsi="Times New Roman" w:cs="Times New Roman"/>
          <w:sz w:val="24"/>
        </w:rPr>
      </w:pPr>
      <w:r>
        <w:rPr>
          <w:rFonts w:ascii="Times New Roman" w:hAnsi="Times New Roman" w:cs="Times New Roman"/>
          <w:sz w:val="24"/>
        </w:rPr>
        <w:t>20.</w:t>
      </w:r>
      <w:r>
        <w:rPr>
          <w:rFonts w:ascii="Times New Roman" w:hAnsi="Times New Roman" w:cs="Times New Roman"/>
          <w:sz w:val="24"/>
        </w:rPr>
        <w:tab/>
      </w:r>
      <w:r>
        <w:rPr>
          <w:rFonts w:ascii="Times New Roman" w:hAnsi="Times New Roman" w:cs="Times New Roman"/>
          <w:sz w:val="24"/>
        </w:rPr>
        <w:t>FAO, International Institute for Applied Systems Analysis(IIASA), ISRIC-World Soil Information, Institute of Soil Science, Chinese Academy of Sciences (ISSCAS) &amp; Joint Research Centre of the European Commission (JRC). Harmonized World Soil Database - Version 1.2</w:t>
      </w:r>
      <w:r>
        <w:rPr>
          <w:rFonts w:hint="eastAsia" w:ascii="Times New Roman" w:hAnsi="Times New Roman" w:cs="Times New Roman"/>
          <w:sz w:val="24"/>
        </w:rPr>
        <w:t xml:space="preserve">, </w:t>
      </w:r>
      <w:r>
        <w:rPr>
          <w:rFonts w:ascii="Times New Roman" w:hAnsi="Times New Roman" w:cs="Times New Roman"/>
          <w:sz w:val="24"/>
        </w:rPr>
        <w:t>https://www.fao.org/soils-portal/data-hub/soil-maps-and-databases/harmonized-world-soil-database-v20/en/</w:t>
      </w:r>
    </w:p>
    <w:p w14:paraId="37C1243F">
      <w:pPr>
        <w:pStyle w:val="14"/>
        <w:rPr>
          <w:rFonts w:ascii="Times New Roman" w:hAnsi="Times New Roman" w:cs="Times New Roman"/>
          <w:sz w:val="24"/>
        </w:rPr>
      </w:pPr>
      <w:r>
        <w:rPr>
          <w:rFonts w:ascii="Times New Roman" w:hAnsi="Times New Roman" w:cs="Times New Roman"/>
          <w:sz w:val="24"/>
        </w:rPr>
        <w:t>21.</w:t>
      </w:r>
      <w:r>
        <w:rPr>
          <w:rFonts w:ascii="Times New Roman" w:hAnsi="Times New Roman" w:cs="Times New Roman"/>
          <w:sz w:val="24"/>
        </w:rPr>
        <w:tab/>
      </w:r>
      <w:r>
        <w:rPr>
          <w:rFonts w:ascii="Times New Roman" w:hAnsi="Times New Roman" w:cs="Times New Roman"/>
          <w:sz w:val="24"/>
        </w:rPr>
        <w:t xml:space="preserve">Harris, I., Osborn, T. J., Jones, P. &amp; Lister, D. Version 4 of the CRU TS monthly high-resolution gridded multivariate climate dataset. </w:t>
      </w:r>
      <w:r>
        <w:rPr>
          <w:rFonts w:ascii="Times New Roman" w:hAnsi="Times New Roman" w:cs="Times New Roman"/>
          <w:i/>
          <w:iCs/>
          <w:sz w:val="24"/>
        </w:rPr>
        <w:t>Scientific Data</w:t>
      </w:r>
      <w:r>
        <w:rPr>
          <w:rFonts w:ascii="Times New Roman" w:hAnsi="Times New Roman" w:cs="Times New Roman"/>
          <w:sz w:val="24"/>
        </w:rPr>
        <w:t xml:space="preserve"> </w:t>
      </w:r>
      <w:r>
        <w:rPr>
          <w:rFonts w:ascii="Times New Roman" w:hAnsi="Times New Roman" w:cs="Times New Roman"/>
          <w:b/>
          <w:bCs/>
          <w:sz w:val="24"/>
        </w:rPr>
        <w:t>7</w:t>
      </w:r>
      <w:r>
        <w:rPr>
          <w:rFonts w:ascii="Times New Roman" w:hAnsi="Times New Roman" w:cs="Times New Roman"/>
          <w:sz w:val="24"/>
        </w:rPr>
        <w:t>, 109</w:t>
      </w:r>
      <w:r>
        <w:rPr>
          <w:rFonts w:hint="eastAsia" w:ascii="Times New Roman" w:hAnsi="Times New Roman" w:cs="Times New Roman"/>
          <w:sz w:val="24"/>
        </w:rPr>
        <w:t xml:space="preserve">, </w:t>
      </w:r>
      <w:r>
        <w:rPr>
          <w:rFonts w:ascii="Times New Roman" w:hAnsi="Times New Roman" w:cs="Times New Roman"/>
          <w:sz w:val="24"/>
        </w:rPr>
        <w:t>https://doi.org/10.1038/s41597-020-0453-3 (2020).</w:t>
      </w:r>
    </w:p>
    <w:p w14:paraId="0798598F">
      <w:pPr>
        <w:pStyle w:val="14"/>
        <w:rPr>
          <w:rFonts w:ascii="Times New Roman" w:hAnsi="Times New Roman" w:cs="Times New Roman"/>
          <w:sz w:val="24"/>
        </w:rPr>
      </w:pPr>
      <w:r>
        <w:rPr>
          <w:rFonts w:ascii="Times New Roman" w:hAnsi="Times New Roman" w:cs="Times New Roman"/>
          <w:sz w:val="24"/>
        </w:rPr>
        <w:t>22.</w:t>
      </w:r>
      <w:r>
        <w:rPr>
          <w:rFonts w:ascii="Times New Roman" w:hAnsi="Times New Roman" w:cs="Times New Roman"/>
          <w:sz w:val="24"/>
        </w:rPr>
        <w:tab/>
      </w:r>
      <w:r>
        <w:rPr>
          <w:rFonts w:ascii="Times New Roman" w:hAnsi="Times New Roman" w:cs="Times New Roman"/>
          <w:sz w:val="24"/>
        </w:rPr>
        <w:t xml:space="preserve">Abatzoglou, J. T., Dobrowski, S. Z., Parks, S. A. &amp; Hegewisch, K. C. TerraClimate, a high-resolution global dataset of monthly climate and climatic water balance from 1958–2015. </w:t>
      </w:r>
      <w:r>
        <w:rPr>
          <w:rFonts w:ascii="Times New Roman" w:hAnsi="Times New Roman" w:cs="Times New Roman"/>
          <w:i/>
          <w:iCs/>
          <w:sz w:val="24"/>
        </w:rPr>
        <w:t>Sci Data</w:t>
      </w:r>
      <w:r>
        <w:rPr>
          <w:rFonts w:ascii="Times New Roman" w:hAnsi="Times New Roman" w:cs="Times New Roman"/>
          <w:sz w:val="24"/>
        </w:rPr>
        <w:t xml:space="preserve"> </w:t>
      </w:r>
      <w:r>
        <w:rPr>
          <w:rFonts w:ascii="Times New Roman" w:hAnsi="Times New Roman" w:cs="Times New Roman"/>
          <w:b/>
          <w:bCs/>
          <w:sz w:val="24"/>
        </w:rPr>
        <w:t>5</w:t>
      </w:r>
      <w:r>
        <w:rPr>
          <w:rFonts w:ascii="Times New Roman" w:hAnsi="Times New Roman" w:cs="Times New Roman"/>
          <w:sz w:val="24"/>
        </w:rPr>
        <w:t>, 170191</w:t>
      </w:r>
      <w:r>
        <w:rPr>
          <w:rFonts w:hint="eastAsia" w:ascii="Times New Roman" w:hAnsi="Times New Roman" w:cs="Times New Roman"/>
          <w:sz w:val="24"/>
        </w:rPr>
        <w:t xml:space="preserve">, </w:t>
      </w:r>
      <w:r>
        <w:rPr>
          <w:rFonts w:ascii="Times New Roman" w:hAnsi="Times New Roman" w:cs="Times New Roman"/>
          <w:sz w:val="24"/>
        </w:rPr>
        <w:t>https://doi.org/10.1038/sdata.2017.191 (2018).</w:t>
      </w:r>
    </w:p>
    <w:p w14:paraId="7AB0802A">
      <w:pPr>
        <w:pStyle w:val="14"/>
        <w:rPr>
          <w:rFonts w:ascii="Times New Roman" w:hAnsi="Times New Roman" w:cs="Times New Roman"/>
          <w:sz w:val="24"/>
        </w:rPr>
      </w:pPr>
      <w:r>
        <w:rPr>
          <w:rFonts w:ascii="Times New Roman" w:hAnsi="Times New Roman" w:cs="Times New Roman"/>
          <w:sz w:val="24"/>
        </w:rPr>
        <w:t>23.</w:t>
      </w:r>
      <w:r>
        <w:rPr>
          <w:rFonts w:ascii="Times New Roman" w:hAnsi="Times New Roman" w:cs="Times New Roman"/>
          <w:sz w:val="24"/>
        </w:rPr>
        <w:tab/>
      </w:r>
      <w:r>
        <w:rPr>
          <w:rFonts w:ascii="Times New Roman" w:hAnsi="Times New Roman" w:cs="Times New Roman"/>
          <w:sz w:val="24"/>
        </w:rPr>
        <w:t>International Fertilizer Industry Association (IFA). IFASTAT database, https://www.ifastat.org/databases/supply-trade (2024).</w:t>
      </w:r>
    </w:p>
    <w:p w14:paraId="6031B475">
      <w:pPr>
        <w:pStyle w:val="14"/>
        <w:rPr>
          <w:rFonts w:ascii="Times New Roman" w:hAnsi="Times New Roman" w:cs="Times New Roman"/>
          <w:sz w:val="24"/>
        </w:rPr>
      </w:pPr>
      <w:r>
        <w:rPr>
          <w:rFonts w:ascii="Times New Roman" w:hAnsi="Times New Roman" w:cs="Times New Roman"/>
          <w:sz w:val="24"/>
        </w:rPr>
        <w:t>24.</w:t>
      </w:r>
      <w:r>
        <w:rPr>
          <w:rFonts w:ascii="Times New Roman" w:hAnsi="Times New Roman" w:cs="Times New Roman"/>
          <w:sz w:val="24"/>
        </w:rPr>
        <w:tab/>
      </w:r>
      <w:r>
        <w:rPr>
          <w:rFonts w:ascii="Times New Roman" w:hAnsi="Times New Roman" w:cs="Times New Roman"/>
          <w:sz w:val="24"/>
        </w:rPr>
        <w:t>Eustat. Tilled arable area by tillage practice, EU-27, IS, NO, CH, ME and HR, 2010. https://ec.europa.eu/eurostat/statistics-explained/index.php?title=File:Tilled_arable_area_by_tillage_practice,_EU-27,_IS,_NO,_CH,_ME_and_HR,_2010.png&amp;oldid=137925#file (2013).</w:t>
      </w:r>
    </w:p>
    <w:p w14:paraId="6DE4C73D">
      <w:pPr>
        <w:pStyle w:val="14"/>
        <w:jc w:val="left"/>
        <w:rPr>
          <w:rFonts w:ascii="Times New Roman" w:hAnsi="Times New Roman" w:cs="Times New Roman"/>
          <w:sz w:val="24"/>
        </w:rPr>
      </w:pPr>
      <w:r>
        <w:rPr>
          <w:rFonts w:ascii="Times New Roman" w:hAnsi="Times New Roman" w:cs="Times New Roman"/>
          <w:sz w:val="24"/>
        </w:rPr>
        <w:t>25.</w:t>
      </w:r>
      <w:r>
        <w:rPr>
          <w:rFonts w:ascii="Times New Roman" w:hAnsi="Times New Roman" w:cs="Times New Roman"/>
          <w:sz w:val="24"/>
        </w:rPr>
        <w:tab/>
      </w:r>
      <w:r>
        <w:rPr>
          <w:rFonts w:ascii="Times New Roman" w:hAnsi="Times New Roman" w:cs="Times New Roman"/>
          <w:sz w:val="24"/>
        </w:rPr>
        <w:t>US Department of Agriculture</w:t>
      </w:r>
      <w:r>
        <w:rPr>
          <w:rFonts w:hint="eastAsia" w:ascii="Times New Roman" w:hAnsi="Times New Roman" w:cs="Times New Roman"/>
          <w:sz w:val="24"/>
        </w:rPr>
        <w:t xml:space="preserve"> (USDA)</w:t>
      </w:r>
      <w:r>
        <w:rPr>
          <w:rFonts w:ascii="Times New Roman" w:hAnsi="Times New Roman" w:cs="Times New Roman"/>
          <w:sz w:val="24"/>
        </w:rPr>
        <w:t>. USDA Foreign Agricultural Service</w:t>
      </w:r>
      <w:r>
        <w:rPr>
          <w:rFonts w:hint="eastAsia" w:ascii="Times New Roman" w:hAnsi="Times New Roman" w:cs="Times New Roman"/>
          <w:sz w:val="24"/>
        </w:rPr>
        <w:t>, Crop Calendars for Europe,</w:t>
      </w:r>
      <w:r>
        <w:rPr>
          <w:rFonts w:ascii="Times New Roman" w:hAnsi="Times New Roman" w:cs="Times New Roman"/>
          <w:sz w:val="24"/>
        </w:rPr>
        <w:t xml:space="preserve"> https://ipad.fas.usda.gov/rssiws/al/crop_calendar/europe.aspx (2024).</w:t>
      </w:r>
    </w:p>
    <w:p w14:paraId="7CBC6E16">
      <w:pPr>
        <w:pStyle w:val="14"/>
        <w:rPr>
          <w:rFonts w:ascii="Times New Roman" w:hAnsi="Times New Roman" w:cs="Times New Roman"/>
          <w:sz w:val="24"/>
        </w:rPr>
      </w:pPr>
      <w:r>
        <w:rPr>
          <w:rFonts w:ascii="Times New Roman" w:hAnsi="Times New Roman" w:cs="Times New Roman"/>
          <w:sz w:val="24"/>
        </w:rPr>
        <w:t>26.</w:t>
      </w:r>
      <w:r>
        <w:rPr>
          <w:rFonts w:ascii="Times New Roman" w:hAnsi="Times New Roman" w:cs="Times New Roman"/>
          <w:sz w:val="24"/>
        </w:rPr>
        <w:tab/>
      </w:r>
      <w:r>
        <w:rPr>
          <w:rFonts w:ascii="Times New Roman" w:hAnsi="Times New Roman" w:cs="Times New Roman"/>
          <w:sz w:val="24"/>
        </w:rPr>
        <w:t>International Fertilizer Industry Association (IFA). FUBC Crop Calendars by Country</w:t>
      </w:r>
      <w:r>
        <w:rPr>
          <w:rFonts w:hint="eastAsia" w:ascii="Times New Roman" w:hAnsi="Times New Roman" w:cs="Times New Roman"/>
          <w:sz w:val="24"/>
        </w:rPr>
        <w:t xml:space="preserve">, </w:t>
      </w:r>
      <w:r>
        <w:rPr>
          <w:rFonts w:ascii="Times New Roman" w:hAnsi="Times New Roman" w:cs="Times New Roman"/>
          <w:sz w:val="24"/>
        </w:rPr>
        <w:t>https://www.ifastat.org/consumption/fertilizer-use-by-crop (2024).</w:t>
      </w:r>
    </w:p>
    <w:p w14:paraId="250B4244">
      <w:pPr>
        <w:rPr>
          <w:rFonts w:ascii="Times New Roman" w:hAnsi="Times New Roman" w:cs="Times New Roman"/>
          <w:b/>
          <w:bCs/>
          <w:sz w:val="28"/>
          <w:szCs w:val="28"/>
          <w:lang w:val="en-US"/>
        </w:rPr>
      </w:pPr>
      <w:r>
        <w:rPr>
          <w:rFonts w:ascii="Times New Roman" w:hAnsi="Times New Roman" w:cs="Times New Roman"/>
          <w:b/>
          <w:bCs/>
          <w:sz w:val="24"/>
          <w:szCs w:val="24"/>
          <w:lang w:val="en-US"/>
        </w:rPr>
        <w:fldChar w:fldCharType="end"/>
      </w:r>
      <w:bookmarkEnd w:id="0"/>
    </w:p>
    <w:sectPr>
      <w:pgSz w:w="11906" w:h="16838"/>
      <w:pgMar w:top="1440" w:right="1800" w:bottom="1440" w:left="1800"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Liberation Serif">
    <w:panose1 w:val="02020603050405020304"/>
    <w:charset w:val="00"/>
    <w:family w:val="auto"/>
    <w:pitch w:val="default"/>
    <w:sig w:usb0="E0000AFF" w:usb1="500078FF" w:usb2="00000021" w:usb3="00000000" w:csb0="600001BF" w:csb1="DFF70000"/>
  </w:font>
  <w:font w:name="Droid Sans Fallback">
    <w:panose1 w:val="020B0502000000000001"/>
    <w:charset w:val="86"/>
    <w:family w:val="auto"/>
    <w:pitch w:val="default"/>
    <w:sig w:usb0="910002FF" w:usb1="2BDFFCFB" w:usb2="00000036" w:usb3="00000000" w:csb0="203F01FF" w:csb1="D7FF0000"/>
  </w:font>
  <w:font w:name="Arial">
    <w:altName w:val="DejaVu Sans"/>
    <w:panose1 w:val="020B0604020202020204"/>
    <w:charset w:val="00"/>
    <w:family w:val="swiss"/>
    <w:pitch w:val="default"/>
    <w:sig w:usb0="20007A87" w:usb1="80000000" w:usb2="00000008" w:usb3="00000000" w:csb0="000001FF" w:csb1="00000000"/>
  </w:font>
  <w:font w:name="DejaVu Sans">
    <w:panose1 w:val="020B0603030804020204"/>
    <w:charset w:val="00"/>
    <w:family w:val="auto"/>
    <w:pitch w:val="default"/>
    <w:sig w:usb0="E7006EFF" w:usb1="D200FDFF" w:usb2="0A246029" w:usb3="0400200C" w:csb0="600001FF" w:csb1="DFFF0000"/>
  </w:font>
  <w:font w:name="黑体">
    <w:altName w:val="Droid Sans Fallback"/>
    <w:panose1 w:val="02010600030101010101"/>
    <w:charset w:val="00"/>
    <w:family w:val="auto"/>
    <w:pitch w:val="default"/>
    <w:sig w:usb0="00000001" w:usb1="080E0000" w:usb2="00000010" w:usb3="00000000" w:csb0="00040000" w:csb1="00000000"/>
  </w:font>
  <w:font w:name="Courier New">
    <w:altName w:val="DejaVu Sans"/>
    <w:panose1 w:val="02070309020205020404"/>
    <w:charset w:val="00"/>
    <w:family w:val="modern"/>
    <w:pitch w:val="default"/>
    <w:sig w:usb0="20007A87" w:usb1="80000000" w:usb2="00000008" w:usb3="00000000" w:csb0="000001FF" w:csb1="00000000"/>
  </w:font>
  <w:font w:name="Wingdings">
    <w:altName w:val="C059"/>
    <w:panose1 w:val="05000000000000000000"/>
    <w:charset w:val="00"/>
    <w:family w:val="auto"/>
    <w:pitch w:val="default"/>
    <w:sig w:usb0="00000000" w:usb1="10000000" w:usb2="00000000" w:usb3="00000000" w:csb0="80000000" w:csb1="00000000"/>
  </w:font>
  <w:font w:name="C059">
    <w:panose1 w:val="00000500000000000000"/>
    <w:charset w:val="00"/>
    <w:family w:val="auto"/>
    <w:pitch w:val="default"/>
    <w:sig w:usb0="00000287" w:usb1="00000800" w:usb2="00000000" w:usb3="00000000" w:csb0="6000009F" w:csb1="00000000"/>
  </w:font>
  <w:font w:name="Calibri">
    <w:altName w:val="DejaVu Sans"/>
    <w:panose1 w:val="020F0502020204030204"/>
    <w:charset w:val="00"/>
    <w:family w:val="swiss"/>
    <w:pitch w:val="default"/>
    <w:sig w:usb0="00000000" w:usb1="00000000" w:usb2="00000001" w:usb3="00000000" w:csb0="0000019F" w:csb1="00000000"/>
  </w:font>
  <w:font w:name="等线">
    <w:altName w:val="C059"/>
    <w:panose1 w:val="00000000000000000000"/>
    <w:charset w:val="86"/>
    <w:family w:val="auto"/>
    <w:pitch w:val="default"/>
    <w:sig w:usb0="00000000" w:usb1="00000000" w:usb2="00000000" w:usb3="00000000" w:csb0="00000000" w:csb1="00000000"/>
  </w:font>
  <w:font w:name="SimSun">
    <w:altName w:val="Droid Sans Fallback"/>
    <w:panose1 w:val="02010600030101010101"/>
    <w:charset w:val="86"/>
    <w:family w:val="auto"/>
    <w:pitch w:val="default"/>
    <w:sig w:usb0="00000000" w:usb1="00000000" w:usb2="00000016" w:usb3="00000000" w:csb0="00040001" w:csb1="00000000"/>
  </w:font>
  <w:font w:name="Cambria Math">
    <w:altName w:val="DejaVu Math TeX Gyre"/>
    <w:panose1 w:val="02040503050406030204"/>
    <w:charset w:val="00"/>
    <w:family w:val="roman"/>
    <w:pitch w:val="default"/>
    <w:sig w:usb0="00000000" w:usb1="00000000" w:usb2="02000000" w:usb3="00000000" w:csb0="0000019F" w:csb1="00000000"/>
  </w:font>
  <w:font w:name="DejaVu Math TeX Gyre">
    <w:panose1 w:val="02000503000000000000"/>
    <w:charset w:val="00"/>
    <w:family w:val="auto"/>
    <w:pitch w:val="default"/>
    <w:sig w:usb0="A10000EF" w:usb1="4201F9EE" w:usb2="02000000" w:usb3="00000000" w:csb0="60000193" w:csb1="0DD40000"/>
  </w:font>
  <w:font w:name="等线">
    <w:altName w:val="C059"/>
    <w:panose1 w:val="00000000000000000000"/>
    <w:charset w:val="00"/>
    <w:family w:val="auto"/>
    <w:pitch w:val="default"/>
    <w:sig w:usb0="00000000" w:usb1="00000000" w:usb2="00000000" w:usb3="00000000" w:csb0="00000000" w:csb1="00000000"/>
  </w:font>
  <w:font w:name="AR PL UKai CN">
    <w:panose1 w:val="02000503000000000000"/>
    <w:charset w:val="86"/>
    <w:family w:val="auto"/>
    <w:pitch w:val="default"/>
    <w:sig w:usb0="A00002FF" w:usb1="3ACFFDFF" w:usb2="00000036" w:usb3="00000000" w:csb0="2016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BlODllM2FkZjZmNWM0ZTA3ODZjMDkyNWQ2ODc0YWYifQ=="/>
  </w:docVars>
  <w:rsids>
    <w:rsidRoot w:val="009A086D"/>
    <w:rsid w:val="000065CE"/>
    <w:rsid w:val="00024E3E"/>
    <w:rsid w:val="00077762"/>
    <w:rsid w:val="00083CAB"/>
    <w:rsid w:val="00097884"/>
    <w:rsid w:val="000B206F"/>
    <w:rsid w:val="000C647D"/>
    <w:rsid w:val="000E3CA8"/>
    <w:rsid w:val="000E4332"/>
    <w:rsid w:val="000F1551"/>
    <w:rsid w:val="00121F7F"/>
    <w:rsid w:val="0013009A"/>
    <w:rsid w:val="00130AD1"/>
    <w:rsid w:val="00136E9F"/>
    <w:rsid w:val="001425E0"/>
    <w:rsid w:val="00185FE0"/>
    <w:rsid w:val="001B5452"/>
    <w:rsid w:val="001C6719"/>
    <w:rsid w:val="001E44F5"/>
    <w:rsid w:val="001E6EDE"/>
    <w:rsid w:val="002246C9"/>
    <w:rsid w:val="002443DD"/>
    <w:rsid w:val="00244772"/>
    <w:rsid w:val="00250C6B"/>
    <w:rsid w:val="002645C4"/>
    <w:rsid w:val="00272F9B"/>
    <w:rsid w:val="002A13F2"/>
    <w:rsid w:val="002A2967"/>
    <w:rsid w:val="002A502D"/>
    <w:rsid w:val="002B35B7"/>
    <w:rsid w:val="002B7A70"/>
    <w:rsid w:val="002E65AB"/>
    <w:rsid w:val="003144FD"/>
    <w:rsid w:val="003266E6"/>
    <w:rsid w:val="0033612F"/>
    <w:rsid w:val="0037178B"/>
    <w:rsid w:val="003947B8"/>
    <w:rsid w:val="003B3594"/>
    <w:rsid w:val="004109BD"/>
    <w:rsid w:val="00415C35"/>
    <w:rsid w:val="00422190"/>
    <w:rsid w:val="0042330D"/>
    <w:rsid w:val="00427529"/>
    <w:rsid w:val="00442A8C"/>
    <w:rsid w:val="00481A1C"/>
    <w:rsid w:val="004C4A35"/>
    <w:rsid w:val="004C594F"/>
    <w:rsid w:val="004D0500"/>
    <w:rsid w:val="004E5E9A"/>
    <w:rsid w:val="004F14E9"/>
    <w:rsid w:val="004F2326"/>
    <w:rsid w:val="0050069A"/>
    <w:rsid w:val="0051676D"/>
    <w:rsid w:val="00523D54"/>
    <w:rsid w:val="00534862"/>
    <w:rsid w:val="00541318"/>
    <w:rsid w:val="00554731"/>
    <w:rsid w:val="00562684"/>
    <w:rsid w:val="00584CD2"/>
    <w:rsid w:val="005C0D95"/>
    <w:rsid w:val="005E33F0"/>
    <w:rsid w:val="00611E49"/>
    <w:rsid w:val="00617FBA"/>
    <w:rsid w:val="00623ED9"/>
    <w:rsid w:val="006429C9"/>
    <w:rsid w:val="0065677F"/>
    <w:rsid w:val="00660647"/>
    <w:rsid w:val="00686F1B"/>
    <w:rsid w:val="006A0250"/>
    <w:rsid w:val="006C16D1"/>
    <w:rsid w:val="006C1FD7"/>
    <w:rsid w:val="006D0103"/>
    <w:rsid w:val="006D3355"/>
    <w:rsid w:val="006D6CAA"/>
    <w:rsid w:val="006E107B"/>
    <w:rsid w:val="006E7545"/>
    <w:rsid w:val="00705ABB"/>
    <w:rsid w:val="007078FA"/>
    <w:rsid w:val="00712A56"/>
    <w:rsid w:val="00743EB3"/>
    <w:rsid w:val="00774DE2"/>
    <w:rsid w:val="00784D11"/>
    <w:rsid w:val="007B7CC5"/>
    <w:rsid w:val="007E428F"/>
    <w:rsid w:val="00815767"/>
    <w:rsid w:val="00832229"/>
    <w:rsid w:val="0083578D"/>
    <w:rsid w:val="00842322"/>
    <w:rsid w:val="008466BD"/>
    <w:rsid w:val="00891E68"/>
    <w:rsid w:val="008A06A0"/>
    <w:rsid w:val="008C2199"/>
    <w:rsid w:val="008D0339"/>
    <w:rsid w:val="008D4DA2"/>
    <w:rsid w:val="008E2498"/>
    <w:rsid w:val="008F65DC"/>
    <w:rsid w:val="008F79DB"/>
    <w:rsid w:val="008F7E92"/>
    <w:rsid w:val="009515E3"/>
    <w:rsid w:val="00964939"/>
    <w:rsid w:val="0097062E"/>
    <w:rsid w:val="009956DF"/>
    <w:rsid w:val="009A086D"/>
    <w:rsid w:val="009C1EC9"/>
    <w:rsid w:val="009C7787"/>
    <w:rsid w:val="009D67C0"/>
    <w:rsid w:val="009E595F"/>
    <w:rsid w:val="00A102BE"/>
    <w:rsid w:val="00A209A8"/>
    <w:rsid w:val="00A302E7"/>
    <w:rsid w:val="00A374E3"/>
    <w:rsid w:val="00A864B6"/>
    <w:rsid w:val="00AB02B8"/>
    <w:rsid w:val="00AC5C0B"/>
    <w:rsid w:val="00AD67FC"/>
    <w:rsid w:val="00B13689"/>
    <w:rsid w:val="00B1508C"/>
    <w:rsid w:val="00B349CD"/>
    <w:rsid w:val="00B418EA"/>
    <w:rsid w:val="00B45903"/>
    <w:rsid w:val="00B6689A"/>
    <w:rsid w:val="00B850B3"/>
    <w:rsid w:val="00B91D84"/>
    <w:rsid w:val="00B953F7"/>
    <w:rsid w:val="00BD681A"/>
    <w:rsid w:val="00BE3146"/>
    <w:rsid w:val="00BE76C3"/>
    <w:rsid w:val="00C01067"/>
    <w:rsid w:val="00C035C7"/>
    <w:rsid w:val="00C11243"/>
    <w:rsid w:val="00C12132"/>
    <w:rsid w:val="00C1725A"/>
    <w:rsid w:val="00C34004"/>
    <w:rsid w:val="00C3649A"/>
    <w:rsid w:val="00C64280"/>
    <w:rsid w:val="00C7522F"/>
    <w:rsid w:val="00CB58C9"/>
    <w:rsid w:val="00CC0E06"/>
    <w:rsid w:val="00D0336A"/>
    <w:rsid w:val="00D37A2C"/>
    <w:rsid w:val="00D94B6C"/>
    <w:rsid w:val="00DB163E"/>
    <w:rsid w:val="00DB204E"/>
    <w:rsid w:val="00DB437F"/>
    <w:rsid w:val="00DF2C5E"/>
    <w:rsid w:val="00E17CC6"/>
    <w:rsid w:val="00E3402B"/>
    <w:rsid w:val="00E4511C"/>
    <w:rsid w:val="00E64E94"/>
    <w:rsid w:val="00E8323B"/>
    <w:rsid w:val="00E86F5F"/>
    <w:rsid w:val="00EA2BF6"/>
    <w:rsid w:val="00EB70BC"/>
    <w:rsid w:val="00EC3500"/>
    <w:rsid w:val="00EC566B"/>
    <w:rsid w:val="00ED75CD"/>
    <w:rsid w:val="00F01CA7"/>
    <w:rsid w:val="00F020D0"/>
    <w:rsid w:val="00F37D8C"/>
    <w:rsid w:val="00F556C4"/>
    <w:rsid w:val="00F67E7B"/>
    <w:rsid w:val="00F73D86"/>
    <w:rsid w:val="00FC1E97"/>
    <w:rsid w:val="02350C0E"/>
    <w:rsid w:val="05B76CD6"/>
    <w:rsid w:val="05B907C2"/>
    <w:rsid w:val="0C7D3E15"/>
    <w:rsid w:val="1A555E5F"/>
    <w:rsid w:val="1A9D49C0"/>
    <w:rsid w:val="214609D3"/>
    <w:rsid w:val="28B472CA"/>
    <w:rsid w:val="2D262502"/>
    <w:rsid w:val="33197D5F"/>
    <w:rsid w:val="384D2BD3"/>
    <w:rsid w:val="40275AB8"/>
    <w:rsid w:val="43042D8A"/>
    <w:rsid w:val="4C8C5768"/>
    <w:rsid w:val="55D342C0"/>
    <w:rsid w:val="56F72FEB"/>
    <w:rsid w:val="581E2437"/>
    <w:rsid w:val="58FF717A"/>
    <w:rsid w:val="5E054E68"/>
    <w:rsid w:val="700218F8"/>
    <w:rsid w:val="712F3664"/>
    <w:rsid w:val="71C034F3"/>
    <w:rsid w:val="78D73F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2"/>
      <w:szCs w:val="22"/>
      <w:lang w:val="en-GB" w:eastAsia="zh-CN" w:bidi="ar-SA"/>
      <w14:ligatures w14:val="standardContextual"/>
    </w:rPr>
  </w:style>
  <w:style w:type="character" w:default="1" w:styleId="2">
    <w:name w:val="Default Paragraph Font"/>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basedOn w:val="2"/>
    <w:unhideWhenUsed/>
    <w:qFormat/>
    <w:uiPriority w:val="99"/>
    <w:rPr>
      <w:sz w:val="21"/>
      <w:szCs w:val="21"/>
    </w:rPr>
  </w:style>
  <w:style w:type="paragraph" w:styleId="5">
    <w:name w:val="annotation text"/>
    <w:basedOn w:val="1"/>
    <w:unhideWhenUsed/>
    <w:qFormat/>
    <w:uiPriority w:val="99"/>
    <w:pPr>
      <w:spacing w:line="256" w:lineRule="auto"/>
    </w:pPr>
    <w:rPr>
      <w:rFonts w:hint="eastAsia" w:ascii="等线" w:hAnsi="等线" w:eastAsia="等线" w:cs="Times New Roman"/>
      <w:lang w:val="en-US"/>
    </w:rPr>
  </w:style>
  <w:style w:type="paragraph" w:styleId="6">
    <w:name w:val="footer"/>
    <w:basedOn w:val="1"/>
    <w:link w:val="9"/>
    <w:unhideWhenUsed/>
    <w:qFormat/>
    <w:uiPriority w:val="99"/>
    <w:pPr>
      <w:tabs>
        <w:tab w:val="center" w:pos="4153"/>
        <w:tab w:val="right" w:pos="8306"/>
      </w:tabs>
      <w:spacing w:after="0" w:line="240" w:lineRule="auto"/>
    </w:pPr>
  </w:style>
  <w:style w:type="paragraph" w:styleId="7">
    <w:name w:val="header"/>
    <w:basedOn w:val="1"/>
    <w:link w:val="8"/>
    <w:unhideWhenUsed/>
    <w:qFormat/>
    <w:uiPriority w:val="99"/>
    <w:pPr>
      <w:tabs>
        <w:tab w:val="center" w:pos="4153"/>
        <w:tab w:val="right" w:pos="8306"/>
      </w:tabs>
      <w:spacing w:after="0" w:line="240" w:lineRule="auto"/>
    </w:pPr>
  </w:style>
  <w:style w:type="character" w:customStyle="1" w:styleId="8">
    <w:name w:val="Header Char"/>
    <w:basedOn w:val="2"/>
    <w:link w:val="7"/>
    <w:qFormat/>
    <w:uiPriority w:val="99"/>
  </w:style>
  <w:style w:type="character" w:customStyle="1" w:styleId="9">
    <w:name w:val="Footer Char"/>
    <w:basedOn w:val="2"/>
    <w:link w:val="6"/>
    <w:qFormat/>
    <w:uiPriority w:val="99"/>
  </w:style>
  <w:style w:type="paragraph" w:customStyle="1" w:styleId="10">
    <w:name w:val="正文2"/>
    <w:qFormat/>
    <w:uiPriority w:val="0"/>
    <w:pPr>
      <w:spacing w:before="100" w:beforeAutospacing="1" w:after="160" w:line="256" w:lineRule="auto"/>
    </w:pPr>
    <w:rPr>
      <w:rFonts w:ascii="等线" w:hAnsi="等线" w:eastAsia="等线" w:cs="Times New Roman"/>
      <w:kern w:val="2"/>
      <w:sz w:val="22"/>
      <w:szCs w:val="22"/>
      <w:lang w:val="en-GB" w:eastAsia="zh-CN" w:bidi="ar-SA"/>
    </w:rPr>
  </w:style>
  <w:style w:type="character" w:styleId="11">
    <w:name w:val="Placeholder Text"/>
    <w:basedOn w:val="2"/>
    <w:unhideWhenUsed/>
    <w:qFormat/>
    <w:uiPriority w:val="99"/>
    <w:rPr>
      <w:color w:val="666666"/>
    </w:rPr>
  </w:style>
  <w:style w:type="table" w:customStyle="1" w:styleId="12">
    <w:name w:val="Grid Table 4"/>
    <w:basedOn w:val="3"/>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3">
    <w:name w:val="Grid Table 5 Dark"/>
    <w:basedOn w:val="3"/>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paragraph" w:customStyle="1" w:styleId="14">
    <w:name w:val="Bibliography"/>
    <w:basedOn w:val="1"/>
    <w:next w:val="1"/>
    <w:unhideWhenUsed/>
    <w:qFormat/>
    <w:uiPriority w:val="37"/>
    <w:pPr>
      <w:tabs>
        <w:tab w:val="left" w:pos="384"/>
      </w:tabs>
      <w:spacing w:after="0" w:line="480" w:lineRule="auto"/>
      <w:ind w:left="384" w:hanging="384"/>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standalone='no'?>
<b:Sources xmlns:b="http://schemas.openxmlformats.org/officeDocument/2006/bibliography" SelectedStyle="\APASixthEditionOfficeOnline.xsl" xmlns:b="http://schemas.openxmlformats.org/officeDocument/2006/bibliography" StyleName="APA" Version="6"/>

</file>

<file path=customXml/itemProps1.xml><?xml version="1.0" encoding="utf-8"?>
<ds:datastoreItem xmlns:ds="http://schemas.openxmlformats.org/officeDocument/2006/customXml" ds:itemID="{376C92DE-EE97-40EC-B8E8-45E183EFF26B}">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10640</Words>
  <Characters>60650</Characters>
  <Lines>505</Lines>
  <Paragraphs>142</Paragraphs>
  <TotalTime>18</TotalTime>
  <ScaleCrop>false</ScaleCrop>
  <LinksUpToDate>false</LinksUpToDate>
  <CharactersWithSpaces>71148</CharactersWithSpaces>
  <Application>WPS Office_12.1.0.17900_F1E327BC-269C-435d-A152-05C5408002CA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2024-03-21T09:19:00Z</dcterms:created>
  <dc:creator>Xinpeng Jin</dc:creator>
  <cp:lastModifiedBy>金欣鹏</cp:lastModifiedBy>
  <dcterms:modified xsi:type="dcterms:W3CDTF">2025-02-20T23:00:32Z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1033-12.1.0.17900</vt:lpwstr>
  </property>
  <property fmtid="{D5CDD505-2E9C-101B-9397-08002B2CF9AE}" pid="3" name="ICV">
    <vt:lpwstr>7957DD9BB170491BADEACD508A6BAAF7_12</vt:lpwstr>
  </property>
  <property fmtid="{D5CDD505-2E9C-101B-9397-08002B2CF9AE}" pid="4" name="ZOTERO_PREF_1">
    <vt:lpwstr>&lt;data data-version="3" zotero-version="6.0.36"&gt;&lt;session id="cQ6RuqAT"/&gt;&lt;style id="http://www.zotero.org/styles/nature" hasBibliography="1" bibliographyStyleHasBeenSet="1"/&gt;&lt;prefs&gt;&lt;pref name="fieldType" value="Field"/&gt;&lt;/prefs&gt;&lt;/data&gt;</vt:lpwstr>
  </property>
</Properties>
</file>