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E0649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hAnsi="Times New Roman"/>
        </w:rPr>
      </w:pPr>
      <w:r>
        <w:rPr>
          <w:rStyle w:val="Strong"/>
          <w:rFonts w:ascii="Times New Roman" w:hAnsi="Times New Roman"/>
        </w:rPr>
        <w:t>Figure S1–S3. Distribution of variables significantly different across the three outcome groups.</w:t>
      </w:r>
    </w:p>
    <w:p w14:paraId="1F64010D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hAnsi="Times New Roman"/>
        </w:rPr>
      </w:pPr>
      <w:r>
        <w:rPr>
          <w:rStyle w:val="Strong"/>
          <w:rFonts w:ascii="Times New Roman" w:hAnsi="Times New Roman"/>
        </w:rPr>
        <w:t>Figure S1 (A–N):</w:t>
      </w:r>
      <w:r>
        <w:rPr>
          <w:rFonts w:ascii="Times New Roman" w:hAnsi="Times New Roman"/>
        </w:rPr>
        <w:t xml:space="preserve"> Bar plots illustrating the distribution of variables with significant differences between the conservative treatment and surgical treatment groups for the </w:t>
      </w:r>
      <w:r>
        <w:rPr>
          <w:rStyle w:val="Emphasis"/>
          <w:rFonts w:ascii="Times New Roman" w:hAnsi="Times New Roman"/>
        </w:rPr>
        <w:t>Treatment</w:t>
      </w:r>
      <w:r>
        <w:rPr>
          <w:rFonts w:ascii="Times New Roman" w:hAnsi="Times New Roman"/>
        </w:rPr>
        <w:t xml:space="preserve"> outcome in the entire dataset (internal training + external test data).</w:t>
      </w:r>
    </w:p>
    <w:p w14:paraId="5A892417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hAnsi="Times New Roman"/>
        </w:rPr>
      </w:pPr>
      <w:r>
        <w:rPr>
          <w:rStyle w:val="Strong"/>
          <w:rFonts w:ascii="Times New Roman" w:hAnsi="Times New Roman"/>
        </w:rPr>
        <w:t>Figure S2 (A–L):</w:t>
      </w:r>
      <w:r>
        <w:rPr>
          <w:rFonts w:ascii="Times New Roman" w:hAnsi="Times New Roman"/>
        </w:rPr>
        <w:t xml:space="preserve"> Bar plots showing the distribution of significantly different variables between the no severe NEC and severe NEC groups for the </w:t>
      </w:r>
      <w:r>
        <w:rPr>
          <w:rStyle w:val="Emphasis"/>
          <w:rFonts w:ascii="Times New Roman" w:hAnsi="Times New Roman"/>
        </w:rPr>
        <w:t>sevNEC</w:t>
      </w:r>
      <w:r>
        <w:rPr>
          <w:rFonts w:ascii="Times New Roman" w:hAnsi="Times New Roman"/>
        </w:rPr>
        <w:t xml:space="preserve"> outcome in the entire dataset.</w:t>
      </w:r>
    </w:p>
    <w:p w14:paraId="5A3A746D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eastAsia="SimHei" w:hAnsi="Times New Roman"/>
          <w:lang w:bidi="ar"/>
        </w:rPr>
      </w:pPr>
      <w:r>
        <w:rPr>
          <w:rStyle w:val="Strong"/>
          <w:rFonts w:ascii="Times New Roman" w:hAnsi="Times New Roman"/>
        </w:rPr>
        <w:t>Figure S3 (A–V):</w:t>
      </w:r>
      <w:r>
        <w:rPr>
          <w:rFonts w:ascii="Times New Roman" w:hAnsi="Times New Roman"/>
        </w:rPr>
        <w:t xml:space="preserve"> Bar plots depicting the distribution of significantly different variables between the non-severe and severe outcome groups for the </w:t>
      </w:r>
      <w:r>
        <w:rPr>
          <w:rStyle w:val="Emphasis"/>
          <w:rFonts w:ascii="Times New Roman" w:hAnsi="Times New Roman"/>
        </w:rPr>
        <w:t>sevOutcome</w:t>
      </w:r>
      <w:r>
        <w:rPr>
          <w:rFonts w:ascii="Times New Roman" w:hAnsi="Times New Roman"/>
        </w:rPr>
        <w:t xml:space="preserve"> outcome across the entire dataset.</w:t>
      </w:r>
    </w:p>
    <w:p w14:paraId="0F914CEC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Style w:val="Strong"/>
          <w:rFonts w:ascii="Times New Roman" w:eastAsia="SimSun" w:hAnsi="Times New Roman"/>
        </w:rPr>
      </w:pPr>
      <w:r>
        <w:rPr>
          <w:rStyle w:val="Strong"/>
          <w:rFonts w:ascii="Times New Roman" w:eastAsia="SimSun" w:hAnsi="Times New Roman"/>
        </w:rPr>
        <w:t>Figure S4. Key variable importance rankings based on XGBoost and mRMR analyses.</w:t>
      </w:r>
    </w:p>
    <w:p w14:paraId="5440AC9C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eastAsia="SimSun" w:hAnsi="Times New Roman"/>
        </w:rPr>
      </w:pPr>
      <w:r>
        <w:rPr>
          <w:rFonts w:ascii="Times New Roman" w:eastAsia="SimSun" w:hAnsi="Times New Roman"/>
        </w:rPr>
        <w:t>Variable importance rankings generated by XGBoost and minimum Redundancy Maximum Relevance (mRMR) methods for the three outcomes:</w:t>
      </w:r>
    </w:p>
    <w:p w14:paraId="502AC353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eastAsia="SimSun" w:hAnsi="Times New Roman"/>
        </w:rPr>
      </w:pPr>
      <w:r>
        <w:rPr>
          <w:rStyle w:val="Strong"/>
          <w:rFonts w:ascii="Times New Roman" w:eastAsia="SimSun" w:hAnsi="Times New Roman"/>
        </w:rPr>
        <w:t>(A–B)</w:t>
      </w:r>
      <w:r>
        <w:rPr>
          <w:rFonts w:ascii="Times New Roman" w:eastAsia="SimSun" w:hAnsi="Times New Roman"/>
        </w:rPr>
        <w:t xml:space="preserve"> </w:t>
      </w:r>
      <w:r>
        <w:rPr>
          <w:rStyle w:val="Emphasis"/>
          <w:rFonts w:ascii="Times New Roman" w:eastAsia="SimSun" w:hAnsi="Times New Roman"/>
        </w:rPr>
        <w:t>Treatment</w:t>
      </w:r>
      <w:r>
        <w:rPr>
          <w:rFonts w:ascii="Times New Roman" w:eastAsia="SimSun" w:hAnsi="Times New Roman"/>
        </w:rPr>
        <w:t xml:space="preserve"> outcome;</w:t>
      </w:r>
    </w:p>
    <w:p w14:paraId="13941B26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eastAsia="SimSun" w:hAnsi="Times New Roman"/>
        </w:rPr>
      </w:pPr>
      <w:r>
        <w:rPr>
          <w:rStyle w:val="Strong"/>
          <w:rFonts w:ascii="Times New Roman" w:eastAsia="SimSun" w:hAnsi="Times New Roman"/>
        </w:rPr>
        <w:t>(C–D)</w:t>
      </w:r>
      <w:r>
        <w:rPr>
          <w:rFonts w:ascii="Times New Roman" w:eastAsia="SimSun" w:hAnsi="Times New Roman"/>
        </w:rPr>
        <w:t xml:space="preserve"> </w:t>
      </w:r>
      <w:r>
        <w:rPr>
          <w:rStyle w:val="Emphasis"/>
          <w:rFonts w:ascii="Times New Roman" w:eastAsia="SimSun" w:hAnsi="Times New Roman"/>
        </w:rPr>
        <w:t>sevNEC</w:t>
      </w:r>
      <w:r>
        <w:rPr>
          <w:rFonts w:ascii="Times New Roman" w:eastAsia="SimSun" w:hAnsi="Times New Roman"/>
        </w:rPr>
        <w:t xml:space="preserve"> outcome;</w:t>
      </w:r>
    </w:p>
    <w:p w14:paraId="33E24C09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eastAsia="SimSun" w:hAnsi="Times New Roman"/>
        </w:rPr>
      </w:pPr>
      <w:r>
        <w:rPr>
          <w:rStyle w:val="Strong"/>
          <w:rFonts w:ascii="Times New Roman" w:eastAsia="SimSun" w:hAnsi="Times New Roman"/>
        </w:rPr>
        <w:t>(E–F)</w:t>
      </w:r>
      <w:r>
        <w:rPr>
          <w:rFonts w:ascii="Times New Roman" w:eastAsia="SimSun" w:hAnsi="Times New Roman"/>
        </w:rPr>
        <w:t xml:space="preserve"> </w:t>
      </w:r>
      <w:r>
        <w:rPr>
          <w:rStyle w:val="Emphasis"/>
          <w:rFonts w:ascii="Times New Roman" w:eastAsia="SimSun" w:hAnsi="Times New Roman"/>
        </w:rPr>
        <w:t>sevOutcome</w:t>
      </w:r>
      <w:r>
        <w:rPr>
          <w:rFonts w:ascii="Times New Roman" w:eastAsia="SimSun" w:hAnsi="Times New Roman"/>
        </w:rPr>
        <w:t xml:space="preserve"> outcome.</w:t>
      </w:r>
    </w:p>
    <w:p w14:paraId="0B8BB6D6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eastAsia="SimHei" w:hAnsi="Times New Roman"/>
          <w:lang w:bidi="ar"/>
        </w:rPr>
      </w:pPr>
      <w:r>
        <w:rPr>
          <w:rFonts w:ascii="Times New Roman" w:eastAsia="SimSun" w:hAnsi="Times New Roman"/>
        </w:rPr>
        <w:t>Panels A, C, and E correspond to XGBoost rankings, while panels B, D, and F correspond to mRMR rankings.</w:t>
      </w:r>
    </w:p>
    <w:p w14:paraId="09F1E0C0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Style w:val="Strong"/>
          <w:rFonts w:ascii="Times New Roman" w:hAnsi="Times New Roman"/>
        </w:rPr>
      </w:pPr>
      <w:r>
        <w:rPr>
          <w:rStyle w:val="Strong"/>
          <w:rFonts w:ascii="Times New Roman" w:hAnsi="Times New Roman"/>
        </w:rPr>
        <w:t>Figure S5. Performance evaluation of the best original KAN models for the three outcomes.</w:t>
      </w:r>
    </w:p>
    <w:p w14:paraId="1F47D149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Receiver operating characteristic (ROC) and precision-recall (PR) curves illustrating the diagnostic performance of the original Kernel Attention Network (KAN) models for the three outcome categories:</w:t>
      </w:r>
    </w:p>
    <w:p w14:paraId="2134A574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hAnsi="Times New Roman"/>
        </w:rPr>
      </w:pPr>
      <w:r>
        <w:rPr>
          <w:rStyle w:val="Strong"/>
          <w:rFonts w:ascii="Times New Roman" w:hAnsi="Times New Roman"/>
        </w:rPr>
        <w:t>(A)</w:t>
      </w:r>
      <w:r>
        <w:rPr>
          <w:rFonts w:ascii="Times New Roman" w:hAnsi="Times New Roman"/>
        </w:rPr>
        <w:t xml:space="preserve"> Internal training data performance (including SMOTE-processed training set, testing set, and combined original training + testing set) for the </w:t>
      </w:r>
      <w:r>
        <w:rPr>
          <w:rStyle w:val="Emphasis"/>
          <w:rFonts w:ascii="Times New Roman" w:hAnsi="Times New Roman"/>
        </w:rPr>
        <w:t>Treatment</w:t>
      </w:r>
      <w:r>
        <w:rPr>
          <w:rFonts w:ascii="Times New Roman" w:hAnsi="Times New Roman"/>
        </w:rPr>
        <w:t xml:space="preserve"> outcome.</w:t>
      </w:r>
    </w:p>
    <w:p w14:paraId="7BBC1500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hAnsi="Times New Roman"/>
        </w:rPr>
      </w:pPr>
      <w:r>
        <w:rPr>
          <w:rStyle w:val="Strong"/>
          <w:rFonts w:ascii="Times New Roman" w:hAnsi="Times New Roman"/>
        </w:rPr>
        <w:t>(B)</w:t>
      </w:r>
      <w:r>
        <w:rPr>
          <w:rFonts w:ascii="Times New Roman" w:hAnsi="Times New Roman"/>
        </w:rPr>
        <w:t xml:space="preserve"> External validation performance for the </w:t>
      </w:r>
      <w:r>
        <w:rPr>
          <w:rStyle w:val="Emphasis"/>
          <w:rFonts w:ascii="Times New Roman" w:hAnsi="Times New Roman"/>
        </w:rPr>
        <w:t>Treatment</w:t>
      </w:r>
      <w:r>
        <w:rPr>
          <w:rFonts w:ascii="Times New Roman" w:hAnsi="Times New Roman"/>
        </w:rPr>
        <w:t xml:space="preserve"> outcome.</w:t>
      </w:r>
    </w:p>
    <w:p w14:paraId="797E943D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hAnsi="Times New Roman"/>
        </w:rPr>
      </w:pPr>
      <w:r>
        <w:rPr>
          <w:rStyle w:val="Strong"/>
          <w:rFonts w:ascii="Times New Roman" w:hAnsi="Times New Roman"/>
        </w:rPr>
        <w:t>(C)</w:t>
      </w:r>
      <w:r>
        <w:rPr>
          <w:rFonts w:ascii="Times New Roman" w:hAnsi="Times New Roman"/>
        </w:rPr>
        <w:t xml:space="preserve"> Internal training data performance for the </w:t>
      </w:r>
      <w:r>
        <w:rPr>
          <w:rStyle w:val="Emphasis"/>
          <w:rFonts w:ascii="Times New Roman" w:hAnsi="Times New Roman"/>
        </w:rPr>
        <w:t>sevNEC</w:t>
      </w:r>
      <w:r>
        <w:rPr>
          <w:rFonts w:ascii="Times New Roman" w:hAnsi="Times New Roman"/>
        </w:rPr>
        <w:t xml:space="preserve"> outcome.</w:t>
      </w:r>
    </w:p>
    <w:p w14:paraId="0809D017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hAnsi="Times New Roman"/>
        </w:rPr>
      </w:pPr>
      <w:r>
        <w:rPr>
          <w:rStyle w:val="Strong"/>
          <w:rFonts w:ascii="Times New Roman" w:hAnsi="Times New Roman"/>
        </w:rPr>
        <w:t>(D)</w:t>
      </w:r>
      <w:r>
        <w:rPr>
          <w:rFonts w:ascii="Times New Roman" w:hAnsi="Times New Roman"/>
        </w:rPr>
        <w:t xml:space="preserve"> External validation performance for the </w:t>
      </w:r>
      <w:r>
        <w:rPr>
          <w:rStyle w:val="Emphasis"/>
          <w:rFonts w:ascii="Times New Roman" w:hAnsi="Times New Roman"/>
        </w:rPr>
        <w:t>sevNEC</w:t>
      </w:r>
      <w:r>
        <w:rPr>
          <w:rFonts w:ascii="Times New Roman" w:hAnsi="Times New Roman"/>
        </w:rPr>
        <w:t xml:space="preserve"> outcome.</w:t>
      </w:r>
    </w:p>
    <w:p w14:paraId="7B80B36E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hAnsi="Times New Roman"/>
        </w:rPr>
      </w:pPr>
      <w:r>
        <w:rPr>
          <w:rStyle w:val="Strong"/>
          <w:rFonts w:ascii="Times New Roman" w:hAnsi="Times New Roman"/>
        </w:rPr>
        <w:t>(E)</w:t>
      </w:r>
      <w:r>
        <w:rPr>
          <w:rFonts w:ascii="Times New Roman" w:hAnsi="Times New Roman"/>
        </w:rPr>
        <w:t xml:space="preserve"> Internal training data performance for the </w:t>
      </w:r>
      <w:r>
        <w:rPr>
          <w:rStyle w:val="Emphasis"/>
          <w:rFonts w:ascii="Times New Roman" w:hAnsi="Times New Roman"/>
        </w:rPr>
        <w:t>sevOutcome</w:t>
      </w:r>
      <w:r>
        <w:rPr>
          <w:rFonts w:ascii="Times New Roman" w:hAnsi="Times New Roman"/>
        </w:rPr>
        <w:t xml:space="preserve"> outcome.</w:t>
      </w:r>
    </w:p>
    <w:p w14:paraId="13708231" w14:textId="77777777" w:rsidR="000C646F" w:rsidRDefault="000C646F" w:rsidP="000C646F">
      <w:pPr>
        <w:pStyle w:val="NormalWeb"/>
        <w:widowControl/>
        <w:spacing w:beforeAutospacing="0" w:afterAutospacing="0" w:line="480" w:lineRule="auto"/>
        <w:jc w:val="both"/>
        <w:rPr>
          <w:rFonts w:ascii="Times New Roman" w:hAnsi="Times New Roman"/>
        </w:rPr>
      </w:pPr>
      <w:r>
        <w:rPr>
          <w:rStyle w:val="Strong"/>
          <w:rFonts w:ascii="Times New Roman" w:hAnsi="Times New Roman"/>
        </w:rPr>
        <w:t>(F)</w:t>
      </w:r>
      <w:r>
        <w:rPr>
          <w:rFonts w:ascii="Times New Roman" w:hAnsi="Times New Roman"/>
        </w:rPr>
        <w:t xml:space="preserve"> External validation performance for the </w:t>
      </w:r>
      <w:r>
        <w:rPr>
          <w:rStyle w:val="Emphasis"/>
          <w:rFonts w:ascii="Times New Roman" w:hAnsi="Times New Roman"/>
        </w:rPr>
        <w:t>sevOutcome</w:t>
      </w:r>
      <w:r>
        <w:rPr>
          <w:rFonts w:ascii="Times New Roman" w:hAnsi="Times New Roman"/>
        </w:rPr>
        <w:t xml:space="preserve"> outcome.</w:t>
      </w:r>
    </w:p>
    <w:p w14:paraId="62FE7604" w14:textId="77777777" w:rsidR="00865217" w:rsidRDefault="00865217"/>
    <w:sectPr w:rsidR="00865217" w:rsidSect="000C64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46F"/>
    <w:rsid w:val="000C646F"/>
    <w:rsid w:val="001C4093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3647C"/>
  <w15:chartTrackingRefBased/>
  <w15:docId w15:val="{29248DC9-146F-4F4E-9F21-BC2C115AA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4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4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4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4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4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4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4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4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4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4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4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4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4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4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4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4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4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4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4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4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4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4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4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4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4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4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4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4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46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0C646F"/>
    <w:pPr>
      <w:widowControl w:val="0"/>
      <w:spacing w:beforeAutospacing="1" w:after="0" w:afterAutospacing="1" w:line="240" w:lineRule="auto"/>
    </w:pPr>
    <w:rPr>
      <w:rFonts w:eastAsiaTheme="minorEastAsia" w:cs="Times New Roman"/>
      <w:kern w:val="0"/>
      <w:lang w:eastAsia="zh-CN"/>
      <w14:ligatures w14:val="none"/>
    </w:rPr>
  </w:style>
  <w:style w:type="character" w:styleId="Strong">
    <w:name w:val="Strong"/>
    <w:basedOn w:val="DefaultParagraphFont"/>
    <w:qFormat/>
    <w:rsid w:val="000C646F"/>
    <w:rPr>
      <w:b/>
    </w:rPr>
  </w:style>
  <w:style w:type="character" w:styleId="Emphasis">
    <w:name w:val="Emphasis"/>
    <w:basedOn w:val="DefaultParagraphFont"/>
    <w:qFormat/>
    <w:rsid w:val="000C646F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1609</Characters>
  <Application>Microsoft Office Word</Application>
  <DocSecurity>0</DocSecurity>
  <Lines>13</Lines>
  <Paragraphs>3</Paragraphs>
  <ScaleCrop>false</ScaleCrop>
  <Company>Springer Nature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2025-07-21T06:40:00Z</dcterms:created>
  <dcterms:modified xsi:type="dcterms:W3CDTF">2025-07-21T06:41:00Z</dcterms:modified>
</cp:coreProperties>
</file>