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D335F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t>Supplementary Table 1: Binary Variable Incidence</w:t>
      </w:r>
    </w:p>
    <w:p w14:paraId="1C18C8D0" w14:textId="77777777" w:rsidR="00160D8C" w:rsidRPr="00635BE2" w:rsidRDefault="00160D8C" w:rsidP="00160D8C">
      <w:pPr>
        <w:rPr>
          <w:rFonts w:ascii="Times New Roman" w:hAnsi="Times New Roman" w:cs="Times New Roman"/>
          <w:sz w:val="24"/>
          <w:szCs w:val="24"/>
        </w:rPr>
      </w:pPr>
      <w:r w:rsidRPr="00D05126">
        <w:rPr>
          <w:rFonts w:ascii="Times New Roman" w:hAnsi="Times New Roman" w:cs="Times New Roman"/>
          <w:sz w:val="24"/>
          <w:szCs w:val="24"/>
        </w:rPr>
        <w:t>This table shows the number and percentage of patients experiencing each comorbidity or postoperative outcome across the entire cohort of steroid-using hip fracture patients.</w:t>
      </w:r>
    </w:p>
    <w:tbl>
      <w:tblPr>
        <w:tblW w:w="8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8"/>
        <w:gridCol w:w="1412"/>
        <w:gridCol w:w="1412"/>
        <w:gridCol w:w="2220"/>
      </w:tblGrid>
      <w:tr w:rsidR="00160D8C" w:rsidRPr="00635BE2" w14:paraId="2BBCFA5D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C8C6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452F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Cases (n)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F0BE0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(N)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5FD2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(%)</w:t>
            </w:r>
          </w:p>
        </w:tc>
      </w:tr>
      <w:tr w:rsidR="00160D8C" w:rsidRPr="00635BE2" w14:paraId="1EA59673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D82A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Comorbidities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AE5D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11FE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B1F23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D8C" w:rsidRPr="00635BE2" w14:paraId="70B1577D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9804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Diabetes (any)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0B477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802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C0622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81B96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20.92</w:t>
            </w:r>
          </w:p>
        </w:tc>
      </w:tr>
      <w:tr w:rsidR="00160D8C" w:rsidRPr="00635BE2" w14:paraId="3CEB7C65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64F6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1A33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2,573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EA18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36EB3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67.13</w:t>
            </w:r>
          </w:p>
        </w:tc>
      </w:tr>
      <w:tr w:rsidR="00160D8C" w:rsidRPr="00635BE2" w14:paraId="50EC8FF4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0047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8E21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964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55518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6BB5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25.15</w:t>
            </w:r>
          </w:p>
        </w:tc>
      </w:tr>
      <w:tr w:rsidR="00160D8C" w:rsidRPr="00635BE2" w14:paraId="344AA33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5B5DB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CHF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6A8F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CFF2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44179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4.83</w:t>
            </w:r>
          </w:p>
        </w:tc>
      </w:tr>
      <w:tr w:rsidR="00160D8C" w:rsidRPr="00635BE2" w14:paraId="2F58672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649C9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Bleeding disorder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D859B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792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6D44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3A082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20.66</w:t>
            </w:r>
          </w:p>
        </w:tc>
      </w:tr>
      <w:tr w:rsidR="00160D8C" w:rsidRPr="00635BE2" w14:paraId="79E90094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7A6E4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Steroid use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E67B1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0C98E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52288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</w:tr>
      <w:tr w:rsidR="00160D8C" w:rsidRPr="00635BE2" w14:paraId="43E54CD1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8350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Dyspnea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A688A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685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D67E4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69E5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17.87</w:t>
            </w:r>
          </w:p>
        </w:tc>
      </w:tr>
      <w:tr w:rsidR="00160D8C" w:rsidRPr="00635BE2" w14:paraId="32066E56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0C64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Disseminated cancer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2FE7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68D3F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7FE6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5.64</w:t>
            </w:r>
          </w:p>
        </w:tc>
      </w:tr>
      <w:tr w:rsidR="00160D8C" w:rsidRPr="00635BE2" w14:paraId="581C45D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39B5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Renal impairment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2AC74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C8A0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B7D2B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160D8C" w:rsidRPr="00635BE2" w14:paraId="567C0B3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1521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7A45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8388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7C8EB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D8C" w:rsidRPr="00635BE2" w14:paraId="6DE52A3D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C7768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30-Day Mortality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1A02D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EAB83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A9B08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5.69</w:t>
            </w:r>
          </w:p>
        </w:tc>
      </w:tr>
      <w:tr w:rsidR="00160D8C" w:rsidRPr="00635BE2" w14:paraId="7CE1D13C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25D2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OUTCOMES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0C3F5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7B45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FE5A7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D8C" w:rsidRPr="00635BE2" w14:paraId="591803DA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24DF9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Major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3446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4106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777D8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7.36</w:t>
            </w:r>
          </w:p>
        </w:tc>
      </w:tr>
      <w:tr w:rsidR="00160D8C" w:rsidRPr="00635BE2" w14:paraId="3464C3F3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8B18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Minor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9FD1D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416B8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C839F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</w:tr>
      <w:tr w:rsidR="00160D8C" w:rsidRPr="00635BE2" w14:paraId="57D6C840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BE07A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Unplanned readmission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37C13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471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FB71D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4BBE7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12.29</w:t>
            </w:r>
          </w:p>
        </w:tc>
      </w:tr>
      <w:tr w:rsidR="00160D8C" w:rsidRPr="00635BE2" w14:paraId="6699B6B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CD241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Unplanned reoperation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EEE60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FB08D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FBED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</w:tr>
      <w:tr w:rsidR="00160D8C" w:rsidRPr="00635BE2" w14:paraId="459CA6CB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37E8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Extended LOS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1A823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1A0F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3,833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89E82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21.18</w:t>
            </w:r>
          </w:p>
        </w:tc>
      </w:tr>
      <w:tr w:rsidR="00160D8C" w:rsidRPr="00635BE2" w14:paraId="6B7A7E48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B7862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Non-home discharge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A335C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2,886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2ED6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6B828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76.96</w:t>
            </w:r>
          </w:p>
        </w:tc>
      </w:tr>
    </w:tbl>
    <w:p w14:paraId="554B6DD1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C0C6DD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99E142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6353B4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8EF91C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F75D0B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B95FD7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9E83DC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357712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25D9D0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21C619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B97623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F5FA61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9310A9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F310CB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D7F6B7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20A274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04E9B3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863C49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C3A890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2699D2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E7CA5B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4AE053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2: Effect Sizes for mFI-5 and RAI on Outcomes (Univariate Models)</w:t>
      </w:r>
    </w:p>
    <w:p w14:paraId="2D8C8CC5" w14:textId="77777777" w:rsidR="00160D8C" w:rsidRPr="00635BE2" w:rsidRDefault="00160D8C" w:rsidP="00160D8C">
      <w:pPr>
        <w:rPr>
          <w:rFonts w:ascii="Times New Roman" w:hAnsi="Times New Roman" w:cs="Times New Roman"/>
          <w:sz w:val="24"/>
          <w:szCs w:val="24"/>
        </w:rPr>
      </w:pPr>
      <w:r w:rsidRPr="00D05126">
        <w:rPr>
          <w:rFonts w:ascii="Times New Roman" w:hAnsi="Times New Roman" w:cs="Times New Roman"/>
          <w:sz w:val="24"/>
          <w:szCs w:val="24"/>
        </w:rPr>
        <w:t>Odds ratios (ORs) and 95% confidence intervals (CIs) from univariate models are presented for each frailty index and outcome. All p-values reflect the statistical significance of the association between frailty and outcome.</w:t>
      </w:r>
    </w:p>
    <w:tbl>
      <w:tblPr>
        <w:tblW w:w="9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44"/>
        <w:gridCol w:w="2024"/>
        <w:gridCol w:w="2293"/>
        <w:gridCol w:w="1269"/>
      </w:tblGrid>
      <w:tr w:rsidR="00160D8C" w:rsidRPr="00635BE2" w14:paraId="1245EFA5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01396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339F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Frailty Index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2CE7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 CI)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82F2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160D8C" w:rsidRPr="00635BE2" w14:paraId="5947859F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745D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E113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B7E80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4CA44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D8C" w:rsidRPr="00635BE2" w14:paraId="555DCE31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E08D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Mortality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589E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892BE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1.69 (1.48-1.93)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67135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755129DD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BC02A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BD58E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8E9F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1.12 (1.10-1.14)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4843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444EFBD8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BFF51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OUTCOMES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2ABCF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A107E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B8382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D8C" w:rsidRPr="00635BE2" w14:paraId="01BE4B8B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2078D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Major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8B51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D8C75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1.37 (1.21-1.55)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3479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144691EF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4C53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EFF31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4E2EE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1.03 (1.01-1.05)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69EA1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160D8C" w:rsidRPr="00635BE2" w14:paraId="333DBE9C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5930E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Minor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6C94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5509F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1.05 (0.88-1.26)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BA8F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0.573</w:t>
            </w:r>
          </w:p>
        </w:tc>
      </w:tr>
      <w:tr w:rsidR="00160D8C" w:rsidRPr="00635BE2" w14:paraId="5465A530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C6270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D45F3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5647E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1.02 (0.99-1.05)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1513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0.136</w:t>
            </w:r>
          </w:p>
        </w:tc>
      </w:tr>
      <w:tr w:rsidR="00160D8C" w:rsidRPr="00635BE2" w14:paraId="522F0B00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7F061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Unplanned Readmission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19908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A3B4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1.33 (1.21-1.47)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1AB8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78B04D9F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C5E37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4AF6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A452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1.03 (1.02-1.05)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BEC9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69E1492A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EB4C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Unplanned Reoperation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897B2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73B2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1.29 (1.10-1.53)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B402E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160D8C" w:rsidRPr="00635BE2" w14:paraId="37578C06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C0AEE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24A7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0088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 (0.97-1.02)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833A1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</w:tr>
      <w:tr w:rsidR="00160D8C" w:rsidRPr="00635BE2" w14:paraId="6EDBA898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A3809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Extended LOS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92CD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959D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1.37 (1.26-1.48)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47858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04049F5E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FD3C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CBEC7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3C024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1.04 (1.03-1.06)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01E3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176BA2B5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629C2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Non-Home Discharge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0CAD0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mFI-5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56B5D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1.23 (1.13-1.34)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8BD4B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60D8C" w:rsidRPr="00635BE2" w14:paraId="43565536" w14:textId="77777777" w:rsidTr="00A762F1">
        <w:trPr>
          <w:trHeight w:val="431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4DBEC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9C23D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7E99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1.11 (1.09-1.12)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6A053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620FD0BB" w14:textId="77777777" w:rsidR="00160D8C" w:rsidRDefault="00160D8C" w:rsidP="00160D8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35BE2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3: Post-Hoc Power Analysis</w:t>
      </w:r>
    </w:p>
    <w:p w14:paraId="13C78727" w14:textId="77777777" w:rsidR="00160D8C" w:rsidRPr="00635BE2" w:rsidRDefault="00160D8C" w:rsidP="00160D8C">
      <w:pPr>
        <w:rPr>
          <w:rFonts w:ascii="Times New Roman" w:hAnsi="Times New Roman" w:cs="Times New Roman"/>
          <w:sz w:val="24"/>
          <w:szCs w:val="24"/>
        </w:rPr>
      </w:pPr>
      <w:r w:rsidRPr="00D05126">
        <w:rPr>
          <w:rFonts w:ascii="Times New Roman" w:hAnsi="Times New Roman" w:cs="Times New Roman"/>
          <w:sz w:val="24"/>
          <w:szCs w:val="24"/>
        </w:rPr>
        <w:t>Power calculations are shown for each outcome comparing observed differences in AUROC values between the two frailty indices. Z-statistics and two-tailed p-values are provided to assess statistical power at α = 0.05.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2"/>
        <w:gridCol w:w="1445"/>
        <w:gridCol w:w="1341"/>
        <w:gridCol w:w="1190"/>
        <w:gridCol w:w="1112"/>
        <w:gridCol w:w="927"/>
        <w:gridCol w:w="853"/>
      </w:tblGrid>
      <w:tr w:rsidR="00160D8C" w:rsidRPr="00635BE2" w14:paraId="2F218113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98A84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B8B3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mFI-5 AUROC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98D9B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 AUROC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E5B47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Δ AUROC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9623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Z-statistic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48E2A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B9C8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160D8C" w:rsidRPr="00635BE2" w14:paraId="5A3121F1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1926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OUTCOME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3B5D1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6E21DE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1604C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2634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7162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C97F9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D8C" w:rsidRPr="00635BE2" w14:paraId="0BAB51E9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F0031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Mortality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B2D8A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0.640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2E55F6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0.702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A4895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6D48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3.006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844923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6947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</w:tr>
      <w:tr w:rsidR="00160D8C" w:rsidRPr="00635BE2" w14:paraId="4BCBED7D" w14:textId="77777777" w:rsidTr="00A762F1">
        <w:trPr>
          <w:trHeight w:val="785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20A9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OUTCOMES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D56D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C945F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8E79C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E2F86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1305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890D3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D8C" w:rsidRPr="00635BE2" w14:paraId="3411D1E2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2A25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Major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A937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0.583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F8D88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96D29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-0.026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A8D4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1.413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AB82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6B3F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0.292</w:t>
            </w:r>
          </w:p>
        </w:tc>
      </w:tr>
      <w:tr w:rsidR="00160D8C" w:rsidRPr="00635BE2" w14:paraId="6136ED6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ADA0D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Minor Complications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FF6A5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0.506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F3B1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0.531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AB812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6A92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0.948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14444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0.343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BAB4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</w:tr>
      <w:tr w:rsidR="00160D8C" w:rsidRPr="00635BE2" w14:paraId="40A33A55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3E791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Unplanned Readmission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B9083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0.573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C9558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7A44B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-0.020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BAC3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1.278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F9FA8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C79A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</w:tr>
      <w:tr w:rsidR="00160D8C" w:rsidRPr="00635BE2" w14:paraId="31EA739F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199BB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Unplanned Reoperation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73866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0.562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F7233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0.507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E9EA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-0.055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8D31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2.588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F8020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3E37A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0.735</w:t>
            </w:r>
          </w:p>
        </w:tc>
      </w:tr>
      <w:tr w:rsidR="00160D8C" w:rsidRPr="00635BE2" w14:paraId="52E3CDDE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26C5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Extended LOS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E3D7D7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0.576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DC4BD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0.573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555C6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-0.003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C5CBB5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24A9C1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914A80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160D8C" w:rsidRPr="00635BE2" w14:paraId="347471F7" w14:textId="77777777" w:rsidTr="00A762F1">
        <w:trPr>
          <w:trHeight w:val="50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5D8E6D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Non-Home Discharge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D97B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22BA3F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0.673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FF082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A7B19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9.792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1600C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E90C4" w14:textId="77777777" w:rsidR="00160D8C" w:rsidRPr="00635BE2" w:rsidRDefault="00160D8C" w:rsidP="00A76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BE2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</w:tbl>
    <w:p w14:paraId="7244E47F" w14:textId="77777777" w:rsidR="00160D8C" w:rsidRPr="00635BE2" w:rsidRDefault="00160D8C" w:rsidP="00160D8C">
      <w:pPr>
        <w:rPr>
          <w:rFonts w:ascii="Times New Roman" w:hAnsi="Times New Roman" w:cs="Times New Roman"/>
          <w:sz w:val="24"/>
          <w:szCs w:val="24"/>
        </w:rPr>
      </w:pPr>
      <w:r w:rsidRPr="00635BE2">
        <w:rPr>
          <w:rFonts w:ascii="Times New Roman" w:hAnsi="Times New Roman" w:cs="Times New Roman"/>
          <w:sz w:val="24"/>
          <w:szCs w:val="24"/>
        </w:rPr>
        <w:t>Note: Power calculated for detecting observed differences at α = 0.05, two-tailed test</w:t>
      </w:r>
    </w:p>
    <w:p w14:paraId="57FEDF2F" w14:textId="77777777" w:rsidR="00160D8C" w:rsidRPr="00635BE2" w:rsidRDefault="00160D8C" w:rsidP="00160D8C">
      <w:pPr>
        <w:rPr>
          <w:rFonts w:ascii="Times New Roman" w:hAnsi="Times New Roman" w:cs="Times New Roman"/>
          <w:sz w:val="24"/>
          <w:szCs w:val="24"/>
        </w:rPr>
      </w:pPr>
    </w:p>
    <w:p w14:paraId="5F47A6A9" w14:textId="77777777" w:rsidR="004E780C" w:rsidRDefault="004E780C"/>
    <w:sectPr w:rsidR="004E780C" w:rsidSect="00160D8C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54315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C50270" w14:textId="77777777" w:rsidR="00000000" w:rsidRDefault="00000000">
        <w:pPr>
          <w:pStyle w:val="Footer"/>
          <w:jc w:val="center"/>
        </w:pPr>
        <w:r w:rsidRPr="00232FF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32FF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32FF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232FF9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232FF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BFB5FE7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D8C"/>
    <w:rsid w:val="00160D8C"/>
    <w:rsid w:val="002978F5"/>
    <w:rsid w:val="003852CF"/>
    <w:rsid w:val="004E780C"/>
    <w:rsid w:val="00516CE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B9810"/>
  <w15:chartTrackingRefBased/>
  <w15:docId w15:val="{9D376089-2B83-4171-B503-2E954B6D5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D8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D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0D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D8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0D8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0D8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0D8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D8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D8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D8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0D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0D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0D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0D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0D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0D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0D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0D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0D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0D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0D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0D8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0D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0D8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0D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0D8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0D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0D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0D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0D8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6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0D8C"/>
    <w:rPr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6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398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2025-07-16T14:59:00Z</dcterms:created>
  <dcterms:modified xsi:type="dcterms:W3CDTF">2025-07-16T14:59:00Z</dcterms:modified>
</cp:coreProperties>
</file>