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AF017" w14:textId="57E34B1B" w:rsidR="00CE64DE" w:rsidRPr="003021CA" w:rsidRDefault="00CE64DE" w:rsidP="003021CA">
      <w:pPr>
        <w:wordWrap/>
        <w:spacing w:after="0" w:line="480" w:lineRule="auto"/>
        <w:rPr>
          <w:rFonts w:ascii="Calibri" w:hAnsi="Calibri" w:cs="Arial"/>
          <w:sz w:val="24"/>
          <w:szCs w:val="24"/>
        </w:rPr>
      </w:pPr>
      <w:r w:rsidRPr="003021CA">
        <w:rPr>
          <w:rFonts w:ascii="Calibri" w:hAnsi="Calibri" w:cs="Arial"/>
          <w:sz w:val="24"/>
          <w:szCs w:val="24"/>
          <w:highlight w:val="cyan"/>
        </w:rPr>
        <w:t>Supplemen</w:t>
      </w:r>
      <w:r w:rsidR="008E6FB7" w:rsidRPr="003021CA">
        <w:rPr>
          <w:rFonts w:ascii="Calibri" w:hAnsi="Calibri" w:cs="Arial"/>
          <w:sz w:val="24"/>
          <w:szCs w:val="24"/>
          <w:highlight w:val="cyan"/>
        </w:rPr>
        <w:t>tary</w:t>
      </w:r>
    </w:p>
    <w:p w14:paraId="52B190AC" w14:textId="2D585A4C" w:rsidR="00CE64DE" w:rsidRPr="00960288" w:rsidRDefault="00CE64DE" w:rsidP="003021CA">
      <w:pPr>
        <w:wordWrap/>
        <w:spacing w:after="0" w:line="480" w:lineRule="auto"/>
        <w:rPr>
          <w:rFonts w:ascii="Calibri" w:hAnsi="Calibri" w:cs="Arial"/>
          <w:b/>
          <w:sz w:val="24"/>
          <w:szCs w:val="24"/>
        </w:rPr>
      </w:pPr>
      <w:r w:rsidRPr="00960288">
        <w:rPr>
          <w:rFonts w:ascii="Calibri" w:hAnsi="Calibri" w:cs="Arial"/>
          <w:b/>
          <w:bCs/>
          <w:sz w:val="24"/>
          <w:szCs w:val="24"/>
        </w:rPr>
        <w:t xml:space="preserve">Table S1. </w:t>
      </w:r>
      <w:r w:rsidRPr="00960288">
        <w:rPr>
          <w:rFonts w:ascii="Calibri" w:hAnsi="Calibri" w:cs="Arial"/>
          <w:b/>
          <w:sz w:val="24"/>
          <w:szCs w:val="24"/>
        </w:rPr>
        <w:t>List of species for each KMC</w:t>
      </w:r>
    </w:p>
    <w:p w14:paraId="318CD48D" w14:textId="77777777" w:rsidR="00CE64DE" w:rsidRPr="00960288" w:rsidRDefault="00CE64DE" w:rsidP="003021CA">
      <w:pPr>
        <w:wordWrap/>
        <w:spacing w:after="0" w:line="480" w:lineRule="auto"/>
        <w:rPr>
          <w:rFonts w:ascii="Calibri" w:hAnsi="Calibri" w:cs="Arial"/>
          <w:b/>
          <w:sz w:val="24"/>
          <w:szCs w:val="24"/>
        </w:rPr>
      </w:pPr>
    </w:p>
    <w:p w14:paraId="136E47B9" w14:textId="02C2EEE2" w:rsidR="00CE64DE" w:rsidRPr="00960288" w:rsidRDefault="00CE64DE" w:rsidP="003021CA">
      <w:pPr>
        <w:wordWrap/>
        <w:spacing w:after="0" w:line="480" w:lineRule="auto"/>
        <w:rPr>
          <w:rFonts w:ascii="Calibri" w:hAnsi="Calibri" w:cs="Arial"/>
          <w:b/>
          <w:sz w:val="24"/>
          <w:szCs w:val="24"/>
        </w:rPr>
      </w:pPr>
      <w:r w:rsidRPr="00960288">
        <w:rPr>
          <w:rFonts w:ascii="Calibri" w:hAnsi="Calibri" w:cs="Arial"/>
          <w:b/>
          <w:bCs/>
          <w:sz w:val="24"/>
          <w:szCs w:val="24"/>
        </w:rPr>
        <w:t xml:space="preserve">Table S2. </w:t>
      </w:r>
      <w:r w:rsidRPr="00960288">
        <w:rPr>
          <w:rFonts w:ascii="Calibri" w:hAnsi="Calibri" w:cs="Arial"/>
          <w:b/>
          <w:sz w:val="24"/>
          <w:szCs w:val="24"/>
        </w:rPr>
        <w:t>List of species for each MC</w:t>
      </w:r>
    </w:p>
    <w:p w14:paraId="0B52F66C" w14:textId="77777777" w:rsidR="00CE64DE" w:rsidRPr="00960288" w:rsidRDefault="00CE64DE" w:rsidP="003021CA">
      <w:pPr>
        <w:wordWrap/>
        <w:spacing w:after="0" w:line="480" w:lineRule="auto"/>
        <w:rPr>
          <w:rFonts w:ascii="Calibri" w:hAnsi="Calibri" w:cs="Arial"/>
          <w:b/>
          <w:sz w:val="24"/>
          <w:szCs w:val="24"/>
        </w:rPr>
      </w:pPr>
    </w:p>
    <w:p w14:paraId="3F931FFF" w14:textId="08C4480F" w:rsidR="00CE64DE" w:rsidRPr="00960288" w:rsidRDefault="00CE64DE" w:rsidP="003021CA">
      <w:pPr>
        <w:wordWrap/>
        <w:spacing w:after="0" w:line="480" w:lineRule="auto"/>
        <w:rPr>
          <w:rFonts w:ascii="Calibri" w:hAnsi="Calibri" w:cs="Arial"/>
          <w:b/>
          <w:sz w:val="24"/>
          <w:szCs w:val="24"/>
        </w:rPr>
      </w:pPr>
      <w:r w:rsidRPr="00960288">
        <w:rPr>
          <w:rFonts w:ascii="Calibri" w:hAnsi="Calibri" w:cs="Arial"/>
          <w:b/>
          <w:bCs/>
          <w:sz w:val="24"/>
          <w:szCs w:val="24"/>
        </w:rPr>
        <w:t>Table S3</w:t>
      </w:r>
      <w:r w:rsidRPr="00960288">
        <w:rPr>
          <w:rFonts w:ascii="Calibri" w:hAnsi="Calibri" w:cs="Arial"/>
          <w:b/>
          <w:sz w:val="24"/>
          <w:szCs w:val="24"/>
        </w:rPr>
        <w:t>. WMS QC summary by MC</w:t>
      </w:r>
    </w:p>
    <w:p w14:paraId="6D0D221B" w14:textId="77777777" w:rsidR="00CE64DE" w:rsidRPr="00960288" w:rsidRDefault="00CE64DE" w:rsidP="003021CA">
      <w:pPr>
        <w:wordWrap/>
        <w:spacing w:after="0" w:line="480" w:lineRule="auto"/>
        <w:rPr>
          <w:rFonts w:ascii="Calibri" w:hAnsi="Calibri" w:cs="Arial"/>
          <w:b/>
          <w:sz w:val="24"/>
          <w:szCs w:val="24"/>
        </w:rPr>
      </w:pPr>
    </w:p>
    <w:p w14:paraId="308B7334" w14:textId="19E383C4" w:rsidR="00CE64DE" w:rsidRPr="00960288" w:rsidRDefault="00CE64DE" w:rsidP="003021CA">
      <w:pPr>
        <w:wordWrap/>
        <w:spacing w:after="0" w:line="480" w:lineRule="auto"/>
        <w:rPr>
          <w:rFonts w:ascii="Calibri" w:hAnsi="Calibri" w:cs="Arial"/>
          <w:b/>
          <w:sz w:val="24"/>
          <w:szCs w:val="24"/>
        </w:rPr>
      </w:pPr>
      <w:r w:rsidRPr="00960288">
        <w:rPr>
          <w:rFonts w:ascii="Calibri" w:hAnsi="Calibri" w:cs="Arial"/>
          <w:b/>
          <w:bCs/>
          <w:sz w:val="24"/>
          <w:szCs w:val="24"/>
        </w:rPr>
        <w:t>Table S4</w:t>
      </w:r>
      <w:r w:rsidRPr="00960288">
        <w:rPr>
          <w:rFonts w:ascii="Calibri" w:hAnsi="Calibri" w:cs="Arial"/>
          <w:b/>
          <w:sz w:val="24"/>
          <w:szCs w:val="24"/>
        </w:rPr>
        <w:t>. Expected and observed species identified by the sequencing approaches</w:t>
      </w:r>
    </w:p>
    <w:p w14:paraId="2671924F" w14:textId="77777777" w:rsidR="00CE64DE" w:rsidRPr="003021CA" w:rsidRDefault="00CE64DE" w:rsidP="003021CA">
      <w:pPr>
        <w:wordWrap/>
        <w:spacing w:after="0" w:line="480" w:lineRule="auto"/>
        <w:rPr>
          <w:rFonts w:ascii="Calibri" w:hAnsi="Calibri" w:cs="Arial"/>
          <w:sz w:val="24"/>
          <w:szCs w:val="24"/>
        </w:rPr>
      </w:pPr>
    </w:p>
    <w:p w14:paraId="5E6D274D" w14:textId="56005772" w:rsidR="00CE64DE" w:rsidRPr="003021CA" w:rsidRDefault="00CE64DE" w:rsidP="003021CA">
      <w:pPr>
        <w:wordWrap/>
        <w:spacing w:after="0" w:line="480" w:lineRule="auto"/>
        <w:rPr>
          <w:rFonts w:ascii="Calibri" w:hAnsi="Calibri" w:cs="Arial"/>
          <w:sz w:val="24"/>
          <w:szCs w:val="24"/>
        </w:rPr>
      </w:pPr>
      <w:r w:rsidRPr="003021CA">
        <w:rPr>
          <w:rFonts w:ascii="Calibri" w:hAnsi="Calibri" w:cs="Arial"/>
          <w:b/>
          <w:bCs/>
          <w:sz w:val="24"/>
          <w:szCs w:val="24"/>
        </w:rPr>
        <w:t>Figure S1. Matching heatmaps of qualitative taxon detection across sequencing platforms based on MC</w:t>
      </w:r>
      <w:r w:rsidRPr="003021CA">
        <w:rPr>
          <w:rFonts w:ascii="Calibri" w:hAnsi="Calibri" w:cs="Arial"/>
          <w:b/>
          <w:bCs/>
          <w:sz w:val="24"/>
          <w:szCs w:val="24"/>
        </w:rPr>
        <w:br/>
        <w:t xml:space="preserve"> </w:t>
      </w:r>
      <w:r w:rsidRPr="003021CA">
        <w:rPr>
          <w:rFonts w:ascii="Calibri" w:hAnsi="Calibri" w:cs="Arial"/>
          <w:sz w:val="24"/>
          <w:szCs w:val="24"/>
        </w:rPr>
        <w:t>Presence/absence-based heatmaps visualize the agreement between expected and Observed taxa across three sequencing platforms for each mock community. Panels represent (A) KMCG, (B) KMCO, (C) KMCS, and (D) KMCV. Each panel includes results from 16S V3–V4 amplicon sequencing (16P), full-length 16S sequencing (16F), and whole metagenome shotgun sequencing (WMS). These heatmaps represent the qualitative matching between the Expected community composition and the Observed taxa. Green indicates taxa that were expected and correctly Observed (true positive), while red indicates expected taxa that were not Observed (false negative).</w:t>
      </w:r>
    </w:p>
    <w:p w14:paraId="10F9825D" w14:textId="77777777" w:rsidR="00CE64DE" w:rsidRPr="003021CA" w:rsidRDefault="00CE64DE" w:rsidP="003021CA">
      <w:pPr>
        <w:wordWrap/>
        <w:spacing w:after="0" w:line="480" w:lineRule="auto"/>
        <w:rPr>
          <w:rFonts w:ascii="Calibri" w:hAnsi="Calibri" w:cs="Arial"/>
          <w:sz w:val="24"/>
          <w:szCs w:val="24"/>
        </w:rPr>
      </w:pPr>
    </w:p>
    <w:p w14:paraId="78B90C90" w14:textId="6627A4A0" w:rsidR="00CE64DE" w:rsidRPr="003021CA" w:rsidRDefault="00CE64DE" w:rsidP="003021CA">
      <w:pPr>
        <w:wordWrap/>
        <w:spacing w:after="0" w:line="480" w:lineRule="auto"/>
        <w:rPr>
          <w:rFonts w:ascii="Calibri" w:hAnsi="Calibri" w:cs="Arial"/>
          <w:sz w:val="24"/>
          <w:szCs w:val="24"/>
        </w:rPr>
      </w:pPr>
      <w:r w:rsidRPr="003021CA">
        <w:rPr>
          <w:rFonts w:ascii="Calibri" w:hAnsi="Calibri" w:cs="Arial"/>
          <w:b/>
          <w:bCs/>
          <w:sz w:val="24"/>
          <w:szCs w:val="24"/>
        </w:rPr>
        <w:t>Figure S2. Quantitative evaluation of taxon detection performance across sequencing platforms using MC</w:t>
      </w:r>
    </w:p>
    <w:p w14:paraId="6E23D683" w14:textId="1FE17D1F" w:rsidR="00CE64DE" w:rsidRPr="003021CA" w:rsidRDefault="00CE64DE" w:rsidP="003021CA">
      <w:pPr>
        <w:wordWrap/>
        <w:spacing w:after="0" w:line="480" w:lineRule="auto"/>
        <w:rPr>
          <w:rFonts w:ascii="Calibri" w:hAnsi="Calibri" w:cs="Arial"/>
          <w:sz w:val="24"/>
          <w:szCs w:val="24"/>
        </w:rPr>
      </w:pPr>
      <w:r w:rsidRPr="003021CA">
        <w:rPr>
          <w:rFonts w:ascii="Calibri" w:hAnsi="Calibri" w:cs="Arial"/>
          <w:sz w:val="24"/>
          <w:szCs w:val="24"/>
        </w:rPr>
        <w:t>Bar</w:t>
      </w:r>
      <w:r w:rsidR="008E6FB7" w:rsidRPr="003021CA">
        <w:rPr>
          <w:rFonts w:ascii="Calibri" w:hAnsi="Calibri" w:cs="Arial"/>
          <w:sz w:val="24"/>
          <w:szCs w:val="24"/>
        </w:rPr>
        <w:t xml:space="preserve"> </w:t>
      </w:r>
      <w:r w:rsidRPr="003021CA">
        <w:rPr>
          <w:rFonts w:ascii="Calibri" w:hAnsi="Calibri" w:cs="Arial"/>
          <w:sz w:val="24"/>
          <w:szCs w:val="24"/>
        </w:rPr>
        <w:t xml:space="preserve">plots show quantitative metrics used to assess detection performance across different </w:t>
      </w:r>
      <w:r w:rsidRPr="003021CA">
        <w:rPr>
          <w:rFonts w:ascii="Calibri" w:hAnsi="Calibri" w:cs="Arial"/>
          <w:sz w:val="24"/>
          <w:szCs w:val="24"/>
        </w:rPr>
        <w:lastRenderedPageBreak/>
        <w:t xml:space="preserve">sequencing strategies, based on the known mock community composition. (A) Total relative abundance assigned to expected taxa in the mock community. (B) Number of species </w:t>
      </w:r>
      <w:r w:rsidR="008E6FB7" w:rsidRPr="003021CA">
        <w:rPr>
          <w:rFonts w:ascii="Calibri" w:hAnsi="Calibri" w:cs="Arial"/>
          <w:sz w:val="24"/>
          <w:szCs w:val="24"/>
        </w:rPr>
        <w:t>o</w:t>
      </w:r>
      <w:r w:rsidRPr="003021CA">
        <w:rPr>
          <w:rFonts w:ascii="Calibri" w:hAnsi="Calibri" w:cs="Arial"/>
          <w:sz w:val="24"/>
          <w:szCs w:val="24"/>
        </w:rPr>
        <w:t xml:space="preserve">bserved per platform. The dashed line indicates the total number of species present in the mock community. (C) Total relative abundance of true positive taxa, defined as taxa that were included in the mock community and correctly </w:t>
      </w:r>
      <w:r w:rsidR="00E57770" w:rsidRPr="003021CA">
        <w:rPr>
          <w:rFonts w:ascii="Calibri" w:hAnsi="Calibri" w:cs="Arial"/>
          <w:sz w:val="24"/>
          <w:szCs w:val="24"/>
        </w:rPr>
        <w:t>o</w:t>
      </w:r>
      <w:r w:rsidRPr="003021CA">
        <w:rPr>
          <w:rFonts w:ascii="Calibri" w:hAnsi="Calibri" w:cs="Arial"/>
          <w:sz w:val="24"/>
          <w:szCs w:val="24"/>
        </w:rPr>
        <w:t xml:space="preserve">bserved. (D) Total relative abundance of false negative taxa, defined as expected taxa that were not </w:t>
      </w:r>
      <w:r w:rsidR="00E57770" w:rsidRPr="003021CA">
        <w:rPr>
          <w:rFonts w:ascii="Calibri" w:hAnsi="Calibri" w:cs="Arial"/>
          <w:sz w:val="24"/>
          <w:szCs w:val="24"/>
        </w:rPr>
        <w:t>o</w:t>
      </w:r>
      <w:r w:rsidRPr="003021CA">
        <w:rPr>
          <w:rFonts w:ascii="Calibri" w:hAnsi="Calibri" w:cs="Arial"/>
          <w:sz w:val="24"/>
          <w:szCs w:val="24"/>
        </w:rPr>
        <w:t>bserved.</w:t>
      </w:r>
    </w:p>
    <w:p w14:paraId="01740804" w14:textId="77777777" w:rsidR="00CE64DE" w:rsidRPr="003021CA" w:rsidRDefault="00CE64DE" w:rsidP="003021CA">
      <w:pPr>
        <w:wordWrap/>
        <w:spacing w:after="0" w:line="480" w:lineRule="auto"/>
        <w:rPr>
          <w:rFonts w:ascii="Calibri" w:hAnsi="Calibri" w:cs="Arial"/>
          <w:sz w:val="24"/>
          <w:szCs w:val="24"/>
        </w:rPr>
      </w:pPr>
    </w:p>
    <w:p w14:paraId="1720940B" w14:textId="4176FE3E" w:rsidR="00CE64DE" w:rsidRPr="003021CA" w:rsidRDefault="00CE64DE" w:rsidP="003021CA">
      <w:pPr>
        <w:wordWrap/>
        <w:spacing w:after="0" w:line="480" w:lineRule="auto"/>
        <w:rPr>
          <w:rFonts w:ascii="Calibri" w:hAnsi="Calibri" w:cs="Arial"/>
          <w:sz w:val="24"/>
          <w:szCs w:val="24"/>
        </w:rPr>
      </w:pPr>
      <w:r w:rsidRPr="003021CA">
        <w:rPr>
          <w:rFonts w:ascii="Calibri" w:hAnsi="Calibri" w:cs="Arial"/>
          <w:b/>
          <w:bCs/>
          <w:sz w:val="24"/>
          <w:szCs w:val="24"/>
        </w:rPr>
        <w:t xml:space="preserve">Figure S3. Comparison bar </w:t>
      </w:r>
      <w:r w:rsidR="00E57770" w:rsidRPr="003021CA">
        <w:rPr>
          <w:rFonts w:ascii="Calibri" w:hAnsi="Calibri" w:cs="Arial"/>
          <w:b/>
          <w:bCs/>
          <w:sz w:val="24"/>
          <w:szCs w:val="24"/>
        </w:rPr>
        <w:t>plots</w:t>
      </w:r>
      <w:r w:rsidRPr="003021CA">
        <w:rPr>
          <w:rFonts w:ascii="Calibri" w:hAnsi="Calibri" w:cs="Arial"/>
          <w:b/>
          <w:bCs/>
          <w:sz w:val="24"/>
          <w:szCs w:val="24"/>
        </w:rPr>
        <w:t xml:space="preserve"> by WMS sequencing conditions using MC</w:t>
      </w:r>
    </w:p>
    <w:p w14:paraId="57DC220B" w14:textId="736F2923" w:rsidR="00CE64DE" w:rsidRPr="003021CA" w:rsidRDefault="00CE64DE" w:rsidP="003021CA">
      <w:pPr>
        <w:wordWrap/>
        <w:spacing w:after="0" w:line="480" w:lineRule="auto"/>
        <w:rPr>
          <w:rFonts w:ascii="Calibri" w:hAnsi="Calibri" w:cs="Arial"/>
          <w:sz w:val="24"/>
          <w:szCs w:val="24"/>
        </w:rPr>
      </w:pPr>
      <w:r w:rsidRPr="003021CA">
        <w:rPr>
          <w:rFonts w:ascii="Calibri" w:hAnsi="Calibri" w:cs="Arial"/>
          <w:sz w:val="24"/>
          <w:szCs w:val="24"/>
        </w:rPr>
        <w:t>Species-level abundance reconstruction compared across 12 WMS conditions defined by combinations of input DNA concentration (1, 10, 100 ng) and</w:t>
      </w:r>
      <w:r w:rsidR="00E57770" w:rsidRPr="003021CA">
        <w:rPr>
          <w:rFonts w:ascii="Calibri" w:hAnsi="Calibri" w:cs="Arial"/>
          <w:sz w:val="24"/>
          <w:szCs w:val="24"/>
        </w:rPr>
        <w:t xml:space="preserve"> sequencing</w:t>
      </w:r>
      <w:r w:rsidRPr="003021CA">
        <w:rPr>
          <w:rFonts w:ascii="Calibri" w:hAnsi="Calibri" w:cs="Arial"/>
          <w:sz w:val="24"/>
          <w:szCs w:val="24"/>
        </w:rPr>
        <w:t xml:space="preserve"> output yield (1, 5, 10, 20 Gb). (A) Comparison of quantitative evaluations for all mocks by input DNA volume. (B) Comparison of quantitative evaluations for all mocks by output yield.</w:t>
      </w:r>
    </w:p>
    <w:p w14:paraId="039165B8" w14:textId="77777777" w:rsidR="00CE64DE" w:rsidRPr="003021CA" w:rsidRDefault="00CE64DE" w:rsidP="003021CA">
      <w:pPr>
        <w:wordWrap/>
        <w:spacing w:after="0" w:line="480" w:lineRule="auto"/>
        <w:rPr>
          <w:rFonts w:ascii="Calibri" w:hAnsi="Calibri" w:cs="Arial"/>
          <w:sz w:val="24"/>
          <w:szCs w:val="24"/>
        </w:rPr>
      </w:pPr>
    </w:p>
    <w:p w14:paraId="40B95CD9" w14:textId="469EF204" w:rsidR="00123D7E" w:rsidRPr="00123D7E" w:rsidRDefault="00CE64DE" w:rsidP="00123D7E">
      <w:pPr>
        <w:wordWrap/>
        <w:spacing w:after="0" w:line="480" w:lineRule="auto"/>
        <w:rPr>
          <w:rFonts w:ascii="Calibri" w:hAnsi="Calibri" w:cs="Arial"/>
          <w:b/>
          <w:bCs/>
          <w:sz w:val="24"/>
          <w:szCs w:val="24"/>
        </w:rPr>
      </w:pPr>
      <w:r w:rsidRPr="003021CA">
        <w:rPr>
          <w:rFonts w:ascii="Calibri" w:hAnsi="Calibri" w:cs="Arial"/>
          <w:b/>
          <w:bCs/>
          <w:sz w:val="24"/>
          <w:szCs w:val="24"/>
        </w:rPr>
        <w:t xml:space="preserve">Figure S4. </w:t>
      </w:r>
      <w:r w:rsidR="00123D7E" w:rsidRPr="00123D7E">
        <w:rPr>
          <w:rFonts w:ascii="Calibri" w:hAnsi="Calibri" w:cs="Arial"/>
          <w:b/>
          <w:bCs/>
          <w:sz w:val="24"/>
          <w:szCs w:val="24"/>
        </w:rPr>
        <w:t>Spider chart of species-level resolution by input DNA concentration across four MCs in WMS</w:t>
      </w:r>
    </w:p>
    <w:p w14:paraId="1562E682" w14:textId="70033897" w:rsidR="00CE64DE" w:rsidRPr="00123D7E" w:rsidRDefault="00123D7E" w:rsidP="00123D7E">
      <w:pPr>
        <w:wordWrap/>
        <w:spacing w:after="0" w:line="480" w:lineRule="auto"/>
        <w:rPr>
          <w:rFonts w:ascii="Calibri" w:hAnsi="Calibri" w:cs="Arial"/>
          <w:bCs/>
          <w:sz w:val="24"/>
          <w:szCs w:val="24"/>
        </w:rPr>
      </w:pPr>
      <w:r w:rsidRPr="00123D7E">
        <w:rPr>
          <w:rFonts w:ascii="Calibri" w:hAnsi="Calibri" w:cs="Arial"/>
          <w:bCs/>
          <w:sz w:val="24"/>
          <w:szCs w:val="24"/>
        </w:rPr>
        <w:t>Adjusted F1 scores for each species are shown across four MC types. This figure compares species-level resolution performance under different input DNA concentrations in WMS conditions.</w:t>
      </w:r>
    </w:p>
    <w:p w14:paraId="69AB69B5" w14:textId="77777777" w:rsidR="00123D7E" w:rsidRPr="003021CA" w:rsidRDefault="00123D7E" w:rsidP="00123D7E">
      <w:pPr>
        <w:wordWrap/>
        <w:spacing w:after="0" w:line="480" w:lineRule="auto"/>
        <w:rPr>
          <w:rFonts w:ascii="Calibri" w:hAnsi="Calibri" w:cs="Arial"/>
          <w:sz w:val="24"/>
          <w:szCs w:val="24"/>
        </w:rPr>
      </w:pPr>
    </w:p>
    <w:p w14:paraId="4E596D84" w14:textId="701E8D27" w:rsidR="00123D7E" w:rsidRPr="00123D7E" w:rsidRDefault="00CE64DE" w:rsidP="00123D7E">
      <w:pPr>
        <w:wordWrap/>
        <w:spacing w:after="0" w:line="480" w:lineRule="auto"/>
        <w:rPr>
          <w:rFonts w:ascii="Calibri" w:hAnsi="Calibri" w:cs="Arial"/>
          <w:b/>
          <w:bCs/>
          <w:sz w:val="24"/>
          <w:szCs w:val="24"/>
        </w:rPr>
      </w:pPr>
      <w:r w:rsidRPr="003021CA">
        <w:rPr>
          <w:rFonts w:ascii="Calibri" w:hAnsi="Calibri" w:cs="Arial"/>
          <w:b/>
          <w:bCs/>
          <w:sz w:val="24"/>
          <w:szCs w:val="24"/>
        </w:rPr>
        <w:t>Figure S5</w:t>
      </w:r>
      <w:r w:rsidR="00123D7E" w:rsidRPr="00123D7E">
        <w:rPr>
          <w:rFonts w:ascii="Calibri" w:hAnsi="Calibri" w:cs="Arial"/>
          <w:b/>
          <w:bCs/>
          <w:sz w:val="24"/>
          <w:szCs w:val="24"/>
        </w:rPr>
        <w:t>. Spider chart of species-level resolution by sequencing output yield across four MCs in WMS</w:t>
      </w:r>
    </w:p>
    <w:p w14:paraId="28EF8B39" w14:textId="06051C18" w:rsidR="00CE64DE" w:rsidRPr="00123D7E" w:rsidRDefault="00123D7E" w:rsidP="00123D7E">
      <w:pPr>
        <w:wordWrap/>
        <w:spacing w:after="0" w:line="480" w:lineRule="auto"/>
        <w:rPr>
          <w:rFonts w:ascii="Calibri" w:hAnsi="Calibri" w:cs="Arial"/>
          <w:bCs/>
          <w:sz w:val="24"/>
          <w:szCs w:val="24"/>
        </w:rPr>
      </w:pPr>
      <w:r w:rsidRPr="00123D7E">
        <w:rPr>
          <w:rFonts w:ascii="Calibri" w:hAnsi="Calibri" w:cs="Arial"/>
          <w:bCs/>
          <w:sz w:val="24"/>
          <w:szCs w:val="24"/>
        </w:rPr>
        <w:t xml:space="preserve">Adjusted F1 scores for each species are shown across four MC types. This figure compares species-level resolution performance under different sequencing output yields in WMS </w:t>
      </w:r>
      <w:r w:rsidRPr="00123D7E">
        <w:rPr>
          <w:rFonts w:ascii="Calibri" w:hAnsi="Calibri" w:cs="Arial"/>
          <w:bCs/>
          <w:sz w:val="24"/>
          <w:szCs w:val="24"/>
        </w:rPr>
        <w:lastRenderedPageBreak/>
        <w:t>conditions.</w:t>
      </w:r>
    </w:p>
    <w:p w14:paraId="0D136E3C" w14:textId="77777777" w:rsidR="00123D7E" w:rsidRPr="003021CA" w:rsidRDefault="00123D7E" w:rsidP="00123D7E">
      <w:pPr>
        <w:wordWrap/>
        <w:spacing w:after="0" w:line="480" w:lineRule="auto"/>
        <w:rPr>
          <w:rFonts w:ascii="Calibri" w:hAnsi="Calibri" w:cs="Arial"/>
          <w:sz w:val="24"/>
          <w:szCs w:val="24"/>
        </w:rPr>
      </w:pPr>
    </w:p>
    <w:p w14:paraId="6FF9E0DA" w14:textId="0963A95D" w:rsidR="00CE64DE" w:rsidRPr="003021CA" w:rsidRDefault="00CE64DE" w:rsidP="003021CA">
      <w:pPr>
        <w:wordWrap/>
        <w:spacing w:after="0" w:line="480" w:lineRule="auto"/>
        <w:rPr>
          <w:rFonts w:ascii="Calibri" w:hAnsi="Calibri" w:cs="Arial"/>
          <w:sz w:val="24"/>
          <w:szCs w:val="24"/>
        </w:rPr>
      </w:pPr>
      <w:r w:rsidRPr="003021CA">
        <w:rPr>
          <w:rFonts w:ascii="Calibri" w:hAnsi="Calibri" w:cs="Arial"/>
          <w:b/>
          <w:bCs/>
          <w:sz w:val="24"/>
          <w:szCs w:val="24"/>
        </w:rPr>
        <w:t>Figure 6. Heatmaps summarizing species-level resolution scores across WMS conditions using MC</w:t>
      </w:r>
      <w:bookmarkStart w:id="0" w:name="_GoBack"/>
      <w:bookmarkEnd w:id="0"/>
    </w:p>
    <w:p w14:paraId="603401E1" w14:textId="77777777" w:rsidR="00CE64DE" w:rsidRPr="003021CA" w:rsidRDefault="00CE64DE" w:rsidP="003021CA">
      <w:pPr>
        <w:wordWrap/>
        <w:spacing w:after="0" w:line="480" w:lineRule="auto"/>
        <w:rPr>
          <w:rFonts w:ascii="Calibri" w:hAnsi="Calibri" w:cs="Arial"/>
          <w:sz w:val="24"/>
          <w:szCs w:val="24"/>
        </w:rPr>
      </w:pPr>
      <w:r w:rsidRPr="003021CA">
        <w:rPr>
          <w:rFonts w:ascii="Calibri" w:hAnsi="Calibri" w:cs="Arial"/>
          <w:sz w:val="24"/>
          <w:szCs w:val="24"/>
        </w:rPr>
        <w:t>Heatmaps present the final resolution scores calculated for each WMS condition, based on MC and stratified by mock community type. Panels show results for (A) MCG, (B) MCO, (C) MCS, and (D) MCV. Each cell represents the resolution score derived from a specific combination of input DNA concentration and sequencing output yield.</w:t>
      </w:r>
    </w:p>
    <w:p w14:paraId="3EA78053" w14:textId="77777777" w:rsidR="00CE64DE" w:rsidRPr="003021CA" w:rsidRDefault="00CE64DE" w:rsidP="003021CA">
      <w:pPr>
        <w:wordWrap/>
        <w:spacing w:after="0" w:line="480" w:lineRule="auto"/>
        <w:rPr>
          <w:rFonts w:ascii="Calibri" w:hAnsi="Calibri" w:cs="Arial"/>
          <w:sz w:val="24"/>
          <w:szCs w:val="24"/>
        </w:rPr>
      </w:pPr>
    </w:p>
    <w:sectPr w:rsidR="00CE64DE" w:rsidRPr="003021CA">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36D86" w14:textId="77777777" w:rsidR="00F634F7" w:rsidRDefault="00F634F7" w:rsidP="003021CA">
      <w:pPr>
        <w:spacing w:after="0" w:line="240" w:lineRule="auto"/>
      </w:pPr>
      <w:r>
        <w:separator/>
      </w:r>
    </w:p>
  </w:endnote>
  <w:endnote w:type="continuationSeparator" w:id="0">
    <w:p w14:paraId="02C7B544" w14:textId="77777777" w:rsidR="00F634F7" w:rsidRDefault="00F634F7" w:rsidP="003021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Latha">
    <w:altName w:val="Latha"/>
    <w:panose1 w:val="02000400000000000000"/>
    <w:charset w:val="00"/>
    <w:family w:val="swiss"/>
    <w:pitch w:val="variable"/>
    <w:sig w:usb0="001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172DD" w14:textId="77777777" w:rsidR="00F634F7" w:rsidRDefault="00F634F7" w:rsidP="003021CA">
      <w:pPr>
        <w:spacing w:after="0" w:line="240" w:lineRule="auto"/>
      </w:pPr>
      <w:r>
        <w:separator/>
      </w:r>
    </w:p>
  </w:footnote>
  <w:footnote w:type="continuationSeparator" w:id="0">
    <w:p w14:paraId="5108B2A4" w14:textId="77777777" w:rsidR="00F634F7" w:rsidRDefault="00F634F7" w:rsidP="003021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142BB0"/>
    <w:multiLevelType w:val="hybridMultilevel"/>
    <w:tmpl w:val="FD96206E"/>
    <w:lvl w:ilvl="0" w:tplc="4C7CAF3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4DE"/>
    <w:rsid w:val="000C330C"/>
    <w:rsid w:val="00123D7E"/>
    <w:rsid w:val="0014672D"/>
    <w:rsid w:val="003021CA"/>
    <w:rsid w:val="00565A00"/>
    <w:rsid w:val="00640569"/>
    <w:rsid w:val="006D7C8F"/>
    <w:rsid w:val="00704DD7"/>
    <w:rsid w:val="00735420"/>
    <w:rsid w:val="0075412E"/>
    <w:rsid w:val="00821C94"/>
    <w:rsid w:val="008E6FB7"/>
    <w:rsid w:val="00960288"/>
    <w:rsid w:val="00CE64DE"/>
    <w:rsid w:val="00E57770"/>
    <w:rsid w:val="00F634F7"/>
    <w:rsid w:val="00FC2BAF"/>
  </w:rsids>
  <m:mathPr>
    <m:mathFont m:val="Cambria Math"/>
    <m:brkBin m:val="before"/>
    <m:brkBinSub m:val="--"/>
    <m:smallFrac m:val="0"/>
    <m:dispDef/>
    <m:lMargin m:val="0"/>
    <m:rMargin m:val="0"/>
    <m:defJc m:val="centerGroup"/>
    <m:wrapIndent m:val="1440"/>
    <m:intLim m:val="subSup"/>
    <m:naryLim m:val="undOvr"/>
  </m:mathPr>
  <w:themeFontLang w:val="en-US" w:eastAsia="ko-KR"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483885"/>
  <w15:chartTrackingRefBased/>
  <w15:docId w15:val="{39FED488-FFBB-499C-BA00-C980D94E0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E64DE"/>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styleId="a4">
    <w:name w:val="Revision"/>
    <w:hidden/>
    <w:uiPriority w:val="99"/>
    <w:semiHidden/>
    <w:rsid w:val="00640569"/>
    <w:pPr>
      <w:spacing w:after="0" w:line="240" w:lineRule="auto"/>
      <w:jc w:val="left"/>
    </w:pPr>
  </w:style>
  <w:style w:type="paragraph" w:styleId="a5">
    <w:name w:val="Balloon Text"/>
    <w:basedOn w:val="a"/>
    <w:link w:val="Char"/>
    <w:uiPriority w:val="99"/>
    <w:semiHidden/>
    <w:unhideWhenUsed/>
    <w:rsid w:val="003021CA"/>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5"/>
    <w:uiPriority w:val="99"/>
    <w:semiHidden/>
    <w:rsid w:val="003021CA"/>
    <w:rPr>
      <w:rFonts w:asciiTheme="majorHAnsi" w:eastAsiaTheme="majorEastAsia" w:hAnsiTheme="majorHAnsi" w:cstheme="majorBidi"/>
      <w:sz w:val="18"/>
      <w:szCs w:val="18"/>
    </w:rPr>
  </w:style>
  <w:style w:type="paragraph" w:styleId="a6">
    <w:name w:val="header"/>
    <w:basedOn w:val="a"/>
    <w:link w:val="Char0"/>
    <w:uiPriority w:val="99"/>
    <w:unhideWhenUsed/>
    <w:rsid w:val="003021CA"/>
    <w:pPr>
      <w:tabs>
        <w:tab w:val="center" w:pos="4513"/>
        <w:tab w:val="right" w:pos="9026"/>
      </w:tabs>
      <w:snapToGrid w:val="0"/>
    </w:pPr>
  </w:style>
  <w:style w:type="character" w:customStyle="1" w:styleId="Char0">
    <w:name w:val="머리글 Char"/>
    <w:basedOn w:val="a0"/>
    <w:link w:val="a6"/>
    <w:uiPriority w:val="99"/>
    <w:rsid w:val="003021CA"/>
  </w:style>
  <w:style w:type="paragraph" w:styleId="a7">
    <w:name w:val="footer"/>
    <w:basedOn w:val="a"/>
    <w:link w:val="Char1"/>
    <w:uiPriority w:val="99"/>
    <w:unhideWhenUsed/>
    <w:rsid w:val="003021CA"/>
    <w:pPr>
      <w:tabs>
        <w:tab w:val="center" w:pos="4513"/>
        <w:tab w:val="right" w:pos="9026"/>
      </w:tabs>
      <w:snapToGrid w:val="0"/>
    </w:pPr>
  </w:style>
  <w:style w:type="character" w:customStyle="1" w:styleId="Char1">
    <w:name w:val="바닥글 Char"/>
    <w:basedOn w:val="a0"/>
    <w:link w:val="a7"/>
    <w:uiPriority w:val="99"/>
    <w:rsid w:val="003021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538370">
      <w:bodyDiv w:val="1"/>
      <w:marLeft w:val="0"/>
      <w:marRight w:val="0"/>
      <w:marTop w:val="0"/>
      <w:marBottom w:val="0"/>
      <w:divBdr>
        <w:top w:val="none" w:sz="0" w:space="0" w:color="auto"/>
        <w:left w:val="none" w:sz="0" w:space="0" w:color="auto"/>
        <w:bottom w:val="none" w:sz="0" w:space="0" w:color="auto"/>
        <w:right w:val="none" w:sz="0" w:space="0" w:color="auto"/>
      </w:divBdr>
    </w:div>
    <w:div w:id="205022078">
      <w:bodyDiv w:val="1"/>
      <w:marLeft w:val="0"/>
      <w:marRight w:val="0"/>
      <w:marTop w:val="0"/>
      <w:marBottom w:val="0"/>
      <w:divBdr>
        <w:top w:val="none" w:sz="0" w:space="0" w:color="auto"/>
        <w:left w:val="none" w:sz="0" w:space="0" w:color="auto"/>
        <w:bottom w:val="none" w:sz="0" w:space="0" w:color="auto"/>
        <w:right w:val="none" w:sz="0" w:space="0" w:color="auto"/>
      </w:divBdr>
    </w:div>
    <w:div w:id="547378975">
      <w:bodyDiv w:val="1"/>
      <w:marLeft w:val="0"/>
      <w:marRight w:val="0"/>
      <w:marTop w:val="0"/>
      <w:marBottom w:val="0"/>
      <w:divBdr>
        <w:top w:val="none" w:sz="0" w:space="0" w:color="auto"/>
        <w:left w:val="none" w:sz="0" w:space="0" w:color="auto"/>
        <w:bottom w:val="none" w:sz="0" w:space="0" w:color="auto"/>
        <w:right w:val="none" w:sz="0" w:space="0" w:color="auto"/>
      </w:divBdr>
    </w:div>
    <w:div w:id="614218430">
      <w:bodyDiv w:val="1"/>
      <w:marLeft w:val="0"/>
      <w:marRight w:val="0"/>
      <w:marTop w:val="0"/>
      <w:marBottom w:val="0"/>
      <w:divBdr>
        <w:top w:val="none" w:sz="0" w:space="0" w:color="auto"/>
        <w:left w:val="none" w:sz="0" w:space="0" w:color="auto"/>
        <w:bottom w:val="none" w:sz="0" w:space="0" w:color="auto"/>
        <w:right w:val="none" w:sz="0" w:space="0" w:color="auto"/>
      </w:divBdr>
    </w:div>
    <w:div w:id="717781329">
      <w:bodyDiv w:val="1"/>
      <w:marLeft w:val="0"/>
      <w:marRight w:val="0"/>
      <w:marTop w:val="0"/>
      <w:marBottom w:val="0"/>
      <w:divBdr>
        <w:top w:val="none" w:sz="0" w:space="0" w:color="auto"/>
        <w:left w:val="none" w:sz="0" w:space="0" w:color="auto"/>
        <w:bottom w:val="none" w:sz="0" w:space="0" w:color="auto"/>
        <w:right w:val="none" w:sz="0" w:space="0" w:color="auto"/>
      </w:divBdr>
    </w:div>
    <w:div w:id="726488839">
      <w:bodyDiv w:val="1"/>
      <w:marLeft w:val="0"/>
      <w:marRight w:val="0"/>
      <w:marTop w:val="0"/>
      <w:marBottom w:val="0"/>
      <w:divBdr>
        <w:top w:val="none" w:sz="0" w:space="0" w:color="auto"/>
        <w:left w:val="none" w:sz="0" w:space="0" w:color="auto"/>
        <w:bottom w:val="none" w:sz="0" w:space="0" w:color="auto"/>
        <w:right w:val="none" w:sz="0" w:space="0" w:color="auto"/>
      </w:divBdr>
    </w:div>
    <w:div w:id="811869154">
      <w:bodyDiv w:val="1"/>
      <w:marLeft w:val="0"/>
      <w:marRight w:val="0"/>
      <w:marTop w:val="0"/>
      <w:marBottom w:val="0"/>
      <w:divBdr>
        <w:top w:val="none" w:sz="0" w:space="0" w:color="auto"/>
        <w:left w:val="none" w:sz="0" w:space="0" w:color="auto"/>
        <w:bottom w:val="none" w:sz="0" w:space="0" w:color="auto"/>
        <w:right w:val="none" w:sz="0" w:space="0" w:color="auto"/>
      </w:divBdr>
    </w:div>
    <w:div w:id="859464997">
      <w:bodyDiv w:val="1"/>
      <w:marLeft w:val="0"/>
      <w:marRight w:val="0"/>
      <w:marTop w:val="0"/>
      <w:marBottom w:val="0"/>
      <w:divBdr>
        <w:top w:val="none" w:sz="0" w:space="0" w:color="auto"/>
        <w:left w:val="none" w:sz="0" w:space="0" w:color="auto"/>
        <w:bottom w:val="none" w:sz="0" w:space="0" w:color="auto"/>
        <w:right w:val="none" w:sz="0" w:space="0" w:color="auto"/>
      </w:divBdr>
    </w:div>
    <w:div w:id="1006637910">
      <w:bodyDiv w:val="1"/>
      <w:marLeft w:val="0"/>
      <w:marRight w:val="0"/>
      <w:marTop w:val="0"/>
      <w:marBottom w:val="0"/>
      <w:divBdr>
        <w:top w:val="none" w:sz="0" w:space="0" w:color="auto"/>
        <w:left w:val="none" w:sz="0" w:space="0" w:color="auto"/>
        <w:bottom w:val="none" w:sz="0" w:space="0" w:color="auto"/>
        <w:right w:val="none" w:sz="0" w:space="0" w:color="auto"/>
      </w:divBdr>
    </w:div>
    <w:div w:id="1067335946">
      <w:bodyDiv w:val="1"/>
      <w:marLeft w:val="0"/>
      <w:marRight w:val="0"/>
      <w:marTop w:val="0"/>
      <w:marBottom w:val="0"/>
      <w:divBdr>
        <w:top w:val="none" w:sz="0" w:space="0" w:color="auto"/>
        <w:left w:val="none" w:sz="0" w:space="0" w:color="auto"/>
        <w:bottom w:val="none" w:sz="0" w:space="0" w:color="auto"/>
        <w:right w:val="none" w:sz="0" w:space="0" w:color="auto"/>
      </w:divBdr>
    </w:div>
    <w:div w:id="1152405878">
      <w:bodyDiv w:val="1"/>
      <w:marLeft w:val="0"/>
      <w:marRight w:val="0"/>
      <w:marTop w:val="0"/>
      <w:marBottom w:val="0"/>
      <w:divBdr>
        <w:top w:val="none" w:sz="0" w:space="0" w:color="auto"/>
        <w:left w:val="none" w:sz="0" w:space="0" w:color="auto"/>
        <w:bottom w:val="none" w:sz="0" w:space="0" w:color="auto"/>
        <w:right w:val="none" w:sz="0" w:space="0" w:color="auto"/>
      </w:divBdr>
    </w:div>
    <w:div w:id="1176000091">
      <w:bodyDiv w:val="1"/>
      <w:marLeft w:val="0"/>
      <w:marRight w:val="0"/>
      <w:marTop w:val="0"/>
      <w:marBottom w:val="0"/>
      <w:divBdr>
        <w:top w:val="none" w:sz="0" w:space="0" w:color="auto"/>
        <w:left w:val="none" w:sz="0" w:space="0" w:color="auto"/>
        <w:bottom w:val="none" w:sz="0" w:space="0" w:color="auto"/>
        <w:right w:val="none" w:sz="0" w:space="0" w:color="auto"/>
      </w:divBdr>
    </w:div>
    <w:div w:id="1233781666">
      <w:bodyDiv w:val="1"/>
      <w:marLeft w:val="0"/>
      <w:marRight w:val="0"/>
      <w:marTop w:val="0"/>
      <w:marBottom w:val="0"/>
      <w:divBdr>
        <w:top w:val="none" w:sz="0" w:space="0" w:color="auto"/>
        <w:left w:val="none" w:sz="0" w:space="0" w:color="auto"/>
        <w:bottom w:val="none" w:sz="0" w:space="0" w:color="auto"/>
        <w:right w:val="none" w:sz="0" w:space="0" w:color="auto"/>
      </w:divBdr>
    </w:div>
    <w:div w:id="1404058457">
      <w:bodyDiv w:val="1"/>
      <w:marLeft w:val="0"/>
      <w:marRight w:val="0"/>
      <w:marTop w:val="0"/>
      <w:marBottom w:val="0"/>
      <w:divBdr>
        <w:top w:val="none" w:sz="0" w:space="0" w:color="auto"/>
        <w:left w:val="none" w:sz="0" w:space="0" w:color="auto"/>
        <w:bottom w:val="none" w:sz="0" w:space="0" w:color="auto"/>
        <w:right w:val="none" w:sz="0" w:space="0" w:color="auto"/>
      </w:divBdr>
    </w:div>
    <w:div w:id="1533417050">
      <w:bodyDiv w:val="1"/>
      <w:marLeft w:val="0"/>
      <w:marRight w:val="0"/>
      <w:marTop w:val="0"/>
      <w:marBottom w:val="0"/>
      <w:divBdr>
        <w:top w:val="none" w:sz="0" w:space="0" w:color="auto"/>
        <w:left w:val="none" w:sz="0" w:space="0" w:color="auto"/>
        <w:bottom w:val="none" w:sz="0" w:space="0" w:color="auto"/>
        <w:right w:val="none" w:sz="0" w:space="0" w:color="auto"/>
      </w:divBdr>
    </w:div>
    <w:div w:id="1918511781">
      <w:bodyDiv w:val="1"/>
      <w:marLeft w:val="0"/>
      <w:marRight w:val="0"/>
      <w:marTop w:val="0"/>
      <w:marBottom w:val="0"/>
      <w:divBdr>
        <w:top w:val="none" w:sz="0" w:space="0" w:color="auto"/>
        <w:left w:val="none" w:sz="0" w:space="0" w:color="auto"/>
        <w:bottom w:val="none" w:sz="0" w:space="0" w:color="auto"/>
        <w:right w:val="none" w:sz="0" w:space="0" w:color="auto"/>
      </w:divBdr>
    </w:div>
    <w:div w:id="1934512580">
      <w:bodyDiv w:val="1"/>
      <w:marLeft w:val="0"/>
      <w:marRight w:val="0"/>
      <w:marTop w:val="0"/>
      <w:marBottom w:val="0"/>
      <w:divBdr>
        <w:top w:val="none" w:sz="0" w:space="0" w:color="auto"/>
        <w:left w:val="none" w:sz="0" w:space="0" w:color="auto"/>
        <w:bottom w:val="none" w:sz="0" w:space="0" w:color="auto"/>
        <w:right w:val="none" w:sz="0" w:space="0" w:color="auto"/>
      </w:divBdr>
    </w:div>
    <w:div w:id="2050647364">
      <w:bodyDiv w:val="1"/>
      <w:marLeft w:val="0"/>
      <w:marRight w:val="0"/>
      <w:marTop w:val="0"/>
      <w:marBottom w:val="0"/>
      <w:divBdr>
        <w:top w:val="none" w:sz="0" w:space="0" w:color="auto"/>
        <w:left w:val="none" w:sz="0" w:space="0" w:color="auto"/>
        <w:bottom w:val="none" w:sz="0" w:space="0" w:color="auto"/>
        <w:right w:val="none" w:sz="0" w:space="0" w:color="auto"/>
      </w:divBdr>
    </w:div>
    <w:div w:id="2079476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456</Words>
  <Characters>2604</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NIH</dc:creator>
  <cp:keywords/>
  <dc:description/>
  <cp:lastModifiedBy>USER</cp:lastModifiedBy>
  <cp:revision>5</cp:revision>
  <dcterms:created xsi:type="dcterms:W3CDTF">2025-05-22T18:28:00Z</dcterms:created>
  <dcterms:modified xsi:type="dcterms:W3CDTF">2025-05-25T00:52:00Z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f23d4694-b3fd-41a0-aab4-030029ac45af</vt:lpwstr>
  </property>
</Properties>
</file>