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EF10">
      <w:pPr>
        <w:jc w:val="left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eastAsia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 S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1</w:t>
      </w:r>
      <w:r>
        <w:rPr>
          <w:rFonts w:hint="eastAsia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>.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Classification of patients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9163"/>
      </w:tblGrid>
      <w:tr w14:paraId="1DCE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8B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Classification</w:t>
            </w:r>
          </w:p>
        </w:tc>
        <w:tc>
          <w:tcPr>
            <w:tcW w:w="9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D3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Patient characteristics</w:t>
            </w:r>
          </w:p>
        </w:tc>
      </w:tr>
      <w:tr w14:paraId="267B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3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1C2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Low-dose anti-resorptive drug group</w:t>
            </w:r>
            <w:r>
              <w:rPr>
                <w:rFonts w:hint="eastAsia" w:ascii="Times New Roman Regular" w:hAnsi="Times New Roman Regular" w:cs="Times New Roman Regular"/>
                <w:sz w:val="20"/>
                <w:szCs w:val="20"/>
                <w:lang w:val="en-US" w:eastAsia="zh-CN"/>
              </w:rPr>
              <w:t xml:space="preserve"> (LDA)</w:t>
            </w:r>
          </w:p>
        </w:tc>
        <w:tc>
          <w:tcPr>
            <w:tcW w:w="91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7F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Patients with non-neoplastic disease (mostly patients with primary or secondary osteoporosis, or those who are preventing osteoporosis) are treated with oral or intravenous medications. Common drugs include alendronate, etc.</w:t>
            </w:r>
          </w:p>
        </w:tc>
      </w:tr>
      <w:tr w14:paraId="4A35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7DB0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High-dose anti-resorptive drug group</w:t>
            </w:r>
            <w:r>
              <w:rPr>
                <w:rFonts w:hint="eastAsia" w:ascii="Times New Roman Regular" w:hAnsi="Times New Roman Regular" w:cs="Times New Roman Regular"/>
                <w:sz w:val="20"/>
                <w:szCs w:val="20"/>
                <w:lang w:val="en-US" w:eastAsia="zh-CN"/>
              </w:rPr>
              <w:t xml:space="preserve"> (HDA)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</w:tcPr>
          <w:p w14:paraId="5B9D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 xml:space="preserve">Patients with bone metastatic lesions of malignant tumors or giant cell tumors of bone treated by intravenous or subcutaneous administration; common drugs include </w:t>
            </w:r>
            <w:r>
              <w:rPr>
                <w:rFonts w:hint="eastAsia" w:ascii="Times New Roman Regular" w:hAnsi="Times New Roman Regular" w:cs="Times New Roman Regular"/>
                <w:sz w:val="20"/>
                <w:szCs w:val="20"/>
                <w:lang w:val="en-US" w:eastAsia="zh-CN"/>
              </w:rPr>
              <w:t>z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 xml:space="preserve">oledronic </w:t>
            </w:r>
            <w:r>
              <w:rPr>
                <w:rFonts w:hint="eastAsia" w:ascii="Times New Roman Regular" w:hAnsi="Times New Roman Regular" w:cs="Times New Roman Regular"/>
                <w:sz w:val="20"/>
                <w:szCs w:val="20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 xml:space="preserve">cid and </w:t>
            </w:r>
            <w:r>
              <w:rPr>
                <w:rFonts w:hint="eastAsia" w:ascii="Times New Roman Regular" w:hAnsi="Times New Roman Regular" w:cs="Times New Roman Regular"/>
                <w:sz w:val="20"/>
                <w:szCs w:val="20"/>
                <w:lang w:val="en-US" w:eastAsia="zh-CN"/>
              </w:rPr>
              <w:t>D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esutumab.</w:t>
            </w:r>
          </w:p>
        </w:tc>
      </w:tr>
    </w:tbl>
    <w:p w14:paraId="23A5423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43DB56E">
      <w:pPr>
        <w:rPr>
          <w:rStyle w:val="4"/>
          <w:rFonts w:ascii="Times New Roman Regular" w:hAnsi="Times New Roman Regular" w:cs="Times New Roman Regular"/>
          <w:color w:val="auto"/>
          <w:sz w:val="20"/>
          <w:szCs w:val="20"/>
        </w:rPr>
      </w:pPr>
      <w:r>
        <w:rPr>
          <w:rStyle w:val="4"/>
          <w:rFonts w:ascii="Times New Roman Regular" w:hAnsi="Times New Roman Regular" w:cs="Times New Roman Regular"/>
          <w:color w:val="auto"/>
          <w:sz w:val="20"/>
          <w:szCs w:val="20"/>
        </w:rPr>
        <w:t>Table</w:t>
      </w:r>
      <w:r>
        <w:rPr>
          <w:rFonts w:ascii="Times New Roman Regular" w:hAnsi="Times New Roman Regular" w:cs="Times New Roman Regular"/>
          <w:b/>
          <w:bCs/>
          <w:kern w:val="0"/>
          <w:sz w:val="20"/>
          <w:szCs w:val="20"/>
        </w:rPr>
        <w:t xml:space="preserve"> </w:t>
      </w:r>
      <w:r>
        <w:rPr>
          <w:rFonts w:hint="eastAsia" w:ascii="Times New Roman Regular" w:hAnsi="Times New Roman Regular" w:cs="Times New Roman Regular"/>
          <w:b/>
          <w:bCs/>
          <w:kern w:val="0"/>
          <w:sz w:val="20"/>
          <w:szCs w:val="20"/>
          <w:lang w:val="en-US" w:eastAsia="zh-CN"/>
        </w:rPr>
        <w:t>S2.</w:t>
      </w:r>
      <w:r>
        <w:rPr>
          <w:rFonts w:hint="eastAsia" w:ascii="Times New Roman Regular" w:hAnsi="Times New Roman Regular" w:cs="Times New Roman Regular"/>
          <w:b w:val="0"/>
          <w:bCs w:val="0"/>
          <w:kern w:val="0"/>
          <w:sz w:val="20"/>
          <w:szCs w:val="20"/>
          <w:lang w:val="en-US" w:eastAsia="zh-CN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Clinical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baseline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data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of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patients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with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MRONJ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after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tooth</w:t>
      </w:r>
      <w:r>
        <w:rPr>
          <w:rFonts w:ascii="Times New Roman Regular" w:hAnsi="Times New Roman Regular" w:cs="Times New Roman Regular"/>
          <w:b w:val="0"/>
          <w:bCs w:val="0"/>
          <w:kern w:val="0"/>
          <w:sz w:val="20"/>
          <w:szCs w:val="20"/>
        </w:rPr>
        <w:t xml:space="preserve"> </w:t>
      </w:r>
      <w:r>
        <w:rPr>
          <w:rStyle w:val="4"/>
          <w:rFonts w:ascii="Times New Roman Regular" w:hAnsi="Times New Roman Regular" w:cs="Times New Roman Regular"/>
          <w:b w:val="0"/>
          <w:bCs w:val="0"/>
          <w:color w:val="auto"/>
          <w:sz w:val="20"/>
          <w:szCs w:val="20"/>
        </w:rPr>
        <w:t>extraction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70"/>
        <w:gridCol w:w="600"/>
        <w:gridCol w:w="1480"/>
        <w:gridCol w:w="1320"/>
        <w:gridCol w:w="1250"/>
        <w:gridCol w:w="1486"/>
        <w:gridCol w:w="1944"/>
        <w:gridCol w:w="1525"/>
        <w:gridCol w:w="1242"/>
        <w:gridCol w:w="1471"/>
      </w:tblGrid>
      <w:tr w14:paraId="0D02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50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Number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82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Sex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853C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Age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53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Pr</w:t>
            </w:r>
            <w:r>
              <w:rPr>
                <w:rStyle w:val="4"/>
                <w:rFonts w:hint="eastAsia" w:ascii="Times New Roman Regular" w:hAnsi="Times New Roman Regular" w:cs="Times New Roman Regular"/>
                <w:color w:val="auto"/>
                <w:sz w:val="20"/>
                <w:szCs w:val="20"/>
                <w:lang w:val="en-US" w:eastAsia="zh-CN"/>
              </w:rPr>
              <w:t>imary</w:t>
            </w: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 xml:space="preserve"> disease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29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hint="eastAsia" w:ascii="Times New Roman Regular" w:hAnsi="Times New Roman Regular" w:cs="Times New Roman Regular"/>
                <w:color w:val="auto"/>
                <w:sz w:val="20"/>
                <w:szCs w:val="20"/>
                <w:lang w:val="en-US" w:eastAsia="zh-CN"/>
              </w:rPr>
              <w:t>Systemic</w:t>
            </w: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 xml:space="preserve"> disease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5F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Way of medicine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1CF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Duration of</w:t>
            </w: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br w:type="textWrapping"/>
            </w: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medication-yr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5F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Medicine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08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Sites of tooth</w:t>
            </w: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br w:type="textWrapping"/>
            </w: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extraction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86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Indications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06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Unhealedsites</w:t>
            </w:r>
          </w:p>
        </w:tc>
      </w:tr>
      <w:tr w14:paraId="029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AA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E6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Female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F3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60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3B0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Breast cancer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32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diabetes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E9C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Intravenous injection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E9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7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8E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Zoledronicacid+</w:t>
            </w:r>
          </w:p>
          <w:p w14:paraId="0315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Anlotinib hydrochloride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8B4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15\14\24\25\32\</w:t>
            </w:r>
          </w:p>
          <w:p w14:paraId="4588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42\48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D3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Periodontitis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2F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48</w:t>
            </w:r>
          </w:p>
        </w:tc>
      </w:tr>
      <w:tr w14:paraId="0B90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34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88B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Female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E2C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72B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Brcast cancer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E5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diabetes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BE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Intravenous injection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7B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53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Zoledronic acid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F0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36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95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Periodontitis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2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</w:pPr>
            <w:r>
              <w:rPr>
                <w:rStyle w:val="4"/>
                <w:rFonts w:ascii="Times New Roman Regular" w:hAnsi="Times New Roman Regular" w:cs="Times New Roman Regular"/>
                <w:color w:val="auto"/>
                <w:sz w:val="20"/>
                <w:szCs w:val="20"/>
              </w:rPr>
              <w:t>36</w:t>
            </w:r>
          </w:p>
        </w:tc>
      </w:tr>
    </w:tbl>
    <w:p w14:paraId="0D79513E">
      <w:pPr>
        <w:rPr>
          <w:rStyle w:val="4"/>
          <w:rFonts w:hint="default" w:ascii="Times New Roman Regular" w:hAnsi="Times New Roman Regular" w:cs="Times New Roman Regular"/>
          <w:sz w:val="20"/>
          <w:szCs w:val="20"/>
          <w:lang w:val="en-US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 Regular" w:hAnsi="Times New Roman Regular" w:cs="Times New Roman Regular"/>
          <w:b w:val="0"/>
          <w:bCs w:val="0"/>
          <w:sz w:val="20"/>
          <w:szCs w:val="20"/>
          <w:lang w:val="en-US" w:eastAsia="zh-CN"/>
        </w:rPr>
        <w:t>Patient 1 had an exposed jaw 1 month after surgery ,in patient 2 the mucosa showed obvious redness and swelling 2 months after surgery,and the fistula reached the bone surface.Both patients were diagnosed with MRONJ.</w:t>
      </w:r>
    </w:p>
    <w:p w14:paraId="661970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F07"/>
    <w:rsid w:val="18527005"/>
    <w:rsid w:val="7FBFF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ascii="宋体" w:hAnsi="宋体" w:eastAsia="宋体" w:cs="宋体"/>
      <w:b/>
      <w:bCs/>
      <w:color w:val="004ED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1089</Characters>
  <Lines>0</Lines>
  <Paragraphs>0</Paragraphs>
  <TotalTime>0</TotalTime>
  <ScaleCrop>false</ScaleCrop>
  <LinksUpToDate>false</LinksUpToDate>
  <CharactersWithSpaces>1214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2025-03-12T22:14:00Z</dcterms:created>
  <dc:creator>Kristinhhh</dc:creator>
  <cp:lastModifiedBy>Kristinhhh</cp:lastModifiedBy>
  <dcterms:modified xsi:type="dcterms:W3CDTF">2025-06-29T08:49:22Z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B768BF6E0F5045F7A6DFCDEB04F93C6A_13</vt:lpwstr>
  </property>
</Properties>
</file>