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D8A19A" w14:textId="77777777" w:rsidR="00E476B9" w:rsidRDefault="00E476B9" w:rsidP="00E476B9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bCs/>
          <w:noProof/>
          <w:color w:val="000000" w:themeColor="text1"/>
          <w:sz w:val="24"/>
          <w:szCs w:val="24"/>
        </w:rPr>
        <w:drawing>
          <wp:inline distT="0" distB="0" distL="114300" distR="114300" wp14:anchorId="58A68756" wp14:editId="07A2C071">
            <wp:extent cx="4504690" cy="8853805"/>
            <wp:effectExtent l="0" t="0" r="10160" b="4445"/>
            <wp:docPr id="9" name="图片 9" descr="Supplementary Figure1 proof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Supplementary Figure1 proof-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04690" cy="8853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BC7341" w14:textId="77777777" w:rsidR="00E476B9" w:rsidRDefault="00E476B9" w:rsidP="00E476B9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Supplementary figure legend</w:t>
      </w:r>
    </w:p>
    <w:p w14:paraId="3E9E4414" w14:textId="77777777" w:rsidR="00E476B9" w:rsidRDefault="00E476B9" w:rsidP="00E476B9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Figure S1. Evaluation of cell proliferation in the (A) Caco-2 and (B) HCT-116 cell groups </w:t>
      </w:r>
      <w:r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in vitro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as determined by Cell Counting Kit-8 assay (n=3).</w:t>
      </w:r>
      <w:r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 (C) </w:t>
      </w:r>
      <w:r>
        <w:rPr>
          <w:rFonts w:ascii="Times New Roman" w:hAnsi="Times New Roman" w:cs="Times New Roman"/>
          <w:sz w:val="24"/>
          <w:szCs w:val="24"/>
        </w:rPr>
        <w:t>Representative images of sphere formation assay in Caco-2 cells.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</w:t>
      </w:r>
      <w:r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D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) Endogenous interaction between HIF-1α and TCF7L2 in Caco-2 and HCT-116 cells under normoxia was analyzed using co-IP assay with anti-HIF-1α and anti-TCF7L2 antibodies. IgG was used as a negative control (n=3). </w:t>
      </w:r>
      <w:r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 xml:space="preserve">(E) </w:t>
      </w:r>
      <w:r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Representative immunohistochemical staining images depict low and high protein expression levels of HIF-1α and TCF7L2 in colorectal cancer</w:t>
      </w:r>
      <w:r>
        <w:rPr>
          <w:rFonts w:ascii="Times New Roman" w:eastAsia="DengXian" w:hAnsi="Times New Roman" w:cs="Times New Roman" w:hint="eastAsia"/>
          <w:color w:val="000000" w:themeColor="text1"/>
          <w:sz w:val="24"/>
          <w:szCs w:val="24"/>
        </w:rPr>
        <w:t xml:space="preserve"> tumor</w:t>
      </w:r>
      <w:r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 xml:space="preserve"> tissues.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HIF, hypoxia-inducible factor; IB, immunoblot; IgG, immunoglobulin G; IP, immunoprecipitation; sh, short hairpin; TCF7L2,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transcription factor 7-like 2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p w14:paraId="5FDDB5E2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6B9"/>
    <w:rsid w:val="00011C58"/>
    <w:rsid w:val="0006021D"/>
    <w:rsid w:val="00331A6B"/>
    <w:rsid w:val="00445E8E"/>
    <w:rsid w:val="00755780"/>
    <w:rsid w:val="00857596"/>
    <w:rsid w:val="00C025DD"/>
    <w:rsid w:val="00E47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DAE379"/>
  <w15:chartTrackingRefBased/>
  <w15:docId w15:val="{46021C79-5231-44F2-8F2C-208F7074A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76B9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76B9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76B9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76B9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76B9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76B9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76B9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76B9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76B9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76B9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76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76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76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76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76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76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76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76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76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76B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476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76B9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476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76B9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476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76B9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476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76B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76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76B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115</Words>
  <Characters>660</Characters>
  <Application>Microsoft Office Word</Application>
  <DocSecurity>0</DocSecurity>
  <Lines>5</Lines>
  <Paragraphs>1</Paragraphs>
  <ScaleCrop>false</ScaleCrop>
  <Company>Springer Nature</Company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2025-07-03T13:19:00Z</dcterms:created>
  <dcterms:modified xsi:type="dcterms:W3CDTF">2025-07-03T13:20:00Z</dcterms:modified>
</cp:coreProperties>
</file>