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F8A610" w14:textId="77777777" w:rsidR="00067AD2" w:rsidRDefault="00001258">
      <w:pPr>
        <w:rPr>
          <w:b/>
        </w:rPr>
      </w:pPr>
      <w:r>
        <w:rPr>
          <w:b/>
        </w:rPr>
        <w:t>Supplementary Information</w:t>
      </w:r>
    </w:p>
    <w:p w14:paraId="22F8A611" w14:textId="77777777" w:rsidR="00067AD2" w:rsidRDefault="00067AD2">
      <w:pPr>
        <w:rPr>
          <w:b/>
        </w:rPr>
      </w:pPr>
    </w:p>
    <w:p w14:paraId="22F8A612" w14:textId="77777777" w:rsidR="00067AD2" w:rsidRDefault="00067AD2">
      <w:pPr>
        <w:rPr>
          <w:b/>
          <w:sz w:val="20"/>
          <w:szCs w:val="20"/>
        </w:rPr>
      </w:pPr>
    </w:p>
    <w:p w14:paraId="22F8A613" w14:textId="77777777" w:rsidR="00067AD2" w:rsidRDefault="00067AD2">
      <w:pPr>
        <w:spacing w:line="259" w:lineRule="auto"/>
        <w:rPr>
          <w:sz w:val="20"/>
          <w:szCs w:val="20"/>
        </w:rPr>
      </w:pPr>
    </w:p>
    <w:p w14:paraId="22F8A614" w14:textId="7B4CA499" w:rsidR="00067AD2" w:rsidRPr="00892867" w:rsidRDefault="00001258" w:rsidP="00892867">
      <w:pPr>
        <w:rPr>
          <w:sz w:val="20"/>
          <w:szCs w:val="20"/>
        </w:rPr>
      </w:pPr>
      <w:r w:rsidRPr="00892867">
        <w:rPr>
          <w:b/>
          <w:sz w:val="20"/>
          <w:szCs w:val="20"/>
        </w:rPr>
        <w:t xml:space="preserve">1. </w:t>
      </w:r>
      <w:r w:rsidRPr="00892867">
        <w:rPr>
          <w:b/>
          <w:i/>
          <w:sz w:val="20"/>
          <w:szCs w:val="20"/>
        </w:rPr>
        <w:t>Phytophthora ramorum</w:t>
      </w:r>
      <w:r w:rsidRPr="00892867">
        <w:rPr>
          <w:b/>
          <w:sz w:val="20"/>
          <w:szCs w:val="20"/>
        </w:rPr>
        <w:t xml:space="preserve"> sampling, processing and genome sequencing.</w:t>
      </w:r>
      <w:r w:rsidRPr="00892867">
        <w:rPr>
          <w:i/>
          <w:sz w:val="20"/>
          <w:szCs w:val="20"/>
        </w:rPr>
        <w:t xml:space="preserve"> Phytophthora ramorum </w:t>
      </w:r>
      <w:r w:rsidRPr="00892867">
        <w:rPr>
          <w:sz w:val="20"/>
          <w:szCs w:val="20"/>
        </w:rPr>
        <w:t xml:space="preserve">samples were obtained during regulatory nursery inspections by the Canadian Food Inspection Agency (CFIA) in BC, Canada. Leaf samples showing lesions were tested by qPCR for presence of </w:t>
      </w:r>
      <w:r w:rsidRPr="00892867">
        <w:rPr>
          <w:i/>
          <w:sz w:val="20"/>
          <w:szCs w:val="20"/>
        </w:rPr>
        <w:t>P. ramorum</w:t>
      </w:r>
      <w:r w:rsidRPr="00CB1973">
        <w:rPr>
          <w:sz w:val="20"/>
          <w:szCs w:val="20"/>
        </w:rPr>
        <w:fldChar w:fldCharType="begin"/>
      </w:r>
      <w:r w:rsidR="005270ED">
        <w:rPr>
          <w:sz w:val="20"/>
          <w:szCs w:val="20"/>
        </w:rPr>
        <w:instrText xml:space="preserve"> ADDIN ZOTERO_ITEM CSL_CITATION {"citationID":"a2o0d5i1367","properties":{"formattedCitation":"\\super 1\\nosupersub{}","plainCitation":"1","noteIndex":0},"citationItems":[{"id":3272,"uris":["http://zotero.org/users/15948/items/N9ARV3JZ"],"uri":["http://zotero.org/users/15948/items/N9ARV3JZ"],"itemData":{"id":3272,"type":"article-journal","container-title":"Phytopathology","page":"632–642","title":"Molecular detection of &lt;i&gt;Phytophthora ramorum&lt;/i&gt;  by real-time PCR using Taqman, SYBR Green and molecular beacons with three genes","volume":"97","author":[{"family":"Bilodeau","given":"G J"},{"family":"Lévesque","given":"C A"},{"family":"Cock","given":"A","dropping-particle":"de"},{"family":"Duchaine","given":"C"},{"family":"Kristjansson","given":"G"},{"family":"Hamelin","given":"R C"}],"issued":{"date-parts":[["2007"]]}}}],"schema":"https://github.com/citation-style-language/schema/raw/master/csl-citation.json"} </w:instrText>
      </w:r>
      <w:r w:rsidRPr="00CB1973">
        <w:rPr>
          <w:sz w:val="20"/>
          <w:szCs w:val="20"/>
        </w:rPr>
        <w:fldChar w:fldCharType="separate"/>
      </w:r>
      <w:r w:rsidR="007C0648" w:rsidRPr="007C0648">
        <w:rPr>
          <w:sz w:val="20"/>
          <w:vertAlign w:val="superscript"/>
          <w:lang w:val="en-US"/>
        </w:rPr>
        <w:t>1</w:t>
      </w:r>
      <w:r w:rsidRPr="00CB1973">
        <w:rPr>
          <w:sz w:val="20"/>
          <w:szCs w:val="20"/>
        </w:rPr>
        <w:fldChar w:fldCharType="end"/>
      </w:r>
      <w:r w:rsidRPr="00CB1973">
        <w:rPr>
          <w:sz w:val="20"/>
          <w:szCs w:val="20"/>
        </w:rPr>
        <w:t xml:space="preserve"> </w:t>
      </w:r>
      <w:r w:rsidRPr="00892867">
        <w:rPr>
          <w:sz w:val="20"/>
          <w:szCs w:val="20"/>
        </w:rPr>
        <w:t xml:space="preserve">and cultures were obtained from positive samples by plating on culture media. Species and lineages of the </w:t>
      </w:r>
      <w:r w:rsidRPr="00892867">
        <w:rPr>
          <w:i/>
          <w:sz w:val="20"/>
          <w:szCs w:val="20"/>
        </w:rPr>
        <w:t>P. ramorum</w:t>
      </w:r>
      <w:r w:rsidRPr="00892867">
        <w:rPr>
          <w:sz w:val="20"/>
          <w:szCs w:val="20"/>
        </w:rPr>
        <w:t xml:space="preserve"> isolates used for genome sequencing in this study were determined with a qPCR assays that targets 4 single nucleotide polymorphisms (SNP) </w:t>
      </w:r>
      <w:r w:rsidRPr="00892867">
        <w:rPr>
          <w:sz w:val="20"/>
          <w:szCs w:val="20"/>
          <w:highlight w:val="white"/>
        </w:rPr>
        <w:t>in the cellulose binding elicitor lectin (CBEL)</w:t>
      </w:r>
      <w:hyperlink r:id="rId4">
        <w:r w:rsidRPr="00892867">
          <w:rPr>
            <w:sz w:val="20"/>
            <w:szCs w:val="20"/>
            <w:vertAlign w:val="superscript"/>
          </w:rPr>
          <w:t>2</w:t>
        </w:r>
      </w:hyperlink>
      <w:r w:rsidRPr="00892867">
        <w:rPr>
          <w:sz w:val="20"/>
          <w:szCs w:val="20"/>
        </w:rPr>
        <w:t xml:space="preserve"> locus using a</w:t>
      </w:r>
      <w:r w:rsidRPr="00892867">
        <w:rPr>
          <w:sz w:val="20"/>
          <w:szCs w:val="20"/>
          <w:highlight w:val="white"/>
        </w:rPr>
        <w:t xml:space="preserve">llele-specific oligonucleotide assays. This assay allows </w:t>
      </w:r>
      <w:r w:rsidRPr="00892867">
        <w:rPr>
          <w:sz w:val="20"/>
          <w:szCs w:val="20"/>
        </w:rPr>
        <w:t xml:space="preserve">assignment to </w:t>
      </w:r>
      <w:r w:rsidRPr="00892867">
        <w:rPr>
          <w:i/>
          <w:sz w:val="20"/>
          <w:szCs w:val="20"/>
        </w:rPr>
        <w:t>P. ramorum</w:t>
      </w:r>
      <w:r w:rsidRPr="00892867">
        <w:rPr>
          <w:sz w:val="20"/>
          <w:szCs w:val="20"/>
        </w:rPr>
        <w:t xml:space="preserve"> lineages EU1, EU2, NA1 and NA2</w:t>
      </w:r>
      <w:r w:rsidRPr="00892867">
        <w:rPr>
          <w:sz w:val="20"/>
          <w:szCs w:val="20"/>
        </w:rPr>
        <w:fldChar w:fldCharType="begin"/>
      </w:r>
      <w:r w:rsidR="001515FF">
        <w:rPr>
          <w:sz w:val="20"/>
          <w:szCs w:val="20"/>
        </w:rPr>
        <w:instrText xml:space="preserve"> ADDIN ZOTERO_ITEM CSL_CITATION {"citationID":"uI7WjFtP","properties":{"formattedCitation":"\\super 2\\nosupersub{}","plainCitation":"2","noteIndex":0},"citationItems":[{"id":5249,"uris":["http://zotero.org/users/15948/items/CFDXG6P7"],"uri":["http://zotero.org/users/15948/items/CFDXG6P7"],"itemData":{"id":5249,"type":"article-journal","container-title":"Canadian Journal of Plant Pathology","issue":"3","note":"publisher: Taylor &amp; Francis","page":"367–376","title":"Real-time PCR assay to distinguish &lt;i&gt;Phytophthora ramorum&lt;/i&gt; lineages using the cellulose binding elicitor lectin (CBEL) locus","volume":"36","author":[{"family":"Gagnon","given":"Marie-Claude"},{"family":"Bergeron","given":"Marie-Josée"},{"family":"Hamelin","given":"Richard C"},{"family":"Grünwald","given":"Niklaus J"},{"family":"Bilodeau","given":"Guillaume J"}],"issued":{"date-parts":[["2014"]]}}}],"schema":"https://github.com/citation-style-language/schema/raw/master/csl-citation.json"} </w:instrText>
      </w:r>
      <w:r w:rsidRPr="00892867">
        <w:rPr>
          <w:sz w:val="20"/>
          <w:szCs w:val="20"/>
        </w:rPr>
        <w:fldChar w:fldCharType="separate"/>
      </w:r>
      <w:r w:rsidR="00892867" w:rsidRPr="00892867">
        <w:rPr>
          <w:sz w:val="20"/>
          <w:szCs w:val="20"/>
          <w:vertAlign w:val="superscript"/>
          <w:lang w:val="en-US"/>
        </w:rPr>
        <w:t>2</w:t>
      </w:r>
      <w:r w:rsidRPr="00892867">
        <w:rPr>
          <w:sz w:val="20"/>
          <w:szCs w:val="20"/>
        </w:rPr>
        <w:fldChar w:fldCharType="end"/>
      </w:r>
      <w:r w:rsidRPr="00892867">
        <w:rPr>
          <w:sz w:val="20"/>
          <w:szCs w:val="20"/>
        </w:rPr>
        <w:t xml:space="preserve">. Genomes of </w:t>
      </w:r>
      <w:r w:rsidRPr="00892867">
        <w:rPr>
          <w:i/>
          <w:sz w:val="20"/>
          <w:szCs w:val="20"/>
        </w:rPr>
        <w:t>P. ramorum</w:t>
      </w:r>
      <w:r w:rsidRPr="00892867">
        <w:rPr>
          <w:sz w:val="20"/>
          <w:szCs w:val="20"/>
        </w:rPr>
        <w:t xml:space="preserve"> isolates from the North American and European clonal lineages collected from different years and geographical regions (Table S2) were either sequenced for this study or obtained from published sources</w:t>
      </w:r>
      <w:r w:rsidRPr="00892867">
        <w:rPr>
          <w:sz w:val="20"/>
          <w:szCs w:val="20"/>
        </w:rPr>
        <w:fldChar w:fldCharType="begin"/>
      </w:r>
      <w:r w:rsidR="00892867" w:rsidRPr="00892867">
        <w:rPr>
          <w:sz w:val="20"/>
          <w:szCs w:val="20"/>
        </w:rPr>
        <w:instrText xml:space="preserve"> ADDIN ZOTERO_ITEM CSL_CITATION {"citationID":"aneeek0g59","properties":{"formattedCitation":"\\super 3\\uc0\\u8211{}5\\nosupersub{}","plainCitation":"3–5","noteIndex":0},"citationItems":[{"id":4867,"uris":["http://zotero.org/users/15948/items/7ZQCJKQY"],"uri":["http://zotero.org/users/15948/items/7ZQCJKQY"],"itemData":{"id":4867,"type":"article-journal","abstract":"Invasive alien species often have reduced genetic diversity and must adapt to new environments. Given the success of many invasions, this is sometimes called the genetic paradox of invasion. Phytophthora ramorum is invasive, limited to asexual reproduction within four lineages, and presumed clonal. It is responsible for sudden oak death in the United States, sudden larch death in Europe, and ramorum blight in North America and Europe. We sequenced the genomes of 107 isolates to determine how this pathogen can overcome the invasion paradox. Mitotic recombination (MR) associated with transposons and low gene density has generated runs of homozygosity (ROH) affecting 2,698 genes, resulting in novel genotypic diversity within the lineages. One ROH enriched in effectors was fixed in the NA1 lineage. An independent ROH affected the same scaffold in the EU1 lineage, suggesting an MR hot spot and a selection target. Differences in host infection between EU1 isolates with and without the ROH suggest that they may differ in aggressiveness. Non-core regions (not shared by all lineages) had signatures of accelerated evolution and were enriched in putative pathogenicity genes and transposons. There was a striking pattern of gene loss, including all effectors, in the non-core EU2 genome. Positive selection was observed in 8.0% of RxLR and 18.8% of Crinkler effector genes compared with 0.9% of the core eukaryotic gene set. We conclude that the P. ramorum lineages are diverging via a rapidly evolving non-core genome and that the invasive asexual lineages are not clonal, but display genotypic diversity caused by MR.IMPORTANCE Alien species are often successful invaders in new environments, despite the introduction of a few isolates with a reduced genetic pool. This is called the genetic paradox of invasion. We found two mechanisms by which the invasive forest pathogen causing sudden oak and sudden larch death can evolve. Extensive mitotic recombination producing runs of homozygosity generates genotypic diversity even in the absence of sexual reproduction, and rapid turnover of genes in the non-core, or nonessential portion of genome not shared by all isolates, allows pathogenicity genes to evolve rapidly or be eliminated while retaining essential genes. Mitotic recombination events occur in genomic hot spots, resulting in similar ROH patterns in different isolates or groups; one ROH, independently generated in two different groups, was enriched in pathogenicity genes and may be a target for selection. This provides important insights into the evolution of invasive alien pathogens and their potential for adaptation and future persistence.","container-title":"mBio","DOI":"10.1128/mBio.02452-18","issue":"2","page":"e02452-18","title":"Mitotic recombination and rapid genome evolution in the invasive forest pathogen &lt;i&gt;Phytophthora ramorum&lt;/i&gt;","volume":"10","author":[{"family":"Dale","given":"Angela L."},{"family":"Feau","given":"Nicolas"},{"family":"Everhart","given":"Sydney E."},{"family":"Dhillon","given":"Braham"},{"family":"Wong","given":"Barbara"},{"family":"Sheppard","given":"Julie"},{"family":"Bilodeau","given":"Guillaume J."},{"family":"Brar","given":"Avneet"},{"family":"Tabima","given":"Javier F."},{"family":"Shen","given":"Danyu"},{"family":"Brasier","given":"Clive M."},{"family":"Tyler","given":"Brett M."},{"family":"Grünwald","given":"Niklaus J."},{"family":"Hamelin","given":"Richard C."}],"editor":[{"family":"Taylor","given":"John W."}],"issued":{"date-parts":[["2019",4,30]]}}},{"id":5238,"uris":["http://zotero.org/users/15948/items/96Z5Z5JW"],"uri":["http://zotero.org/users/15948/items/96Z5Z5JW"],"itemData":{"id":5238,"type":"paper-conference","container-title":"Proceedings of the sudden oak death sixth science symposium. Gen. Tech. Rep. GTR-PSW-255. Albany, CA: US Department of Agriculture, Forest Service, Pacific Southwest Research Station: 105-106.","page":"105–106","title":"Resequencing of the &lt;i&gt;Phytophthora ramorum&lt;/i&gt; genome to characterize genetic variation and population dynamics of the invasive pathogen","author":[{"family":"Yuzon","given":"Jennifer"},{"family":"Rizzo","given":"David M"},{"family":"Tripathy","given":"Sucheta"},{"family":"Kasuga","given":"Takao"},{"literal":"others"}],"issued":{"date-parts":[["2017"]]}}},{"id":1159,"uris":["http://zotero.org/groups/2147964/items/ATL43TZ7"],"uri":["http://zotero.org/groups/2147964/items/ATL43TZ7"],"itemData":{"id":1159,"type":"article-journal","container-title":"Genomics Data","DOI":"10.1016/j.gdata.2017.02.006","ISSN":"22135960","language":"en","page":"17-21","source":"Crossref","title":"Genome sequences of 12 isolates of the EU1 lineage of &lt;i&gt;Phytophthora ramorum&lt;/i&gt;, a fungus-like pathogen that causes extensive damage and mortality to a wide range of trees and other plants","volume":"12","author":[{"family":"Turner","given":"Judith"},{"family":"O'Neill","given":"Paul"},{"family":"Grant","given":"Murray"},{"family":"Mumford","given":"Rick A."},{"family":"Thwaites","given":"Richard"},{"family":"Studholme","given":"David J."}],"issued":{"date-parts":[["2017",6]]}}}],"schema":"https://github.com/citation-style-language/schema/raw/master/csl-citation.json"} </w:instrText>
      </w:r>
      <w:r w:rsidRPr="00892867">
        <w:rPr>
          <w:sz w:val="20"/>
          <w:szCs w:val="20"/>
        </w:rPr>
        <w:fldChar w:fldCharType="separate"/>
      </w:r>
      <w:r w:rsidR="00892867" w:rsidRPr="00892867">
        <w:rPr>
          <w:sz w:val="20"/>
          <w:szCs w:val="20"/>
          <w:vertAlign w:val="superscript"/>
          <w:lang w:val="en-US"/>
        </w:rPr>
        <w:t>3–5</w:t>
      </w:r>
      <w:r w:rsidRPr="00892867">
        <w:rPr>
          <w:sz w:val="20"/>
          <w:szCs w:val="20"/>
        </w:rPr>
        <w:fldChar w:fldCharType="end"/>
      </w:r>
      <w:r w:rsidRPr="00892867">
        <w:rPr>
          <w:sz w:val="20"/>
          <w:szCs w:val="20"/>
        </w:rPr>
        <w:t xml:space="preserve"> . Isolates used for genome sequencing in the current study were grown on 5% V8 juice agar</w:t>
      </w:r>
      <w:r w:rsidRPr="00892867">
        <w:rPr>
          <w:sz w:val="20"/>
          <w:szCs w:val="20"/>
        </w:rPr>
        <w:fldChar w:fldCharType="begin"/>
      </w:r>
      <w:r w:rsidR="00892867" w:rsidRPr="00892867">
        <w:rPr>
          <w:sz w:val="20"/>
          <w:szCs w:val="20"/>
        </w:rPr>
        <w:instrText xml:space="preserve"> ADDIN ZOTERO_ITEM CSL_CITATION {"citationID":"a2a4jt3qvd5","properties":{"formattedCitation":"\\super 6\\nosupersub{}","plainCitation":"6","noteIndex":0},"citationItems":[{"id":5279,"uris":["http://zotero.org/users/15948/items/TQL9HXH4"],"uri":["http://zotero.org/users/15948/items/TQL9HXH4"],"itemData":{"id":5279,"type":"article-journal","container-title":"Phytopathology","page":"461–462","title":"V-8 juice agar as a general-purpose medium for fungal and bacteria","volume":"45","author":[{"family":"Miller","given":"Patrick M"}],"issued":{"date-parts":[["1955"]]}}}],"schema":"https://github.com/citation-style-language/schema/raw/master/csl-citation.json"} </w:instrText>
      </w:r>
      <w:r w:rsidRPr="00892867">
        <w:rPr>
          <w:sz w:val="20"/>
          <w:szCs w:val="20"/>
        </w:rPr>
        <w:fldChar w:fldCharType="separate"/>
      </w:r>
      <w:r w:rsidR="00892867" w:rsidRPr="00892867">
        <w:rPr>
          <w:sz w:val="20"/>
          <w:szCs w:val="20"/>
          <w:vertAlign w:val="superscript"/>
          <w:lang w:val="en-US"/>
        </w:rPr>
        <w:t>6</w:t>
      </w:r>
      <w:r w:rsidRPr="00892867">
        <w:rPr>
          <w:sz w:val="20"/>
          <w:szCs w:val="20"/>
        </w:rPr>
        <w:fldChar w:fldCharType="end"/>
      </w:r>
      <w:r w:rsidRPr="00892867">
        <w:rPr>
          <w:sz w:val="20"/>
          <w:szCs w:val="20"/>
        </w:rPr>
        <w:t xml:space="preserve"> overlaid with a cellophane membrane. After 7 to 10 days, the mycelium was harvested and immediately frozen at -20°C. The mycelium was shock frozen in liquid nitrogen and pulverized with a Mixer Mill (Qiagen, Hillden, Germany) for 30 seconds at a frequency of 1/30. </w:t>
      </w:r>
    </w:p>
    <w:p w14:paraId="22F8A615" w14:textId="22FF958A" w:rsidR="00067AD2" w:rsidRPr="00892867" w:rsidRDefault="00001258" w:rsidP="00892867">
      <w:pPr>
        <w:ind w:firstLine="720"/>
        <w:rPr>
          <w:sz w:val="20"/>
          <w:szCs w:val="20"/>
        </w:rPr>
      </w:pPr>
      <w:r w:rsidRPr="00892867">
        <w:rPr>
          <w:sz w:val="20"/>
          <w:szCs w:val="20"/>
        </w:rPr>
        <w:t>DNA was extracted from approximately 200 mg of tissue following a chloroform extraction protocol including RNAase treatment</w:t>
      </w:r>
      <w:r w:rsidRPr="00892867">
        <w:rPr>
          <w:sz w:val="20"/>
          <w:szCs w:val="20"/>
        </w:rPr>
        <w:fldChar w:fldCharType="begin"/>
      </w:r>
      <w:r w:rsidR="00892867" w:rsidRPr="00892867">
        <w:rPr>
          <w:sz w:val="20"/>
          <w:szCs w:val="20"/>
        </w:rPr>
        <w:instrText xml:space="preserve"> ADDIN ZOTERO_ITEM CSL_CITATION {"citationID":"aeh1q1ecsu","properties":{"formattedCitation":"\\super 7\\nosupersub{}","plainCitation":"7","noteIndex":0},"citationItems":[{"id":5280,"uris":["http://zotero.org/users/15948/items/6YPUWK39"],"uri":["http://zotero.org/users/15948/items/6YPUWK39"],"itemData":{"id":5280,"type":"article-journal","container-title":"Nucleic acids research","issue":"22","note":"publisher: Oxford University Press","page":"6115","title":"A simple and efficient protocol for isolation of high molecular weight DNA from filamentous fungi, fruit bodies, and infected plant tissues.","volume":"20","author":[{"family":"Möller","given":"EM"},{"family":"Bahnweg","given":"G"},{"family":"Sandermann","given":"H"},{"family":"Geiger","given":"HH"}],"issued":{"date-parts":[["1992"]]}}}],"schema":"https://github.com/citation-style-language/schema/raw/master/csl-citation.json"} </w:instrText>
      </w:r>
      <w:r w:rsidRPr="00892867">
        <w:rPr>
          <w:sz w:val="20"/>
          <w:szCs w:val="20"/>
        </w:rPr>
        <w:fldChar w:fldCharType="separate"/>
      </w:r>
      <w:r w:rsidR="00892867" w:rsidRPr="00892867">
        <w:rPr>
          <w:sz w:val="20"/>
          <w:szCs w:val="20"/>
          <w:vertAlign w:val="superscript"/>
          <w:lang w:val="en-US"/>
        </w:rPr>
        <w:t>7</w:t>
      </w:r>
      <w:r w:rsidRPr="00892867">
        <w:rPr>
          <w:sz w:val="20"/>
          <w:szCs w:val="20"/>
        </w:rPr>
        <w:fldChar w:fldCharType="end"/>
      </w:r>
      <w:r w:rsidRPr="00892867">
        <w:rPr>
          <w:sz w:val="20"/>
          <w:szCs w:val="20"/>
        </w:rPr>
        <w:t xml:space="preserve">. DNA was quantified using the Qubit dsDNA BR assay Kit following manufacturer’s instructions. Genome sequencing was done at the McGill University and Génome Québec Innovation Center (Montreal, Quebec, Canada). Illumina libraries were prepared from 100 ng DNA. Libraries were individually barcoded and amplified by 6 PCR cycles before pooling. Sequencing was performed on multiple lanes of the Illumina HiSeq X platform in 150 bp paired end mode. Forty barcoded libraries were pooled in equimolar amounts per sequencing lane. Samples </w:t>
      </w:r>
      <w:r w:rsidRPr="00892867">
        <w:rPr>
          <w:color w:val="3C4043"/>
          <w:sz w:val="20"/>
          <w:szCs w:val="20"/>
          <w:highlight w:val="white"/>
        </w:rPr>
        <w:t>16-237-021</w:t>
      </w:r>
      <w:r w:rsidRPr="00892867">
        <w:rPr>
          <w:sz w:val="20"/>
          <w:szCs w:val="20"/>
        </w:rPr>
        <w:t xml:space="preserve"> and </w:t>
      </w:r>
      <w:r w:rsidRPr="00892867">
        <w:rPr>
          <w:color w:val="3C4043"/>
          <w:sz w:val="20"/>
          <w:szCs w:val="20"/>
          <w:highlight w:val="white"/>
        </w:rPr>
        <w:t>16-284-032</w:t>
      </w:r>
      <w:r w:rsidRPr="00892867">
        <w:rPr>
          <w:sz w:val="20"/>
          <w:szCs w:val="20"/>
        </w:rPr>
        <w:t xml:space="preserve"> were sequenced on the Ion S5 System at the Canadian Food Inspection Agency (Ottawa, Canada). Single-end libraries were prepared with the Ion Plus Fragment Library Kit starting with 100 ng of DNA which was sheared to 400 bp using a Covaris M220 instrument. Libraries were amplified by 8 PCR cycles. Each library was sequenced on an individual Ion Torrent Chip 530 with read length of 400 bp. Sequencing reads were quality-trimmed using Trimmomatic version 0.36</w:t>
      </w:r>
      <w:r w:rsidRPr="00892867">
        <w:rPr>
          <w:sz w:val="20"/>
          <w:szCs w:val="20"/>
        </w:rPr>
        <w:fldChar w:fldCharType="begin"/>
      </w:r>
      <w:r w:rsidR="00892867" w:rsidRPr="00892867">
        <w:rPr>
          <w:sz w:val="20"/>
          <w:szCs w:val="20"/>
        </w:rPr>
        <w:instrText xml:space="preserve"> ADDIN ZOTERO_ITEM CSL_CITATION {"citationID":"a2fm8o1svcq","properties":{"formattedCitation":"\\super 8\\nosupersub{}","plainCitation":"8","noteIndex":0},"citationItems":[{"id":5284,"uris":["http://zotero.org/users/15948/items/R2SN35R7"],"uri":["http://zotero.org/users/15948/items/R2SN35R7"],"itemData":{"id":5284,"type":"article-journal","container-title":"Bioinformatics","issue":"15","note":"publisher: Oxford University Press","page":"2114–2120","title":"Trimmomatic: a flexible trimmer for Illumina sequence data","volume":"30","author":[{"family":"Bolger","given":"Anthony M"},{"family":"Lohse","given":"Marc"},{"family":"Usadel","given":"Bjoern"}],"issued":{"date-parts":[["2014"]]}}}],"schema":"https://github.com/citation-style-language/schema/raw/master/csl-citation.json"} </w:instrText>
      </w:r>
      <w:r w:rsidRPr="00892867">
        <w:rPr>
          <w:sz w:val="20"/>
          <w:szCs w:val="20"/>
        </w:rPr>
        <w:fldChar w:fldCharType="separate"/>
      </w:r>
      <w:r w:rsidR="00892867" w:rsidRPr="00892867">
        <w:rPr>
          <w:sz w:val="20"/>
          <w:szCs w:val="20"/>
          <w:vertAlign w:val="superscript"/>
          <w:lang w:val="en-US"/>
        </w:rPr>
        <w:t>8</w:t>
      </w:r>
      <w:r w:rsidRPr="00892867">
        <w:rPr>
          <w:sz w:val="20"/>
          <w:szCs w:val="20"/>
        </w:rPr>
        <w:fldChar w:fldCharType="end"/>
      </w:r>
      <w:r w:rsidRPr="00892867">
        <w:rPr>
          <w:sz w:val="20"/>
          <w:szCs w:val="20"/>
        </w:rPr>
        <w:t xml:space="preserve"> in the single-end mode (Ion Torrent reads) or paired-end mode (Illumina reads) using the following settings: LEADING:20 TRAILING:20 SLIDINGWINDOW:5:10 MINLEN:50. Adapter remnants were removed from the Illumina reads with the option: ILLUMINACLIP:TruSeq3-PE-2.fa:2:30:10. Ion Torrent adapters were removed in advance using Ion Torrent software. </w:t>
      </w:r>
    </w:p>
    <w:p w14:paraId="22F8A616" w14:textId="77777777" w:rsidR="00067AD2" w:rsidRDefault="00067AD2">
      <w:pPr>
        <w:spacing w:line="259" w:lineRule="auto"/>
        <w:ind w:firstLine="720"/>
        <w:rPr>
          <w:b/>
          <w:sz w:val="20"/>
          <w:szCs w:val="20"/>
        </w:rPr>
      </w:pPr>
    </w:p>
    <w:p w14:paraId="22F8A617" w14:textId="3208B266" w:rsidR="00067AD2" w:rsidRPr="00892867" w:rsidRDefault="00001258" w:rsidP="00892867">
      <w:pPr>
        <w:rPr>
          <w:sz w:val="20"/>
          <w:szCs w:val="20"/>
        </w:rPr>
      </w:pPr>
      <w:r w:rsidRPr="00892867">
        <w:rPr>
          <w:b/>
          <w:sz w:val="20"/>
          <w:szCs w:val="20"/>
        </w:rPr>
        <w:t>2. Variant calling and filtering.</w:t>
      </w:r>
      <w:r w:rsidRPr="00892867">
        <w:rPr>
          <w:sz w:val="20"/>
          <w:szCs w:val="20"/>
        </w:rPr>
        <w:t xml:space="preserve"> Filtered reads were mapped to the </w:t>
      </w:r>
      <w:r w:rsidRPr="00892867">
        <w:rPr>
          <w:i/>
          <w:sz w:val="20"/>
          <w:szCs w:val="20"/>
        </w:rPr>
        <w:t>P. ramorum</w:t>
      </w:r>
      <w:r w:rsidRPr="00892867">
        <w:rPr>
          <w:sz w:val="20"/>
          <w:szCs w:val="20"/>
        </w:rPr>
        <w:t xml:space="preserve"> NA1 lineage reference genome PR-102_v3.1 using bwa mem version 0.7.17</w:t>
      </w:r>
      <w:r w:rsidRPr="00892867">
        <w:rPr>
          <w:sz w:val="20"/>
          <w:szCs w:val="20"/>
        </w:rPr>
        <w:fldChar w:fldCharType="begin"/>
      </w:r>
      <w:r w:rsidR="00892867" w:rsidRPr="00892867">
        <w:rPr>
          <w:sz w:val="20"/>
          <w:szCs w:val="20"/>
        </w:rPr>
        <w:instrText xml:space="preserve"> ADDIN ZOTERO_ITEM CSL_CITATION {"citationID":"a17bc4nio4m","properties":{"formattedCitation":"\\super 9\\nosupersub{}","plainCitation":"9","noteIndex":0},"citationItems":[{"id":5285,"uris":["http://zotero.org/users/15948/items/MX3FB2TS"],"uri":["http://zotero.org/users/15948/items/MX3FB2TS"],"itemData":{"id":5285,"type":"article-journal","container-title":"arXiv preprint arXiv:1303.3997","title":"Aligning sequence reads, clone sequences and assembly contigs with BWA-MEM","author":[{"family":"Li","given":"Heng"}],"issued":{"date-parts":[["2013"]]}}}],"schema":"https://github.com/citation-style-language/schema/raw/master/csl-citation.json"} </w:instrText>
      </w:r>
      <w:r w:rsidRPr="00892867">
        <w:rPr>
          <w:sz w:val="20"/>
          <w:szCs w:val="20"/>
        </w:rPr>
        <w:fldChar w:fldCharType="separate"/>
      </w:r>
      <w:r w:rsidR="00892867" w:rsidRPr="00892867">
        <w:rPr>
          <w:sz w:val="20"/>
          <w:szCs w:val="20"/>
          <w:vertAlign w:val="superscript"/>
          <w:lang w:val="en-US"/>
        </w:rPr>
        <w:t>9</w:t>
      </w:r>
      <w:r w:rsidRPr="00892867">
        <w:rPr>
          <w:sz w:val="20"/>
          <w:szCs w:val="20"/>
        </w:rPr>
        <w:fldChar w:fldCharType="end"/>
      </w:r>
      <w:r w:rsidRPr="00892867">
        <w:rPr>
          <w:sz w:val="20"/>
          <w:szCs w:val="20"/>
        </w:rPr>
        <w:t xml:space="preserve"> with default settings. Mapped reads were sorted using SAMtools version 1.9</w:t>
      </w:r>
      <w:r w:rsidRPr="00892867">
        <w:rPr>
          <w:sz w:val="20"/>
          <w:szCs w:val="20"/>
        </w:rPr>
        <w:fldChar w:fldCharType="begin"/>
      </w:r>
      <w:r w:rsidR="00892867" w:rsidRPr="00892867">
        <w:rPr>
          <w:sz w:val="20"/>
          <w:szCs w:val="20"/>
        </w:rPr>
        <w:instrText xml:space="preserve"> ADDIN ZOTERO_ITEM CSL_CITATION {"citationID":"aj2vmb0pfj","properties":{"formattedCitation":"\\super 10\\nosupersub{}","plainCitation":"10","noteIndex":0},"citationItems":[{"id":5282,"uris":["http://zotero.org/users/15948/items/7W5SBXZY"],"uri":["http://zotero.org/users/15948/items/7W5SBXZY"],"itemData":{"id":5282,"type":"article-journal","container-title":"Bioinformatics","issue":"16","note":"publisher: Oxford University Press","page":"2078–2079","title":"The sequence alignment/map format and SAMtools","volume":"25","author":[{"family":"Li","given":"Heng"},{"family":"Handsaker","given":"Bob"},{"family":"Wysoker","given":"Alec"},{"family":"Fennell","given":"Tim"},{"family":"Ruan","given":"Jue"},{"family":"Homer","given":"Nils"},{"family":"Marth","given":"Gabor"},{"family":"Abecasis","given":"Goncalo"},{"family":"Durbin","given":"Richard"}],"issued":{"date-parts":[["2009"]]}}}],"schema":"https://github.com/citation-style-language/schema/raw/master/csl-citation.json"} </w:instrText>
      </w:r>
      <w:r w:rsidRPr="00892867">
        <w:rPr>
          <w:sz w:val="20"/>
          <w:szCs w:val="20"/>
        </w:rPr>
        <w:fldChar w:fldCharType="separate"/>
      </w:r>
      <w:r w:rsidR="00892867" w:rsidRPr="00892867">
        <w:rPr>
          <w:sz w:val="20"/>
          <w:szCs w:val="20"/>
          <w:vertAlign w:val="superscript"/>
          <w:lang w:val="en-US"/>
        </w:rPr>
        <w:t>10</w:t>
      </w:r>
      <w:r w:rsidRPr="00892867">
        <w:rPr>
          <w:sz w:val="20"/>
          <w:szCs w:val="20"/>
        </w:rPr>
        <w:fldChar w:fldCharType="end"/>
      </w:r>
      <w:r w:rsidRPr="00892867">
        <w:rPr>
          <w:sz w:val="20"/>
          <w:szCs w:val="20"/>
        </w:rPr>
        <w:t xml:space="preserve"> and genome-wide average coverage was assessed using Qualimap version 2.2.1</w:t>
      </w:r>
      <w:r w:rsidRPr="00892867">
        <w:rPr>
          <w:sz w:val="20"/>
          <w:szCs w:val="20"/>
        </w:rPr>
        <w:fldChar w:fldCharType="begin"/>
      </w:r>
      <w:r w:rsidR="00892867" w:rsidRPr="00892867">
        <w:rPr>
          <w:sz w:val="20"/>
          <w:szCs w:val="20"/>
        </w:rPr>
        <w:instrText xml:space="preserve"> ADDIN ZOTERO_ITEM CSL_CITATION {"citationID":"a1ef2p6ad79","properties":{"formattedCitation":"\\super 11\\nosupersub{}","plainCitation":"11","noteIndex":0},"citationItems":[{"id":5283,"uris":["http://zotero.org/users/15948/items/JNW2VACC"],"uri":["http://zotero.org/users/15948/items/JNW2VACC"],"itemData":{"id":5283,"type":"article-journal","container-title":"Bioinformatics","issue":"2","note":"publisher: Oxford University Press","page":"292–294","title":"Qualimap 2: advanced multi-sample quality control for high-throughput sequencing data","volume":"32","author":[{"family":"Okonechnikov","given":"Konstantin"},{"family":"Conesa","given":"Ana"},{"family":"García-Alcalde","given":"Fernando"}],"issued":{"date-parts":[["2016"]]}}}],"schema":"https://github.com/citation-style-language/schema/raw/master/csl-citation.json"} </w:instrText>
      </w:r>
      <w:r w:rsidRPr="00892867">
        <w:rPr>
          <w:sz w:val="20"/>
          <w:szCs w:val="20"/>
        </w:rPr>
        <w:fldChar w:fldCharType="separate"/>
      </w:r>
      <w:r w:rsidR="00892867" w:rsidRPr="00892867">
        <w:rPr>
          <w:sz w:val="20"/>
          <w:szCs w:val="20"/>
          <w:vertAlign w:val="superscript"/>
          <w:lang w:val="en-US"/>
        </w:rPr>
        <w:t>11</w:t>
      </w:r>
      <w:r w:rsidRPr="00892867">
        <w:rPr>
          <w:sz w:val="20"/>
          <w:szCs w:val="20"/>
        </w:rPr>
        <w:fldChar w:fldCharType="end"/>
      </w:r>
      <w:r w:rsidRPr="00892867">
        <w:rPr>
          <w:rFonts w:eastAsia="Arial Unicode MS"/>
          <w:sz w:val="20"/>
          <w:szCs w:val="20"/>
        </w:rPr>
        <w:t xml:space="preserve"> with the bamqc option. Duplicated reads were annotated using the Genome Analysis Toolkit (GATK) Picard tools MarkDuplicates (https://gatk.broadinstitute.org/hc/en-us). Variant calling was performed in two steps using GATK. First, variants were called for each individual genome using GATK’s haplotype caller with the -ERC GVCF option and the ploidy was set to 2. Next, variant files were merged using GATK’s CombineGVCFs function and then joint variant calling across all individuals was performed with GenotypeGVCFs. Raw variants were reduced to SNPs only and filtered using GATK’s SelectVariants and VariantFiltration functionalities. Only SNPs satisfying the following criteria were retained: QUAL ≥ 500, QD ≥ 10, MQ ≥ 40, FS ≤ 40, SOR ≤ 3, and MQRankSum, BaseQRankSum, ReadPosRankSum ≥ -2 and ≤ 2. Read depth (DP) was restricted to ≥ 1000 (≈ 10% percentile) and ≤ 10000 (≈ 99% percentile) to further increase SNP quality and only biallelic SNPs were retained. Next, SNPs were filtered on the genotype level using VCFtools version 0.1.16 (https://vcftools.github.io/man_latest.html). Genotypes with </w:t>
      </w:r>
      <w:r w:rsidRPr="00892867">
        <w:rPr>
          <w:rFonts w:eastAsia="Arial Unicode MS"/>
          <w:sz w:val="20"/>
          <w:szCs w:val="20"/>
        </w:rPr>
        <w:lastRenderedPageBreak/>
        <w:t xml:space="preserve">a read depth &lt; 10 (--minDP 10) and a genotype quality &lt; 30 (--minGQ 30) were set to no-call, and variants with more than 5% missing genotypes were removed. Finally, invariant sites across all samples were removed. For some analyzes (e.g. minimum spanning network, admixture) the SNP set was further restricted to </w:t>
      </w:r>
      <w:r w:rsidRPr="00892867">
        <w:rPr>
          <w:sz w:val="20"/>
          <w:szCs w:val="20"/>
        </w:rPr>
        <w:t>variants without missing genotypes.</w:t>
      </w:r>
    </w:p>
    <w:p w14:paraId="22F8A618" w14:textId="77777777" w:rsidR="00067AD2" w:rsidRDefault="00067AD2">
      <w:pPr>
        <w:spacing w:line="259" w:lineRule="auto"/>
        <w:rPr>
          <w:sz w:val="20"/>
          <w:szCs w:val="20"/>
        </w:rPr>
      </w:pPr>
    </w:p>
    <w:p w14:paraId="22F8A619" w14:textId="40BD8EFC" w:rsidR="00067AD2" w:rsidRPr="00892867" w:rsidRDefault="00001258" w:rsidP="00892867">
      <w:pPr>
        <w:rPr>
          <w:sz w:val="20"/>
          <w:szCs w:val="20"/>
        </w:rPr>
      </w:pPr>
      <w:r w:rsidRPr="00892867">
        <w:rPr>
          <w:b/>
          <w:sz w:val="20"/>
          <w:szCs w:val="20"/>
        </w:rPr>
        <w:t>3. Extraction of mitochondrial haplotypes.</w:t>
      </w:r>
      <w:r w:rsidRPr="00892867">
        <w:rPr>
          <w:sz w:val="20"/>
          <w:szCs w:val="20"/>
        </w:rPr>
        <w:t xml:space="preserve"> Trimmed reads were mapped to the mitochondrial contig of </w:t>
      </w:r>
      <w:r w:rsidRPr="00892867">
        <w:rPr>
          <w:i/>
          <w:sz w:val="20"/>
          <w:szCs w:val="20"/>
        </w:rPr>
        <w:t>P. ramorum</w:t>
      </w:r>
      <w:r w:rsidRPr="00892867">
        <w:rPr>
          <w:sz w:val="20"/>
          <w:szCs w:val="20"/>
        </w:rPr>
        <w:t xml:space="preserve"> lineage NA1 strain Pr102, NCBI accession: NC_009384.1</w:t>
      </w:r>
      <w:r w:rsidRPr="00892867">
        <w:rPr>
          <w:sz w:val="20"/>
          <w:szCs w:val="20"/>
        </w:rPr>
        <w:fldChar w:fldCharType="begin"/>
      </w:r>
      <w:r w:rsidR="00892867" w:rsidRPr="00892867">
        <w:rPr>
          <w:sz w:val="20"/>
          <w:szCs w:val="20"/>
        </w:rPr>
        <w:instrText xml:space="preserve"> ADDIN ZOTERO_ITEM CSL_CITATION {"citationID":"ah0pbd497u","properties":{"formattedCitation":"\\super 12\\nosupersub{}","plainCitation":"12","noteIndex":0},"citationItems":[{"id":5278,"uris":["http://zotero.org/users/15948/items/IN6G9IV2"],"uri":["http://zotero.org/users/15948/items/IN6G9IV2"],"itemData":{"id":5278,"type":"article-journal","container-title":"Current Genetics","issue":"5","note":"publisher: Springer","page":"285–296","title":"Mitochondrial genome sequences and comparative genomics of &lt;i&gt;Phytophthora ramorum&lt;/i&gt; and &lt;i&gt;P. sojae&lt;/i&gt;","volume":"51","author":[{"family":"Martin","given":"Frank N"},{"family":"Bensasson","given":"Douda"},{"family":"Tyler","given":"Brett M"},{"family":"Boore","given":"Jeffrey L"}],"issued":{"date-parts":[["2007"]]}}}],"schema":"https://github.com/citation-style-language/schema/raw/master/csl-citation.json"} </w:instrText>
      </w:r>
      <w:r w:rsidRPr="00892867">
        <w:rPr>
          <w:sz w:val="20"/>
          <w:szCs w:val="20"/>
        </w:rPr>
        <w:fldChar w:fldCharType="separate"/>
      </w:r>
      <w:r w:rsidR="00892867" w:rsidRPr="00892867">
        <w:rPr>
          <w:sz w:val="20"/>
          <w:szCs w:val="20"/>
          <w:vertAlign w:val="superscript"/>
          <w:lang w:val="en-US"/>
        </w:rPr>
        <w:t>12</w:t>
      </w:r>
      <w:r w:rsidRPr="00892867">
        <w:rPr>
          <w:sz w:val="20"/>
          <w:szCs w:val="20"/>
        </w:rPr>
        <w:fldChar w:fldCharType="end"/>
      </w:r>
      <w:r w:rsidRPr="00892867">
        <w:rPr>
          <w:sz w:val="20"/>
          <w:szCs w:val="20"/>
        </w:rPr>
        <w:t xml:space="preserve"> </w:t>
      </w:r>
      <w:r w:rsidRPr="00892867">
        <w:rPr>
          <w:rFonts w:eastAsia="Arial Unicode MS"/>
          <w:sz w:val="20"/>
          <w:szCs w:val="20"/>
        </w:rPr>
        <w:t>and variants called as described for the nuclear genome. Variants were restricted to SNPs only and the distribution of “variant confidence normalized by unfiltered depth of variant samples (QD)” was assessed to confirm the homozygous state across individuals. SNPs were filtered using GATK’s SelectVariants and VariantFiltration functionalities with the following criteria: QUAL ≥ 1000, QD ≥ 20, MQ ≥ 59, FS ≤ 20, SOR ≤ 2 and only bi-allelic SNPs with no missing genotypes were accepted. VCFtools was then used to set genotypes with low support (read depth &lt; 10, i.e. --minDP 10 and genotype quality &lt; 40, i.e. --minGQ 40) to no-call. Finally, sites with more than 5% missing genotypes and invariant SNPs across all individuals were removed.</w:t>
      </w:r>
    </w:p>
    <w:p w14:paraId="22F8A61A" w14:textId="77777777" w:rsidR="00067AD2" w:rsidRDefault="00067AD2">
      <w:pPr>
        <w:spacing w:line="259" w:lineRule="auto"/>
        <w:rPr>
          <w:sz w:val="20"/>
          <w:szCs w:val="20"/>
        </w:rPr>
      </w:pPr>
    </w:p>
    <w:p w14:paraId="22F8A61B" w14:textId="77777777" w:rsidR="00067AD2" w:rsidRDefault="00001258" w:rsidP="00892867">
      <w:pPr>
        <w:spacing w:after="160"/>
        <w:rPr>
          <w:sz w:val="20"/>
          <w:szCs w:val="20"/>
        </w:rPr>
      </w:pPr>
      <w:r>
        <w:rPr>
          <w:b/>
          <w:sz w:val="20"/>
          <w:szCs w:val="20"/>
        </w:rPr>
        <w:t>4. Bayesian assignment test.</w:t>
      </w:r>
      <w:r>
        <w:rPr>
          <w:b/>
          <w:i/>
          <w:sz w:val="20"/>
          <w:szCs w:val="20"/>
        </w:rPr>
        <w:t xml:space="preserve"> </w:t>
      </w:r>
      <w:r>
        <w:rPr>
          <w:sz w:val="20"/>
          <w:szCs w:val="20"/>
        </w:rPr>
        <w:t xml:space="preserve">We designed an assignment procedure to test the most likely parents of the hybrid isolates. This procedure consisted in building a Bayesian naïve classifier model for </w:t>
      </w:r>
      <w:r>
        <w:rPr>
          <w:i/>
          <w:sz w:val="20"/>
          <w:szCs w:val="20"/>
        </w:rPr>
        <w:t>n</w:t>
      </w:r>
      <w:r>
        <w:rPr>
          <w:sz w:val="20"/>
          <w:szCs w:val="20"/>
        </w:rPr>
        <w:t xml:space="preserve"> different classes (i.e. putative source populations) based on </w:t>
      </w:r>
      <w:r>
        <w:rPr>
          <w:i/>
          <w:sz w:val="20"/>
          <w:szCs w:val="20"/>
        </w:rPr>
        <w:t>k</w:t>
      </w:r>
      <w:r>
        <w:rPr>
          <w:sz w:val="20"/>
          <w:szCs w:val="20"/>
        </w:rPr>
        <w:t xml:space="preserve"> SNP loci and obtaining the probability than an unknown </w:t>
      </w:r>
      <w:r>
        <w:rPr>
          <w:i/>
          <w:sz w:val="20"/>
          <w:szCs w:val="20"/>
        </w:rPr>
        <w:t>P. ramorum</w:t>
      </w:r>
      <w:r>
        <w:rPr>
          <w:sz w:val="20"/>
          <w:szCs w:val="20"/>
        </w:rPr>
        <w:t xml:space="preserve"> sample (in this case the isolate 16_0237_0021) to belong to each of these classes. The assignment procedure was repeated 100 times with random samples of </w:t>
      </w:r>
      <w:r>
        <w:rPr>
          <w:i/>
          <w:sz w:val="20"/>
          <w:szCs w:val="20"/>
        </w:rPr>
        <w:t>k</w:t>
      </w:r>
      <w:r>
        <w:rPr>
          <w:sz w:val="20"/>
          <w:szCs w:val="20"/>
        </w:rPr>
        <w:t xml:space="preserve"> = 1,000 loci. For each replicate, </w:t>
      </w:r>
      <w:r>
        <w:rPr>
          <w:i/>
          <w:sz w:val="20"/>
          <w:szCs w:val="20"/>
        </w:rPr>
        <w:t>n</w:t>
      </w:r>
      <w:r>
        <w:rPr>
          <w:sz w:val="20"/>
          <w:szCs w:val="20"/>
        </w:rPr>
        <w:t xml:space="preserve"> = 14 putative source populations were considered: NA1 (29 diploid individuals), NA2 (29), EU1 (30) and EU2 (5); 8 artificial ‘hybrid’ populations (of 50 individuals each) were added by randomly recombining SNPs from two parent lineages i.e.  NA1xNA2, NA1 x EU1, NA1 x EU2, NA2xEU1, NA2xEU2, EU1xEU2 and two back crosses (NA2xEU1) x EU1 and (NA2xEU1) x NA2; The two last classes consisted in “mutants” populations.  A first mutant population was created with 50 random NA2 isolates for which 18.3% of the loci (randomly picked) were mutated by changing one of the alleles. This proportion of mutated loci was estimated by counting in 16_0237_0021 the number of loci for which at least one of the alleles could not have a NA2 origin, given the alleles found in the whole NA2 lineage for this locus (EstimateProportion.py script). The same procedure was done with 50 EU1 isolates with a proportion of mutated loci of 16.8%, to create the second “mutant” population. The naïve bayes classifier algorithm was implemented in a custom Python script using the Python package scikit-learn 0.24.1 and assuming Multinomial distribution of the data (Pedregosa et al. 2011). </w:t>
      </w:r>
    </w:p>
    <w:p w14:paraId="22F8A61C" w14:textId="738BEB7C" w:rsidR="00067AD2" w:rsidRDefault="00001258" w:rsidP="00892867">
      <w:pPr>
        <w:spacing w:after="160"/>
        <w:rPr>
          <w:b/>
          <w:sz w:val="20"/>
          <w:szCs w:val="20"/>
        </w:rPr>
      </w:pPr>
      <w:r>
        <w:rPr>
          <w:b/>
          <w:sz w:val="20"/>
          <w:szCs w:val="20"/>
        </w:rPr>
        <w:t xml:space="preserve">5. Phenotyping of hybrid and parental lineages. </w:t>
      </w:r>
      <w:r>
        <w:rPr>
          <w:sz w:val="20"/>
          <w:szCs w:val="20"/>
        </w:rPr>
        <w:t xml:space="preserve">Isolates of </w:t>
      </w:r>
      <w:r>
        <w:rPr>
          <w:i/>
          <w:sz w:val="20"/>
          <w:szCs w:val="20"/>
        </w:rPr>
        <w:t>P. ramorum</w:t>
      </w:r>
      <w:r>
        <w:rPr>
          <w:sz w:val="20"/>
          <w:szCs w:val="20"/>
        </w:rPr>
        <w:t xml:space="preserve"> lineages and the EU1 x NA2 hybrid were grown on carrot agar (CA) plates for four days at 20°C and 7-mm plugs were transferred to fresh CA plates (3 replicates) and incubated in the dark at 20°C. The colony diameters were measured after 2, 3, 6, 7 and 9 days and mean daily radial growth rate was calculated using linear regression (lm(log(radius) ~ hours) in R. The r-squared values were verified to ensure the model’s good fit. One North American isolate of NA1 and NA2, a North American and a European isolate of EU1, and two hybrid isolates were included in the growth experiments. Rhododendron leaves were inoculated by placing a 7-mm plug from a </w:t>
      </w:r>
      <w:r w:rsidR="00892867">
        <w:rPr>
          <w:sz w:val="20"/>
          <w:szCs w:val="20"/>
        </w:rPr>
        <w:t>7-day-old</w:t>
      </w:r>
      <w:r>
        <w:rPr>
          <w:sz w:val="20"/>
          <w:szCs w:val="20"/>
        </w:rPr>
        <w:t xml:space="preserve"> colony of </w:t>
      </w:r>
      <w:r>
        <w:rPr>
          <w:i/>
          <w:sz w:val="20"/>
          <w:szCs w:val="20"/>
        </w:rPr>
        <w:t xml:space="preserve">P. ramorum </w:t>
      </w:r>
      <w:r>
        <w:rPr>
          <w:sz w:val="20"/>
          <w:szCs w:val="20"/>
        </w:rPr>
        <w:t>in the center of a detached leaf and measuring lesion development over 10 days</w:t>
      </w:r>
      <w:r>
        <w:rPr>
          <w:i/>
          <w:sz w:val="20"/>
          <w:szCs w:val="20"/>
        </w:rPr>
        <w:t xml:space="preserve">. </w:t>
      </w:r>
      <w:r>
        <w:rPr>
          <w:sz w:val="20"/>
          <w:szCs w:val="20"/>
        </w:rPr>
        <w:t>Necrotic area was measured as the surface area with necrosis (mm</w:t>
      </w:r>
      <w:r>
        <w:rPr>
          <w:sz w:val="20"/>
          <w:szCs w:val="20"/>
          <w:vertAlign w:val="superscript"/>
        </w:rPr>
        <w:t>2</w:t>
      </w:r>
      <w:r>
        <w:rPr>
          <w:sz w:val="20"/>
          <w:szCs w:val="20"/>
        </w:rPr>
        <w:t>).</w:t>
      </w:r>
    </w:p>
    <w:p w14:paraId="22F8A61D" w14:textId="77777777" w:rsidR="00067AD2" w:rsidRDefault="00067AD2">
      <w:pPr>
        <w:spacing w:before="240" w:after="240" w:line="259" w:lineRule="auto"/>
        <w:rPr>
          <w:sz w:val="20"/>
          <w:szCs w:val="20"/>
        </w:rPr>
      </w:pPr>
    </w:p>
    <w:p w14:paraId="22F8A61E" w14:textId="77777777" w:rsidR="00067AD2" w:rsidRDefault="00067AD2">
      <w:pPr>
        <w:spacing w:after="160" w:line="259" w:lineRule="auto"/>
        <w:rPr>
          <w:sz w:val="20"/>
          <w:szCs w:val="20"/>
        </w:rPr>
      </w:pPr>
    </w:p>
    <w:p w14:paraId="22F8A61F" w14:textId="77777777" w:rsidR="00067AD2" w:rsidRDefault="00001258">
      <w:pPr>
        <w:spacing w:after="160" w:line="240" w:lineRule="auto"/>
        <w:ind w:right="3780"/>
        <w:rPr>
          <w:b/>
          <w:sz w:val="20"/>
          <w:szCs w:val="20"/>
        </w:rPr>
      </w:pPr>
      <w:r>
        <w:br w:type="page"/>
      </w:r>
    </w:p>
    <w:p w14:paraId="22F8A620" w14:textId="15C07698" w:rsidR="00067AD2" w:rsidRDefault="00001258">
      <w:pPr>
        <w:spacing w:after="160" w:line="240" w:lineRule="auto"/>
        <w:ind w:right="3780"/>
        <w:rPr>
          <w:sz w:val="18"/>
          <w:szCs w:val="18"/>
          <w:u w:val="single"/>
          <w:vertAlign w:val="superscript"/>
        </w:rPr>
      </w:pPr>
      <w:r>
        <w:rPr>
          <w:b/>
          <w:sz w:val="20"/>
          <w:szCs w:val="20"/>
        </w:rPr>
        <w:lastRenderedPageBreak/>
        <w:t xml:space="preserve">Table S1. Genotyping assay to assign </w:t>
      </w:r>
      <w:r>
        <w:rPr>
          <w:b/>
          <w:i/>
          <w:sz w:val="20"/>
          <w:szCs w:val="20"/>
        </w:rPr>
        <w:t>Phytophthora ramorum</w:t>
      </w:r>
      <w:r>
        <w:rPr>
          <w:b/>
          <w:sz w:val="20"/>
          <w:szCs w:val="20"/>
        </w:rPr>
        <w:t xml:space="preserve"> lineages. </w:t>
      </w:r>
      <w:r>
        <w:rPr>
          <w:color w:val="1A1A1A"/>
          <w:sz w:val="20"/>
          <w:szCs w:val="20"/>
          <w:highlight w:val="white"/>
        </w:rPr>
        <w:t>Cellulose-binding elicitor of defense in plants and lectin-like (</w:t>
      </w:r>
      <w:r>
        <w:rPr>
          <w:sz w:val="20"/>
          <w:szCs w:val="20"/>
          <w:highlight w:val="white"/>
        </w:rPr>
        <w:t xml:space="preserve">CBEL) genotypes were obtained by qPCR assay to identify </w:t>
      </w:r>
      <w:r>
        <w:rPr>
          <w:i/>
          <w:sz w:val="20"/>
          <w:szCs w:val="20"/>
          <w:highlight w:val="white"/>
        </w:rPr>
        <w:t>P. ramorum</w:t>
      </w:r>
      <w:r>
        <w:rPr>
          <w:sz w:val="20"/>
          <w:szCs w:val="20"/>
          <w:highlight w:val="white"/>
        </w:rPr>
        <w:t xml:space="preserve"> lineages EU1, EU2, NA1, NA2</w:t>
      </w:r>
      <w:hyperlink r:id="rId5">
        <w:r>
          <w:rPr>
            <w:sz w:val="18"/>
            <w:szCs w:val="18"/>
            <w:vertAlign w:val="superscript"/>
          </w:rPr>
          <w:t>6</w:t>
        </w:r>
      </w:hyperlink>
      <w:r>
        <w:rPr>
          <w:sz w:val="20"/>
          <w:szCs w:val="20"/>
          <w:highlight w:val="white"/>
        </w:rPr>
        <w:t>. The putative hybrid isolat</w:t>
      </w:r>
      <w:r>
        <w:rPr>
          <w:highlight w:val="white"/>
        </w:rPr>
        <w:t>e</w:t>
      </w:r>
      <w:r>
        <w:rPr>
          <w:sz w:val="20"/>
          <w:szCs w:val="20"/>
          <w:highlight w:val="white"/>
        </w:rPr>
        <w:t xml:space="preserve">s, 16-237-021 and 16-284-032, are homozygous at the </w:t>
      </w:r>
      <w:r>
        <w:rPr>
          <w:sz w:val="20"/>
          <w:szCs w:val="20"/>
        </w:rPr>
        <w:t xml:space="preserve">CBEL412 locus, a pattern </w:t>
      </w:r>
      <w:r w:rsidR="00892867">
        <w:rPr>
          <w:sz w:val="20"/>
          <w:szCs w:val="20"/>
        </w:rPr>
        <w:t>absent</w:t>
      </w:r>
      <w:r>
        <w:rPr>
          <w:sz w:val="20"/>
          <w:szCs w:val="20"/>
        </w:rPr>
        <w:t xml:space="preserve"> in </w:t>
      </w:r>
      <w:r w:rsidR="00892867">
        <w:rPr>
          <w:sz w:val="20"/>
          <w:szCs w:val="20"/>
        </w:rPr>
        <w:t>other</w:t>
      </w:r>
      <w:r>
        <w:rPr>
          <w:sz w:val="20"/>
          <w:szCs w:val="20"/>
        </w:rPr>
        <w:t xml:space="preserve"> lineages</w:t>
      </w:r>
    </w:p>
    <w:tbl>
      <w:tblPr>
        <w:tblStyle w:val="a"/>
        <w:tblW w:w="5805" w:type="dxa"/>
        <w:tblBorders>
          <w:top w:val="nil"/>
          <w:left w:val="nil"/>
          <w:bottom w:val="nil"/>
          <w:right w:val="nil"/>
          <w:insideH w:val="nil"/>
          <w:insideV w:val="nil"/>
        </w:tblBorders>
        <w:tblLayout w:type="fixed"/>
        <w:tblLook w:val="0600" w:firstRow="0" w:lastRow="0" w:firstColumn="0" w:lastColumn="0" w:noHBand="1" w:noVBand="1"/>
      </w:tblPr>
      <w:tblGrid>
        <w:gridCol w:w="1500"/>
        <w:gridCol w:w="1080"/>
        <w:gridCol w:w="1125"/>
        <w:gridCol w:w="1065"/>
        <w:gridCol w:w="1035"/>
      </w:tblGrid>
      <w:tr w:rsidR="00067AD2" w14:paraId="22F8A623" w14:textId="77777777">
        <w:trPr>
          <w:trHeight w:val="485"/>
        </w:trPr>
        <w:tc>
          <w:tcPr>
            <w:tcW w:w="1500" w:type="dxa"/>
            <w:tcBorders>
              <w:top w:val="nil"/>
              <w:left w:val="nil"/>
              <w:bottom w:val="nil"/>
              <w:right w:val="nil"/>
            </w:tcBorders>
            <w:tcMar>
              <w:top w:w="100" w:type="dxa"/>
              <w:left w:w="40" w:type="dxa"/>
              <w:bottom w:w="100" w:type="dxa"/>
              <w:right w:w="40" w:type="dxa"/>
            </w:tcMar>
            <w:vAlign w:val="bottom"/>
          </w:tcPr>
          <w:p w14:paraId="22F8A621" w14:textId="77777777" w:rsidR="00067AD2" w:rsidRDefault="00067AD2">
            <w:pPr>
              <w:spacing w:line="240" w:lineRule="auto"/>
              <w:rPr>
                <w:sz w:val="20"/>
                <w:szCs w:val="20"/>
              </w:rPr>
            </w:pPr>
          </w:p>
        </w:tc>
        <w:tc>
          <w:tcPr>
            <w:tcW w:w="4305" w:type="dxa"/>
            <w:gridSpan w:val="4"/>
            <w:tcBorders>
              <w:top w:val="nil"/>
              <w:left w:val="nil"/>
              <w:bottom w:val="single" w:sz="8" w:space="0" w:color="000000"/>
              <w:right w:val="nil"/>
            </w:tcBorders>
            <w:tcMar>
              <w:top w:w="100" w:type="dxa"/>
              <w:left w:w="40" w:type="dxa"/>
              <w:bottom w:w="100" w:type="dxa"/>
              <w:right w:w="40" w:type="dxa"/>
            </w:tcMar>
            <w:vAlign w:val="bottom"/>
          </w:tcPr>
          <w:p w14:paraId="22F8A622" w14:textId="77777777" w:rsidR="00067AD2" w:rsidRDefault="00001258">
            <w:pPr>
              <w:spacing w:line="240" w:lineRule="auto"/>
              <w:jc w:val="center"/>
              <w:rPr>
                <w:sz w:val="20"/>
                <w:szCs w:val="20"/>
              </w:rPr>
            </w:pPr>
            <w:r>
              <w:rPr>
                <w:color w:val="1A1A1A"/>
                <w:sz w:val="18"/>
                <w:szCs w:val="18"/>
                <w:highlight w:val="white"/>
              </w:rPr>
              <w:t xml:space="preserve">CBEL </w:t>
            </w:r>
            <w:r>
              <w:rPr>
                <w:sz w:val="20"/>
                <w:szCs w:val="20"/>
              </w:rPr>
              <w:t>locus</w:t>
            </w:r>
          </w:p>
        </w:tc>
      </w:tr>
      <w:tr w:rsidR="00067AD2" w14:paraId="22F8A629" w14:textId="77777777">
        <w:trPr>
          <w:trHeight w:val="545"/>
        </w:trPr>
        <w:tc>
          <w:tcPr>
            <w:tcW w:w="1500" w:type="dxa"/>
            <w:tcBorders>
              <w:top w:val="nil"/>
              <w:left w:val="nil"/>
              <w:bottom w:val="single" w:sz="8" w:space="0" w:color="000000"/>
              <w:right w:val="nil"/>
            </w:tcBorders>
            <w:shd w:val="clear" w:color="auto" w:fill="auto"/>
            <w:tcMar>
              <w:top w:w="100" w:type="dxa"/>
              <w:left w:w="40" w:type="dxa"/>
              <w:bottom w:w="100" w:type="dxa"/>
              <w:right w:w="40" w:type="dxa"/>
            </w:tcMar>
            <w:vAlign w:val="bottom"/>
          </w:tcPr>
          <w:p w14:paraId="22F8A624" w14:textId="77777777" w:rsidR="00067AD2" w:rsidRDefault="00001258">
            <w:pPr>
              <w:spacing w:line="240" w:lineRule="auto"/>
              <w:rPr>
                <w:sz w:val="20"/>
                <w:szCs w:val="20"/>
                <w:vertAlign w:val="superscript"/>
              </w:rPr>
            </w:pPr>
            <w:r>
              <w:rPr>
                <w:sz w:val="20"/>
                <w:szCs w:val="20"/>
              </w:rPr>
              <w:t>Lineage</w:t>
            </w:r>
            <w:r>
              <w:rPr>
                <w:sz w:val="20"/>
                <w:szCs w:val="20"/>
                <w:vertAlign w:val="superscript"/>
              </w:rPr>
              <w:t>a</w:t>
            </w:r>
          </w:p>
        </w:tc>
        <w:tc>
          <w:tcPr>
            <w:tcW w:w="1080" w:type="dxa"/>
            <w:tcBorders>
              <w:top w:val="nil"/>
              <w:left w:val="nil"/>
              <w:bottom w:val="single" w:sz="8" w:space="0" w:color="000000"/>
              <w:right w:val="nil"/>
            </w:tcBorders>
            <w:shd w:val="clear" w:color="auto" w:fill="auto"/>
            <w:tcMar>
              <w:top w:w="100" w:type="dxa"/>
              <w:left w:w="40" w:type="dxa"/>
              <w:bottom w:w="100" w:type="dxa"/>
              <w:right w:w="40" w:type="dxa"/>
            </w:tcMar>
            <w:vAlign w:val="bottom"/>
          </w:tcPr>
          <w:p w14:paraId="22F8A625" w14:textId="77777777" w:rsidR="00067AD2" w:rsidRDefault="00001258">
            <w:pPr>
              <w:spacing w:line="240" w:lineRule="auto"/>
              <w:rPr>
                <w:sz w:val="20"/>
                <w:szCs w:val="20"/>
              </w:rPr>
            </w:pPr>
            <w:r>
              <w:rPr>
                <w:sz w:val="20"/>
                <w:szCs w:val="20"/>
              </w:rPr>
              <w:t>CBEL245</w:t>
            </w:r>
          </w:p>
        </w:tc>
        <w:tc>
          <w:tcPr>
            <w:tcW w:w="1125" w:type="dxa"/>
            <w:tcBorders>
              <w:top w:val="single" w:sz="8" w:space="0" w:color="000000"/>
              <w:left w:val="nil"/>
              <w:bottom w:val="single" w:sz="8" w:space="0" w:color="000000"/>
              <w:right w:val="nil"/>
            </w:tcBorders>
            <w:shd w:val="clear" w:color="auto" w:fill="auto"/>
            <w:tcMar>
              <w:top w:w="100" w:type="dxa"/>
              <w:left w:w="40" w:type="dxa"/>
              <w:bottom w:w="100" w:type="dxa"/>
              <w:right w:w="40" w:type="dxa"/>
            </w:tcMar>
            <w:vAlign w:val="bottom"/>
          </w:tcPr>
          <w:p w14:paraId="22F8A626" w14:textId="77777777" w:rsidR="00067AD2" w:rsidRDefault="00001258">
            <w:pPr>
              <w:spacing w:line="240" w:lineRule="auto"/>
              <w:rPr>
                <w:sz w:val="20"/>
                <w:szCs w:val="20"/>
              </w:rPr>
            </w:pPr>
            <w:r>
              <w:rPr>
                <w:sz w:val="20"/>
                <w:szCs w:val="20"/>
              </w:rPr>
              <w:t>CBEL349</w:t>
            </w:r>
          </w:p>
        </w:tc>
        <w:tc>
          <w:tcPr>
            <w:tcW w:w="1065" w:type="dxa"/>
            <w:tcBorders>
              <w:top w:val="single" w:sz="8" w:space="0" w:color="000000"/>
              <w:left w:val="nil"/>
              <w:bottom w:val="single" w:sz="8" w:space="0" w:color="000000"/>
              <w:right w:val="nil"/>
            </w:tcBorders>
            <w:shd w:val="clear" w:color="auto" w:fill="auto"/>
            <w:tcMar>
              <w:top w:w="100" w:type="dxa"/>
              <w:left w:w="40" w:type="dxa"/>
              <w:bottom w:w="100" w:type="dxa"/>
              <w:right w:w="40" w:type="dxa"/>
            </w:tcMar>
            <w:vAlign w:val="bottom"/>
          </w:tcPr>
          <w:p w14:paraId="22F8A627" w14:textId="77777777" w:rsidR="00067AD2" w:rsidRDefault="00001258">
            <w:pPr>
              <w:spacing w:line="240" w:lineRule="auto"/>
              <w:rPr>
                <w:sz w:val="20"/>
                <w:szCs w:val="20"/>
              </w:rPr>
            </w:pPr>
            <w:r>
              <w:rPr>
                <w:sz w:val="20"/>
                <w:szCs w:val="20"/>
              </w:rPr>
              <w:t>CBEL373</w:t>
            </w:r>
          </w:p>
        </w:tc>
        <w:tc>
          <w:tcPr>
            <w:tcW w:w="1035" w:type="dxa"/>
            <w:tcBorders>
              <w:top w:val="single" w:sz="8" w:space="0" w:color="000000"/>
              <w:left w:val="nil"/>
              <w:bottom w:val="single" w:sz="8" w:space="0" w:color="000000"/>
              <w:right w:val="nil"/>
            </w:tcBorders>
            <w:shd w:val="clear" w:color="auto" w:fill="auto"/>
            <w:tcMar>
              <w:top w:w="100" w:type="dxa"/>
              <w:left w:w="40" w:type="dxa"/>
              <w:bottom w:w="100" w:type="dxa"/>
              <w:right w:w="40" w:type="dxa"/>
            </w:tcMar>
            <w:vAlign w:val="bottom"/>
          </w:tcPr>
          <w:p w14:paraId="22F8A628" w14:textId="77777777" w:rsidR="00067AD2" w:rsidRDefault="00001258">
            <w:pPr>
              <w:spacing w:line="240" w:lineRule="auto"/>
              <w:rPr>
                <w:sz w:val="20"/>
                <w:szCs w:val="20"/>
              </w:rPr>
            </w:pPr>
            <w:r>
              <w:rPr>
                <w:sz w:val="20"/>
                <w:szCs w:val="20"/>
              </w:rPr>
              <w:t>CBEL412</w:t>
            </w:r>
          </w:p>
        </w:tc>
      </w:tr>
      <w:tr w:rsidR="00067AD2" w14:paraId="22F8A62F" w14:textId="77777777">
        <w:trPr>
          <w:trHeight w:val="485"/>
        </w:trPr>
        <w:tc>
          <w:tcPr>
            <w:tcW w:w="1500" w:type="dxa"/>
            <w:tcBorders>
              <w:top w:val="nil"/>
              <w:left w:val="nil"/>
              <w:bottom w:val="nil"/>
              <w:right w:val="nil"/>
            </w:tcBorders>
            <w:shd w:val="clear" w:color="auto" w:fill="auto"/>
            <w:tcMar>
              <w:top w:w="100" w:type="dxa"/>
              <w:left w:w="40" w:type="dxa"/>
              <w:bottom w:w="100" w:type="dxa"/>
              <w:right w:w="40" w:type="dxa"/>
            </w:tcMar>
            <w:vAlign w:val="bottom"/>
          </w:tcPr>
          <w:p w14:paraId="22F8A62A" w14:textId="77777777" w:rsidR="00067AD2" w:rsidRDefault="00001258">
            <w:pPr>
              <w:spacing w:line="240" w:lineRule="auto"/>
              <w:rPr>
                <w:sz w:val="20"/>
                <w:szCs w:val="20"/>
              </w:rPr>
            </w:pPr>
            <w:r>
              <w:rPr>
                <w:sz w:val="20"/>
                <w:szCs w:val="20"/>
              </w:rPr>
              <w:t>EU1</w:t>
            </w:r>
          </w:p>
        </w:tc>
        <w:tc>
          <w:tcPr>
            <w:tcW w:w="1080" w:type="dxa"/>
            <w:tcBorders>
              <w:top w:val="nil"/>
              <w:left w:val="nil"/>
              <w:bottom w:val="nil"/>
              <w:right w:val="nil"/>
            </w:tcBorders>
            <w:shd w:val="clear" w:color="auto" w:fill="auto"/>
            <w:tcMar>
              <w:top w:w="100" w:type="dxa"/>
              <w:left w:w="40" w:type="dxa"/>
              <w:bottom w:w="100" w:type="dxa"/>
              <w:right w:w="40" w:type="dxa"/>
            </w:tcMar>
            <w:vAlign w:val="bottom"/>
          </w:tcPr>
          <w:p w14:paraId="22F8A62B" w14:textId="77777777" w:rsidR="00067AD2" w:rsidRDefault="00001258">
            <w:pPr>
              <w:spacing w:line="240" w:lineRule="auto"/>
              <w:rPr>
                <w:sz w:val="20"/>
                <w:szCs w:val="20"/>
              </w:rPr>
            </w:pPr>
            <w:r>
              <w:rPr>
                <w:sz w:val="20"/>
                <w:szCs w:val="20"/>
              </w:rPr>
              <w:t>G/C</w:t>
            </w:r>
          </w:p>
        </w:tc>
        <w:tc>
          <w:tcPr>
            <w:tcW w:w="1125" w:type="dxa"/>
            <w:tcBorders>
              <w:top w:val="nil"/>
              <w:left w:val="nil"/>
              <w:bottom w:val="nil"/>
              <w:right w:val="nil"/>
            </w:tcBorders>
            <w:shd w:val="clear" w:color="auto" w:fill="auto"/>
            <w:tcMar>
              <w:top w:w="100" w:type="dxa"/>
              <w:left w:w="40" w:type="dxa"/>
              <w:bottom w:w="100" w:type="dxa"/>
              <w:right w:w="40" w:type="dxa"/>
            </w:tcMar>
            <w:vAlign w:val="bottom"/>
          </w:tcPr>
          <w:p w14:paraId="22F8A62C" w14:textId="77777777" w:rsidR="00067AD2" w:rsidRDefault="00001258">
            <w:pPr>
              <w:spacing w:line="240" w:lineRule="auto"/>
              <w:rPr>
                <w:sz w:val="20"/>
                <w:szCs w:val="20"/>
              </w:rPr>
            </w:pPr>
            <w:r>
              <w:rPr>
                <w:sz w:val="20"/>
                <w:szCs w:val="20"/>
              </w:rPr>
              <w:t>C/T</w:t>
            </w:r>
          </w:p>
        </w:tc>
        <w:tc>
          <w:tcPr>
            <w:tcW w:w="1065" w:type="dxa"/>
            <w:tcBorders>
              <w:top w:val="nil"/>
              <w:left w:val="nil"/>
              <w:bottom w:val="nil"/>
              <w:right w:val="nil"/>
            </w:tcBorders>
            <w:shd w:val="clear" w:color="auto" w:fill="auto"/>
            <w:tcMar>
              <w:top w:w="100" w:type="dxa"/>
              <w:left w:w="40" w:type="dxa"/>
              <w:bottom w:w="100" w:type="dxa"/>
              <w:right w:w="40" w:type="dxa"/>
            </w:tcMar>
            <w:vAlign w:val="bottom"/>
          </w:tcPr>
          <w:p w14:paraId="22F8A62D" w14:textId="77777777" w:rsidR="00067AD2" w:rsidRDefault="00001258">
            <w:pPr>
              <w:spacing w:line="240" w:lineRule="auto"/>
              <w:rPr>
                <w:sz w:val="20"/>
                <w:szCs w:val="20"/>
              </w:rPr>
            </w:pPr>
            <w:r>
              <w:rPr>
                <w:sz w:val="20"/>
                <w:szCs w:val="20"/>
              </w:rPr>
              <w:t>A/A</w:t>
            </w:r>
          </w:p>
        </w:tc>
        <w:tc>
          <w:tcPr>
            <w:tcW w:w="1035" w:type="dxa"/>
            <w:tcBorders>
              <w:top w:val="nil"/>
              <w:left w:val="nil"/>
              <w:bottom w:val="nil"/>
              <w:right w:val="nil"/>
            </w:tcBorders>
            <w:shd w:val="clear" w:color="auto" w:fill="auto"/>
            <w:tcMar>
              <w:top w:w="100" w:type="dxa"/>
              <w:left w:w="40" w:type="dxa"/>
              <w:bottom w:w="100" w:type="dxa"/>
              <w:right w:w="40" w:type="dxa"/>
            </w:tcMar>
            <w:vAlign w:val="bottom"/>
          </w:tcPr>
          <w:p w14:paraId="22F8A62E" w14:textId="77777777" w:rsidR="00067AD2" w:rsidRDefault="00001258">
            <w:pPr>
              <w:spacing w:line="240" w:lineRule="auto"/>
              <w:rPr>
                <w:color w:val="FF0000"/>
                <w:sz w:val="20"/>
                <w:szCs w:val="20"/>
              </w:rPr>
            </w:pPr>
            <w:r>
              <w:rPr>
                <w:sz w:val="20"/>
                <w:szCs w:val="20"/>
              </w:rPr>
              <w:t>C/</w:t>
            </w:r>
            <w:r>
              <w:rPr>
                <w:color w:val="FF0000"/>
                <w:sz w:val="20"/>
                <w:szCs w:val="20"/>
              </w:rPr>
              <w:t>T</w:t>
            </w:r>
          </w:p>
        </w:tc>
      </w:tr>
      <w:tr w:rsidR="00067AD2" w14:paraId="22F8A635" w14:textId="77777777">
        <w:trPr>
          <w:trHeight w:val="485"/>
        </w:trPr>
        <w:tc>
          <w:tcPr>
            <w:tcW w:w="1500" w:type="dxa"/>
            <w:tcBorders>
              <w:top w:val="nil"/>
              <w:left w:val="nil"/>
              <w:bottom w:val="nil"/>
              <w:right w:val="nil"/>
            </w:tcBorders>
            <w:shd w:val="clear" w:color="auto" w:fill="auto"/>
            <w:tcMar>
              <w:top w:w="100" w:type="dxa"/>
              <w:left w:w="40" w:type="dxa"/>
              <w:bottom w:w="100" w:type="dxa"/>
              <w:right w:w="40" w:type="dxa"/>
            </w:tcMar>
            <w:vAlign w:val="bottom"/>
          </w:tcPr>
          <w:p w14:paraId="22F8A630" w14:textId="77777777" w:rsidR="00067AD2" w:rsidRDefault="00001258">
            <w:pPr>
              <w:spacing w:line="240" w:lineRule="auto"/>
              <w:rPr>
                <w:sz w:val="20"/>
                <w:szCs w:val="20"/>
              </w:rPr>
            </w:pPr>
            <w:r>
              <w:rPr>
                <w:sz w:val="20"/>
                <w:szCs w:val="20"/>
              </w:rPr>
              <w:t>EU2</w:t>
            </w:r>
          </w:p>
        </w:tc>
        <w:tc>
          <w:tcPr>
            <w:tcW w:w="1080" w:type="dxa"/>
            <w:tcBorders>
              <w:top w:val="nil"/>
              <w:left w:val="nil"/>
              <w:bottom w:val="nil"/>
              <w:right w:val="nil"/>
            </w:tcBorders>
            <w:shd w:val="clear" w:color="auto" w:fill="auto"/>
            <w:tcMar>
              <w:top w:w="100" w:type="dxa"/>
              <w:left w:w="40" w:type="dxa"/>
              <w:bottom w:w="100" w:type="dxa"/>
              <w:right w:w="40" w:type="dxa"/>
            </w:tcMar>
            <w:vAlign w:val="bottom"/>
          </w:tcPr>
          <w:p w14:paraId="22F8A631" w14:textId="77777777" w:rsidR="00067AD2" w:rsidRDefault="00001258">
            <w:pPr>
              <w:spacing w:line="240" w:lineRule="auto"/>
              <w:rPr>
                <w:sz w:val="20"/>
                <w:szCs w:val="20"/>
              </w:rPr>
            </w:pPr>
            <w:r>
              <w:rPr>
                <w:sz w:val="20"/>
                <w:szCs w:val="20"/>
              </w:rPr>
              <w:t>G/G</w:t>
            </w:r>
          </w:p>
        </w:tc>
        <w:tc>
          <w:tcPr>
            <w:tcW w:w="1125" w:type="dxa"/>
            <w:tcBorders>
              <w:top w:val="nil"/>
              <w:left w:val="nil"/>
              <w:bottom w:val="nil"/>
              <w:right w:val="nil"/>
            </w:tcBorders>
            <w:shd w:val="clear" w:color="auto" w:fill="auto"/>
            <w:tcMar>
              <w:top w:w="100" w:type="dxa"/>
              <w:left w:w="40" w:type="dxa"/>
              <w:bottom w:w="100" w:type="dxa"/>
              <w:right w:w="40" w:type="dxa"/>
            </w:tcMar>
            <w:vAlign w:val="bottom"/>
          </w:tcPr>
          <w:p w14:paraId="22F8A632" w14:textId="77777777" w:rsidR="00067AD2" w:rsidRDefault="00001258">
            <w:pPr>
              <w:spacing w:line="240" w:lineRule="auto"/>
              <w:rPr>
                <w:sz w:val="20"/>
                <w:szCs w:val="20"/>
              </w:rPr>
            </w:pPr>
            <w:r>
              <w:rPr>
                <w:sz w:val="20"/>
                <w:szCs w:val="20"/>
              </w:rPr>
              <w:t>C/C</w:t>
            </w:r>
          </w:p>
        </w:tc>
        <w:tc>
          <w:tcPr>
            <w:tcW w:w="1065" w:type="dxa"/>
            <w:tcBorders>
              <w:top w:val="nil"/>
              <w:left w:val="nil"/>
              <w:bottom w:val="nil"/>
              <w:right w:val="nil"/>
            </w:tcBorders>
            <w:shd w:val="clear" w:color="auto" w:fill="auto"/>
            <w:tcMar>
              <w:top w:w="100" w:type="dxa"/>
              <w:left w:w="40" w:type="dxa"/>
              <w:bottom w:w="100" w:type="dxa"/>
              <w:right w:w="40" w:type="dxa"/>
            </w:tcMar>
            <w:vAlign w:val="bottom"/>
          </w:tcPr>
          <w:p w14:paraId="22F8A633" w14:textId="77777777" w:rsidR="00067AD2" w:rsidRDefault="00001258">
            <w:pPr>
              <w:spacing w:line="240" w:lineRule="auto"/>
              <w:rPr>
                <w:sz w:val="20"/>
                <w:szCs w:val="20"/>
              </w:rPr>
            </w:pPr>
            <w:r>
              <w:rPr>
                <w:sz w:val="20"/>
                <w:szCs w:val="20"/>
              </w:rPr>
              <w:t>G/G</w:t>
            </w:r>
          </w:p>
        </w:tc>
        <w:tc>
          <w:tcPr>
            <w:tcW w:w="1035" w:type="dxa"/>
            <w:tcBorders>
              <w:top w:val="nil"/>
              <w:left w:val="nil"/>
              <w:bottom w:val="nil"/>
              <w:right w:val="nil"/>
            </w:tcBorders>
            <w:shd w:val="clear" w:color="auto" w:fill="auto"/>
            <w:tcMar>
              <w:top w:w="100" w:type="dxa"/>
              <w:left w:w="40" w:type="dxa"/>
              <w:bottom w:w="100" w:type="dxa"/>
              <w:right w:w="40" w:type="dxa"/>
            </w:tcMar>
            <w:vAlign w:val="bottom"/>
          </w:tcPr>
          <w:p w14:paraId="22F8A634" w14:textId="77777777" w:rsidR="00067AD2" w:rsidRDefault="00001258">
            <w:pPr>
              <w:spacing w:line="240" w:lineRule="auto"/>
              <w:rPr>
                <w:sz w:val="20"/>
                <w:szCs w:val="20"/>
              </w:rPr>
            </w:pPr>
            <w:r>
              <w:rPr>
                <w:sz w:val="20"/>
                <w:szCs w:val="20"/>
              </w:rPr>
              <w:t>C/C</w:t>
            </w:r>
          </w:p>
        </w:tc>
      </w:tr>
      <w:tr w:rsidR="00067AD2" w14:paraId="22F8A63B" w14:textId="77777777">
        <w:trPr>
          <w:trHeight w:val="485"/>
        </w:trPr>
        <w:tc>
          <w:tcPr>
            <w:tcW w:w="1500" w:type="dxa"/>
            <w:tcBorders>
              <w:top w:val="nil"/>
              <w:left w:val="nil"/>
              <w:bottom w:val="nil"/>
              <w:right w:val="nil"/>
            </w:tcBorders>
            <w:shd w:val="clear" w:color="auto" w:fill="auto"/>
            <w:tcMar>
              <w:top w:w="100" w:type="dxa"/>
              <w:left w:w="40" w:type="dxa"/>
              <w:bottom w:w="100" w:type="dxa"/>
              <w:right w:w="40" w:type="dxa"/>
            </w:tcMar>
            <w:vAlign w:val="bottom"/>
          </w:tcPr>
          <w:p w14:paraId="22F8A636" w14:textId="77777777" w:rsidR="00067AD2" w:rsidRDefault="00001258">
            <w:pPr>
              <w:spacing w:line="240" w:lineRule="auto"/>
              <w:rPr>
                <w:sz w:val="20"/>
                <w:szCs w:val="20"/>
              </w:rPr>
            </w:pPr>
            <w:r>
              <w:rPr>
                <w:sz w:val="20"/>
                <w:szCs w:val="20"/>
              </w:rPr>
              <w:t>NA1</w:t>
            </w:r>
          </w:p>
        </w:tc>
        <w:tc>
          <w:tcPr>
            <w:tcW w:w="1080" w:type="dxa"/>
            <w:tcBorders>
              <w:top w:val="nil"/>
              <w:left w:val="nil"/>
              <w:bottom w:val="nil"/>
              <w:right w:val="nil"/>
            </w:tcBorders>
            <w:shd w:val="clear" w:color="auto" w:fill="auto"/>
            <w:tcMar>
              <w:top w:w="100" w:type="dxa"/>
              <w:left w:w="40" w:type="dxa"/>
              <w:bottom w:w="100" w:type="dxa"/>
              <w:right w:w="40" w:type="dxa"/>
            </w:tcMar>
            <w:vAlign w:val="bottom"/>
          </w:tcPr>
          <w:p w14:paraId="22F8A637" w14:textId="77777777" w:rsidR="00067AD2" w:rsidRDefault="00001258">
            <w:pPr>
              <w:spacing w:line="240" w:lineRule="auto"/>
              <w:rPr>
                <w:sz w:val="20"/>
                <w:szCs w:val="20"/>
              </w:rPr>
            </w:pPr>
            <w:r>
              <w:rPr>
                <w:sz w:val="20"/>
                <w:szCs w:val="20"/>
              </w:rPr>
              <w:t>G/G</w:t>
            </w:r>
          </w:p>
        </w:tc>
        <w:tc>
          <w:tcPr>
            <w:tcW w:w="1125" w:type="dxa"/>
            <w:tcBorders>
              <w:top w:val="nil"/>
              <w:left w:val="nil"/>
              <w:bottom w:val="nil"/>
              <w:right w:val="nil"/>
            </w:tcBorders>
            <w:shd w:val="clear" w:color="auto" w:fill="auto"/>
            <w:tcMar>
              <w:top w:w="100" w:type="dxa"/>
              <w:left w:w="40" w:type="dxa"/>
              <w:bottom w:w="100" w:type="dxa"/>
              <w:right w:w="40" w:type="dxa"/>
            </w:tcMar>
            <w:vAlign w:val="bottom"/>
          </w:tcPr>
          <w:p w14:paraId="22F8A638" w14:textId="77777777" w:rsidR="00067AD2" w:rsidRDefault="00001258">
            <w:pPr>
              <w:spacing w:line="240" w:lineRule="auto"/>
              <w:rPr>
                <w:sz w:val="20"/>
                <w:szCs w:val="20"/>
              </w:rPr>
            </w:pPr>
            <w:r>
              <w:rPr>
                <w:sz w:val="20"/>
                <w:szCs w:val="20"/>
              </w:rPr>
              <w:t>C/T</w:t>
            </w:r>
          </w:p>
        </w:tc>
        <w:tc>
          <w:tcPr>
            <w:tcW w:w="1065" w:type="dxa"/>
            <w:tcBorders>
              <w:top w:val="nil"/>
              <w:left w:val="nil"/>
              <w:bottom w:val="nil"/>
              <w:right w:val="nil"/>
            </w:tcBorders>
            <w:shd w:val="clear" w:color="auto" w:fill="auto"/>
            <w:tcMar>
              <w:top w:w="100" w:type="dxa"/>
              <w:left w:w="40" w:type="dxa"/>
              <w:bottom w:w="100" w:type="dxa"/>
              <w:right w:w="40" w:type="dxa"/>
            </w:tcMar>
            <w:vAlign w:val="bottom"/>
          </w:tcPr>
          <w:p w14:paraId="22F8A639" w14:textId="77777777" w:rsidR="00067AD2" w:rsidRDefault="00001258">
            <w:pPr>
              <w:spacing w:line="240" w:lineRule="auto"/>
              <w:rPr>
                <w:sz w:val="20"/>
                <w:szCs w:val="20"/>
              </w:rPr>
            </w:pPr>
            <w:r>
              <w:rPr>
                <w:sz w:val="20"/>
                <w:szCs w:val="20"/>
              </w:rPr>
              <w:t>A/A</w:t>
            </w:r>
          </w:p>
        </w:tc>
        <w:tc>
          <w:tcPr>
            <w:tcW w:w="1035" w:type="dxa"/>
            <w:tcBorders>
              <w:top w:val="nil"/>
              <w:left w:val="nil"/>
              <w:bottom w:val="nil"/>
              <w:right w:val="nil"/>
            </w:tcBorders>
            <w:shd w:val="clear" w:color="auto" w:fill="auto"/>
            <w:tcMar>
              <w:top w:w="100" w:type="dxa"/>
              <w:left w:w="40" w:type="dxa"/>
              <w:bottom w:w="100" w:type="dxa"/>
              <w:right w:w="40" w:type="dxa"/>
            </w:tcMar>
            <w:vAlign w:val="bottom"/>
          </w:tcPr>
          <w:p w14:paraId="22F8A63A" w14:textId="77777777" w:rsidR="00067AD2" w:rsidRDefault="00001258">
            <w:pPr>
              <w:spacing w:line="240" w:lineRule="auto"/>
              <w:rPr>
                <w:sz w:val="20"/>
                <w:szCs w:val="20"/>
              </w:rPr>
            </w:pPr>
            <w:r>
              <w:rPr>
                <w:sz w:val="20"/>
                <w:szCs w:val="20"/>
              </w:rPr>
              <w:t>C/C</w:t>
            </w:r>
          </w:p>
        </w:tc>
      </w:tr>
      <w:tr w:rsidR="00067AD2" w14:paraId="22F8A641" w14:textId="77777777">
        <w:trPr>
          <w:trHeight w:val="485"/>
        </w:trPr>
        <w:tc>
          <w:tcPr>
            <w:tcW w:w="1500" w:type="dxa"/>
            <w:tcBorders>
              <w:top w:val="nil"/>
              <w:left w:val="nil"/>
              <w:right w:val="nil"/>
            </w:tcBorders>
            <w:shd w:val="clear" w:color="auto" w:fill="auto"/>
            <w:tcMar>
              <w:top w:w="100" w:type="dxa"/>
              <w:left w:w="40" w:type="dxa"/>
              <w:bottom w:w="100" w:type="dxa"/>
              <w:right w:w="40" w:type="dxa"/>
            </w:tcMar>
            <w:vAlign w:val="bottom"/>
          </w:tcPr>
          <w:p w14:paraId="22F8A63C" w14:textId="77777777" w:rsidR="00067AD2" w:rsidRDefault="00001258">
            <w:pPr>
              <w:spacing w:line="240" w:lineRule="auto"/>
              <w:rPr>
                <w:sz w:val="20"/>
                <w:szCs w:val="20"/>
              </w:rPr>
            </w:pPr>
            <w:r>
              <w:rPr>
                <w:sz w:val="20"/>
                <w:szCs w:val="20"/>
              </w:rPr>
              <w:t>NA2</w:t>
            </w:r>
          </w:p>
        </w:tc>
        <w:tc>
          <w:tcPr>
            <w:tcW w:w="1080" w:type="dxa"/>
            <w:tcBorders>
              <w:top w:val="nil"/>
              <w:left w:val="nil"/>
              <w:right w:val="nil"/>
            </w:tcBorders>
            <w:shd w:val="clear" w:color="auto" w:fill="auto"/>
            <w:tcMar>
              <w:top w:w="100" w:type="dxa"/>
              <w:left w:w="40" w:type="dxa"/>
              <w:bottom w:w="100" w:type="dxa"/>
              <w:right w:w="40" w:type="dxa"/>
            </w:tcMar>
            <w:vAlign w:val="bottom"/>
          </w:tcPr>
          <w:p w14:paraId="22F8A63D" w14:textId="77777777" w:rsidR="00067AD2" w:rsidRDefault="00001258">
            <w:pPr>
              <w:spacing w:line="240" w:lineRule="auto"/>
              <w:rPr>
                <w:sz w:val="20"/>
                <w:szCs w:val="20"/>
              </w:rPr>
            </w:pPr>
            <w:r>
              <w:rPr>
                <w:sz w:val="20"/>
                <w:szCs w:val="20"/>
              </w:rPr>
              <w:t>G/G</w:t>
            </w:r>
          </w:p>
        </w:tc>
        <w:tc>
          <w:tcPr>
            <w:tcW w:w="1125" w:type="dxa"/>
            <w:tcBorders>
              <w:top w:val="nil"/>
              <w:left w:val="nil"/>
              <w:right w:val="nil"/>
            </w:tcBorders>
            <w:shd w:val="clear" w:color="auto" w:fill="auto"/>
            <w:tcMar>
              <w:top w:w="100" w:type="dxa"/>
              <w:left w:w="40" w:type="dxa"/>
              <w:bottom w:w="100" w:type="dxa"/>
              <w:right w:w="40" w:type="dxa"/>
            </w:tcMar>
            <w:vAlign w:val="bottom"/>
          </w:tcPr>
          <w:p w14:paraId="22F8A63E" w14:textId="77777777" w:rsidR="00067AD2" w:rsidRDefault="00001258">
            <w:pPr>
              <w:spacing w:line="240" w:lineRule="auto"/>
              <w:rPr>
                <w:sz w:val="20"/>
                <w:szCs w:val="20"/>
              </w:rPr>
            </w:pPr>
            <w:r>
              <w:rPr>
                <w:sz w:val="20"/>
                <w:szCs w:val="20"/>
              </w:rPr>
              <w:t>C/T</w:t>
            </w:r>
          </w:p>
        </w:tc>
        <w:tc>
          <w:tcPr>
            <w:tcW w:w="1065" w:type="dxa"/>
            <w:tcBorders>
              <w:top w:val="nil"/>
              <w:left w:val="nil"/>
              <w:right w:val="nil"/>
            </w:tcBorders>
            <w:shd w:val="clear" w:color="auto" w:fill="auto"/>
            <w:tcMar>
              <w:top w:w="100" w:type="dxa"/>
              <w:left w:w="40" w:type="dxa"/>
              <w:bottom w:w="100" w:type="dxa"/>
              <w:right w:w="40" w:type="dxa"/>
            </w:tcMar>
            <w:vAlign w:val="bottom"/>
          </w:tcPr>
          <w:p w14:paraId="22F8A63F" w14:textId="77777777" w:rsidR="00067AD2" w:rsidRDefault="00001258">
            <w:pPr>
              <w:spacing w:line="240" w:lineRule="auto"/>
              <w:rPr>
                <w:sz w:val="20"/>
                <w:szCs w:val="20"/>
              </w:rPr>
            </w:pPr>
            <w:r>
              <w:rPr>
                <w:sz w:val="20"/>
                <w:szCs w:val="20"/>
              </w:rPr>
              <w:t>A/A</w:t>
            </w:r>
          </w:p>
        </w:tc>
        <w:tc>
          <w:tcPr>
            <w:tcW w:w="1035" w:type="dxa"/>
            <w:tcBorders>
              <w:top w:val="nil"/>
              <w:left w:val="nil"/>
              <w:right w:val="nil"/>
            </w:tcBorders>
            <w:shd w:val="clear" w:color="auto" w:fill="auto"/>
            <w:tcMar>
              <w:top w:w="100" w:type="dxa"/>
              <w:left w:w="40" w:type="dxa"/>
              <w:bottom w:w="100" w:type="dxa"/>
              <w:right w:w="40" w:type="dxa"/>
            </w:tcMar>
            <w:vAlign w:val="bottom"/>
          </w:tcPr>
          <w:p w14:paraId="22F8A640" w14:textId="77777777" w:rsidR="00067AD2" w:rsidRDefault="00001258">
            <w:pPr>
              <w:spacing w:line="240" w:lineRule="auto"/>
              <w:rPr>
                <w:color w:val="FF0000"/>
                <w:sz w:val="20"/>
                <w:szCs w:val="20"/>
              </w:rPr>
            </w:pPr>
            <w:r>
              <w:rPr>
                <w:sz w:val="20"/>
                <w:szCs w:val="20"/>
              </w:rPr>
              <w:t>C/</w:t>
            </w:r>
            <w:r>
              <w:rPr>
                <w:color w:val="FF0000"/>
                <w:sz w:val="20"/>
                <w:szCs w:val="20"/>
              </w:rPr>
              <w:t>T</w:t>
            </w:r>
          </w:p>
        </w:tc>
      </w:tr>
      <w:tr w:rsidR="00067AD2" w14:paraId="22F8A647" w14:textId="77777777">
        <w:trPr>
          <w:trHeight w:val="485"/>
        </w:trPr>
        <w:tc>
          <w:tcPr>
            <w:tcW w:w="1500" w:type="dxa"/>
            <w:shd w:val="clear" w:color="auto" w:fill="auto"/>
            <w:tcMar>
              <w:top w:w="100" w:type="dxa"/>
              <w:left w:w="40" w:type="dxa"/>
              <w:bottom w:w="100" w:type="dxa"/>
              <w:right w:w="40" w:type="dxa"/>
            </w:tcMar>
            <w:vAlign w:val="bottom"/>
          </w:tcPr>
          <w:p w14:paraId="22F8A642" w14:textId="77777777" w:rsidR="00067AD2" w:rsidRDefault="00001258">
            <w:pPr>
              <w:rPr>
                <w:sz w:val="20"/>
                <w:szCs w:val="20"/>
              </w:rPr>
            </w:pPr>
            <w:r>
              <w:rPr>
                <w:sz w:val="20"/>
                <w:szCs w:val="20"/>
                <w:highlight w:val="white"/>
              </w:rPr>
              <w:t>16-237-021</w:t>
            </w:r>
          </w:p>
        </w:tc>
        <w:tc>
          <w:tcPr>
            <w:tcW w:w="1080" w:type="dxa"/>
            <w:shd w:val="clear" w:color="auto" w:fill="auto"/>
            <w:tcMar>
              <w:top w:w="100" w:type="dxa"/>
              <w:left w:w="40" w:type="dxa"/>
              <w:bottom w:w="100" w:type="dxa"/>
              <w:right w:w="40" w:type="dxa"/>
            </w:tcMar>
            <w:vAlign w:val="bottom"/>
          </w:tcPr>
          <w:p w14:paraId="22F8A643" w14:textId="77777777" w:rsidR="00067AD2" w:rsidRDefault="00001258">
            <w:pPr>
              <w:spacing w:line="240" w:lineRule="auto"/>
              <w:rPr>
                <w:sz w:val="20"/>
                <w:szCs w:val="20"/>
              </w:rPr>
            </w:pPr>
            <w:r>
              <w:rPr>
                <w:sz w:val="20"/>
                <w:szCs w:val="20"/>
              </w:rPr>
              <w:t>G/C</w:t>
            </w:r>
          </w:p>
        </w:tc>
        <w:tc>
          <w:tcPr>
            <w:tcW w:w="1125" w:type="dxa"/>
            <w:shd w:val="clear" w:color="auto" w:fill="auto"/>
            <w:tcMar>
              <w:top w:w="100" w:type="dxa"/>
              <w:left w:w="40" w:type="dxa"/>
              <w:bottom w:w="100" w:type="dxa"/>
              <w:right w:w="40" w:type="dxa"/>
            </w:tcMar>
            <w:vAlign w:val="bottom"/>
          </w:tcPr>
          <w:p w14:paraId="22F8A644" w14:textId="77777777" w:rsidR="00067AD2" w:rsidRDefault="00001258">
            <w:pPr>
              <w:spacing w:line="240" w:lineRule="auto"/>
              <w:rPr>
                <w:sz w:val="20"/>
                <w:szCs w:val="20"/>
              </w:rPr>
            </w:pPr>
            <w:r>
              <w:rPr>
                <w:sz w:val="20"/>
                <w:szCs w:val="20"/>
              </w:rPr>
              <w:t>C/T</w:t>
            </w:r>
          </w:p>
        </w:tc>
        <w:tc>
          <w:tcPr>
            <w:tcW w:w="1065" w:type="dxa"/>
            <w:shd w:val="clear" w:color="auto" w:fill="auto"/>
            <w:tcMar>
              <w:top w:w="100" w:type="dxa"/>
              <w:left w:w="40" w:type="dxa"/>
              <w:bottom w:w="100" w:type="dxa"/>
              <w:right w:w="40" w:type="dxa"/>
            </w:tcMar>
            <w:vAlign w:val="bottom"/>
          </w:tcPr>
          <w:p w14:paraId="22F8A645" w14:textId="77777777" w:rsidR="00067AD2" w:rsidRDefault="00001258">
            <w:pPr>
              <w:spacing w:line="240" w:lineRule="auto"/>
              <w:rPr>
                <w:sz w:val="20"/>
                <w:szCs w:val="20"/>
              </w:rPr>
            </w:pPr>
            <w:r>
              <w:rPr>
                <w:sz w:val="20"/>
                <w:szCs w:val="20"/>
              </w:rPr>
              <w:t>A/A</w:t>
            </w:r>
          </w:p>
        </w:tc>
        <w:tc>
          <w:tcPr>
            <w:tcW w:w="1035" w:type="dxa"/>
            <w:shd w:val="clear" w:color="auto" w:fill="auto"/>
            <w:tcMar>
              <w:top w:w="100" w:type="dxa"/>
              <w:left w:w="40" w:type="dxa"/>
              <w:bottom w:w="100" w:type="dxa"/>
              <w:right w:w="40" w:type="dxa"/>
            </w:tcMar>
            <w:vAlign w:val="bottom"/>
          </w:tcPr>
          <w:p w14:paraId="22F8A646" w14:textId="77777777" w:rsidR="00067AD2" w:rsidRDefault="00001258">
            <w:pPr>
              <w:spacing w:line="240" w:lineRule="auto"/>
              <w:rPr>
                <w:color w:val="FF0000"/>
                <w:sz w:val="20"/>
                <w:szCs w:val="20"/>
              </w:rPr>
            </w:pPr>
            <w:r>
              <w:rPr>
                <w:color w:val="FF0000"/>
                <w:sz w:val="20"/>
                <w:szCs w:val="20"/>
              </w:rPr>
              <w:t>T/T</w:t>
            </w:r>
          </w:p>
        </w:tc>
      </w:tr>
      <w:tr w:rsidR="00067AD2" w14:paraId="22F8A64D" w14:textId="77777777">
        <w:trPr>
          <w:trHeight w:val="485"/>
        </w:trPr>
        <w:tc>
          <w:tcPr>
            <w:tcW w:w="1500" w:type="dxa"/>
            <w:tcBorders>
              <w:left w:val="nil"/>
              <w:bottom w:val="single" w:sz="8" w:space="0" w:color="000000"/>
              <w:right w:val="nil"/>
            </w:tcBorders>
            <w:shd w:val="clear" w:color="auto" w:fill="auto"/>
            <w:tcMar>
              <w:top w:w="100" w:type="dxa"/>
              <w:left w:w="40" w:type="dxa"/>
              <w:bottom w:w="100" w:type="dxa"/>
              <w:right w:w="40" w:type="dxa"/>
            </w:tcMar>
            <w:vAlign w:val="bottom"/>
          </w:tcPr>
          <w:p w14:paraId="22F8A648" w14:textId="77777777" w:rsidR="00067AD2" w:rsidRDefault="00001258">
            <w:pPr>
              <w:rPr>
                <w:sz w:val="20"/>
                <w:szCs w:val="20"/>
              </w:rPr>
            </w:pPr>
            <w:r>
              <w:rPr>
                <w:sz w:val="20"/>
                <w:szCs w:val="20"/>
                <w:highlight w:val="white"/>
              </w:rPr>
              <w:t>16-284-032</w:t>
            </w:r>
          </w:p>
        </w:tc>
        <w:tc>
          <w:tcPr>
            <w:tcW w:w="1080" w:type="dxa"/>
            <w:tcBorders>
              <w:left w:val="nil"/>
              <w:bottom w:val="single" w:sz="8" w:space="0" w:color="000000"/>
              <w:right w:val="nil"/>
            </w:tcBorders>
            <w:shd w:val="clear" w:color="auto" w:fill="auto"/>
            <w:tcMar>
              <w:top w:w="100" w:type="dxa"/>
              <w:left w:w="40" w:type="dxa"/>
              <w:bottom w:w="100" w:type="dxa"/>
              <w:right w:w="40" w:type="dxa"/>
            </w:tcMar>
            <w:vAlign w:val="bottom"/>
          </w:tcPr>
          <w:p w14:paraId="22F8A649" w14:textId="77777777" w:rsidR="00067AD2" w:rsidRDefault="00001258">
            <w:pPr>
              <w:spacing w:line="240" w:lineRule="auto"/>
              <w:rPr>
                <w:sz w:val="20"/>
                <w:szCs w:val="20"/>
              </w:rPr>
            </w:pPr>
            <w:r>
              <w:rPr>
                <w:sz w:val="20"/>
                <w:szCs w:val="20"/>
              </w:rPr>
              <w:t>G/C</w:t>
            </w:r>
          </w:p>
        </w:tc>
        <w:tc>
          <w:tcPr>
            <w:tcW w:w="1125" w:type="dxa"/>
            <w:tcBorders>
              <w:left w:val="nil"/>
              <w:bottom w:val="single" w:sz="8" w:space="0" w:color="000000"/>
              <w:right w:val="nil"/>
            </w:tcBorders>
            <w:shd w:val="clear" w:color="auto" w:fill="auto"/>
            <w:tcMar>
              <w:top w:w="100" w:type="dxa"/>
              <w:left w:w="40" w:type="dxa"/>
              <w:bottom w:w="100" w:type="dxa"/>
              <w:right w:w="40" w:type="dxa"/>
            </w:tcMar>
            <w:vAlign w:val="bottom"/>
          </w:tcPr>
          <w:p w14:paraId="22F8A64A" w14:textId="77777777" w:rsidR="00067AD2" w:rsidRDefault="00001258">
            <w:pPr>
              <w:spacing w:line="240" w:lineRule="auto"/>
              <w:rPr>
                <w:sz w:val="20"/>
                <w:szCs w:val="20"/>
              </w:rPr>
            </w:pPr>
            <w:r>
              <w:rPr>
                <w:sz w:val="20"/>
                <w:szCs w:val="20"/>
              </w:rPr>
              <w:t>C/T</w:t>
            </w:r>
          </w:p>
        </w:tc>
        <w:tc>
          <w:tcPr>
            <w:tcW w:w="1065" w:type="dxa"/>
            <w:tcBorders>
              <w:left w:val="nil"/>
              <w:bottom w:val="single" w:sz="8" w:space="0" w:color="000000"/>
              <w:right w:val="nil"/>
            </w:tcBorders>
            <w:shd w:val="clear" w:color="auto" w:fill="auto"/>
            <w:tcMar>
              <w:top w:w="100" w:type="dxa"/>
              <w:left w:w="40" w:type="dxa"/>
              <w:bottom w:w="100" w:type="dxa"/>
              <w:right w:w="40" w:type="dxa"/>
            </w:tcMar>
            <w:vAlign w:val="bottom"/>
          </w:tcPr>
          <w:p w14:paraId="22F8A64B" w14:textId="77777777" w:rsidR="00067AD2" w:rsidRDefault="00001258">
            <w:pPr>
              <w:spacing w:line="240" w:lineRule="auto"/>
              <w:rPr>
                <w:sz w:val="20"/>
                <w:szCs w:val="20"/>
              </w:rPr>
            </w:pPr>
            <w:r>
              <w:rPr>
                <w:sz w:val="20"/>
                <w:szCs w:val="20"/>
              </w:rPr>
              <w:t>A/A</w:t>
            </w:r>
          </w:p>
        </w:tc>
        <w:tc>
          <w:tcPr>
            <w:tcW w:w="1035" w:type="dxa"/>
            <w:tcBorders>
              <w:left w:val="nil"/>
              <w:bottom w:val="single" w:sz="8" w:space="0" w:color="000000"/>
              <w:right w:val="nil"/>
            </w:tcBorders>
            <w:shd w:val="clear" w:color="auto" w:fill="auto"/>
            <w:tcMar>
              <w:top w:w="100" w:type="dxa"/>
              <w:left w:w="40" w:type="dxa"/>
              <w:bottom w:w="100" w:type="dxa"/>
              <w:right w:w="40" w:type="dxa"/>
            </w:tcMar>
            <w:vAlign w:val="bottom"/>
          </w:tcPr>
          <w:p w14:paraId="22F8A64C" w14:textId="77777777" w:rsidR="00067AD2" w:rsidRDefault="00001258">
            <w:pPr>
              <w:spacing w:line="240" w:lineRule="auto"/>
              <w:rPr>
                <w:color w:val="FF0000"/>
                <w:sz w:val="20"/>
                <w:szCs w:val="20"/>
              </w:rPr>
            </w:pPr>
            <w:r>
              <w:rPr>
                <w:color w:val="FF0000"/>
                <w:sz w:val="20"/>
                <w:szCs w:val="20"/>
              </w:rPr>
              <w:t>T/T</w:t>
            </w:r>
          </w:p>
        </w:tc>
      </w:tr>
    </w:tbl>
    <w:p w14:paraId="22F8A64E" w14:textId="1BDED6BE" w:rsidR="00067AD2" w:rsidRDefault="00001258">
      <w:pPr>
        <w:ind w:right="3510"/>
        <w:rPr>
          <w:sz w:val="20"/>
          <w:szCs w:val="20"/>
        </w:rPr>
      </w:pPr>
      <w:r>
        <w:rPr>
          <w:sz w:val="20"/>
          <w:szCs w:val="20"/>
          <w:vertAlign w:val="superscript"/>
        </w:rPr>
        <w:t>a</w:t>
      </w:r>
      <w:r>
        <w:rPr>
          <w:sz w:val="20"/>
          <w:szCs w:val="20"/>
        </w:rPr>
        <w:t>For list of additional samples used for genotyping of the three lineages present in North America see Gagnon et al.</w:t>
      </w:r>
      <w:r>
        <w:fldChar w:fldCharType="begin"/>
      </w:r>
      <w:r w:rsidR="001515FF">
        <w:instrText xml:space="preserve"> ADDIN ZOTERO_ITEM CSL_CITATION {"citationID":"a21rpq69ufo","properties":{"formattedCitation":"\\super 2\\nosupersub{}","plainCitation":"2","noteIndex":0},"citationItems":[{"id":5249,"uris":["http://zotero.org/users/15948/items/CFDXG6P7"],"uri":["http://zotero.org/users/15948/items/CFDXG6P7"],"itemData":{"id":5249,"type":"article-journal","container-title":"Canadian Journal of Plant Pathology","issue":"3","note":"publisher: Taylor &amp; Francis","page":"367–376","title":"Real-time PCR assay to distinguish &lt;i&gt;Phytophthora ramorum&lt;/i&gt; lineages using the cellulose binding elicitor lectin (CBEL) locus","volume":"36","author":[{"family":"Gagnon","given":"Marie-Claude"},{"family":"Bergeron","given":"Marie-Josée"},{"family":"Hamelin","given":"Richard C"},{"family":"Grünwald","given":"Niklaus J"},{"family":"Bilodeau","given":"Guillaume J"}],"issued":{"date-parts":[["2014"]]}}}],"schema":"https://github.com/citation-style-language/schema/raw/master/csl-citation.json"} </w:instrText>
      </w:r>
      <w:r>
        <w:fldChar w:fldCharType="separate"/>
      </w:r>
      <w:r w:rsidR="00892867" w:rsidRPr="00892867">
        <w:rPr>
          <w:vertAlign w:val="superscript"/>
          <w:lang w:val="en-US"/>
        </w:rPr>
        <w:t>2</w:t>
      </w:r>
      <w:r>
        <w:rPr>
          <w:sz w:val="20"/>
          <w:szCs w:val="20"/>
        </w:rPr>
        <w:fldChar w:fldCharType="end"/>
      </w:r>
    </w:p>
    <w:p w14:paraId="22F8A64F" w14:textId="77777777" w:rsidR="00067AD2" w:rsidRDefault="00067AD2">
      <w:pPr>
        <w:rPr>
          <w:sz w:val="20"/>
          <w:szCs w:val="20"/>
        </w:rPr>
      </w:pPr>
    </w:p>
    <w:p w14:paraId="22F8A650" w14:textId="77777777" w:rsidR="00067AD2" w:rsidRDefault="00067AD2">
      <w:pPr>
        <w:spacing w:after="160" w:line="240" w:lineRule="auto"/>
        <w:ind w:right="223"/>
        <w:rPr>
          <w:b/>
          <w:sz w:val="20"/>
          <w:szCs w:val="20"/>
        </w:rPr>
      </w:pPr>
    </w:p>
    <w:p w14:paraId="22F8A651" w14:textId="77777777" w:rsidR="00067AD2" w:rsidRDefault="00067AD2">
      <w:pPr>
        <w:spacing w:after="160" w:line="240" w:lineRule="auto"/>
        <w:ind w:right="223"/>
        <w:rPr>
          <w:b/>
          <w:sz w:val="20"/>
          <w:szCs w:val="20"/>
        </w:rPr>
      </w:pPr>
    </w:p>
    <w:p w14:paraId="22F8A652" w14:textId="77777777" w:rsidR="00067AD2" w:rsidRDefault="00067AD2">
      <w:pPr>
        <w:spacing w:after="160" w:line="240" w:lineRule="auto"/>
        <w:ind w:right="223"/>
        <w:rPr>
          <w:b/>
          <w:sz w:val="20"/>
          <w:szCs w:val="20"/>
        </w:rPr>
        <w:sectPr w:rsidR="00067AD2">
          <w:pgSz w:w="12240" w:h="15840"/>
          <w:pgMar w:top="1440" w:right="1440" w:bottom="1440" w:left="1440" w:header="720" w:footer="720" w:gutter="0"/>
          <w:pgNumType w:start="1"/>
          <w:cols w:space="720"/>
        </w:sectPr>
      </w:pPr>
    </w:p>
    <w:p w14:paraId="22F8A653" w14:textId="77777777" w:rsidR="00067AD2" w:rsidRDefault="00001258">
      <w:pPr>
        <w:spacing w:after="160" w:line="240" w:lineRule="auto"/>
        <w:ind w:right="540"/>
        <w:rPr>
          <w:sz w:val="20"/>
          <w:szCs w:val="20"/>
          <w:highlight w:val="yellow"/>
        </w:rPr>
      </w:pPr>
      <w:r>
        <w:rPr>
          <w:b/>
          <w:sz w:val="20"/>
          <w:szCs w:val="20"/>
        </w:rPr>
        <w:lastRenderedPageBreak/>
        <w:t xml:space="preserve">Table S2. </w:t>
      </w:r>
      <w:r>
        <w:rPr>
          <w:b/>
          <w:i/>
          <w:sz w:val="20"/>
          <w:szCs w:val="20"/>
        </w:rPr>
        <w:t>Phytophthora ramorum</w:t>
      </w:r>
      <w:r>
        <w:rPr>
          <w:b/>
          <w:sz w:val="20"/>
          <w:szCs w:val="20"/>
        </w:rPr>
        <w:t xml:space="preserve"> genomes used in this study cover locations in Europe and North America over more than 20 years.</w:t>
      </w:r>
      <w:r>
        <w:rPr>
          <w:sz w:val="20"/>
          <w:szCs w:val="20"/>
        </w:rPr>
        <w:t xml:space="preserve"> </w:t>
      </w:r>
    </w:p>
    <w:tbl>
      <w:tblPr>
        <w:tblStyle w:val="a0"/>
        <w:tblW w:w="12420" w:type="dxa"/>
        <w:tblBorders>
          <w:top w:val="nil"/>
          <w:left w:val="nil"/>
          <w:bottom w:val="nil"/>
          <w:right w:val="nil"/>
          <w:insideH w:val="nil"/>
          <w:insideV w:val="nil"/>
        </w:tblBorders>
        <w:tblLayout w:type="fixed"/>
        <w:tblLook w:val="0600" w:firstRow="0" w:lastRow="0" w:firstColumn="0" w:lastColumn="0" w:noHBand="1" w:noVBand="1"/>
      </w:tblPr>
      <w:tblGrid>
        <w:gridCol w:w="990"/>
        <w:gridCol w:w="1140"/>
        <w:gridCol w:w="6210"/>
        <w:gridCol w:w="1785"/>
        <w:gridCol w:w="2295"/>
      </w:tblGrid>
      <w:tr w:rsidR="00067AD2" w14:paraId="22F8A659" w14:textId="77777777">
        <w:trPr>
          <w:trHeight w:val="665"/>
        </w:trPr>
        <w:tc>
          <w:tcPr>
            <w:tcW w:w="990" w:type="dxa"/>
            <w:tcBorders>
              <w:top w:val="nil"/>
              <w:left w:val="nil"/>
              <w:bottom w:val="single" w:sz="8" w:space="0" w:color="000000"/>
              <w:right w:val="nil"/>
            </w:tcBorders>
            <w:tcMar>
              <w:top w:w="100" w:type="dxa"/>
              <w:left w:w="40" w:type="dxa"/>
              <w:bottom w:w="100" w:type="dxa"/>
              <w:right w:w="40" w:type="dxa"/>
            </w:tcMar>
            <w:vAlign w:val="bottom"/>
          </w:tcPr>
          <w:p w14:paraId="22F8A654" w14:textId="77777777" w:rsidR="00067AD2" w:rsidRDefault="00001258">
            <w:pPr>
              <w:spacing w:line="240" w:lineRule="auto"/>
              <w:rPr>
                <w:sz w:val="20"/>
                <w:szCs w:val="20"/>
              </w:rPr>
            </w:pPr>
            <w:r>
              <w:rPr>
                <w:sz w:val="20"/>
                <w:szCs w:val="20"/>
              </w:rPr>
              <w:t>Lineage</w:t>
            </w:r>
          </w:p>
        </w:tc>
        <w:tc>
          <w:tcPr>
            <w:tcW w:w="1140" w:type="dxa"/>
            <w:tcBorders>
              <w:top w:val="nil"/>
              <w:left w:val="nil"/>
              <w:bottom w:val="single" w:sz="8" w:space="0" w:color="000000"/>
              <w:right w:val="nil"/>
            </w:tcBorders>
            <w:tcMar>
              <w:top w:w="100" w:type="dxa"/>
              <w:left w:w="40" w:type="dxa"/>
              <w:bottom w:w="100" w:type="dxa"/>
              <w:right w:w="40" w:type="dxa"/>
            </w:tcMar>
            <w:vAlign w:val="bottom"/>
          </w:tcPr>
          <w:p w14:paraId="22F8A655" w14:textId="77777777" w:rsidR="00067AD2" w:rsidRDefault="00001258">
            <w:pPr>
              <w:widowControl w:val="0"/>
              <w:spacing w:line="240" w:lineRule="auto"/>
              <w:rPr>
                <w:sz w:val="20"/>
                <w:szCs w:val="20"/>
              </w:rPr>
            </w:pPr>
            <w:r>
              <w:rPr>
                <w:sz w:val="20"/>
                <w:szCs w:val="20"/>
              </w:rPr>
              <w:t>Number of genomes</w:t>
            </w:r>
          </w:p>
        </w:tc>
        <w:tc>
          <w:tcPr>
            <w:tcW w:w="6210" w:type="dxa"/>
            <w:tcBorders>
              <w:top w:val="nil"/>
              <w:left w:val="nil"/>
              <w:bottom w:val="single" w:sz="8" w:space="0" w:color="000000"/>
              <w:right w:val="nil"/>
            </w:tcBorders>
            <w:tcMar>
              <w:top w:w="100" w:type="dxa"/>
              <w:left w:w="40" w:type="dxa"/>
              <w:bottom w:w="100" w:type="dxa"/>
              <w:right w:w="40" w:type="dxa"/>
            </w:tcMar>
            <w:vAlign w:val="bottom"/>
          </w:tcPr>
          <w:p w14:paraId="22F8A656" w14:textId="77777777" w:rsidR="00067AD2" w:rsidRDefault="00001258">
            <w:pPr>
              <w:widowControl w:val="0"/>
              <w:spacing w:line="240" w:lineRule="auto"/>
              <w:rPr>
                <w:sz w:val="20"/>
                <w:szCs w:val="20"/>
              </w:rPr>
            </w:pPr>
            <w:r>
              <w:rPr>
                <w:sz w:val="20"/>
                <w:szCs w:val="20"/>
              </w:rPr>
              <w:t>Geographic origin (number of isolates)</w:t>
            </w:r>
          </w:p>
        </w:tc>
        <w:tc>
          <w:tcPr>
            <w:tcW w:w="1785" w:type="dxa"/>
            <w:tcBorders>
              <w:top w:val="nil"/>
              <w:left w:val="nil"/>
              <w:bottom w:val="single" w:sz="8" w:space="0" w:color="000000"/>
              <w:right w:val="nil"/>
            </w:tcBorders>
            <w:tcMar>
              <w:top w:w="100" w:type="dxa"/>
              <w:left w:w="40" w:type="dxa"/>
              <w:bottom w:w="100" w:type="dxa"/>
              <w:right w:w="40" w:type="dxa"/>
            </w:tcMar>
            <w:vAlign w:val="bottom"/>
          </w:tcPr>
          <w:p w14:paraId="22F8A657" w14:textId="77777777" w:rsidR="00067AD2" w:rsidRDefault="00001258">
            <w:pPr>
              <w:widowControl w:val="0"/>
              <w:spacing w:line="240" w:lineRule="auto"/>
              <w:rPr>
                <w:sz w:val="20"/>
                <w:szCs w:val="20"/>
              </w:rPr>
            </w:pPr>
            <w:r>
              <w:rPr>
                <w:sz w:val="20"/>
                <w:szCs w:val="20"/>
              </w:rPr>
              <w:t>Collection years</w:t>
            </w:r>
          </w:p>
        </w:tc>
        <w:tc>
          <w:tcPr>
            <w:tcW w:w="2295" w:type="dxa"/>
            <w:tcBorders>
              <w:top w:val="nil"/>
              <w:left w:val="nil"/>
              <w:bottom w:val="single" w:sz="8" w:space="0" w:color="000000"/>
              <w:right w:val="nil"/>
            </w:tcBorders>
            <w:tcMar>
              <w:top w:w="100" w:type="dxa"/>
              <w:left w:w="40" w:type="dxa"/>
              <w:bottom w:w="100" w:type="dxa"/>
              <w:right w:w="40" w:type="dxa"/>
            </w:tcMar>
            <w:vAlign w:val="bottom"/>
          </w:tcPr>
          <w:p w14:paraId="22F8A658" w14:textId="77777777" w:rsidR="00067AD2" w:rsidRDefault="00001258">
            <w:pPr>
              <w:widowControl w:val="0"/>
              <w:spacing w:line="240" w:lineRule="auto"/>
              <w:rPr>
                <w:sz w:val="20"/>
                <w:szCs w:val="20"/>
                <w:vertAlign w:val="superscript"/>
              </w:rPr>
            </w:pPr>
            <w:r>
              <w:rPr>
                <w:sz w:val="20"/>
                <w:szCs w:val="20"/>
              </w:rPr>
              <w:t>Genome coverage</w:t>
            </w:r>
            <w:r>
              <w:rPr>
                <w:sz w:val="20"/>
                <w:szCs w:val="20"/>
                <w:vertAlign w:val="superscript"/>
              </w:rPr>
              <w:t>a</w:t>
            </w:r>
          </w:p>
        </w:tc>
      </w:tr>
      <w:tr w:rsidR="00067AD2" w14:paraId="22F8A65F" w14:textId="77777777">
        <w:trPr>
          <w:trHeight w:val="405"/>
        </w:trPr>
        <w:tc>
          <w:tcPr>
            <w:tcW w:w="990" w:type="dxa"/>
            <w:tcBorders>
              <w:top w:val="nil"/>
              <w:left w:val="nil"/>
              <w:bottom w:val="nil"/>
              <w:right w:val="nil"/>
            </w:tcBorders>
            <w:tcMar>
              <w:top w:w="100" w:type="dxa"/>
              <w:left w:w="40" w:type="dxa"/>
              <w:bottom w:w="100" w:type="dxa"/>
              <w:right w:w="40" w:type="dxa"/>
            </w:tcMar>
          </w:tcPr>
          <w:p w14:paraId="22F8A65A" w14:textId="77777777" w:rsidR="00067AD2" w:rsidRDefault="00001258">
            <w:pPr>
              <w:spacing w:line="240" w:lineRule="auto"/>
              <w:rPr>
                <w:sz w:val="20"/>
                <w:szCs w:val="20"/>
              </w:rPr>
            </w:pPr>
            <w:r>
              <w:rPr>
                <w:sz w:val="20"/>
                <w:szCs w:val="20"/>
              </w:rPr>
              <w:t>EU1</w:t>
            </w:r>
          </w:p>
        </w:tc>
        <w:tc>
          <w:tcPr>
            <w:tcW w:w="1140" w:type="dxa"/>
            <w:tcBorders>
              <w:top w:val="nil"/>
              <w:left w:val="nil"/>
              <w:bottom w:val="nil"/>
              <w:right w:val="nil"/>
            </w:tcBorders>
            <w:tcMar>
              <w:top w:w="100" w:type="dxa"/>
              <w:left w:w="40" w:type="dxa"/>
              <w:bottom w:w="100" w:type="dxa"/>
              <w:right w:w="40" w:type="dxa"/>
            </w:tcMar>
          </w:tcPr>
          <w:p w14:paraId="22F8A65B" w14:textId="77777777" w:rsidR="00067AD2" w:rsidRDefault="00001258">
            <w:pPr>
              <w:spacing w:line="240" w:lineRule="auto"/>
              <w:rPr>
                <w:sz w:val="20"/>
                <w:szCs w:val="20"/>
              </w:rPr>
            </w:pPr>
            <w:r>
              <w:rPr>
                <w:sz w:val="20"/>
                <w:szCs w:val="20"/>
              </w:rPr>
              <w:t>30</w:t>
            </w:r>
          </w:p>
        </w:tc>
        <w:tc>
          <w:tcPr>
            <w:tcW w:w="6210" w:type="dxa"/>
            <w:tcBorders>
              <w:top w:val="nil"/>
              <w:left w:val="nil"/>
              <w:bottom w:val="nil"/>
              <w:right w:val="nil"/>
            </w:tcBorders>
            <w:tcMar>
              <w:top w:w="100" w:type="dxa"/>
              <w:left w:w="40" w:type="dxa"/>
              <w:bottom w:w="100" w:type="dxa"/>
              <w:right w:w="40" w:type="dxa"/>
            </w:tcMar>
          </w:tcPr>
          <w:p w14:paraId="22F8A65C" w14:textId="77777777" w:rsidR="00067AD2" w:rsidRDefault="00001258">
            <w:pPr>
              <w:widowControl w:val="0"/>
              <w:spacing w:line="240" w:lineRule="auto"/>
              <w:rPr>
                <w:sz w:val="20"/>
                <w:szCs w:val="20"/>
              </w:rPr>
            </w:pPr>
            <w:r>
              <w:rPr>
                <w:sz w:val="20"/>
                <w:szCs w:val="20"/>
              </w:rPr>
              <w:t>BC, Canada (16), USA (2), Belgium (1), Netherlands (1), France (3), Germany (1), United Kingdom (6)</w:t>
            </w:r>
          </w:p>
        </w:tc>
        <w:tc>
          <w:tcPr>
            <w:tcW w:w="1785" w:type="dxa"/>
            <w:tcBorders>
              <w:top w:val="nil"/>
              <w:left w:val="nil"/>
              <w:bottom w:val="nil"/>
              <w:right w:val="nil"/>
            </w:tcBorders>
            <w:tcMar>
              <w:top w:w="100" w:type="dxa"/>
              <w:left w:w="40" w:type="dxa"/>
              <w:bottom w:w="100" w:type="dxa"/>
              <w:right w:w="40" w:type="dxa"/>
            </w:tcMar>
          </w:tcPr>
          <w:p w14:paraId="22F8A65D" w14:textId="77777777" w:rsidR="00067AD2" w:rsidRDefault="00001258">
            <w:pPr>
              <w:spacing w:line="240" w:lineRule="auto"/>
              <w:rPr>
                <w:sz w:val="20"/>
                <w:szCs w:val="20"/>
              </w:rPr>
            </w:pPr>
            <w:r>
              <w:rPr>
                <w:sz w:val="20"/>
                <w:szCs w:val="20"/>
              </w:rPr>
              <w:t>1995-2017</w:t>
            </w:r>
          </w:p>
        </w:tc>
        <w:tc>
          <w:tcPr>
            <w:tcW w:w="2295" w:type="dxa"/>
            <w:tcBorders>
              <w:top w:val="nil"/>
              <w:left w:val="nil"/>
              <w:bottom w:val="nil"/>
              <w:right w:val="nil"/>
            </w:tcBorders>
            <w:tcMar>
              <w:top w:w="100" w:type="dxa"/>
              <w:left w:w="40" w:type="dxa"/>
              <w:bottom w:w="100" w:type="dxa"/>
              <w:right w:w="40" w:type="dxa"/>
            </w:tcMar>
          </w:tcPr>
          <w:p w14:paraId="22F8A65E" w14:textId="77777777" w:rsidR="00067AD2" w:rsidRDefault="00001258">
            <w:pPr>
              <w:widowControl w:val="0"/>
              <w:spacing w:line="240" w:lineRule="auto"/>
              <w:rPr>
                <w:sz w:val="20"/>
                <w:szCs w:val="20"/>
              </w:rPr>
            </w:pPr>
            <w:r>
              <w:rPr>
                <w:sz w:val="20"/>
                <w:szCs w:val="20"/>
              </w:rPr>
              <w:t>29.9-78.7</w:t>
            </w:r>
          </w:p>
        </w:tc>
      </w:tr>
      <w:tr w:rsidR="00067AD2" w14:paraId="22F8A665" w14:textId="77777777">
        <w:trPr>
          <w:trHeight w:val="650"/>
        </w:trPr>
        <w:tc>
          <w:tcPr>
            <w:tcW w:w="990" w:type="dxa"/>
            <w:tcBorders>
              <w:top w:val="nil"/>
              <w:left w:val="nil"/>
              <w:bottom w:val="nil"/>
              <w:right w:val="nil"/>
            </w:tcBorders>
            <w:tcMar>
              <w:top w:w="100" w:type="dxa"/>
              <w:left w:w="40" w:type="dxa"/>
              <w:bottom w:w="100" w:type="dxa"/>
              <w:right w:w="40" w:type="dxa"/>
            </w:tcMar>
            <w:vAlign w:val="bottom"/>
          </w:tcPr>
          <w:p w14:paraId="22F8A660" w14:textId="77777777" w:rsidR="00067AD2" w:rsidRDefault="00001258">
            <w:pPr>
              <w:spacing w:line="240" w:lineRule="auto"/>
              <w:rPr>
                <w:sz w:val="20"/>
                <w:szCs w:val="20"/>
              </w:rPr>
            </w:pPr>
            <w:r>
              <w:rPr>
                <w:sz w:val="20"/>
                <w:szCs w:val="20"/>
              </w:rPr>
              <w:t>EU2</w:t>
            </w:r>
          </w:p>
        </w:tc>
        <w:tc>
          <w:tcPr>
            <w:tcW w:w="1140" w:type="dxa"/>
            <w:tcBorders>
              <w:top w:val="nil"/>
              <w:left w:val="nil"/>
              <w:bottom w:val="nil"/>
              <w:right w:val="nil"/>
            </w:tcBorders>
            <w:tcMar>
              <w:top w:w="100" w:type="dxa"/>
              <w:left w:w="40" w:type="dxa"/>
              <w:bottom w:w="100" w:type="dxa"/>
              <w:right w:w="40" w:type="dxa"/>
            </w:tcMar>
            <w:vAlign w:val="bottom"/>
          </w:tcPr>
          <w:p w14:paraId="22F8A661" w14:textId="77777777" w:rsidR="00067AD2" w:rsidRDefault="00001258">
            <w:pPr>
              <w:spacing w:line="240" w:lineRule="auto"/>
              <w:rPr>
                <w:sz w:val="20"/>
                <w:szCs w:val="20"/>
              </w:rPr>
            </w:pPr>
            <w:r>
              <w:rPr>
                <w:sz w:val="20"/>
                <w:szCs w:val="20"/>
              </w:rPr>
              <w:t>5</w:t>
            </w:r>
          </w:p>
        </w:tc>
        <w:tc>
          <w:tcPr>
            <w:tcW w:w="6210" w:type="dxa"/>
            <w:tcBorders>
              <w:top w:val="nil"/>
              <w:left w:val="nil"/>
              <w:bottom w:val="nil"/>
              <w:right w:val="nil"/>
            </w:tcBorders>
            <w:tcMar>
              <w:top w:w="100" w:type="dxa"/>
              <w:left w:w="40" w:type="dxa"/>
              <w:bottom w:w="100" w:type="dxa"/>
              <w:right w:w="40" w:type="dxa"/>
            </w:tcMar>
            <w:vAlign w:val="bottom"/>
          </w:tcPr>
          <w:p w14:paraId="22F8A662" w14:textId="77777777" w:rsidR="00067AD2" w:rsidRDefault="00001258">
            <w:pPr>
              <w:widowControl w:val="0"/>
              <w:spacing w:line="240" w:lineRule="auto"/>
              <w:rPr>
                <w:sz w:val="20"/>
                <w:szCs w:val="20"/>
              </w:rPr>
            </w:pPr>
            <w:r>
              <w:rPr>
                <w:sz w:val="20"/>
                <w:szCs w:val="20"/>
              </w:rPr>
              <w:t>United Kingdom</w:t>
            </w:r>
          </w:p>
        </w:tc>
        <w:tc>
          <w:tcPr>
            <w:tcW w:w="1785" w:type="dxa"/>
            <w:tcBorders>
              <w:top w:val="nil"/>
              <w:left w:val="nil"/>
              <w:bottom w:val="nil"/>
              <w:right w:val="nil"/>
            </w:tcBorders>
            <w:tcMar>
              <w:top w:w="100" w:type="dxa"/>
              <w:left w:w="40" w:type="dxa"/>
              <w:bottom w:w="100" w:type="dxa"/>
              <w:right w:w="40" w:type="dxa"/>
            </w:tcMar>
            <w:vAlign w:val="bottom"/>
          </w:tcPr>
          <w:p w14:paraId="22F8A663" w14:textId="77777777" w:rsidR="00067AD2" w:rsidRDefault="00001258">
            <w:pPr>
              <w:spacing w:line="240" w:lineRule="auto"/>
              <w:rPr>
                <w:sz w:val="20"/>
                <w:szCs w:val="20"/>
              </w:rPr>
            </w:pPr>
            <w:r>
              <w:rPr>
                <w:sz w:val="20"/>
                <w:szCs w:val="20"/>
              </w:rPr>
              <w:t>2007- 2011</w:t>
            </w:r>
          </w:p>
        </w:tc>
        <w:tc>
          <w:tcPr>
            <w:tcW w:w="2295" w:type="dxa"/>
            <w:tcBorders>
              <w:top w:val="nil"/>
              <w:left w:val="nil"/>
              <w:bottom w:val="nil"/>
              <w:right w:val="nil"/>
            </w:tcBorders>
            <w:tcMar>
              <w:top w:w="100" w:type="dxa"/>
              <w:left w:w="40" w:type="dxa"/>
              <w:bottom w:w="100" w:type="dxa"/>
              <w:right w:w="40" w:type="dxa"/>
            </w:tcMar>
            <w:vAlign w:val="bottom"/>
          </w:tcPr>
          <w:p w14:paraId="22F8A664" w14:textId="77777777" w:rsidR="00067AD2" w:rsidRDefault="00001258">
            <w:pPr>
              <w:widowControl w:val="0"/>
              <w:spacing w:line="240" w:lineRule="auto"/>
              <w:rPr>
                <w:sz w:val="20"/>
                <w:szCs w:val="20"/>
              </w:rPr>
            </w:pPr>
            <w:r>
              <w:rPr>
                <w:sz w:val="20"/>
                <w:szCs w:val="20"/>
              </w:rPr>
              <w:t>38.7-56.5</w:t>
            </w:r>
          </w:p>
        </w:tc>
      </w:tr>
      <w:tr w:rsidR="00067AD2" w14:paraId="22F8A66B" w14:textId="77777777">
        <w:trPr>
          <w:trHeight w:val="650"/>
        </w:trPr>
        <w:tc>
          <w:tcPr>
            <w:tcW w:w="990" w:type="dxa"/>
            <w:tcBorders>
              <w:top w:val="nil"/>
              <w:left w:val="nil"/>
              <w:bottom w:val="nil"/>
              <w:right w:val="nil"/>
            </w:tcBorders>
            <w:tcMar>
              <w:top w:w="100" w:type="dxa"/>
              <w:left w:w="40" w:type="dxa"/>
              <w:bottom w:w="100" w:type="dxa"/>
              <w:right w:w="40" w:type="dxa"/>
            </w:tcMar>
            <w:vAlign w:val="bottom"/>
          </w:tcPr>
          <w:p w14:paraId="22F8A666" w14:textId="77777777" w:rsidR="00067AD2" w:rsidRDefault="00001258">
            <w:pPr>
              <w:spacing w:line="240" w:lineRule="auto"/>
              <w:rPr>
                <w:sz w:val="20"/>
                <w:szCs w:val="20"/>
              </w:rPr>
            </w:pPr>
            <w:r>
              <w:rPr>
                <w:sz w:val="20"/>
                <w:szCs w:val="20"/>
              </w:rPr>
              <w:t>NA1</w:t>
            </w:r>
          </w:p>
        </w:tc>
        <w:tc>
          <w:tcPr>
            <w:tcW w:w="1140" w:type="dxa"/>
            <w:tcBorders>
              <w:top w:val="nil"/>
              <w:left w:val="nil"/>
              <w:bottom w:val="nil"/>
              <w:right w:val="nil"/>
            </w:tcBorders>
            <w:tcMar>
              <w:top w:w="100" w:type="dxa"/>
              <w:left w:w="40" w:type="dxa"/>
              <w:bottom w:w="100" w:type="dxa"/>
              <w:right w:w="40" w:type="dxa"/>
            </w:tcMar>
            <w:vAlign w:val="bottom"/>
          </w:tcPr>
          <w:p w14:paraId="22F8A667" w14:textId="77777777" w:rsidR="00067AD2" w:rsidRDefault="00001258">
            <w:pPr>
              <w:spacing w:line="240" w:lineRule="auto"/>
              <w:rPr>
                <w:sz w:val="20"/>
                <w:szCs w:val="20"/>
              </w:rPr>
            </w:pPr>
            <w:r>
              <w:rPr>
                <w:sz w:val="20"/>
                <w:szCs w:val="20"/>
              </w:rPr>
              <w:t>29</w:t>
            </w:r>
          </w:p>
        </w:tc>
        <w:tc>
          <w:tcPr>
            <w:tcW w:w="6210" w:type="dxa"/>
            <w:tcBorders>
              <w:top w:val="nil"/>
              <w:left w:val="nil"/>
              <w:bottom w:val="nil"/>
              <w:right w:val="nil"/>
            </w:tcBorders>
            <w:tcMar>
              <w:top w:w="100" w:type="dxa"/>
              <w:left w:w="40" w:type="dxa"/>
              <w:bottom w:w="100" w:type="dxa"/>
              <w:right w:w="40" w:type="dxa"/>
            </w:tcMar>
            <w:vAlign w:val="bottom"/>
          </w:tcPr>
          <w:p w14:paraId="22F8A668" w14:textId="77777777" w:rsidR="00067AD2" w:rsidRDefault="00001258">
            <w:pPr>
              <w:widowControl w:val="0"/>
              <w:spacing w:line="240" w:lineRule="auto"/>
              <w:rPr>
                <w:sz w:val="20"/>
                <w:szCs w:val="20"/>
              </w:rPr>
            </w:pPr>
            <w:r>
              <w:rPr>
                <w:sz w:val="20"/>
                <w:szCs w:val="20"/>
              </w:rPr>
              <w:t>BC, Canada (5), USA (24)</w:t>
            </w:r>
          </w:p>
        </w:tc>
        <w:tc>
          <w:tcPr>
            <w:tcW w:w="1785" w:type="dxa"/>
            <w:tcBorders>
              <w:top w:val="nil"/>
              <w:left w:val="nil"/>
              <w:bottom w:val="nil"/>
              <w:right w:val="nil"/>
            </w:tcBorders>
            <w:tcMar>
              <w:top w:w="100" w:type="dxa"/>
              <w:left w:w="40" w:type="dxa"/>
              <w:bottom w:w="100" w:type="dxa"/>
              <w:right w:w="40" w:type="dxa"/>
            </w:tcMar>
            <w:vAlign w:val="bottom"/>
          </w:tcPr>
          <w:p w14:paraId="22F8A669" w14:textId="77777777" w:rsidR="00067AD2" w:rsidRDefault="00001258">
            <w:pPr>
              <w:spacing w:line="240" w:lineRule="auto"/>
              <w:rPr>
                <w:sz w:val="20"/>
                <w:szCs w:val="20"/>
              </w:rPr>
            </w:pPr>
            <w:r>
              <w:rPr>
                <w:sz w:val="20"/>
                <w:szCs w:val="20"/>
              </w:rPr>
              <w:t>2001-2017</w:t>
            </w:r>
          </w:p>
        </w:tc>
        <w:tc>
          <w:tcPr>
            <w:tcW w:w="2295" w:type="dxa"/>
            <w:tcBorders>
              <w:top w:val="nil"/>
              <w:left w:val="nil"/>
              <w:bottom w:val="nil"/>
              <w:right w:val="nil"/>
            </w:tcBorders>
            <w:tcMar>
              <w:top w:w="100" w:type="dxa"/>
              <w:left w:w="40" w:type="dxa"/>
              <w:bottom w:w="100" w:type="dxa"/>
              <w:right w:w="40" w:type="dxa"/>
            </w:tcMar>
            <w:vAlign w:val="bottom"/>
          </w:tcPr>
          <w:p w14:paraId="22F8A66A" w14:textId="77777777" w:rsidR="00067AD2" w:rsidRDefault="00001258">
            <w:pPr>
              <w:widowControl w:val="0"/>
              <w:spacing w:line="240" w:lineRule="auto"/>
              <w:rPr>
                <w:sz w:val="20"/>
                <w:szCs w:val="20"/>
              </w:rPr>
            </w:pPr>
            <w:r>
              <w:rPr>
                <w:sz w:val="20"/>
                <w:szCs w:val="20"/>
              </w:rPr>
              <w:t>36.5-100.0</w:t>
            </w:r>
          </w:p>
        </w:tc>
      </w:tr>
      <w:tr w:rsidR="00067AD2" w14:paraId="22F8A671" w14:textId="77777777">
        <w:trPr>
          <w:trHeight w:val="650"/>
        </w:trPr>
        <w:tc>
          <w:tcPr>
            <w:tcW w:w="990" w:type="dxa"/>
            <w:tcBorders>
              <w:top w:val="nil"/>
              <w:left w:val="nil"/>
              <w:bottom w:val="nil"/>
              <w:right w:val="nil"/>
            </w:tcBorders>
            <w:tcMar>
              <w:top w:w="100" w:type="dxa"/>
              <w:left w:w="40" w:type="dxa"/>
              <w:bottom w:w="100" w:type="dxa"/>
              <w:right w:w="40" w:type="dxa"/>
            </w:tcMar>
            <w:vAlign w:val="bottom"/>
          </w:tcPr>
          <w:p w14:paraId="22F8A66C" w14:textId="77777777" w:rsidR="00067AD2" w:rsidRDefault="00001258">
            <w:pPr>
              <w:spacing w:line="240" w:lineRule="auto"/>
              <w:rPr>
                <w:sz w:val="20"/>
                <w:szCs w:val="20"/>
              </w:rPr>
            </w:pPr>
            <w:r>
              <w:rPr>
                <w:sz w:val="20"/>
                <w:szCs w:val="20"/>
              </w:rPr>
              <w:t>NA2</w:t>
            </w:r>
          </w:p>
        </w:tc>
        <w:tc>
          <w:tcPr>
            <w:tcW w:w="1140" w:type="dxa"/>
            <w:tcBorders>
              <w:top w:val="nil"/>
              <w:left w:val="nil"/>
              <w:bottom w:val="nil"/>
              <w:right w:val="nil"/>
            </w:tcBorders>
            <w:tcMar>
              <w:top w:w="100" w:type="dxa"/>
              <w:left w:w="40" w:type="dxa"/>
              <w:bottom w:w="100" w:type="dxa"/>
              <w:right w:w="40" w:type="dxa"/>
            </w:tcMar>
            <w:vAlign w:val="bottom"/>
          </w:tcPr>
          <w:p w14:paraId="22F8A66D" w14:textId="77777777" w:rsidR="00067AD2" w:rsidRDefault="00001258">
            <w:pPr>
              <w:spacing w:line="240" w:lineRule="auto"/>
              <w:rPr>
                <w:sz w:val="20"/>
                <w:szCs w:val="20"/>
              </w:rPr>
            </w:pPr>
            <w:r>
              <w:rPr>
                <w:sz w:val="20"/>
                <w:szCs w:val="20"/>
              </w:rPr>
              <w:t>29</w:t>
            </w:r>
          </w:p>
        </w:tc>
        <w:tc>
          <w:tcPr>
            <w:tcW w:w="6210" w:type="dxa"/>
            <w:tcBorders>
              <w:top w:val="nil"/>
              <w:left w:val="nil"/>
              <w:bottom w:val="nil"/>
              <w:right w:val="nil"/>
            </w:tcBorders>
            <w:tcMar>
              <w:top w:w="100" w:type="dxa"/>
              <w:left w:w="40" w:type="dxa"/>
              <w:bottom w:w="100" w:type="dxa"/>
              <w:right w:w="40" w:type="dxa"/>
            </w:tcMar>
            <w:vAlign w:val="bottom"/>
          </w:tcPr>
          <w:p w14:paraId="22F8A66E" w14:textId="77777777" w:rsidR="00067AD2" w:rsidRDefault="00001258">
            <w:pPr>
              <w:spacing w:line="240" w:lineRule="auto"/>
              <w:rPr>
                <w:sz w:val="20"/>
                <w:szCs w:val="20"/>
              </w:rPr>
            </w:pPr>
            <w:r>
              <w:rPr>
                <w:sz w:val="20"/>
                <w:szCs w:val="20"/>
              </w:rPr>
              <w:t>BC, Canada</w:t>
            </w:r>
          </w:p>
        </w:tc>
        <w:tc>
          <w:tcPr>
            <w:tcW w:w="1785" w:type="dxa"/>
            <w:tcBorders>
              <w:top w:val="nil"/>
              <w:left w:val="nil"/>
              <w:bottom w:val="nil"/>
              <w:right w:val="nil"/>
            </w:tcBorders>
            <w:tcMar>
              <w:top w:w="100" w:type="dxa"/>
              <w:left w:w="40" w:type="dxa"/>
              <w:bottom w:w="100" w:type="dxa"/>
              <w:right w:w="40" w:type="dxa"/>
            </w:tcMar>
            <w:vAlign w:val="bottom"/>
          </w:tcPr>
          <w:p w14:paraId="22F8A66F" w14:textId="77777777" w:rsidR="00067AD2" w:rsidRDefault="00001258">
            <w:pPr>
              <w:spacing w:line="240" w:lineRule="auto"/>
              <w:rPr>
                <w:sz w:val="20"/>
                <w:szCs w:val="20"/>
              </w:rPr>
            </w:pPr>
            <w:r>
              <w:rPr>
                <w:sz w:val="20"/>
                <w:szCs w:val="20"/>
              </w:rPr>
              <w:t>2004-2017</w:t>
            </w:r>
          </w:p>
        </w:tc>
        <w:tc>
          <w:tcPr>
            <w:tcW w:w="2295" w:type="dxa"/>
            <w:tcBorders>
              <w:top w:val="nil"/>
              <w:left w:val="nil"/>
              <w:bottom w:val="nil"/>
              <w:right w:val="nil"/>
            </w:tcBorders>
            <w:tcMar>
              <w:top w:w="100" w:type="dxa"/>
              <w:left w:w="40" w:type="dxa"/>
              <w:bottom w:w="100" w:type="dxa"/>
              <w:right w:w="40" w:type="dxa"/>
            </w:tcMar>
            <w:vAlign w:val="bottom"/>
          </w:tcPr>
          <w:p w14:paraId="22F8A670" w14:textId="77777777" w:rsidR="00067AD2" w:rsidRDefault="00001258">
            <w:pPr>
              <w:widowControl w:val="0"/>
              <w:spacing w:line="240" w:lineRule="auto"/>
              <w:rPr>
                <w:sz w:val="20"/>
                <w:szCs w:val="20"/>
              </w:rPr>
            </w:pPr>
            <w:r>
              <w:rPr>
                <w:sz w:val="20"/>
                <w:szCs w:val="20"/>
              </w:rPr>
              <w:t>26.8-92.4</w:t>
            </w:r>
          </w:p>
        </w:tc>
      </w:tr>
      <w:tr w:rsidR="00067AD2" w14:paraId="22F8A677" w14:textId="77777777">
        <w:trPr>
          <w:trHeight w:val="665"/>
        </w:trPr>
        <w:tc>
          <w:tcPr>
            <w:tcW w:w="990" w:type="dxa"/>
            <w:tcBorders>
              <w:top w:val="nil"/>
              <w:left w:val="nil"/>
              <w:bottom w:val="single" w:sz="8" w:space="0" w:color="000000"/>
              <w:right w:val="nil"/>
            </w:tcBorders>
            <w:tcMar>
              <w:top w:w="100" w:type="dxa"/>
              <w:left w:w="40" w:type="dxa"/>
              <w:bottom w:w="100" w:type="dxa"/>
              <w:right w:w="40" w:type="dxa"/>
            </w:tcMar>
            <w:vAlign w:val="bottom"/>
          </w:tcPr>
          <w:p w14:paraId="22F8A672" w14:textId="77777777" w:rsidR="00067AD2" w:rsidRDefault="00001258">
            <w:pPr>
              <w:spacing w:line="240" w:lineRule="auto"/>
              <w:rPr>
                <w:sz w:val="20"/>
                <w:szCs w:val="20"/>
              </w:rPr>
            </w:pPr>
            <w:r>
              <w:rPr>
                <w:sz w:val="20"/>
                <w:szCs w:val="20"/>
              </w:rPr>
              <w:t>Hybrid</w:t>
            </w:r>
          </w:p>
        </w:tc>
        <w:tc>
          <w:tcPr>
            <w:tcW w:w="1140" w:type="dxa"/>
            <w:tcBorders>
              <w:top w:val="nil"/>
              <w:left w:val="nil"/>
              <w:bottom w:val="single" w:sz="8" w:space="0" w:color="000000"/>
              <w:right w:val="nil"/>
            </w:tcBorders>
            <w:tcMar>
              <w:top w:w="100" w:type="dxa"/>
              <w:left w:w="40" w:type="dxa"/>
              <w:bottom w:w="100" w:type="dxa"/>
              <w:right w:w="40" w:type="dxa"/>
            </w:tcMar>
            <w:vAlign w:val="bottom"/>
          </w:tcPr>
          <w:p w14:paraId="22F8A673" w14:textId="77777777" w:rsidR="00067AD2" w:rsidRDefault="00001258">
            <w:pPr>
              <w:spacing w:line="240" w:lineRule="auto"/>
              <w:rPr>
                <w:sz w:val="20"/>
                <w:szCs w:val="20"/>
              </w:rPr>
            </w:pPr>
            <w:r>
              <w:rPr>
                <w:sz w:val="20"/>
                <w:szCs w:val="20"/>
              </w:rPr>
              <w:t>2</w:t>
            </w:r>
          </w:p>
        </w:tc>
        <w:tc>
          <w:tcPr>
            <w:tcW w:w="6210" w:type="dxa"/>
            <w:tcBorders>
              <w:top w:val="nil"/>
              <w:left w:val="nil"/>
              <w:bottom w:val="single" w:sz="8" w:space="0" w:color="000000"/>
              <w:right w:val="nil"/>
            </w:tcBorders>
            <w:tcMar>
              <w:top w:w="100" w:type="dxa"/>
              <w:left w:w="40" w:type="dxa"/>
              <w:bottom w:w="100" w:type="dxa"/>
              <w:right w:w="40" w:type="dxa"/>
            </w:tcMar>
            <w:vAlign w:val="bottom"/>
          </w:tcPr>
          <w:p w14:paraId="22F8A674" w14:textId="77777777" w:rsidR="00067AD2" w:rsidRDefault="00001258">
            <w:pPr>
              <w:spacing w:line="240" w:lineRule="auto"/>
              <w:rPr>
                <w:sz w:val="20"/>
                <w:szCs w:val="20"/>
              </w:rPr>
            </w:pPr>
            <w:r>
              <w:rPr>
                <w:sz w:val="20"/>
                <w:szCs w:val="20"/>
              </w:rPr>
              <w:t>BC, Canada</w:t>
            </w:r>
          </w:p>
        </w:tc>
        <w:tc>
          <w:tcPr>
            <w:tcW w:w="1785" w:type="dxa"/>
            <w:tcBorders>
              <w:top w:val="nil"/>
              <w:left w:val="nil"/>
              <w:bottom w:val="single" w:sz="8" w:space="0" w:color="000000"/>
              <w:right w:val="nil"/>
            </w:tcBorders>
            <w:tcMar>
              <w:top w:w="100" w:type="dxa"/>
              <w:left w:w="40" w:type="dxa"/>
              <w:bottom w:w="100" w:type="dxa"/>
              <w:right w:w="40" w:type="dxa"/>
            </w:tcMar>
            <w:vAlign w:val="bottom"/>
          </w:tcPr>
          <w:p w14:paraId="22F8A675" w14:textId="77777777" w:rsidR="00067AD2" w:rsidRDefault="00001258">
            <w:pPr>
              <w:spacing w:line="240" w:lineRule="auto"/>
              <w:rPr>
                <w:sz w:val="20"/>
                <w:szCs w:val="20"/>
              </w:rPr>
            </w:pPr>
            <w:r>
              <w:rPr>
                <w:sz w:val="20"/>
                <w:szCs w:val="20"/>
              </w:rPr>
              <w:t>2016</w:t>
            </w:r>
          </w:p>
        </w:tc>
        <w:tc>
          <w:tcPr>
            <w:tcW w:w="2295" w:type="dxa"/>
            <w:tcBorders>
              <w:top w:val="nil"/>
              <w:left w:val="nil"/>
              <w:bottom w:val="single" w:sz="8" w:space="0" w:color="000000"/>
              <w:right w:val="nil"/>
            </w:tcBorders>
            <w:tcMar>
              <w:top w:w="100" w:type="dxa"/>
              <w:left w:w="40" w:type="dxa"/>
              <w:bottom w:w="100" w:type="dxa"/>
              <w:right w:w="40" w:type="dxa"/>
            </w:tcMar>
            <w:vAlign w:val="bottom"/>
          </w:tcPr>
          <w:p w14:paraId="22F8A676" w14:textId="77777777" w:rsidR="00067AD2" w:rsidRDefault="00001258">
            <w:pPr>
              <w:widowControl w:val="0"/>
              <w:spacing w:line="240" w:lineRule="auto"/>
              <w:rPr>
                <w:sz w:val="20"/>
                <w:szCs w:val="20"/>
              </w:rPr>
            </w:pPr>
            <w:r>
              <w:rPr>
                <w:sz w:val="20"/>
                <w:szCs w:val="20"/>
              </w:rPr>
              <w:t>26.8-49.1</w:t>
            </w:r>
          </w:p>
        </w:tc>
      </w:tr>
    </w:tbl>
    <w:p w14:paraId="22F8A678" w14:textId="77777777" w:rsidR="00067AD2" w:rsidRDefault="00001258">
      <w:pPr>
        <w:spacing w:after="160" w:line="240" w:lineRule="auto"/>
        <w:ind w:right="540"/>
        <w:rPr>
          <w:sz w:val="20"/>
          <w:szCs w:val="20"/>
        </w:rPr>
      </w:pPr>
      <w:r>
        <w:rPr>
          <w:sz w:val="20"/>
          <w:szCs w:val="20"/>
          <w:vertAlign w:val="superscript"/>
        </w:rPr>
        <w:t>a</w:t>
      </w:r>
      <w:r>
        <w:rPr>
          <w:sz w:val="20"/>
          <w:szCs w:val="20"/>
        </w:rPr>
        <w:t>Average genome coverage, calculated as N x L/G, where N is the number of reads, L is the average read length and G is the length of the original genome (57.45 Mb).</w:t>
      </w:r>
    </w:p>
    <w:p w14:paraId="22F8A679" w14:textId="77777777" w:rsidR="00067AD2" w:rsidRDefault="00067AD2">
      <w:pPr>
        <w:spacing w:after="160" w:line="240" w:lineRule="auto"/>
        <w:ind w:right="3780"/>
        <w:rPr>
          <w:b/>
          <w:sz w:val="20"/>
          <w:szCs w:val="20"/>
        </w:rPr>
      </w:pPr>
    </w:p>
    <w:p w14:paraId="22F8A67A" w14:textId="77777777" w:rsidR="00067AD2" w:rsidRDefault="00067AD2">
      <w:pPr>
        <w:rPr>
          <w:sz w:val="20"/>
          <w:szCs w:val="20"/>
        </w:rPr>
      </w:pPr>
    </w:p>
    <w:p w14:paraId="22F8A67B" w14:textId="77777777" w:rsidR="00067AD2" w:rsidRDefault="00067AD2">
      <w:pPr>
        <w:spacing w:after="160" w:line="259" w:lineRule="auto"/>
        <w:ind w:right="3240"/>
        <w:rPr>
          <w:b/>
          <w:sz w:val="20"/>
          <w:szCs w:val="20"/>
        </w:rPr>
        <w:sectPr w:rsidR="00067AD2">
          <w:pgSz w:w="15840" w:h="12240" w:orient="landscape"/>
          <w:pgMar w:top="1440" w:right="1440" w:bottom="1440" w:left="1440" w:header="720" w:footer="720" w:gutter="0"/>
          <w:cols w:space="720"/>
        </w:sectPr>
      </w:pPr>
    </w:p>
    <w:p w14:paraId="22F8A67C" w14:textId="77777777" w:rsidR="00067AD2" w:rsidRDefault="00067AD2">
      <w:pPr>
        <w:spacing w:after="160" w:line="259" w:lineRule="auto"/>
        <w:ind w:right="3240"/>
        <w:rPr>
          <w:b/>
          <w:sz w:val="20"/>
          <w:szCs w:val="20"/>
        </w:rPr>
        <w:sectPr w:rsidR="00067AD2">
          <w:type w:val="continuous"/>
          <w:pgSz w:w="15840" w:h="12240" w:orient="landscape"/>
          <w:pgMar w:top="1440" w:right="1440" w:bottom="1440" w:left="1440" w:header="720" w:footer="720" w:gutter="0"/>
          <w:cols w:space="720"/>
        </w:sectPr>
      </w:pPr>
    </w:p>
    <w:p w14:paraId="22F8A67D" w14:textId="77777777" w:rsidR="00067AD2" w:rsidRDefault="00001258">
      <w:pPr>
        <w:spacing w:after="160" w:line="240" w:lineRule="auto"/>
        <w:ind w:right="720"/>
        <w:rPr>
          <w:sz w:val="20"/>
          <w:szCs w:val="20"/>
        </w:rPr>
      </w:pPr>
      <w:r>
        <w:rPr>
          <w:b/>
          <w:color w:val="222222"/>
          <w:sz w:val="20"/>
          <w:szCs w:val="20"/>
          <w:highlight w:val="white"/>
        </w:rPr>
        <w:lastRenderedPageBreak/>
        <w:t>Table S3.</w:t>
      </w:r>
      <w:r>
        <w:rPr>
          <w:b/>
          <w:color w:val="2A2A2A"/>
          <w:sz w:val="20"/>
          <w:szCs w:val="20"/>
          <w:highlight w:val="white"/>
        </w:rPr>
        <w:t xml:space="preserve"> Genotypic combinations in </w:t>
      </w:r>
      <w:r>
        <w:rPr>
          <w:b/>
          <w:i/>
          <w:color w:val="2A2A2A"/>
          <w:sz w:val="20"/>
          <w:szCs w:val="20"/>
          <w:highlight w:val="white"/>
        </w:rPr>
        <w:t xml:space="preserve">Phytophthora ramorum </w:t>
      </w:r>
      <w:r>
        <w:rPr>
          <w:b/>
          <w:color w:val="2A2A2A"/>
          <w:sz w:val="20"/>
          <w:szCs w:val="20"/>
          <w:highlight w:val="white"/>
        </w:rPr>
        <w:t xml:space="preserve">parental lineages and hybrid. </w:t>
      </w:r>
      <w:r>
        <w:rPr>
          <w:color w:val="2A2A2A"/>
          <w:sz w:val="20"/>
          <w:szCs w:val="20"/>
          <w:highlight w:val="white"/>
        </w:rPr>
        <w:t xml:space="preserve">Number and percentage of SNPs in each genotypic combination in the parental lineages and the </w:t>
      </w:r>
      <w:r>
        <w:rPr>
          <w:i/>
          <w:color w:val="2A2A2A"/>
          <w:sz w:val="20"/>
          <w:szCs w:val="20"/>
          <w:highlight w:val="white"/>
        </w:rPr>
        <w:t>P. ramorum</w:t>
      </w:r>
      <w:r>
        <w:rPr>
          <w:color w:val="2A2A2A"/>
          <w:sz w:val="20"/>
          <w:szCs w:val="20"/>
          <w:highlight w:val="white"/>
        </w:rPr>
        <w:t xml:space="preserve"> hybrid samples </w:t>
      </w:r>
      <w:r>
        <w:rPr>
          <w:color w:val="3C4043"/>
          <w:sz w:val="20"/>
          <w:szCs w:val="20"/>
          <w:highlight w:val="white"/>
        </w:rPr>
        <w:t>16-237-021</w:t>
      </w:r>
      <w:r>
        <w:rPr>
          <w:sz w:val="20"/>
          <w:szCs w:val="20"/>
        </w:rPr>
        <w:t xml:space="preserve"> and </w:t>
      </w:r>
      <w:r>
        <w:rPr>
          <w:color w:val="3C4043"/>
          <w:sz w:val="20"/>
          <w:szCs w:val="20"/>
          <w:highlight w:val="white"/>
        </w:rPr>
        <w:t>16-284-032</w:t>
      </w:r>
    </w:p>
    <w:tbl>
      <w:tblPr>
        <w:tblStyle w:val="a1"/>
        <w:tblW w:w="12210" w:type="dxa"/>
        <w:tblBorders>
          <w:top w:val="nil"/>
          <w:left w:val="nil"/>
          <w:bottom w:val="nil"/>
          <w:right w:val="nil"/>
          <w:insideH w:val="nil"/>
          <w:insideV w:val="nil"/>
        </w:tblBorders>
        <w:tblLayout w:type="fixed"/>
        <w:tblLook w:val="0600" w:firstRow="0" w:lastRow="0" w:firstColumn="0" w:lastColumn="0" w:noHBand="1" w:noVBand="1"/>
      </w:tblPr>
      <w:tblGrid>
        <w:gridCol w:w="1920"/>
        <w:gridCol w:w="1515"/>
        <w:gridCol w:w="2445"/>
        <w:gridCol w:w="3330"/>
        <w:gridCol w:w="3000"/>
      </w:tblGrid>
      <w:tr w:rsidR="00067AD2" w14:paraId="22F8A683" w14:textId="77777777">
        <w:trPr>
          <w:trHeight w:val="575"/>
        </w:trPr>
        <w:tc>
          <w:tcPr>
            <w:tcW w:w="1920" w:type="dxa"/>
            <w:tcBorders>
              <w:top w:val="nil"/>
              <w:left w:val="nil"/>
              <w:bottom w:val="single" w:sz="8" w:space="0" w:color="000000"/>
              <w:right w:val="nil"/>
            </w:tcBorders>
            <w:tcMar>
              <w:top w:w="100" w:type="dxa"/>
              <w:left w:w="40" w:type="dxa"/>
              <w:bottom w:w="100" w:type="dxa"/>
              <w:right w:w="40" w:type="dxa"/>
            </w:tcMar>
          </w:tcPr>
          <w:p w14:paraId="22F8A67E" w14:textId="77777777" w:rsidR="00067AD2" w:rsidRDefault="00001258">
            <w:pPr>
              <w:spacing w:line="240" w:lineRule="auto"/>
              <w:jc w:val="center"/>
              <w:rPr>
                <w:sz w:val="20"/>
                <w:szCs w:val="20"/>
              </w:rPr>
            </w:pPr>
            <w:r>
              <w:rPr>
                <w:sz w:val="20"/>
                <w:szCs w:val="20"/>
              </w:rPr>
              <w:t>Parental lineage genotypes</w:t>
            </w:r>
          </w:p>
        </w:tc>
        <w:tc>
          <w:tcPr>
            <w:tcW w:w="1515" w:type="dxa"/>
            <w:tcBorders>
              <w:top w:val="nil"/>
              <w:left w:val="nil"/>
              <w:bottom w:val="single" w:sz="8" w:space="0" w:color="000000"/>
              <w:right w:val="nil"/>
            </w:tcBorders>
            <w:tcMar>
              <w:top w:w="100" w:type="dxa"/>
              <w:left w:w="40" w:type="dxa"/>
              <w:bottom w:w="100" w:type="dxa"/>
              <w:right w:w="40" w:type="dxa"/>
            </w:tcMar>
          </w:tcPr>
          <w:p w14:paraId="22F8A67F" w14:textId="77777777" w:rsidR="00067AD2" w:rsidRDefault="00001258">
            <w:pPr>
              <w:spacing w:line="240" w:lineRule="auto"/>
              <w:jc w:val="center"/>
              <w:rPr>
                <w:sz w:val="20"/>
                <w:szCs w:val="20"/>
              </w:rPr>
            </w:pPr>
            <w:r>
              <w:rPr>
                <w:sz w:val="20"/>
                <w:szCs w:val="20"/>
              </w:rPr>
              <w:t>Hybrid genotype</w:t>
            </w:r>
          </w:p>
        </w:tc>
        <w:tc>
          <w:tcPr>
            <w:tcW w:w="2445" w:type="dxa"/>
            <w:tcBorders>
              <w:top w:val="nil"/>
              <w:left w:val="nil"/>
              <w:bottom w:val="single" w:sz="8" w:space="0" w:color="000000"/>
              <w:right w:val="nil"/>
            </w:tcBorders>
            <w:tcMar>
              <w:top w:w="100" w:type="dxa"/>
              <w:left w:w="40" w:type="dxa"/>
              <w:bottom w:w="100" w:type="dxa"/>
              <w:right w:w="40" w:type="dxa"/>
            </w:tcMar>
          </w:tcPr>
          <w:p w14:paraId="22F8A680" w14:textId="77777777" w:rsidR="00067AD2" w:rsidRDefault="00001258">
            <w:pPr>
              <w:spacing w:line="240" w:lineRule="auto"/>
              <w:jc w:val="center"/>
              <w:rPr>
                <w:sz w:val="20"/>
                <w:szCs w:val="20"/>
              </w:rPr>
            </w:pPr>
            <w:r>
              <w:rPr>
                <w:sz w:val="20"/>
                <w:szCs w:val="20"/>
              </w:rPr>
              <w:t>Observed genotypes (%)</w:t>
            </w:r>
          </w:p>
        </w:tc>
        <w:tc>
          <w:tcPr>
            <w:tcW w:w="3330" w:type="dxa"/>
            <w:tcBorders>
              <w:top w:val="nil"/>
              <w:left w:val="nil"/>
              <w:bottom w:val="single" w:sz="8" w:space="0" w:color="000000"/>
              <w:right w:val="nil"/>
            </w:tcBorders>
            <w:tcMar>
              <w:top w:w="100" w:type="dxa"/>
              <w:left w:w="40" w:type="dxa"/>
              <w:bottom w:w="100" w:type="dxa"/>
              <w:right w:w="40" w:type="dxa"/>
            </w:tcMar>
          </w:tcPr>
          <w:p w14:paraId="22F8A681" w14:textId="77777777" w:rsidR="00067AD2" w:rsidRDefault="00001258">
            <w:pPr>
              <w:spacing w:line="240" w:lineRule="auto"/>
              <w:jc w:val="center"/>
              <w:rPr>
                <w:sz w:val="20"/>
                <w:szCs w:val="20"/>
              </w:rPr>
            </w:pPr>
            <w:r>
              <w:rPr>
                <w:sz w:val="20"/>
                <w:szCs w:val="20"/>
              </w:rPr>
              <w:t>Expected genotype (meiotic recombination)</w:t>
            </w:r>
          </w:p>
        </w:tc>
        <w:tc>
          <w:tcPr>
            <w:tcW w:w="3000" w:type="dxa"/>
            <w:tcBorders>
              <w:top w:val="nil"/>
              <w:left w:val="nil"/>
              <w:bottom w:val="single" w:sz="8" w:space="0" w:color="000000"/>
              <w:right w:val="nil"/>
            </w:tcBorders>
            <w:tcMar>
              <w:top w:w="100" w:type="dxa"/>
              <w:left w:w="40" w:type="dxa"/>
              <w:bottom w:w="100" w:type="dxa"/>
              <w:right w:w="40" w:type="dxa"/>
            </w:tcMar>
          </w:tcPr>
          <w:p w14:paraId="22F8A682" w14:textId="77777777" w:rsidR="00067AD2" w:rsidRDefault="00001258">
            <w:pPr>
              <w:spacing w:line="240" w:lineRule="auto"/>
              <w:jc w:val="center"/>
              <w:rPr>
                <w:sz w:val="20"/>
                <w:szCs w:val="20"/>
              </w:rPr>
            </w:pPr>
            <w:r>
              <w:rPr>
                <w:sz w:val="20"/>
                <w:szCs w:val="20"/>
              </w:rPr>
              <w:t>Expected genotype (somatic recombination)</w:t>
            </w:r>
          </w:p>
        </w:tc>
      </w:tr>
      <w:tr w:rsidR="00067AD2" w14:paraId="22F8A689" w14:textId="77777777">
        <w:trPr>
          <w:trHeight w:val="620"/>
        </w:trPr>
        <w:tc>
          <w:tcPr>
            <w:tcW w:w="1920" w:type="dxa"/>
            <w:tcBorders>
              <w:top w:val="nil"/>
              <w:left w:val="nil"/>
              <w:bottom w:val="nil"/>
              <w:right w:val="nil"/>
            </w:tcBorders>
            <w:tcMar>
              <w:top w:w="100" w:type="dxa"/>
              <w:left w:w="40" w:type="dxa"/>
              <w:bottom w:w="100" w:type="dxa"/>
              <w:right w:w="40" w:type="dxa"/>
            </w:tcMar>
          </w:tcPr>
          <w:p w14:paraId="22F8A684" w14:textId="77777777" w:rsidR="00067AD2" w:rsidRDefault="00001258">
            <w:pPr>
              <w:spacing w:line="240" w:lineRule="auto"/>
              <w:jc w:val="center"/>
              <w:rPr>
                <w:sz w:val="20"/>
                <w:szCs w:val="20"/>
              </w:rPr>
            </w:pPr>
            <w:r>
              <w:rPr>
                <w:sz w:val="20"/>
                <w:szCs w:val="20"/>
              </w:rPr>
              <w:t>0/0 x 1/1</w:t>
            </w:r>
          </w:p>
        </w:tc>
        <w:tc>
          <w:tcPr>
            <w:tcW w:w="1515" w:type="dxa"/>
            <w:tcBorders>
              <w:top w:val="nil"/>
              <w:left w:val="nil"/>
              <w:bottom w:val="nil"/>
              <w:right w:val="nil"/>
            </w:tcBorders>
            <w:tcMar>
              <w:top w:w="100" w:type="dxa"/>
              <w:left w:w="40" w:type="dxa"/>
              <w:bottom w:w="100" w:type="dxa"/>
              <w:right w:w="40" w:type="dxa"/>
            </w:tcMar>
          </w:tcPr>
          <w:p w14:paraId="22F8A685" w14:textId="77777777" w:rsidR="00067AD2" w:rsidRDefault="00001258">
            <w:pPr>
              <w:spacing w:line="240" w:lineRule="auto"/>
              <w:jc w:val="center"/>
              <w:rPr>
                <w:sz w:val="20"/>
                <w:szCs w:val="20"/>
              </w:rPr>
            </w:pPr>
            <w:r>
              <w:rPr>
                <w:sz w:val="20"/>
                <w:szCs w:val="20"/>
              </w:rPr>
              <w:t>0/0 or 1/1</w:t>
            </w:r>
          </w:p>
        </w:tc>
        <w:tc>
          <w:tcPr>
            <w:tcW w:w="2445" w:type="dxa"/>
            <w:tcBorders>
              <w:top w:val="nil"/>
              <w:left w:val="nil"/>
              <w:bottom w:val="nil"/>
              <w:right w:val="nil"/>
            </w:tcBorders>
            <w:tcMar>
              <w:top w:w="100" w:type="dxa"/>
              <w:left w:w="100" w:type="dxa"/>
              <w:bottom w:w="100" w:type="dxa"/>
              <w:right w:w="100" w:type="dxa"/>
            </w:tcMar>
          </w:tcPr>
          <w:p w14:paraId="22F8A686" w14:textId="77777777" w:rsidR="00067AD2" w:rsidRDefault="00001258">
            <w:pPr>
              <w:spacing w:line="240" w:lineRule="auto"/>
              <w:jc w:val="center"/>
              <w:rPr>
                <w:sz w:val="20"/>
                <w:szCs w:val="20"/>
              </w:rPr>
            </w:pPr>
            <w:r>
              <w:rPr>
                <w:sz w:val="20"/>
                <w:szCs w:val="20"/>
              </w:rPr>
              <w:t>1049 (3,4%)</w:t>
            </w:r>
          </w:p>
        </w:tc>
        <w:tc>
          <w:tcPr>
            <w:tcW w:w="3330" w:type="dxa"/>
            <w:tcBorders>
              <w:top w:val="nil"/>
              <w:left w:val="nil"/>
              <w:bottom w:val="nil"/>
              <w:right w:val="nil"/>
            </w:tcBorders>
            <w:tcMar>
              <w:top w:w="100" w:type="dxa"/>
              <w:left w:w="100" w:type="dxa"/>
              <w:bottom w:w="100" w:type="dxa"/>
              <w:right w:w="100" w:type="dxa"/>
            </w:tcMar>
          </w:tcPr>
          <w:p w14:paraId="22F8A687" w14:textId="77777777" w:rsidR="00067AD2" w:rsidRDefault="00001258">
            <w:pPr>
              <w:spacing w:line="240" w:lineRule="auto"/>
              <w:jc w:val="center"/>
              <w:rPr>
                <w:sz w:val="20"/>
                <w:szCs w:val="20"/>
                <w:vertAlign w:val="superscript"/>
              </w:rPr>
            </w:pPr>
            <w:r>
              <w:rPr>
                <w:sz w:val="20"/>
                <w:szCs w:val="20"/>
              </w:rPr>
              <w:t>0 (0.0%)</w:t>
            </w:r>
            <w:r>
              <w:rPr>
                <w:sz w:val="20"/>
                <w:szCs w:val="20"/>
                <w:vertAlign w:val="superscript"/>
              </w:rPr>
              <w:t>b</w:t>
            </w:r>
          </w:p>
        </w:tc>
        <w:tc>
          <w:tcPr>
            <w:tcW w:w="3000" w:type="dxa"/>
            <w:tcBorders>
              <w:top w:val="nil"/>
              <w:left w:val="nil"/>
              <w:bottom w:val="nil"/>
              <w:right w:val="nil"/>
            </w:tcBorders>
            <w:tcMar>
              <w:top w:w="100" w:type="dxa"/>
              <w:left w:w="100" w:type="dxa"/>
              <w:bottom w:w="100" w:type="dxa"/>
              <w:right w:w="100" w:type="dxa"/>
            </w:tcMar>
          </w:tcPr>
          <w:p w14:paraId="22F8A688" w14:textId="77777777" w:rsidR="00067AD2" w:rsidRDefault="00001258">
            <w:pPr>
              <w:spacing w:line="240" w:lineRule="auto"/>
              <w:jc w:val="center"/>
              <w:rPr>
                <w:sz w:val="20"/>
                <w:szCs w:val="20"/>
                <w:vertAlign w:val="superscript"/>
              </w:rPr>
            </w:pPr>
            <w:r>
              <w:rPr>
                <w:sz w:val="20"/>
                <w:szCs w:val="20"/>
              </w:rPr>
              <w:t>0 (0.0%)</w:t>
            </w:r>
            <w:r>
              <w:rPr>
                <w:sz w:val="20"/>
                <w:szCs w:val="20"/>
                <w:vertAlign w:val="superscript"/>
              </w:rPr>
              <w:t>b</w:t>
            </w:r>
          </w:p>
        </w:tc>
      </w:tr>
      <w:tr w:rsidR="00067AD2" w14:paraId="22F8A68F" w14:textId="77777777">
        <w:trPr>
          <w:trHeight w:val="620"/>
        </w:trPr>
        <w:tc>
          <w:tcPr>
            <w:tcW w:w="1920" w:type="dxa"/>
            <w:tcBorders>
              <w:top w:val="nil"/>
              <w:left w:val="nil"/>
              <w:bottom w:val="nil"/>
              <w:right w:val="nil"/>
            </w:tcBorders>
            <w:shd w:val="clear" w:color="auto" w:fill="FFFFFF"/>
            <w:tcMar>
              <w:top w:w="100" w:type="dxa"/>
              <w:left w:w="40" w:type="dxa"/>
              <w:bottom w:w="100" w:type="dxa"/>
              <w:right w:w="40" w:type="dxa"/>
            </w:tcMar>
          </w:tcPr>
          <w:p w14:paraId="22F8A68A" w14:textId="77777777" w:rsidR="00067AD2" w:rsidRDefault="00067AD2">
            <w:pPr>
              <w:spacing w:after="160" w:line="240" w:lineRule="auto"/>
              <w:ind w:right="1849"/>
              <w:rPr>
                <w:sz w:val="20"/>
                <w:szCs w:val="20"/>
              </w:rPr>
            </w:pPr>
          </w:p>
        </w:tc>
        <w:tc>
          <w:tcPr>
            <w:tcW w:w="1515" w:type="dxa"/>
            <w:tcBorders>
              <w:top w:val="nil"/>
              <w:left w:val="nil"/>
              <w:bottom w:val="nil"/>
              <w:right w:val="nil"/>
            </w:tcBorders>
            <w:tcMar>
              <w:top w:w="100" w:type="dxa"/>
              <w:left w:w="40" w:type="dxa"/>
              <w:bottom w:w="100" w:type="dxa"/>
              <w:right w:w="40" w:type="dxa"/>
            </w:tcMar>
          </w:tcPr>
          <w:p w14:paraId="22F8A68B" w14:textId="77777777" w:rsidR="00067AD2" w:rsidRDefault="00001258">
            <w:pPr>
              <w:spacing w:line="240" w:lineRule="auto"/>
              <w:jc w:val="center"/>
              <w:rPr>
                <w:sz w:val="20"/>
                <w:szCs w:val="20"/>
                <w:vertAlign w:val="superscript"/>
              </w:rPr>
            </w:pPr>
            <w:r>
              <w:rPr>
                <w:sz w:val="20"/>
                <w:szCs w:val="20"/>
              </w:rPr>
              <w:t>0/1</w:t>
            </w:r>
            <w:r>
              <w:rPr>
                <w:sz w:val="20"/>
                <w:szCs w:val="20"/>
                <w:vertAlign w:val="superscript"/>
              </w:rPr>
              <w:t>a</w:t>
            </w:r>
          </w:p>
        </w:tc>
        <w:tc>
          <w:tcPr>
            <w:tcW w:w="2445" w:type="dxa"/>
            <w:tcBorders>
              <w:top w:val="nil"/>
              <w:left w:val="nil"/>
              <w:bottom w:val="nil"/>
              <w:right w:val="nil"/>
            </w:tcBorders>
            <w:tcMar>
              <w:top w:w="100" w:type="dxa"/>
              <w:left w:w="100" w:type="dxa"/>
              <w:bottom w:w="100" w:type="dxa"/>
              <w:right w:w="100" w:type="dxa"/>
            </w:tcMar>
          </w:tcPr>
          <w:p w14:paraId="22F8A68C" w14:textId="77777777" w:rsidR="00067AD2" w:rsidRDefault="00001258">
            <w:pPr>
              <w:spacing w:line="240" w:lineRule="auto"/>
              <w:jc w:val="center"/>
              <w:rPr>
                <w:sz w:val="20"/>
                <w:szCs w:val="20"/>
              </w:rPr>
            </w:pPr>
            <w:r>
              <w:rPr>
                <w:sz w:val="20"/>
                <w:szCs w:val="20"/>
              </w:rPr>
              <w:t>29,998 (96.6%)</w:t>
            </w:r>
          </w:p>
        </w:tc>
        <w:tc>
          <w:tcPr>
            <w:tcW w:w="3330" w:type="dxa"/>
            <w:tcBorders>
              <w:top w:val="nil"/>
              <w:left w:val="nil"/>
              <w:bottom w:val="nil"/>
              <w:right w:val="nil"/>
            </w:tcBorders>
            <w:tcMar>
              <w:top w:w="100" w:type="dxa"/>
              <w:left w:w="100" w:type="dxa"/>
              <w:bottom w:w="100" w:type="dxa"/>
              <w:right w:w="100" w:type="dxa"/>
            </w:tcMar>
          </w:tcPr>
          <w:p w14:paraId="22F8A68D" w14:textId="77777777" w:rsidR="00067AD2" w:rsidRDefault="00001258">
            <w:pPr>
              <w:spacing w:line="240" w:lineRule="auto"/>
              <w:jc w:val="center"/>
              <w:rPr>
                <w:sz w:val="20"/>
                <w:szCs w:val="20"/>
                <w:vertAlign w:val="superscript"/>
              </w:rPr>
            </w:pPr>
            <w:r>
              <w:rPr>
                <w:sz w:val="20"/>
                <w:szCs w:val="20"/>
              </w:rPr>
              <w:t>31,047 (100.0%)</w:t>
            </w:r>
            <w:r>
              <w:rPr>
                <w:sz w:val="20"/>
                <w:szCs w:val="20"/>
                <w:vertAlign w:val="superscript"/>
              </w:rPr>
              <w:t>b</w:t>
            </w:r>
          </w:p>
        </w:tc>
        <w:tc>
          <w:tcPr>
            <w:tcW w:w="3000" w:type="dxa"/>
            <w:tcBorders>
              <w:top w:val="nil"/>
              <w:left w:val="nil"/>
              <w:bottom w:val="nil"/>
              <w:right w:val="nil"/>
            </w:tcBorders>
            <w:tcMar>
              <w:top w:w="100" w:type="dxa"/>
              <w:left w:w="40" w:type="dxa"/>
              <w:bottom w:w="100" w:type="dxa"/>
              <w:right w:w="40" w:type="dxa"/>
            </w:tcMar>
          </w:tcPr>
          <w:p w14:paraId="22F8A68E" w14:textId="77777777" w:rsidR="00067AD2" w:rsidRDefault="00001258">
            <w:pPr>
              <w:spacing w:line="240" w:lineRule="auto"/>
              <w:jc w:val="center"/>
              <w:rPr>
                <w:sz w:val="20"/>
                <w:szCs w:val="20"/>
                <w:vertAlign w:val="superscript"/>
              </w:rPr>
            </w:pPr>
            <w:r>
              <w:rPr>
                <w:sz w:val="20"/>
                <w:szCs w:val="20"/>
              </w:rPr>
              <w:t>31,047 (100.0%)</w:t>
            </w:r>
            <w:r>
              <w:rPr>
                <w:sz w:val="20"/>
                <w:szCs w:val="20"/>
                <w:vertAlign w:val="superscript"/>
              </w:rPr>
              <w:t>b</w:t>
            </w:r>
          </w:p>
        </w:tc>
      </w:tr>
      <w:tr w:rsidR="00067AD2" w14:paraId="22F8A695" w14:textId="77777777">
        <w:trPr>
          <w:trHeight w:val="620"/>
        </w:trPr>
        <w:tc>
          <w:tcPr>
            <w:tcW w:w="1920" w:type="dxa"/>
            <w:tcBorders>
              <w:top w:val="nil"/>
              <w:left w:val="nil"/>
              <w:bottom w:val="nil"/>
              <w:right w:val="nil"/>
            </w:tcBorders>
            <w:tcMar>
              <w:top w:w="100" w:type="dxa"/>
              <w:left w:w="40" w:type="dxa"/>
              <w:bottom w:w="100" w:type="dxa"/>
              <w:right w:w="40" w:type="dxa"/>
            </w:tcMar>
          </w:tcPr>
          <w:p w14:paraId="22F8A690" w14:textId="77777777" w:rsidR="00067AD2" w:rsidRDefault="00001258">
            <w:pPr>
              <w:spacing w:line="240" w:lineRule="auto"/>
              <w:jc w:val="center"/>
              <w:rPr>
                <w:sz w:val="20"/>
                <w:szCs w:val="20"/>
              </w:rPr>
            </w:pPr>
            <w:r>
              <w:rPr>
                <w:sz w:val="20"/>
                <w:szCs w:val="20"/>
              </w:rPr>
              <w:t>0/1 x 0/1</w:t>
            </w:r>
          </w:p>
        </w:tc>
        <w:tc>
          <w:tcPr>
            <w:tcW w:w="1515" w:type="dxa"/>
            <w:tcBorders>
              <w:top w:val="nil"/>
              <w:left w:val="nil"/>
              <w:bottom w:val="nil"/>
              <w:right w:val="nil"/>
            </w:tcBorders>
            <w:tcMar>
              <w:top w:w="100" w:type="dxa"/>
              <w:left w:w="40" w:type="dxa"/>
              <w:bottom w:w="100" w:type="dxa"/>
              <w:right w:w="40" w:type="dxa"/>
            </w:tcMar>
          </w:tcPr>
          <w:p w14:paraId="22F8A691" w14:textId="77777777" w:rsidR="00067AD2" w:rsidRDefault="00001258">
            <w:pPr>
              <w:spacing w:line="240" w:lineRule="auto"/>
              <w:jc w:val="center"/>
              <w:rPr>
                <w:sz w:val="20"/>
                <w:szCs w:val="20"/>
              </w:rPr>
            </w:pPr>
            <w:r>
              <w:rPr>
                <w:sz w:val="20"/>
                <w:szCs w:val="20"/>
              </w:rPr>
              <w:t>0/0</w:t>
            </w:r>
            <w:r>
              <w:rPr>
                <w:sz w:val="20"/>
                <w:szCs w:val="20"/>
                <w:vertAlign w:val="superscript"/>
              </w:rPr>
              <w:t>a</w:t>
            </w:r>
          </w:p>
        </w:tc>
        <w:tc>
          <w:tcPr>
            <w:tcW w:w="2445" w:type="dxa"/>
            <w:tcBorders>
              <w:top w:val="nil"/>
              <w:left w:val="nil"/>
              <w:bottom w:val="nil"/>
              <w:right w:val="nil"/>
            </w:tcBorders>
            <w:tcMar>
              <w:top w:w="100" w:type="dxa"/>
              <w:left w:w="100" w:type="dxa"/>
              <w:bottom w:w="100" w:type="dxa"/>
              <w:right w:w="100" w:type="dxa"/>
            </w:tcMar>
          </w:tcPr>
          <w:p w14:paraId="22F8A692" w14:textId="77777777" w:rsidR="00067AD2" w:rsidRDefault="00001258">
            <w:pPr>
              <w:spacing w:line="240" w:lineRule="auto"/>
              <w:jc w:val="center"/>
              <w:rPr>
                <w:sz w:val="20"/>
                <w:szCs w:val="20"/>
              </w:rPr>
            </w:pPr>
            <w:r>
              <w:rPr>
                <w:sz w:val="20"/>
                <w:szCs w:val="20"/>
              </w:rPr>
              <w:t>12,295 (24,7%)</w:t>
            </w:r>
          </w:p>
        </w:tc>
        <w:tc>
          <w:tcPr>
            <w:tcW w:w="3330" w:type="dxa"/>
            <w:tcBorders>
              <w:top w:val="nil"/>
              <w:left w:val="nil"/>
              <w:bottom w:val="nil"/>
              <w:right w:val="nil"/>
            </w:tcBorders>
            <w:tcMar>
              <w:top w:w="100" w:type="dxa"/>
              <w:left w:w="100" w:type="dxa"/>
              <w:bottom w:w="100" w:type="dxa"/>
              <w:right w:w="100" w:type="dxa"/>
            </w:tcMar>
          </w:tcPr>
          <w:p w14:paraId="22F8A693" w14:textId="77777777" w:rsidR="00067AD2" w:rsidRDefault="00001258">
            <w:pPr>
              <w:spacing w:line="240" w:lineRule="auto"/>
              <w:jc w:val="center"/>
              <w:rPr>
                <w:sz w:val="20"/>
                <w:szCs w:val="20"/>
                <w:vertAlign w:val="superscript"/>
              </w:rPr>
            </w:pPr>
            <w:r>
              <w:rPr>
                <w:sz w:val="20"/>
                <w:szCs w:val="20"/>
              </w:rPr>
              <w:t>12,465 (25.0%)</w:t>
            </w:r>
            <w:r>
              <w:rPr>
                <w:sz w:val="20"/>
                <w:szCs w:val="20"/>
                <w:vertAlign w:val="superscript"/>
              </w:rPr>
              <w:t>b</w:t>
            </w:r>
          </w:p>
        </w:tc>
        <w:tc>
          <w:tcPr>
            <w:tcW w:w="3000" w:type="dxa"/>
            <w:tcBorders>
              <w:top w:val="nil"/>
              <w:left w:val="nil"/>
              <w:bottom w:val="nil"/>
              <w:right w:val="nil"/>
            </w:tcBorders>
            <w:tcMar>
              <w:top w:w="100" w:type="dxa"/>
              <w:left w:w="40" w:type="dxa"/>
              <w:bottom w:w="100" w:type="dxa"/>
              <w:right w:w="40" w:type="dxa"/>
            </w:tcMar>
          </w:tcPr>
          <w:p w14:paraId="22F8A694" w14:textId="77777777" w:rsidR="00067AD2" w:rsidRDefault="00001258">
            <w:pPr>
              <w:spacing w:line="240" w:lineRule="auto"/>
              <w:jc w:val="center"/>
              <w:rPr>
                <w:sz w:val="20"/>
                <w:szCs w:val="20"/>
                <w:vertAlign w:val="superscript"/>
              </w:rPr>
            </w:pPr>
            <w:r>
              <w:rPr>
                <w:sz w:val="20"/>
                <w:szCs w:val="20"/>
              </w:rPr>
              <w:t>0 (0%)</w:t>
            </w:r>
            <w:r>
              <w:rPr>
                <w:sz w:val="20"/>
                <w:szCs w:val="20"/>
                <w:vertAlign w:val="superscript"/>
              </w:rPr>
              <w:t>c</w:t>
            </w:r>
          </w:p>
        </w:tc>
      </w:tr>
      <w:tr w:rsidR="00067AD2" w14:paraId="22F8A69B" w14:textId="77777777">
        <w:trPr>
          <w:trHeight w:val="620"/>
        </w:trPr>
        <w:tc>
          <w:tcPr>
            <w:tcW w:w="1920" w:type="dxa"/>
            <w:tcBorders>
              <w:top w:val="nil"/>
              <w:left w:val="nil"/>
              <w:bottom w:val="nil"/>
              <w:right w:val="nil"/>
            </w:tcBorders>
            <w:shd w:val="clear" w:color="auto" w:fill="FFFFFF"/>
            <w:tcMar>
              <w:top w:w="100" w:type="dxa"/>
              <w:left w:w="40" w:type="dxa"/>
              <w:bottom w:w="100" w:type="dxa"/>
              <w:right w:w="40" w:type="dxa"/>
            </w:tcMar>
          </w:tcPr>
          <w:p w14:paraId="22F8A696" w14:textId="77777777" w:rsidR="00067AD2" w:rsidRDefault="00067AD2">
            <w:pPr>
              <w:spacing w:after="160" w:line="240" w:lineRule="auto"/>
              <w:ind w:right="1849"/>
              <w:rPr>
                <w:sz w:val="20"/>
                <w:szCs w:val="20"/>
              </w:rPr>
            </w:pPr>
          </w:p>
        </w:tc>
        <w:tc>
          <w:tcPr>
            <w:tcW w:w="1515" w:type="dxa"/>
            <w:tcBorders>
              <w:top w:val="nil"/>
              <w:left w:val="nil"/>
              <w:bottom w:val="nil"/>
              <w:right w:val="nil"/>
            </w:tcBorders>
            <w:tcMar>
              <w:top w:w="100" w:type="dxa"/>
              <w:left w:w="40" w:type="dxa"/>
              <w:bottom w:w="100" w:type="dxa"/>
              <w:right w:w="40" w:type="dxa"/>
            </w:tcMar>
          </w:tcPr>
          <w:p w14:paraId="22F8A697" w14:textId="77777777" w:rsidR="00067AD2" w:rsidRDefault="00001258">
            <w:pPr>
              <w:spacing w:line="240" w:lineRule="auto"/>
              <w:jc w:val="center"/>
              <w:rPr>
                <w:sz w:val="20"/>
                <w:szCs w:val="20"/>
              </w:rPr>
            </w:pPr>
            <w:r>
              <w:rPr>
                <w:sz w:val="20"/>
                <w:szCs w:val="20"/>
              </w:rPr>
              <w:t>1/1</w:t>
            </w:r>
            <w:r>
              <w:rPr>
                <w:sz w:val="20"/>
                <w:szCs w:val="20"/>
                <w:vertAlign w:val="superscript"/>
              </w:rPr>
              <w:t>a</w:t>
            </w:r>
          </w:p>
        </w:tc>
        <w:tc>
          <w:tcPr>
            <w:tcW w:w="2445" w:type="dxa"/>
            <w:tcBorders>
              <w:top w:val="nil"/>
              <w:left w:val="nil"/>
              <w:bottom w:val="nil"/>
              <w:right w:val="nil"/>
            </w:tcBorders>
            <w:tcMar>
              <w:top w:w="100" w:type="dxa"/>
              <w:left w:w="100" w:type="dxa"/>
              <w:bottom w:w="100" w:type="dxa"/>
              <w:right w:w="100" w:type="dxa"/>
            </w:tcMar>
          </w:tcPr>
          <w:p w14:paraId="22F8A698" w14:textId="77777777" w:rsidR="00067AD2" w:rsidRDefault="00001258">
            <w:pPr>
              <w:spacing w:line="240" w:lineRule="auto"/>
              <w:jc w:val="center"/>
              <w:rPr>
                <w:sz w:val="20"/>
                <w:szCs w:val="20"/>
              </w:rPr>
            </w:pPr>
            <w:r>
              <w:rPr>
                <w:sz w:val="20"/>
                <w:szCs w:val="20"/>
              </w:rPr>
              <w:t>12,222 (24,5%)</w:t>
            </w:r>
          </w:p>
        </w:tc>
        <w:tc>
          <w:tcPr>
            <w:tcW w:w="3330" w:type="dxa"/>
            <w:tcBorders>
              <w:top w:val="nil"/>
              <w:left w:val="nil"/>
              <w:bottom w:val="nil"/>
              <w:right w:val="nil"/>
            </w:tcBorders>
            <w:tcMar>
              <w:top w:w="100" w:type="dxa"/>
              <w:left w:w="100" w:type="dxa"/>
              <w:bottom w:w="100" w:type="dxa"/>
              <w:right w:w="100" w:type="dxa"/>
            </w:tcMar>
          </w:tcPr>
          <w:p w14:paraId="22F8A699" w14:textId="77777777" w:rsidR="00067AD2" w:rsidRDefault="00001258">
            <w:pPr>
              <w:spacing w:line="240" w:lineRule="auto"/>
              <w:jc w:val="center"/>
              <w:rPr>
                <w:sz w:val="20"/>
                <w:szCs w:val="20"/>
                <w:vertAlign w:val="superscript"/>
              </w:rPr>
            </w:pPr>
            <w:r>
              <w:rPr>
                <w:sz w:val="20"/>
                <w:szCs w:val="20"/>
              </w:rPr>
              <w:t>12,465 (25.0%)</w:t>
            </w:r>
            <w:r>
              <w:rPr>
                <w:sz w:val="20"/>
                <w:szCs w:val="20"/>
                <w:vertAlign w:val="superscript"/>
              </w:rPr>
              <w:t>b</w:t>
            </w:r>
          </w:p>
        </w:tc>
        <w:tc>
          <w:tcPr>
            <w:tcW w:w="3000" w:type="dxa"/>
            <w:tcBorders>
              <w:top w:val="nil"/>
              <w:left w:val="nil"/>
              <w:bottom w:val="nil"/>
              <w:right w:val="nil"/>
            </w:tcBorders>
            <w:tcMar>
              <w:top w:w="100" w:type="dxa"/>
              <w:left w:w="40" w:type="dxa"/>
              <w:bottom w:w="100" w:type="dxa"/>
              <w:right w:w="40" w:type="dxa"/>
            </w:tcMar>
          </w:tcPr>
          <w:p w14:paraId="22F8A69A" w14:textId="77777777" w:rsidR="00067AD2" w:rsidRDefault="00001258">
            <w:pPr>
              <w:spacing w:line="240" w:lineRule="auto"/>
              <w:jc w:val="center"/>
              <w:rPr>
                <w:sz w:val="20"/>
                <w:szCs w:val="20"/>
                <w:vertAlign w:val="superscript"/>
              </w:rPr>
            </w:pPr>
            <w:r>
              <w:rPr>
                <w:sz w:val="20"/>
                <w:szCs w:val="20"/>
              </w:rPr>
              <w:t>0 (0%)</w:t>
            </w:r>
            <w:r>
              <w:rPr>
                <w:sz w:val="20"/>
                <w:szCs w:val="20"/>
                <w:vertAlign w:val="superscript"/>
              </w:rPr>
              <w:t>c</w:t>
            </w:r>
          </w:p>
        </w:tc>
      </w:tr>
      <w:tr w:rsidR="00067AD2" w14:paraId="22F8A6A1" w14:textId="77777777">
        <w:trPr>
          <w:trHeight w:val="575"/>
        </w:trPr>
        <w:tc>
          <w:tcPr>
            <w:tcW w:w="1920" w:type="dxa"/>
            <w:tcBorders>
              <w:top w:val="nil"/>
              <w:left w:val="nil"/>
              <w:bottom w:val="nil"/>
              <w:right w:val="nil"/>
            </w:tcBorders>
            <w:shd w:val="clear" w:color="auto" w:fill="FFFFFF"/>
            <w:tcMar>
              <w:top w:w="100" w:type="dxa"/>
              <w:left w:w="40" w:type="dxa"/>
              <w:bottom w:w="100" w:type="dxa"/>
              <w:right w:w="40" w:type="dxa"/>
            </w:tcMar>
          </w:tcPr>
          <w:p w14:paraId="22F8A69C" w14:textId="77777777" w:rsidR="00067AD2" w:rsidRDefault="00067AD2">
            <w:pPr>
              <w:spacing w:after="160" w:line="240" w:lineRule="auto"/>
              <w:ind w:right="1849"/>
              <w:rPr>
                <w:sz w:val="20"/>
                <w:szCs w:val="20"/>
              </w:rPr>
            </w:pPr>
          </w:p>
        </w:tc>
        <w:tc>
          <w:tcPr>
            <w:tcW w:w="1515" w:type="dxa"/>
            <w:tcBorders>
              <w:top w:val="nil"/>
              <w:left w:val="nil"/>
              <w:bottom w:val="nil"/>
              <w:right w:val="nil"/>
            </w:tcBorders>
            <w:tcMar>
              <w:top w:w="100" w:type="dxa"/>
              <w:left w:w="40" w:type="dxa"/>
              <w:bottom w:w="100" w:type="dxa"/>
              <w:right w:w="40" w:type="dxa"/>
            </w:tcMar>
          </w:tcPr>
          <w:p w14:paraId="22F8A69D" w14:textId="77777777" w:rsidR="00067AD2" w:rsidRDefault="00001258">
            <w:pPr>
              <w:spacing w:line="240" w:lineRule="auto"/>
              <w:jc w:val="center"/>
              <w:rPr>
                <w:sz w:val="20"/>
                <w:szCs w:val="20"/>
              </w:rPr>
            </w:pPr>
            <w:r>
              <w:rPr>
                <w:sz w:val="20"/>
                <w:szCs w:val="20"/>
              </w:rPr>
              <w:t>0/1</w:t>
            </w:r>
          </w:p>
        </w:tc>
        <w:tc>
          <w:tcPr>
            <w:tcW w:w="2445" w:type="dxa"/>
            <w:tcBorders>
              <w:top w:val="nil"/>
              <w:left w:val="nil"/>
              <w:bottom w:val="nil"/>
              <w:right w:val="nil"/>
            </w:tcBorders>
            <w:tcMar>
              <w:top w:w="100" w:type="dxa"/>
              <w:left w:w="100" w:type="dxa"/>
              <w:bottom w:w="100" w:type="dxa"/>
              <w:right w:w="100" w:type="dxa"/>
            </w:tcMar>
          </w:tcPr>
          <w:p w14:paraId="22F8A69E" w14:textId="77777777" w:rsidR="00067AD2" w:rsidRDefault="00001258">
            <w:pPr>
              <w:spacing w:line="240" w:lineRule="auto"/>
              <w:jc w:val="center"/>
              <w:rPr>
                <w:sz w:val="20"/>
                <w:szCs w:val="20"/>
              </w:rPr>
            </w:pPr>
            <w:r>
              <w:rPr>
                <w:sz w:val="20"/>
                <w:szCs w:val="20"/>
              </w:rPr>
              <w:t>25,343 (50.8%)</w:t>
            </w:r>
          </w:p>
        </w:tc>
        <w:tc>
          <w:tcPr>
            <w:tcW w:w="3330" w:type="dxa"/>
            <w:tcBorders>
              <w:top w:val="nil"/>
              <w:left w:val="nil"/>
              <w:bottom w:val="nil"/>
              <w:right w:val="nil"/>
            </w:tcBorders>
            <w:tcMar>
              <w:top w:w="100" w:type="dxa"/>
              <w:left w:w="40" w:type="dxa"/>
              <w:bottom w:w="100" w:type="dxa"/>
              <w:right w:w="40" w:type="dxa"/>
            </w:tcMar>
          </w:tcPr>
          <w:p w14:paraId="22F8A69F" w14:textId="77777777" w:rsidR="00067AD2" w:rsidRDefault="00001258">
            <w:pPr>
              <w:spacing w:line="240" w:lineRule="auto"/>
              <w:jc w:val="center"/>
              <w:rPr>
                <w:sz w:val="20"/>
                <w:szCs w:val="20"/>
                <w:vertAlign w:val="superscript"/>
              </w:rPr>
            </w:pPr>
            <w:r>
              <w:rPr>
                <w:sz w:val="20"/>
                <w:szCs w:val="20"/>
              </w:rPr>
              <w:t>24,930 (50.0%)</w:t>
            </w:r>
            <w:r>
              <w:rPr>
                <w:sz w:val="20"/>
                <w:szCs w:val="20"/>
                <w:vertAlign w:val="superscript"/>
              </w:rPr>
              <w:t>b</w:t>
            </w:r>
          </w:p>
        </w:tc>
        <w:tc>
          <w:tcPr>
            <w:tcW w:w="3000" w:type="dxa"/>
            <w:tcBorders>
              <w:top w:val="nil"/>
              <w:left w:val="nil"/>
              <w:bottom w:val="nil"/>
              <w:right w:val="nil"/>
            </w:tcBorders>
            <w:tcMar>
              <w:top w:w="100" w:type="dxa"/>
              <w:left w:w="40" w:type="dxa"/>
              <w:bottom w:w="100" w:type="dxa"/>
              <w:right w:w="40" w:type="dxa"/>
            </w:tcMar>
          </w:tcPr>
          <w:p w14:paraId="22F8A6A0" w14:textId="77777777" w:rsidR="00067AD2" w:rsidRDefault="00001258">
            <w:pPr>
              <w:spacing w:line="240" w:lineRule="auto"/>
              <w:jc w:val="center"/>
              <w:rPr>
                <w:sz w:val="20"/>
                <w:szCs w:val="20"/>
                <w:vertAlign w:val="superscript"/>
              </w:rPr>
            </w:pPr>
            <w:r>
              <w:rPr>
                <w:sz w:val="20"/>
                <w:szCs w:val="20"/>
              </w:rPr>
              <w:t>49,860 (100%)</w:t>
            </w:r>
            <w:r>
              <w:rPr>
                <w:sz w:val="20"/>
                <w:szCs w:val="20"/>
                <w:vertAlign w:val="superscript"/>
              </w:rPr>
              <w:t>c</w:t>
            </w:r>
          </w:p>
        </w:tc>
      </w:tr>
      <w:tr w:rsidR="00067AD2" w14:paraId="22F8A6A9" w14:textId="77777777">
        <w:trPr>
          <w:trHeight w:val="695"/>
        </w:trPr>
        <w:tc>
          <w:tcPr>
            <w:tcW w:w="1920" w:type="dxa"/>
            <w:tcBorders>
              <w:top w:val="nil"/>
              <w:left w:val="nil"/>
              <w:bottom w:val="nil"/>
              <w:right w:val="nil"/>
            </w:tcBorders>
            <w:tcMar>
              <w:top w:w="100" w:type="dxa"/>
              <w:left w:w="40" w:type="dxa"/>
              <w:bottom w:w="100" w:type="dxa"/>
              <w:right w:w="40" w:type="dxa"/>
            </w:tcMar>
          </w:tcPr>
          <w:p w14:paraId="22F8A6A2" w14:textId="77777777" w:rsidR="00067AD2" w:rsidRDefault="00001258">
            <w:pPr>
              <w:spacing w:line="240" w:lineRule="auto"/>
              <w:jc w:val="center"/>
              <w:rPr>
                <w:sz w:val="20"/>
                <w:szCs w:val="20"/>
              </w:rPr>
            </w:pPr>
            <w:r>
              <w:rPr>
                <w:sz w:val="20"/>
                <w:szCs w:val="20"/>
              </w:rPr>
              <w:t xml:space="preserve">0/1 x </w:t>
            </w:r>
          </w:p>
          <w:p w14:paraId="22F8A6A3" w14:textId="77777777" w:rsidR="00067AD2" w:rsidRDefault="00001258">
            <w:pPr>
              <w:spacing w:line="240" w:lineRule="auto"/>
              <w:jc w:val="center"/>
              <w:rPr>
                <w:sz w:val="20"/>
                <w:szCs w:val="20"/>
              </w:rPr>
            </w:pPr>
            <w:r>
              <w:rPr>
                <w:sz w:val="20"/>
                <w:szCs w:val="20"/>
              </w:rPr>
              <w:t>(0/0 or 1/1)</w:t>
            </w:r>
          </w:p>
          <w:p w14:paraId="22F8A6A4" w14:textId="77777777" w:rsidR="00067AD2" w:rsidRDefault="00001258">
            <w:pPr>
              <w:spacing w:line="240" w:lineRule="auto"/>
              <w:jc w:val="center"/>
              <w:rPr>
                <w:sz w:val="20"/>
                <w:szCs w:val="20"/>
              </w:rPr>
            </w:pPr>
            <w:r>
              <w:rPr>
                <w:sz w:val="20"/>
                <w:szCs w:val="20"/>
              </w:rPr>
              <w:t xml:space="preserve"> </w:t>
            </w:r>
          </w:p>
        </w:tc>
        <w:tc>
          <w:tcPr>
            <w:tcW w:w="1515" w:type="dxa"/>
            <w:tcBorders>
              <w:top w:val="nil"/>
              <w:left w:val="nil"/>
              <w:bottom w:val="nil"/>
              <w:right w:val="nil"/>
            </w:tcBorders>
            <w:tcMar>
              <w:top w:w="100" w:type="dxa"/>
              <w:left w:w="40" w:type="dxa"/>
              <w:bottom w:w="100" w:type="dxa"/>
              <w:right w:w="40" w:type="dxa"/>
            </w:tcMar>
          </w:tcPr>
          <w:p w14:paraId="22F8A6A5" w14:textId="77777777" w:rsidR="00067AD2" w:rsidRDefault="00001258">
            <w:pPr>
              <w:spacing w:line="240" w:lineRule="auto"/>
              <w:jc w:val="center"/>
              <w:rPr>
                <w:sz w:val="20"/>
                <w:szCs w:val="20"/>
              </w:rPr>
            </w:pPr>
            <w:r>
              <w:rPr>
                <w:sz w:val="20"/>
                <w:szCs w:val="20"/>
              </w:rPr>
              <w:t>0/0 or 1/1</w:t>
            </w:r>
          </w:p>
        </w:tc>
        <w:tc>
          <w:tcPr>
            <w:tcW w:w="2445" w:type="dxa"/>
            <w:tcBorders>
              <w:top w:val="nil"/>
              <w:left w:val="nil"/>
              <w:bottom w:val="nil"/>
              <w:right w:val="nil"/>
            </w:tcBorders>
            <w:tcMar>
              <w:top w:w="100" w:type="dxa"/>
              <w:left w:w="40" w:type="dxa"/>
              <w:bottom w:w="100" w:type="dxa"/>
              <w:right w:w="40" w:type="dxa"/>
            </w:tcMar>
          </w:tcPr>
          <w:p w14:paraId="22F8A6A6" w14:textId="77777777" w:rsidR="00067AD2" w:rsidRDefault="00001258">
            <w:pPr>
              <w:spacing w:line="240" w:lineRule="auto"/>
              <w:jc w:val="center"/>
              <w:rPr>
                <w:sz w:val="20"/>
                <w:szCs w:val="20"/>
              </w:rPr>
            </w:pPr>
            <w:r>
              <w:rPr>
                <w:sz w:val="20"/>
                <w:szCs w:val="20"/>
              </w:rPr>
              <w:t>114,604 (50.1%)</w:t>
            </w:r>
          </w:p>
        </w:tc>
        <w:tc>
          <w:tcPr>
            <w:tcW w:w="3330" w:type="dxa"/>
            <w:tcBorders>
              <w:top w:val="nil"/>
              <w:left w:val="nil"/>
              <w:bottom w:val="nil"/>
              <w:right w:val="nil"/>
            </w:tcBorders>
            <w:tcMar>
              <w:top w:w="100" w:type="dxa"/>
              <w:left w:w="40" w:type="dxa"/>
              <w:bottom w:w="100" w:type="dxa"/>
              <w:right w:w="40" w:type="dxa"/>
            </w:tcMar>
          </w:tcPr>
          <w:p w14:paraId="22F8A6A7" w14:textId="77777777" w:rsidR="00067AD2" w:rsidRDefault="00001258">
            <w:pPr>
              <w:spacing w:line="240" w:lineRule="auto"/>
              <w:jc w:val="center"/>
              <w:rPr>
                <w:sz w:val="20"/>
                <w:szCs w:val="20"/>
                <w:vertAlign w:val="superscript"/>
              </w:rPr>
            </w:pPr>
            <w:r>
              <w:rPr>
                <w:sz w:val="20"/>
                <w:szCs w:val="20"/>
              </w:rPr>
              <w:t>114,510 (50.0%)</w:t>
            </w:r>
            <w:r>
              <w:rPr>
                <w:sz w:val="20"/>
                <w:szCs w:val="20"/>
                <w:vertAlign w:val="superscript"/>
              </w:rPr>
              <w:t>b</w:t>
            </w:r>
          </w:p>
        </w:tc>
        <w:tc>
          <w:tcPr>
            <w:tcW w:w="3000" w:type="dxa"/>
            <w:tcBorders>
              <w:top w:val="nil"/>
              <w:left w:val="nil"/>
              <w:bottom w:val="nil"/>
              <w:right w:val="nil"/>
            </w:tcBorders>
            <w:tcMar>
              <w:top w:w="100" w:type="dxa"/>
              <w:left w:w="40" w:type="dxa"/>
              <w:bottom w:w="100" w:type="dxa"/>
              <w:right w:w="40" w:type="dxa"/>
            </w:tcMar>
          </w:tcPr>
          <w:p w14:paraId="22F8A6A8" w14:textId="77777777" w:rsidR="00067AD2" w:rsidRDefault="00001258">
            <w:pPr>
              <w:spacing w:line="240" w:lineRule="auto"/>
              <w:jc w:val="center"/>
              <w:rPr>
                <w:sz w:val="20"/>
                <w:szCs w:val="20"/>
                <w:vertAlign w:val="superscript"/>
              </w:rPr>
            </w:pPr>
            <w:r>
              <w:rPr>
                <w:sz w:val="20"/>
                <w:szCs w:val="20"/>
              </w:rPr>
              <w:t>114,510 (50.0%)</w:t>
            </w:r>
            <w:r>
              <w:rPr>
                <w:sz w:val="20"/>
                <w:szCs w:val="20"/>
                <w:vertAlign w:val="superscript"/>
              </w:rPr>
              <w:t>b</w:t>
            </w:r>
          </w:p>
        </w:tc>
      </w:tr>
      <w:tr w:rsidR="00067AD2" w14:paraId="22F8A6AF" w14:textId="77777777">
        <w:trPr>
          <w:trHeight w:val="590"/>
        </w:trPr>
        <w:tc>
          <w:tcPr>
            <w:tcW w:w="1920" w:type="dxa"/>
            <w:tcBorders>
              <w:top w:val="nil"/>
              <w:left w:val="nil"/>
              <w:bottom w:val="single" w:sz="8" w:space="0" w:color="000000"/>
              <w:right w:val="nil"/>
            </w:tcBorders>
            <w:shd w:val="clear" w:color="auto" w:fill="FFFFFF"/>
            <w:tcMar>
              <w:top w:w="100" w:type="dxa"/>
              <w:left w:w="40" w:type="dxa"/>
              <w:bottom w:w="100" w:type="dxa"/>
              <w:right w:w="40" w:type="dxa"/>
            </w:tcMar>
          </w:tcPr>
          <w:p w14:paraId="22F8A6AA" w14:textId="77777777" w:rsidR="00067AD2" w:rsidRDefault="00067AD2">
            <w:pPr>
              <w:spacing w:after="160" w:line="240" w:lineRule="auto"/>
              <w:ind w:right="1849"/>
              <w:rPr>
                <w:sz w:val="20"/>
                <w:szCs w:val="20"/>
              </w:rPr>
            </w:pPr>
          </w:p>
        </w:tc>
        <w:tc>
          <w:tcPr>
            <w:tcW w:w="1515" w:type="dxa"/>
            <w:tcBorders>
              <w:top w:val="nil"/>
              <w:left w:val="nil"/>
              <w:bottom w:val="single" w:sz="8" w:space="0" w:color="000000"/>
              <w:right w:val="nil"/>
            </w:tcBorders>
            <w:tcMar>
              <w:top w:w="100" w:type="dxa"/>
              <w:left w:w="40" w:type="dxa"/>
              <w:bottom w:w="100" w:type="dxa"/>
              <w:right w:w="40" w:type="dxa"/>
            </w:tcMar>
          </w:tcPr>
          <w:p w14:paraId="22F8A6AB" w14:textId="77777777" w:rsidR="00067AD2" w:rsidRDefault="00001258">
            <w:pPr>
              <w:spacing w:line="240" w:lineRule="auto"/>
              <w:jc w:val="center"/>
              <w:rPr>
                <w:sz w:val="20"/>
                <w:szCs w:val="20"/>
              </w:rPr>
            </w:pPr>
            <w:r>
              <w:rPr>
                <w:sz w:val="20"/>
                <w:szCs w:val="20"/>
              </w:rPr>
              <w:t>0/1</w:t>
            </w:r>
          </w:p>
        </w:tc>
        <w:tc>
          <w:tcPr>
            <w:tcW w:w="2445" w:type="dxa"/>
            <w:tcBorders>
              <w:top w:val="nil"/>
              <w:left w:val="nil"/>
              <w:bottom w:val="single" w:sz="8" w:space="0" w:color="000000"/>
              <w:right w:val="nil"/>
            </w:tcBorders>
            <w:tcMar>
              <w:top w:w="100" w:type="dxa"/>
              <w:left w:w="100" w:type="dxa"/>
              <w:bottom w:w="100" w:type="dxa"/>
              <w:right w:w="100" w:type="dxa"/>
            </w:tcMar>
          </w:tcPr>
          <w:p w14:paraId="22F8A6AC" w14:textId="77777777" w:rsidR="00067AD2" w:rsidRDefault="00001258">
            <w:pPr>
              <w:spacing w:line="240" w:lineRule="auto"/>
              <w:jc w:val="center"/>
              <w:rPr>
                <w:sz w:val="20"/>
                <w:szCs w:val="20"/>
              </w:rPr>
            </w:pPr>
            <w:r>
              <w:rPr>
                <w:sz w:val="20"/>
                <w:szCs w:val="20"/>
              </w:rPr>
              <w:t>114,415 (49.9%)</w:t>
            </w:r>
          </w:p>
        </w:tc>
        <w:tc>
          <w:tcPr>
            <w:tcW w:w="3330" w:type="dxa"/>
            <w:tcBorders>
              <w:top w:val="nil"/>
              <w:left w:val="nil"/>
              <w:bottom w:val="single" w:sz="8" w:space="0" w:color="000000"/>
              <w:right w:val="nil"/>
            </w:tcBorders>
            <w:tcMar>
              <w:top w:w="100" w:type="dxa"/>
              <w:left w:w="40" w:type="dxa"/>
              <w:bottom w:w="100" w:type="dxa"/>
              <w:right w:w="40" w:type="dxa"/>
            </w:tcMar>
          </w:tcPr>
          <w:p w14:paraId="22F8A6AD" w14:textId="77777777" w:rsidR="00067AD2" w:rsidRDefault="00001258">
            <w:pPr>
              <w:spacing w:line="240" w:lineRule="auto"/>
              <w:jc w:val="center"/>
              <w:rPr>
                <w:sz w:val="20"/>
                <w:szCs w:val="20"/>
                <w:vertAlign w:val="superscript"/>
              </w:rPr>
            </w:pPr>
            <w:r>
              <w:rPr>
                <w:sz w:val="20"/>
                <w:szCs w:val="20"/>
              </w:rPr>
              <w:t>114,510 (50.0%)</w:t>
            </w:r>
            <w:r>
              <w:rPr>
                <w:sz w:val="20"/>
                <w:szCs w:val="20"/>
                <w:vertAlign w:val="superscript"/>
              </w:rPr>
              <w:t>b</w:t>
            </w:r>
          </w:p>
        </w:tc>
        <w:tc>
          <w:tcPr>
            <w:tcW w:w="3000" w:type="dxa"/>
            <w:tcBorders>
              <w:top w:val="nil"/>
              <w:left w:val="nil"/>
              <w:bottom w:val="single" w:sz="8" w:space="0" w:color="000000"/>
              <w:right w:val="nil"/>
            </w:tcBorders>
            <w:tcMar>
              <w:top w:w="100" w:type="dxa"/>
              <w:left w:w="40" w:type="dxa"/>
              <w:bottom w:w="100" w:type="dxa"/>
              <w:right w:w="40" w:type="dxa"/>
            </w:tcMar>
          </w:tcPr>
          <w:p w14:paraId="22F8A6AE" w14:textId="77777777" w:rsidR="00067AD2" w:rsidRDefault="00001258">
            <w:pPr>
              <w:spacing w:line="240" w:lineRule="auto"/>
              <w:jc w:val="center"/>
              <w:rPr>
                <w:sz w:val="20"/>
                <w:szCs w:val="20"/>
                <w:vertAlign w:val="superscript"/>
              </w:rPr>
            </w:pPr>
            <w:r>
              <w:rPr>
                <w:sz w:val="20"/>
                <w:szCs w:val="20"/>
              </w:rPr>
              <w:t>114,510 (50.0%)</w:t>
            </w:r>
            <w:r>
              <w:rPr>
                <w:sz w:val="20"/>
                <w:szCs w:val="20"/>
                <w:vertAlign w:val="superscript"/>
              </w:rPr>
              <w:t>b</w:t>
            </w:r>
          </w:p>
        </w:tc>
      </w:tr>
    </w:tbl>
    <w:p w14:paraId="22F8A6B0" w14:textId="398E4996" w:rsidR="00067AD2" w:rsidRDefault="00001258">
      <w:pPr>
        <w:spacing w:line="240" w:lineRule="auto"/>
        <w:ind w:right="720"/>
        <w:rPr>
          <w:sz w:val="20"/>
          <w:szCs w:val="20"/>
        </w:rPr>
      </w:pPr>
      <w:r>
        <w:rPr>
          <w:sz w:val="20"/>
          <w:szCs w:val="20"/>
          <w:vertAlign w:val="superscript"/>
        </w:rPr>
        <w:t>a</w:t>
      </w:r>
      <w:r>
        <w:rPr>
          <w:sz w:val="20"/>
          <w:szCs w:val="20"/>
        </w:rPr>
        <w:t xml:space="preserve">Novel genotypic combinations in the hybrid not observed in the parental lineages, </w:t>
      </w:r>
      <w:r w:rsidR="00892867">
        <w:rPr>
          <w:sz w:val="20"/>
          <w:szCs w:val="20"/>
        </w:rPr>
        <w:t>totaling</w:t>
      </w:r>
      <w:r>
        <w:rPr>
          <w:sz w:val="20"/>
          <w:szCs w:val="20"/>
        </w:rPr>
        <w:t xml:space="preserve"> </w:t>
      </w:r>
      <w:r w:rsidRPr="00001258">
        <w:rPr>
          <w:sz w:val="20"/>
          <w:szCs w:val="20"/>
        </w:rPr>
        <w:t>54</w:t>
      </w:r>
      <w:r>
        <w:rPr>
          <w:sz w:val="20"/>
          <w:szCs w:val="20"/>
        </w:rPr>
        <w:t>,</w:t>
      </w:r>
      <w:r w:rsidRPr="00001258">
        <w:rPr>
          <w:sz w:val="20"/>
          <w:szCs w:val="20"/>
        </w:rPr>
        <w:t>515</w:t>
      </w:r>
      <w:r>
        <w:rPr>
          <w:sz w:val="20"/>
          <w:szCs w:val="20"/>
        </w:rPr>
        <w:t xml:space="preserve"> SNPs </w:t>
      </w:r>
    </w:p>
    <w:p w14:paraId="22F8A6B1" w14:textId="77777777" w:rsidR="00067AD2" w:rsidRDefault="00001258">
      <w:pPr>
        <w:spacing w:line="240" w:lineRule="auto"/>
        <w:ind w:right="720"/>
        <w:rPr>
          <w:sz w:val="20"/>
          <w:szCs w:val="20"/>
        </w:rPr>
      </w:pPr>
      <w:r>
        <w:rPr>
          <w:sz w:val="20"/>
          <w:szCs w:val="20"/>
          <w:vertAlign w:val="superscript"/>
        </w:rPr>
        <w:t>b</w:t>
      </w:r>
      <w:r>
        <w:rPr>
          <w:sz w:val="20"/>
          <w:szCs w:val="20"/>
        </w:rPr>
        <w:t xml:space="preserve">Observed genotype frequencies are not different from expected under the recombination model (chi-square test performed on 1000 subsamples of 100 random loci; </w:t>
      </w:r>
      <w:r>
        <w:rPr>
          <w:i/>
          <w:sz w:val="20"/>
          <w:szCs w:val="20"/>
        </w:rPr>
        <w:t>p</w:t>
      </w:r>
      <w:r>
        <w:rPr>
          <w:sz w:val="20"/>
          <w:szCs w:val="20"/>
        </w:rPr>
        <w:t xml:space="preserve"> &gt; 0.05 for </w:t>
      </w:r>
      <w:r>
        <w:rPr>
          <w:rFonts w:ascii="Calibri" w:eastAsia="Calibri" w:hAnsi="Calibri" w:cs="Calibri"/>
        </w:rPr>
        <w:t>≥</w:t>
      </w:r>
      <w:r>
        <w:rPr>
          <w:sz w:val="20"/>
          <w:szCs w:val="20"/>
        </w:rPr>
        <w:t xml:space="preserve"> 95.0% of the subsamples)</w:t>
      </w:r>
    </w:p>
    <w:p w14:paraId="22F8A6B2" w14:textId="77777777" w:rsidR="00067AD2" w:rsidRDefault="00001258">
      <w:pPr>
        <w:spacing w:after="160" w:line="259" w:lineRule="auto"/>
        <w:ind w:right="720"/>
        <w:rPr>
          <w:sz w:val="20"/>
          <w:szCs w:val="20"/>
        </w:rPr>
      </w:pPr>
      <w:r>
        <w:rPr>
          <w:sz w:val="20"/>
          <w:szCs w:val="20"/>
          <w:vertAlign w:val="superscript"/>
        </w:rPr>
        <w:t>c</w:t>
      </w:r>
      <w:r>
        <w:rPr>
          <w:sz w:val="20"/>
          <w:szCs w:val="20"/>
        </w:rPr>
        <w:t>Observed genotype frequencies are different from expected under the recombination model (chi-square test performed on 1000 subsamples of 100 random loci;</w:t>
      </w:r>
      <w:r>
        <w:rPr>
          <w:i/>
          <w:sz w:val="20"/>
          <w:szCs w:val="20"/>
        </w:rPr>
        <w:t xml:space="preserve"> p</w:t>
      </w:r>
      <w:r>
        <w:rPr>
          <w:sz w:val="20"/>
          <w:szCs w:val="20"/>
        </w:rPr>
        <w:t xml:space="preserve"> </w:t>
      </w:r>
      <w:r>
        <w:rPr>
          <w:rFonts w:ascii="Calibri" w:eastAsia="Calibri" w:hAnsi="Calibri" w:cs="Calibri"/>
        </w:rPr>
        <w:t xml:space="preserve">≤ </w:t>
      </w:r>
      <w:r>
        <w:rPr>
          <w:sz w:val="20"/>
          <w:szCs w:val="20"/>
        </w:rPr>
        <w:t>0.05 for 100% of the subsamples)</w:t>
      </w:r>
    </w:p>
    <w:p w14:paraId="22F8A6B3" w14:textId="77777777" w:rsidR="00067AD2" w:rsidRDefault="00067AD2">
      <w:pPr>
        <w:spacing w:after="160" w:line="259" w:lineRule="auto"/>
        <w:ind w:right="3240"/>
        <w:rPr>
          <w:b/>
          <w:sz w:val="20"/>
          <w:szCs w:val="20"/>
        </w:rPr>
      </w:pPr>
    </w:p>
    <w:p w14:paraId="22F8A6B4" w14:textId="77777777" w:rsidR="00067AD2" w:rsidRDefault="00067AD2">
      <w:pPr>
        <w:rPr>
          <w:sz w:val="20"/>
          <w:szCs w:val="20"/>
        </w:rPr>
      </w:pPr>
    </w:p>
    <w:p w14:paraId="22F8A6B5" w14:textId="77777777" w:rsidR="00067AD2" w:rsidRDefault="00067AD2">
      <w:pPr>
        <w:spacing w:after="160" w:line="259" w:lineRule="auto"/>
        <w:ind w:right="2790"/>
        <w:rPr>
          <w:b/>
          <w:color w:val="222222"/>
          <w:sz w:val="20"/>
          <w:szCs w:val="20"/>
          <w:highlight w:val="white"/>
        </w:rPr>
        <w:sectPr w:rsidR="00067AD2">
          <w:pgSz w:w="15840" w:h="12240" w:orient="landscape"/>
          <w:pgMar w:top="1440" w:right="1440" w:bottom="1440" w:left="1440" w:header="720" w:footer="720" w:gutter="0"/>
          <w:cols w:space="720"/>
        </w:sectPr>
      </w:pPr>
    </w:p>
    <w:p w14:paraId="22F8A6B6" w14:textId="77777777" w:rsidR="00067AD2" w:rsidRDefault="00001258">
      <w:pPr>
        <w:spacing w:after="160" w:line="259" w:lineRule="auto"/>
        <w:ind w:right="2790"/>
        <w:rPr>
          <w:color w:val="2A2A2A"/>
          <w:sz w:val="20"/>
          <w:szCs w:val="20"/>
          <w:highlight w:val="white"/>
        </w:rPr>
      </w:pPr>
      <w:r>
        <w:rPr>
          <w:b/>
          <w:color w:val="222222"/>
          <w:sz w:val="20"/>
          <w:szCs w:val="20"/>
          <w:highlight w:val="white"/>
        </w:rPr>
        <w:lastRenderedPageBreak/>
        <w:t>Table S4.</w:t>
      </w:r>
      <w:r>
        <w:rPr>
          <w:b/>
          <w:color w:val="2A2A2A"/>
          <w:sz w:val="20"/>
          <w:szCs w:val="20"/>
          <w:highlight w:val="white"/>
        </w:rPr>
        <w:t xml:space="preserve"> </w:t>
      </w:r>
      <w:r>
        <w:rPr>
          <w:sz w:val="20"/>
          <w:szCs w:val="20"/>
        </w:rPr>
        <w:t xml:space="preserve"> </w:t>
      </w:r>
      <w:r>
        <w:rPr>
          <w:b/>
          <w:sz w:val="20"/>
          <w:szCs w:val="20"/>
        </w:rPr>
        <w:t>Genome-wide test of interspecific hybridization</w:t>
      </w:r>
      <w:r>
        <w:rPr>
          <w:sz w:val="20"/>
          <w:szCs w:val="20"/>
        </w:rPr>
        <w:t xml:space="preserve"> </w:t>
      </w:r>
      <w:r>
        <w:rPr>
          <w:b/>
          <w:color w:val="2A2A2A"/>
          <w:sz w:val="20"/>
          <w:szCs w:val="20"/>
          <w:highlight w:val="white"/>
        </w:rPr>
        <w:t xml:space="preserve">among </w:t>
      </w:r>
      <w:r>
        <w:rPr>
          <w:b/>
          <w:i/>
          <w:color w:val="2A2A2A"/>
          <w:sz w:val="20"/>
          <w:szCs w:val="20"/>
          <w:highlight w:val="white"/>
        </w:rPr>
        <w:t>Phytophthora ramorum</w:t>
      </w:r>
      <w:r>
        <w:rPr>
          <w:b/>
          <w:color w:val="2A2A2A"/>
          <w:sz w:val="20"/>
          <w:szCs w:val="20"/>
          <w:highlight w:val="white"/>
        </w:rPr>
        <w:t xml:space="preserve"> lineages. </w:t>
      </w:r>
      <w:r>
        <w:rPr>
          <w:color w:val="2A2A2A"/>
          <w:sz w:val="20"/>
          <w:szCs w:val="20"/>
          <w:highlight w:val="white"/>
        </w:rPr>
        <w:t xml:space="preserve">HyDe inference of hybridization between </w:t>
      </w:r>
      <w:r>
        <w:rPr>
          <w:i/>
          <w:color w:val="2A2A2A"/>
          <w:sz w:val="20"/>
          <w:szCs w:val="20"/>
          <w:highlight w:val="white"/>
        </w:rPr>
        <w:t>Phytophthora ramorum</w:t>
      </w:r>
      <w:r>
        <w:rPr>
          <w:color w:val="2A2A2A"/>
          <w:sz w:val="20"/>
          <w:szCs w:val="20"/>
          <w:highlight w:val="white"/>
        </w:rPr>
        <w:t xml:space="preserve"> lineages. P1 and P2 indicate the lineage of the parental lineage and hyb, the hybrids </w:t>
      </w:r>
      <w:r>
        <w:rPr>
          <w:color w:val="3C4043"/>
          <w:sz w:val="20"/>
          <w:szCs w:val="20"/>
          <w:highlight w:val="white"/>
        </w:rPr>
        <w:t>16-237-021</w:t>
      </w:r>
      <w:r>
        <w:rPr>
          <w:sz w:val="20"/>
          <w:szCs w:val="20"/>
        </w:rPr>
        <w:t xml:space="preserve"> and </w:t>
      </w:r>
      <w:r>
        <w:rPr>
          <w:color w:val="3C4043"/>
          <w:sz w:val="20"/>
          <w:szCs w:val="20"/>
          <w:highlight w:val="white"/>
        </w:rPr>
        <w:t>16-284-032</w:t>
      </w:r>
      <w:r>
        <w:rPr>
          <w:sz w:val="20"/>
          <w:szCs w:val="20"/>
        </w:rPr>
        <w:t xml:space="preserve">. </w:t>
      </w:r>
      <w:r>
        <w:rPr>
          <w:color w:val="2A2A2A"/>
          <w:sz w:val="20"/>
          <w:szCs w:val="20"/>
          <w:highlight w:val="white"/>
        </w:rPr>
        <w:t xml:space="preserve"> Z-statistic was used to </w:t>
      </w:r>
      <w:r>
        <w:rPr>
          <w:color w:val="1C1D1E"/>
          <w:sz w:val="20"/>
          <w:szCs w:val="20"/>
          <w:highlight w:val="white"/>
        </w:rPr>
        <w:t xml:space="preserve">test for significance and </w:t>
      </w:r>
      <w:r>
        <w:rPr>
          <w:i/>
          <w:color w:val="2A2A2A"/>
          <w:sz w:val="20"/>
          <w:szCs w:val="20"/>
          <w:highlight w:val="white"/>
        </w:rPr>
        <w:t>p</w:t>
      </w:r>
      <w:r>
        <w:rPr>
          <w:color w:val="2A2A2A"/>
          <w:sz w:val="20"/>
          <w:szCs w:val="20"/>
          <w:highlight w:val="white"/>
        </w:rPr>
        <w:t xml:space="preserve">-values were adjusted for multiple testing using Bonferroni adjustment. The </w:t>
      </w:r>
      <w:r>
        <w:rPr>
          <w:i/>
          <w:color w:val="2A2A2A"/>
          <w:sz w:val="20"/>
          <w:szCs w:val="20"/>
          <w:highlight w:val="white"/>
        </w:rPr>
        <w:t>γ-</w:t>
      </w:r>
      <w:r>
        <w:rPr>
          <w:color w:val="2A2A2A"/>
          <w:sz w:val="20"/>
          <w:szCs w:val="20"/>
          <w:highlight w:val="white"/>
        </w:rPr>
        <w:t>value is expected to be 0.50 in parents to progeny comparisons</w:t>
      </w:r>
    </w:p>
    <w:tbl>
      <w:tblPr>
        <w:tblStyle w:val="a2"/>
        <w:tblW w:w="6525" w:type="dxa"/>
        <w:tblBorders>
          <w:top w:val="nil"/>
          <w:left w:val="nil"/>
          <w:bottom w:val="nil"/>
          <w:right w:val="nil"/>
          <w:insideH w:val="nil"/>
          <w:insideV w:val="nil"/>
        </w:tblBorders>
        <w:tblLayout w:type="fixed"/>
        <w:tblLook w:val="0600" w:firstRow="0" w:lastRow="0" w:firstColumn="0" w:lastColumn="0" w:noHBand="1" w:noVBand="1"/>
      </w:tblPr>
      <w:tblGrid>
        <w:gridCol w:w="1770"/>
        <w:gridCol w:w="1680"/>
        <w:gridCol w:w="1380"/>
        <w:gridCol w:w="1695"/>
      </w:tblGrid>
      <w:tr w:rsidR="00067AD2" w14:paraId="22F8A6BB" w14:textId="77777777">
        <w:trPr>
          <w:trHeight w:val="369"/>
        </w:trPr>
        <w:tc>
          <w:tcPr>
            <w:tcW w:w="1770" w:type="dxa"/>
            <w:tcBorders>
              <w:top w:val="nil"/>
              <w:left w:val="nil"/>
              <w:bottom w:val="single" w:sz="8" w:space="0" w:color="000000"/>
              <w:right w:val="nil"/>
            </w:tcBorders>
            <w:tcMar>
              <w:top w:w="100" w:type="dxa"/>
              <w:left w:w="80" w:type="dxa"/>
              <w:bottom w:w="100" w:type="dxa"/>
              <w:right w:w="80" w:type="dxa"/>
            </w:tcMar>
          </w:tcPr>
          <w:p w14:paraId="22F8A6B7" w14:textId="77777777" w:rsidR="00067AD2" w:rsidRDefault="00001258">
            <w:pPr>
              <w:widowControl w:val="0"/>
              <w:pBdr>
                <w:top w:val="nil"/>
                <w:left w:val="nil"/>
                <w:bottom w:val="nil"/>
                <w:right w:val="nil"/>
                <w:between w:val="nil"/>
              </w:pBdr>
              <w:rPr>
                <w:color w:val="2A2A2A"/>
                <w:sz w:val="20"/>
                <w:szCs w:val="20"/>
                <w:highlight w:val="white"/>
              </w:rPr>
            </w:pPr>
            <w:r>
              <w:rPr>
                <w:color w:val="2A2A2A"/>
                <w:sz w:val="20"/>
                <w:szCs w:val="20"/>
                <w:highlight w:val="white"/>
              </w:rPr>
              <w:t>P1-hybrid-P2</w:t>
            </w:r>
          </w:p>
        </w:tc>
        <w:tc>
          <w:tcPr>
            <w:tcW w:w="1680" w:type="dxa"/>
            <w:tcBorders>
              <w:top w:val="nil"/>
              <w:left w:val="nil"/>
              <w:bottom w:val="single" w:sz="8" w:space="0" w:color="000000"/>
              <w:right w:val="nil"/>
            </w:tcBorders>
            <w:tcMar>
              <w:top w:w="100" w:type="dxa"/>
              <w:left w:w="80" w:type="dxa"/>
              <w:bottom w:w="100" w:type="dxa"/>
              <w:right w:w="80" w:type="dxa"/>
            </w:tcMar>
          </w:tcPr>
          <w:p w14:paraId="22F8A6B8" w14:textId="77777777" w:rsidR="00067AD2" w:rsidRDefault="00001258">
            <w:pPr>
              <w:spacing w:line="259" w:lineRule="auto"/>
              <w:jc w:val="center"/>
              <w:rPr>
                <w:color w:val="2A2A2A"/>
                <w:sz w:val="20"/>
                <w:szCs w:val="20"/>
                <w:highlight w:val="white"/>
              </w:rPr>
            </w:pPr>
            <w:r>
              <w:rPr>
                <w:color w:val="2A2A2A"/>
                <w:sz w:val="20"/>
                <w:szCs w:val="20"/>
                <w:highlight w:val="white"/>
              </w:rPr>
              <w:t>Z-score (SD)</w:t>
            </w:r>
          </w:p>
        </w:tc>
        <w:tc>
          <w:tcPr>
            <w:tcW w:w="1380" w:type="dxa"/>
            <w:tcBorders>
              <w:top w:val="nil"/>
              <w:left w:val="nil"/>
              <w:bottom w:val="single" w:sz="8" w:space="0" w:color="000000"/>
              <w:right w:val="nil"/>
            </w:tcBorders>
            <w:tcMar>
              <w:top w:w="100" w:type="dxa"/>
              <w:left w:w="80" w:type="dxa"/>
              <w:bottom w:w="100" w:type="dxa"/>
              <w:right w:w="80" w:type="dxa"/>
            </w:tcMar>
          </w:tcPr>
          <w:p w14:paraId="22F8A6B9" w14:textId="77777777" w:rsidR="00067AD2" w:rsidRDefault="00001258">
            <w:pPr>
              <w:spacing w:line="259" w:lineRule="auto"/>
              <w:jc w:val="center"/>
              <w:rPr>
                <w:color w:val="2A2A2A"/>
                <w:sz w:val="20"/>
                <w:szCs w:val="20"/>
                <w:highlight w:val="white"/>
              </w:rPr>
            </w:pPr>
            <w:r>
              <w:rPr>
                <w:i/>
                <w:color w:val="2A2A2A"/>
                <w:sz w:val="20"/>
                <w:szCs w:val="20"/>
                <w:highlight w:val="white"/>
              </w:rPr>
              <w:t>p</w:t>
            </w:r>
            <w:r>
              <w:rPr>
                <w:color w:val="2A2A2A"/>
                <w:sz w:val="20"/>
                <w:szCs w:val="20"/>
                <w:highlight w:val="white"/>
              </w:rPr>
              <w:t>-value (SD)</w:t>
            </w:r>
          </w:p>
        </w:tc>
        <w:tc>
          <w:tcPr>
            <w:tcW w:w="1695" w:type="dxa"/>
            <w:tcBorders>
              <w:top w:val="nil"/>
              <w:left w:val="nil"/>
              <w:bottom w:val="single" w:sz="8" w:space="0" w:color="000000"/>
              <w:right w:val="nil"/>
            </w:tcBorders>
            <w:tcMar>
              <w:top w:w="100" w:type="dxa"/>
              <w:left w:w="80" w:type="dxa"/>
              <w:bottom w:w="100" w:type="dxa"/>
              <w:right w:w="80" w:type="dxa"/>
            </w:tcMar>
          </w:tcPr>
          <w:p w14:paraId="22F8A6BA" w14:textId="77777777" w:rsidR="00067AD2" w:rsidRDefault="00001258">
            <w:pPr>
              <w:spacing w:line="259" w:lineRule="auto"/>
              <w:jc w:val="center"/>
              <w:rPr>
                <w:color w:val="2A2A2A"/>
                <w:sz w:val="20"/>
                <w:szCs w:val="20"/>
                <w:highlight w:val="white"/>
              </w:rPr>
            </w:pPr>
            <w:r>
              <w:rPr>
                <w:i/>
                <w:color w:val="2A2A2A"/>
                <w:sz w:val="20"/>
                <w:szCs w:val="20"/>
                <w:highlight w:val="white"/>
              </w:rPr>
              <w:t>γ-</w:t>
            </w:r>
            <w:r>
              <w:rPr>
                <w:color w:val="2A2A2A"/>
                <w:sz w:val="20"/>
                <w:szCs w:val="20"/>
                <w:highlight w:val="white"/>
              </w:rPr>
              <w:t>value</w:t>
            </w:r>
            <w:r>
              <w:rPr>
                <w:i/>
                <w:color w:val="2A2A2A"/>
                <w:sz w:val="20"/>
                <w:szCs w:val="20"/>
                <w:highlight w:val="white"/>
              </w:rPr>
              <w:t xml:space="preserve"> </w:t>
            </w:r>
            <w:r>
              <w:rPr>
                <w:color w:val="2A2A2A"/>
                <w:sz w:val="20"/>
                <w:szCs w:val="20"/>
                <w:highlight w:val="white"/>
              </w:rPr>
              <w:t>(SD)</w:t>
            </w:r>
          </w:p>
        </w:tc>
      </w:tr>
      <w:tr w:rsidR="00067AD2" w14:paraId="22F8A6C0" w14:textId="77777777">
        <w:trPr>
          <w:trHeight w:val="500"/>
        </w:trPr>
        <w:tc>
          <w:tcPr>
            <w:tcW w:w="1770" w:type="dxa"/>
            <w:tcBorders>
              <w:top w:val="nil"/>
              <w:left w:val="nil"/>
              <w:bottom w:val="nil"/>
              <w:right w:val="nil"/>
            </w:tcBorders>
            <w:tcMar>
              <w:top w:w="100" w:type="dxa"/>
              <w:left w:w="80" w:type="dxa"/>
              <w:bottom w:w="100" w:type="dxa"/>
              <w:right w:w="80" w:type="dxa"/>
            </w:tcMar>
            <w:vAlign w:val="bottom"/>
          </w:tcPr>
          <w:p w14:paraId="22F8A6BC" w14:textId="77777777" w:rsidR="00067AD2" w:rsidRDefault="00001258">
            <w:pPr>
              <w:spacing w:line="240" w:lineRule="auto"/>
              <w:jc w:val="both"/>
              <w:rPr>
                <w:color w:val="2A2A2A"/>
                <w:sz w:val="20"/>
                <w:szCs w:val="20"/>
                <w:highlight w:val="white"/>
              </w:rPr>
            </w:pPr>
            <w:r>
              <w:rPr>
                <w:color w:val="2A2A2A"/>
                <w:sz w:val="20"/>
                <w:szCs w:val="20"/>
                <w:highlight w:val="white"/>
              </w:rPr>
              <w:t>EU1_hyb_NA2</w:t>
            </w:r>
          </w:p>
        </w:tc>
        <w:tc>
          <w:tcPr>
            <w:tcW w:w="1680" w:type="dxa"/>
            <w:tcBorders>
              <w:top w:val="nil"/>
              <w:left w:val="nil"/>
              <w:bottom w:val="nil"/>
              <w:right w:val="nil"/>
            </w:tcBorders>
            <w:tcMar>
              <w:top w:w="100" w:type="dxa"/>
              <w:left w:w="80" w:type="dxa"/>
              <w:bottom w:w="100" w:type="dxa"/>
              <w:right w:w="80" w:type="dxa"/>
            </w:tcMar>
            <w:vAlign w:val="bottom"/>
          </w:tcPr>
          <w:p w14:paraId="22F8A6BD" w14:textId="77777777" w:rsidR="00067AD2" w:rsidRDefault="00001258">
            <w:pPr>
              <w:spacing w:line="240" w:lineRule="auto"/>
              <w:jc w:val="center"/>
              <w:rPr>
                <w:color w:val="2A2A2A"/>
                <w:sz w:val="20"/>
                <w:szCs w:val="20"/>
                <w:highlight w:val="white"/>
              </w:rPr>
            </w:pPr>
            <w:r>
              <w:rPr>
                <w:color w:val="2A2A2A"/>
                <w:sz w:val="20"/>
                <w:szCs w:val="20"/>
                <w:highlight w:val="white"/>
              </w:rPr>
              <w:t>8.78 (0.24)</w:t>
            </w:r>
          </w:p>
        </w:tc>
        <w:tc>
          <w:tcPr>
            <w:tcW w:w="1380" w:type="dxa"/>
            <w:tcBorders>
              <w:top w:val="nil"/>
              <w:left w:val="nil"/>
              <w:bottom w:val="nil"/>
              <w:right w:val="nil"/>
            </w:tcBorders>
            <w:tcMar>
              <w:top w:w="100" w:type="dxa"/>
              <w:left w:w="80" w:type="dxa"/>
              <w:bottom w:w="100" w:type="dxa"/>
              <w:right w:w="80" w:type="dxa"/>
            </w:tcMar>
            <w:vAlign w:val="bottom"/>
          </w:tcPr>
          <w:p w14:paraId="22F8A6BE" w14:textId="77777777" w:rsidR="00067AD2" w:rsidRDefault="00001258">
            <w:pPr>
              <w:spacing w:line="240" w:lineRule="auto"/>
              <w:jc w:val="center"/>
              <w:rPr>
                <w:color w:val="2A2A2A"/>
                <w:sz w:val="20"/>
                <w:szCs w:val="20"/>
                <w:highlight w:val="white"/>
              </w:rPr>
            </w:pPr>
            <w:r>
              <w:rPr>
                <w:color w:val="2A2A2A"/>
                <w:sz w:val="20"/>
                <w:szCs w:val="20"/>
                <w:highlight w:val="white"/>
              </w:rPr>
              <w:t>0 (0.0)</w:t>
            </w:r>
          </w:p>
        </w:tc>
        <w:tc>
          <w:tcPr>
            <w:tcW w:w="1695" w:type="dxa"/>
            <w:tcBorders>
              <w:top w:val="nil"/>
              <w:left w:val="nil"/>
              <w:bottom w:val="nil"/>
              <w:right w:val="nil"/>
            </w:tcBorders>
            <w:tcMar>
              <w:top w:w="100" w:type="dxa"/>
              <w:left w:w="80" w:type="dxa"/>
              <w:bottom w:w="100" w:type="dxa"/>
              <w:right w:w="80" w:type="dxa"/>
            </w:tcMar>
            <w:vAlign w:val="bottom"/>
          </w:tcPr>
          <w:p w14:paraId="22F8A6BF" w14:textId="77777777" w:rsidR="00067AD2" w:rsidRDefault="00001258">
            <w:pPr>
              <w:spacing w:line="240" w:lineRule="auto"/>
              <w:jc w:val="center"/>
              <w:rPr>
                <w:color w:val="2A2A2A"/>
                <w:sz w:val="20"/>
                <w:szCs w:val="20"/>
                <w:highlight w:val="white"/>
              </w:rPr>
            </w:pPr>
            <w:r>
              <w:rPr>
                <w:color w:val="2A2A2A"/>
                <w:sz w:val="20"/>
                <w:szCs w:val="20"/>
                <w:highlight w:val="white"/>
              </w:rPr>
              <w:t>0.48 (0.02)</w:t>
            </w:r>
          </w:p>
        </w:tc>
      </w:tr>
      <w:tr w:rsidR="00067AD2" w14:paraId="22F8A6C5" w14:textId="77777777">
        <w:trPr>
          <w:trHeight w:val="500"/>
        </w:trPr>
        <w:tc>
          <w:tcPr>
            <w:tcW w:w="1770" w:type="dxa"/>
            <w:tcBorders>
              <w:top w:val="nil"/>
              <w:left w:val="nil"/>
              <w:bottom w:val="nil"/>
              <w:right w:val="nil"/>
            </w:tcBorders>
            <w:tcMar>
              <w:top w:w="100" w:type="dxa"/>
              <w:left w:w="80" w:type="dxa"/>
              <w:bottom w:w="100" w:type="dxa"/>
              <w:right w:w="80" w:type="dxa"/>
            </w:tcMar>
            <w:vAlign w:val="bottom"/>
          </w:tcPr>
          <w:p w14:paraId="22F8A6C1" w14:textId="77777777" w:rsidR="00067AD2" w:rsidRDefault="00001258">
            <w:pPr>
              <w:spacing w:line="240" w:lineRule="auto"/>
              <w:jc w:val="both"/>
              <w:rPr>
                <w:color w:val="2A2A2A"/>
                <w:sz w:val="20"/>
                <w:szCs w:val="20"/>
                <w:highlight w:val="white"/>
              </w:rPr>
            </w:pPr>
            <w:r>
              <w:rPr>
                <w:color w:val="2A2A2A"/>
                <w:sz w:val="20"/>
                <w:szCs w:val="20"/>
                <w:highlight w:val="white"/>
              </w:rPr>
              <w:t>NA1_hyb_NA2</w:t>
            </w:r>
          </w:p>
        </w:tc>
        <w:tc>
          <w:tcPr>
            <w:tcW w:w="1680" w:type="dxa"/>
            <w:tcBorders>
              <w:top w:val="nil"/>
              <w:left w:val="nil"/>
              <w:bottom w:val="nil"/>
              <w:right w:val="nil"/>
            </w:tcBorders>
            <w:tcMar>
              <w:top w:w="100" w:type="dxa"/>
              <w:left w:w="80" w:type="dxa"/>
              <w:bottom w:w="100" w:type="dxa"/>
              <w:right w:w="80" w:type="dxa"/>
            </w:tcMar>
            <w:vAlign w:val="bottom"/>
          </w:tcPr>
          <w:p w14:paraId="22F8A6C2" w14:textId="77777777" w:rsidR="00067AD2" w:rsidRDefault="00001258">
            <w:pPr>
              <w:spacing w:line="240" w:lineRule="auto"/>
              <w:jc w:val="center"/>
              <w:rPr>
                <w:color w:val="2A2A2A"/>
                <w:sz w:val="20"/>
                <w:szCs w:val="20"/>
                <w:highlight w:val="white"/>
              </w:rPr>
            </w:pPr>
            <w:r>
              <w:rPr>
                <w:color w:val="2A2A2A"/>
                <w:sz w:val="20"/>
                <w:szCs w:val="20"/>
                <w:highlight w:val="white"/>
              </w:rPr>
              <w:t>3.71 (0.54)</w:t>
            </w:r>
          </w:p>
        </w:tc>
        <w:tc>
          <w:tcPr>
            <w:tcW w:w="1380" w:type="dxa"/>
            <w:tcBorders>
              <w:top w:val="nil"/>
              <w:left w:val="nil"/>
              <w:bottom w:val="nil"/>
              <w:right w:val="nil"/>
            </w:tcBorders>
            <w:tcMar>
              <w:top w:w="100" w:type="dxa"/>
              <w:left w:w="80" w:type="dxa"/>
              <w:bottom w:w="100" w:type="dxa"/>
              <w:right w:w="80" w:type="dxa"/>
            </w:tcMar>
            <w:vAlign w:val="bottom"/>
          </w:tcPr>
          <w:p w14:paraId="22F8A6C3" w14:textId="77777777" w:rsidR="00067AD2" w:rsidRDefault="00001258">
            <w:pPr>
              <w:spacing w:line="240" w:lineRule="auto"/>
              <w:jc w:val="center"/>
              <w:rPr>
                <w:color w:val="2A2A2A"/>
                <w:sz w:val="20"/>
                <w:szCs w:val="20"/>
                <w:highlight w:val="white"/>
              </w:rPr>
            </w:pPr>
            <w:r>
              <w:rPr>
                <w:color w:val="2A2A2A"/>
                <w:sz w:val="20"/>
                <w:szCs w:val="20"/>
                <w:highlight w:val="white"/>
              </w:rPr>
              <w:t>0 (0.0)</w:t>
            </w:r>
          </w:p>
        </w:tc>
        <w:tc>
          <w:tcPr>
            <w:tcW w:w="1695" w:type="dxa"/>
            <w:tcBorders>
              <w:top w:val="nil"/>
              <w:left w:val="nil"/>
              <w:bottom w:val="nil"/>
              <w:right w:val="nil"/>
            </w:tcBorders>
            <w:tcMar>
              <w:top w:w="100" w:type="dxa"/>
              <w:left w:w="80" w:type="dxa"/>
              <w:bottom w:w="100" w:type="dxa"/>
              <w:right w:w="80" w:type="dxa"/>
            </w:tcMar>
            <w:vAlign w:val="bottom"/>
          </w:tcPr>
          <w:p w14:paraId="22F8A6C4" w14:textId="77777777" w:rsidR="00067AD2" w:rsidRDefault="00001258">
            <w:pPr>
              <w:spacing w:line="240" w:lineRule="auto"/>
              <w:jc w:val="center"/>
              <w:rPr>
                <w:color w:val="2A2A2A"/>
                <w:sz w:val="20"/>
                <w:szCs w:val="20"/>
                <w:highlight w:val="white"/>
              </w:rPr>
            </w:pPr>
            <w:r>
              <w:rPr>
                <w:color w:val="2A2A2A"/>
                <w:sz w:val="20"/>
                <w:szCs w:val="20"/>
                <w:highlight w:val="white"/>
              </w:rPr>
              <w:t>0.22 (0.03)</w:t>
            </w:r>
          </w:p>
        </w:tc>
      </w:tr>
      <w:tr w:rsidR="00067AD2" w14:paraId="22F8A6CA" w14:textId="77777777">
        <w:trPr>
          <w:trHeight w:val="500"/>
        </w:trPr>
        <w:tc>
          <w:tcPr>
            <w:tcW w:w="1770" w:type="dxa"/>
            <w:tcBorders>
              <w:top w:val="nil"/>
              <w:left w:val="nil"/>
              <w:bottom w:val="nil"/>
              <w:right w:val="nil"/>
            </w:tcBorders>
            <w:tcMar>
              <w:top w:w="100" w:type="dxa"/>
              <w:left w:w="80" w:type="dxa"/>
              <w:bottom w:w="100" w:type="dxa"/>
              <w:right w:w="80" w:type="dxa"/>
            </w:tcMar>
            <w:vAlign w:val="bottom"/>
          </w:tcPr>
          <w:p w14:paraId="22F8A6C6" w14:textId="77777777" w:rsidR="00067AD2" w:rsidRDefault="00001258">
            <w:pPr>
              <w:spacing w:line="240" w:lineRule="auto"/>
              <w:jc w:val="both"/>
              <w:rPr>
                <w:color w:val="2A2A2A"/>
                <w:sz w:val="20"/>
                <w:szCs w:val="20"/>
                <w:highlight w:val="white"/>
              </w:rPr>
            </w:pPr>
            <w:r>
              <w:rPr>
                <w:color w:val="2A2A2A"/>
                <w:sz w:val="20"/>
                <w:szCs w:val="20"/>
                <w:highlight w:val="white"/>
              </w:rPr>
              <w:t>EU1_hyb_NA1</w:t>
            </w:r>
          </w:p>
        </w:tc>
        <w:tc>
          <w:tcPr>
            <w:tcW w:w="1680" w:type="dxa"/>
            <w:tcBorders>
              <w:top w:val="nil"/>
              <w:left w:val="nil"/>
              <w:bottom w:val="nil"/>
              <w:right w:val="nil"/>
            </w:tcBorders>
            <w:tcMar>
              <w:top w:w="100" w:type="dxa"/>
              <w:left w:w="80" w:type="dxa"/>
              <w:bottom w:w="100" w:type="dxa"/>
              <w:right w:w="80" w:type="dxa"/>
            </w:tcMar>
            <w:vAlign w:val="bottom"/>
          </w:tcPr>
          <w:p w14:paraId="22F8A6C7" w14:textId="77777777" w:rsidR="00067AD2" w:rsidRDefault="00001258">
            <w:pPr>
              <w:spacing w:line="240" w:lineRule="auto"/>
              <w:jc w:val="center"/>
              <w:rPr>
                <w:color w:val="2A2A2A"/>
                <w:sz w:val="20"/>
                <w:szCs w:val="20"/>
                <w:highlight w:val="white"/>
              </w:rPr>
            </w:pPr>
            <w:r>
              <w:rPr>
                <w:color w:val="2A2A2A"/>
                <w:sz w:val="20"/>
                <w:szCs w:val="20"/>
                <w:highlight w:val="white"/>
              </w:rPr>
              <w:t>-1.95 (0.18)</w:t>
            </w:r>
          </w:p>
        </w:tc>
        <w:tc>
          <w:tcPr>
            <w:tcW w:w="1380" w:type="dxa"/>
            <w:tcBorders>
              <w:top w:val="nil"/>
              <w:left w:val="nil"/>
              <w:bottom w:val="nil"/>
              <w:right w:val="nil"/>
            </w:tcBorders>
            <w:tcMar>
              <w:top w:w="100" w:type="dxa"/>
              <w:left w:w="80" w:type="dxa"/>
              <w:bottom w:w="100" w:type="dxa"/>
              <w:right w:w="80" w:type="dxa"/>
            </w:tcMar>
            <w:vAlign w:val="bottom"/>
          </w:tcPr>
          <w:p w14:paraId="22F8A6C8" w14:textId="77777777" w:rsidR="00067AD2" w:rsidRDefault="00001258">
            <w:pPr>
              <w:spacing w:line="240" w:lineRule="auto"/>
              <w:jc w:val="center"/>
              <w:rPr>
                <w:color w:val="2A2A2A"/>
                <w:sz w:val="20"/>
                <w:szCs w:val="20"/>
                <w:highlight w:val="white"/>
              </w:rPr>
            </w:pPr>
            <w:r>
              <w:rPr>
                <w:color w:val="2A2A2A"/>
                <w:sz w:val="20"/>
                <w:szCs w:val="20"/>
                <w:highlight w:val="white"/>
              </w:rPr>
              <w:t>0.97 (0.01)</w:t>
            </w:r>
          </w:p>
        </w:tc>
        <w:tc>
          <w:tcPr>
            <w:tcW w:w="1695" w:type="dxa"/>
            <w:tcBorders>
              <w:top w:val="nil"/>
              <w:left w:val="nil"/>
              <w:bottom w:val="nil"/>
              <w:right w:val="nil"/>
            </w:tcBorders>
            <w:tcMar>
              <w:top w:w="100" w:type="dxa"/>
              <w:left w:w="80" w:type="dxa"/>
              <w:bottom w:w="100" w:type="dxa"/>
              <w:right w:w="80" w:type="dxa"/>
            </w:tcMar>
            <w:vAlign w:val="bottom"/>
          </w:tcPr>
          <w:p w14:paraId="22F8A6C9" w14:textId="77777777" w:rsidR="00067AD2" w:rsidRDefault="00001258">
            <w:pPr>
              <w:spacing w:line="240" w:lineRule="auto"/>
              <w:jc w:val="center"/>
              <w:rPr>
                <w:color w:val="2A2A2A"/>
                <w:sz w:val="20"/>
                <w:szCs w:val="20"/>
                <w:highlight w:val="white"/>
              </w:rPr>
            </w:pPr>
            <w:r>
              <w:rPr>
                <w:color w:val="2A2A2A"/>
                <w:sz w:val="20"/>
                <w:szCs w:val="20"/>
                <w:highlight w:val="white"/>
              </w:rPr>
              <w:t>-12.54 (156.51)</w:t>
            </w:r>
          </w:p>
        </w:tc>
      </w:tr>
      <w:tr w:rsidR="00067AD2" w14:paraId="22F8A6CF" w14:textId="77777777">
        <w:trPr>
          <w:trHeight w:val="500"/>
        </w:trPr>
        <w:tc>
          <w:tcPr>
            <w:tcW w:w="1770" w:type="dxa"/>
            <w:tcBorders>
              <w:top w:val="nil"/>
              <w:left w:val="nil"/>
              <w:bottom w:val="single" w:sz="8" w:space="0" w:color="000000"/>
              <w:right w:val="nil"/>
            </w:tcBorders>
            <w:tcMar>
              <w:top w:w="100" w:type="dxa"/>
              <w:left w:w="80" w:type="dxa"/>
              <w:bottom w:w="100" w:type="dxa"/>
              <w:right w:w="80" w:type="dxa"/>
            </w:tcMar>
            <w:vAlign w:val="bottom"/>
          </w:tcPr>
          <w:p w14:paraId="22F8A6CB" w14:textId="77777777" w:rsidR="00067AD2" w:rsidRDefault="00067AD2">
            <w:pPr>
              <w:spacing w:line="240" w:lineRule="auto"/>
              <w:jc w:val="both"/>
              <w:rPr>
                <w:color w:val="2A2A2A"/>
                <w:sz w:val="20"/>
                <w:szCs w:val="20"/>
                <w:highlight w:val="white"/>
              </w:rPr>
            </w:pPr>
          </w:p>
        </w:tc>
        <w:tc>
          <w:tcPr>
            <w:tcW w:w="1680" w:type="dxa"/>
            <w:tcBorders>
              <w:top w:val="nil"/>
              <w:left w:val="nil"/>
              <w:bottom w:val="single" w:sz="8" w:space="0" w:color="000000"/>
              <w:right w:val="nil"/>
            </w:tcBorders>
            <w:tcMar>
              <w:top w:w="100" w:type="dxa"/>
              <w:left w:w="80" w:type="dxa"/>
              <w:bottom w:w="100" w:type="dxa"/>
              <w:right w:w="80" w:type="dxa"/>
            </w:tcMar>
            <w:vAlign w:val="bottom"/>
          </w:tcPr>
          <w:p w14:paraId="22F8A6CC" w14:textId="77777777" w:rsidR="00067AD2" w:rsidRDefault="00067AD2">
            <w:pPr>
              <w:spacing w:line="240" w:lineRule="auto"/>
              <w:jc w:val="center"/>
              <w:rPr>
                <w:color w:val="2A2A2A"/>
                <w:sz w:val="20"/>
                <w:szCs w:val="20"/>
                <w:highlight w:val="white"/>
              </w:rPr>
            </w:pPr>
          </w:p>
        </w:tc>
        <w:tc>
          <w:tcPr>
            <w:tcW w:w="1380" w:type="dxa"/>
            <w:tcBorders>
              <w:top w:val="nil"/>
              <w:left w:val="nil"/>
              <w:bottom w:val="single" w:sz="8" w:space="0" w:color="000000"/>
              <w:right w:val="nil"/>
            </w:tcBorders>
            <w:tcMar>
              <w:top w:w="100" w:type="dxa"/>
              <w:left w:w="80" w:type="dxa"/>
              <w:bottom w:w="100" w:type="dxa"/>
              <w:right w:w="80" w:type="dxa"/>
            </w:tcMar>
            <w:vAlign w:val="bottom"/>
          </w:tcPr>
          <w:p w14:paraId="22F8A6CD" w14:textId="77777777" w:rsidR="00067AD2" w:rsidRDefault="00067AD2">
            <w:pPr>
              <w:spacing w:line="240" w:lineRule="auto"/>
              <w:jc w:val="center"/>
              <w:rPr>
                <w:color w:val="2A2A2A"/>
                <w:sz w:val="20"/>
                <w:szCs w:val="20"/>
                <w:highlight w:val="white"/>
              </w:rPr>
            </w:pPr>
          </w:p>
        </w:tc>
        <w:tc>
          <w:tcPr>
            <w:tcW w:w="1695" w:type="dxa"/>
            <w:tcBorders>
              <w:top w:val="nil"/>
              <w:left w:val="nil"/>
              <w:bottom w:val="single" w:sz="8" w:space="0" w:color="000000"/>
              <w:right w:val="nil"/>
            </w:tcBorders>
            <w:tcMar>
              <w:top w:w="100" w:type="dxa"/>
              <w:left w:w="80" w:type="dxa"/>
              <w:bottom w:w="100" w:type="dxa"/>
              <w:right w:w="80" w:type="dxa"/>
            </w:tcMar>
            <w:vAlign w:val="bottom"/>
          </w:tcPr>
          <w:p w14:paraId="22F8A6CE" w14:textId="77777777" w:rsidR="00067AD2" w:rsidRDefault="00067AD2">
            <w:pPr>
              <w:spacing w:line="240" w:lineRule="auto"/>
              <w:jc w:val="center"/>
              <w:rPr>
                <w:color w:val="2A2A2A"/>
                <w:sz w:val="20"/>
                <w:szCs w:val="20"/>
                <w:highlight w:val="white"/>
              </w:rPr>
            </w:pPr>
          </w:p>
        </w:tc>
      </w:tr>
    </w:tbl>
    <w:p w14:paraId="22F8A6D0" w14:textId="77777777" w:rsidR="00067AD2" w:rsidRDefault="00067AD2">
      <w:pPr>
        <w:spacing w:after="160" w:line="240" w:lineRule="auto"/>
        <w:ind w:right="1849"/>
        <w:rPr>
          <w:sz w:val="20"/>
          <w:szCs w:val="20"/>
        </w:rPr>
        <w:sectPr w:rsidR="00067AD2">
          <w:type w:val="continuous"/>
          <w:pgSz w:w="12240" w:h="15840"/>
          <w:pgMar w:top="1440" w:right="1440" w:bottom="1440" w:left="1440" w:header="720" w:footer="720" w:gutter="0"/>
          <w:cols w:space="720"/>
        </w:sectPr>
      </w:pPr>
    </w:p>
    <w:p w14:paraId="22F8A6D1" w14:textId="77777777" w:rsidR="00067AD2" w:rsidRDefault="00001258">
      <w:pPr>
        <w:spacing w:after="160" w:line="259" w:lineRule="auto"/>
        <w:ind w:right="3600"/>
        <w:rPr>
          <w:sz w:val="20"/>
          <w:szCs w:val="20"/>
          <w:highlight w:val="white"/>
        </w:rPr>
      </w:pPr>
      <w:r>
        <w:rPr>
          <w:b/>
          <w:sz w:val="20"/>
          <w:szCs w:val="20"/>
          <w:highlight w:val="white"/>
        </w:rPr>
        <w:lastRenderedPageBreak/>
        <w:t xml:space="preserve">Table S5. Predicted functional impact of SNPs in hybrid </w:t>
      </w:r>
      <w:r>
        <w:rPr>
          <w:b/>
          <w:i/>
          <w:sz w:val="20"/>
          <w:szCs w:val="20"/>
          <w:highlight w:val="white"/>
        </w:rPr>
        <w:t>Phytophthora ramorum</w:t>
      </w:r>
      <w:r>
        <w:rPr>
          <w:b/>
          <w:sz w:val="20"/>
          <w:szCs w:val="20"/>
          <w:highlight w:val="white"/>
        </w:rPr>
        <w:t xml:space="preserve">. </w:t>
      </w:r>
      <w:r>
        <w:rPr>
          <w:sz w:val="20"/>
          <w:szCs w:val="20"/>
          <w:highlight w:val="white"/>
        </w:rPr>
        <w:t xml:space="preserve">Impact by functional class for variants that generate novel genotypic combinations in the hybrid </w:t>
      </w:r>
      <w:r>
        <w:rPr>
          <w:i/>
          <w:sz w:val="20"/>
          <w:szCs w:val="20"/>
          <w:highlight w:val="white"/>
        </w:rPr>
        <w:t xml:space="preserve">P. ramorum </w:t>
      </w:r>
      <w:r>
        <w:rPr>
          <w:sz w:val="20"/>
          <w:szCs w:val="20"/>
          <w:highlight w:val="white"/>
        </w:rPr>
        <w:t>compared to the parents</w:t>
      </w:r>
    </w:p>
    <w:tbl>
      <w:tblPr>
        <w:tblStyle w:val="a3"/>
        <w:tblW w:w="5760" w:type="dxa"/>
        <w:tblBorders>
          <w:top w:val="nil"/>
          <w:left w:val="nil"/>
          <w:bottom w:val="nil"/>
          <w:right w:val="nil"/>
          <w:insideH w:val="nil"/>
          <w:insideV w:val="nil"/>
        </w:tblBorders>
        <w:tblLayout w:type="fixed"/>
        <w:tblLook w:val="0600" w:firstRow="0" w:lastRow="0" w:firstColumn="0" w:lastColumn="0" w:noHBand="1" w:noVBand="1"/>
      </w:tblPr>
      <w:tblGrid>
        <w:gridCol w:w="3600"/>
        <w:gridCol w:w="1140"/>
        <w:gridCol w:w="1020"/>
      </w:tblGrid>
      <w:tr w:rsidR="00067AD2" w14:paraId="22F8A6D5" w14:textId="77777777">
        <w:trPr>
          <w:trHeight w:val="345"/>
        </w:trPr>
        <w:tc>
          <w:tcPr>
            <w:tcW w:w="3600" w:type="dxa"/>
            <w:tcBorders>
              <w:top w:val="nil"/>
              <w:left w:val="nil"/>
              <w:bottom w:val="single" w:sz="8" w:space="0" w:color="000000"/>
              <w:right w:val="nil"/>
            </w:tcBorders>
            <w:tcMar>
              <w:top w:w="40" w:type="dxa"/>
              <w:left w:w="40" w:type="dxa"/>
              <w:bottom w:w="40" w:type="dxa"/>
              <w:right w:w="40" w:type="dxa"/>
            </w:tcMar>
            <w:vAlign w:val="bottom"/>
          </w:tcPr>
          <w:p w14:paraId="22F8A6D2" w14:textId="77777777" w:rsidR="00067AD2" w:rsidRDefault="00001258">
            <w:pPr>
              <w:spacing w:line="259" w:lineRule="auto"/>
              <w:rPr>
                <w:sz w:val="20"/>
                <w:szCs w:val="20"/>
                <w:highlight w:val="white"/>
                <w:vertAlign w:val="superscript"/>
              </w:rPr>
            </w:pPr>
            <w:r>
              <w:rPr>
                <w:sz w:val="20"/>
                <w:szCs w:val="20"/>
                <w:highlight w:val="white"/>
              </w:rPr>
              <w:t>Variant Impact (functional class)</w:t>
            </w:r>
            <w:r>
              <w:rPr>
                <w:sz w:val="20"/>
                <w:szCs w:val="20"/>
                <w:highlight w:val="white"/>
                <w:vertAlign w:val="superscript"/>
              </w:rPr>
              <w:t>a</w:t>
            </w:r>
          </w:p>
        </w:tc>
        <w:tc>
          <w:tcPr>
            <w:tcW w:w="1140" w:type="dxa"/>
            <w:tcBorders>
              <w:top w:val="nil"/>
              <w:left w:val="nil"/>
              <w:bottom w:val="single" w:sz="8" w:space="0" w:color="000000"/>
              <w:right w:val="nil"/>
            </w:tcBorders>
            <w:tcMar>
              <w:top w:w="40" w:type="dxa"/>
              <w:left w:w="40" w:type="dxa"/>
              <w:bottom w:w="40" w:type="dxa"/>
              <w:right w:w="40" w:type="dxa"/>
            </w:tcMar>
            <w:vAlign w:val="bottom"/>
          </w:tcPr>
          <w:p w14:paraId="22F8A6D3" w14:textId="77777777" w:rsidR="00067AD2" w:rsidRDefault="00001258">
            <w:pPr>
              <w:spacing w:line="259" w:lineRule="auto"/>
              <w:jc w:val="center"/>
              <w:rPr>
                <w:sz w:val="20"/>
                <w:szCs w:val="20"/>
                <w:highlight w:val="white"/>
                <w:vertAlign w:val="superscript"/>
              </w:rPr>
            </w:pPr>
            <w:r>
              <w:rPr>
                <w:sz w:val="20"/>
                <w:szCs w:val="20"/>
                <w:highlight w:val="white"/>
              </w:rPr>
              <w:t>Counts</w:t>
            </w:r>
            <w:r>
              <w:rPr>
                <w:sz w:val="20"/>
                <w:szCs w:val="20"/>
                <w:highlight w:val="white"/>
                <w:vertAlign w:val="superscript"/>
              </w:rPr>
              <w:t>b</w:t>
            </w:r>
          </w:p>
        </w:tc>
        <w:tc>
          <w:tcPr>
            <w:tcW w:w="1020" w:type="dxa"/>
            <w:tcBorders>
              <w:top w:val="nil"/>
              <w:left w:val="nil"/>
              <w:bottom w:val="single" w:sz="8" w:space="0" w:color="000000"/>
              <w:right w:val="nil"/>
            </w:tcBorders>
            <w:tcMar>
              <w:top w:w="40" w:type="dxa"/>
              <w:left w:w="40" w:type="dxa"/>
              <w:bottom w:w="40" w:type="dxa"/>
              <w:right w:w="40" w:type="dxa"/>
            </w:tcMar>
            <w:vAlign w:val="bottom"/>
          </w:tcPr>
          <w:p w14:paraId="22F8A6D4" w14:textId="77777777" w:rsidR="00067AD2" w:rsidRDefault="00001258">
            <w:pPr>
              <w:spacing w:line="259" w:lineRule="auto"/>
              <w:jc w:val="center"/>
              <w:rPr>
                <w:sz w:val="20"/>
                <w:szCs w:val="20"/>
                <w:highlight w:val="white"/>
              </w:rPr>
            </w:pPr>
            <w:r>
              <w:rPr>
                <w:sz w:val="20"/>
                <w:szCs w:val="20"/>
                <w:highlight w:val="white"/>
              </w:rPr>
              <w:t>Percent</w:t>
            </w:r>
          </w:p>
        </w:tc>
      </w:tr>
      <w:tr w:rsidR="00067AD2" w14:paraId="22F8A6D9" w14:textId="77777777">
        <w:trPr>
          <w:trHeight w:val="315"/>
        </w:trPr>
        <w:tc>
          <w:tcPr>
            <w:tcW w:w="3600" w:type="dxa"/>
            <w:tcBorders>
              <w:top w:val="nil"/>
              <w:left w:val="nil"/>
              <w:bottom w:val="nil"/>
              <w:right w:val="nil"/>
            </w:tcBorders>
            <w:tcMar>
              <w:top w:w="40" w:type="dxa"/>
              <w:left w:w="40" w:type="dxa"/>
              <w:bottom w:w="40" w:type="dxa"/>
              <w:right w:w="40" w:type="dxa"/>
            </w:tcMar>
            <w:vAlign w:val="bottom"/>
          </w:tcPr>
          <w:p w14:paraId="22F8A6D6" w14:textId="77777777" w:rsidR="00067AD2" w:rsidRDefault="00001258">
            <w:pPr>
              <w:spacing w:line="259" w:lineRule="auto"/>
              <w:jc w:val="center"/>
              <w:rPr>
                <w:sz w:val="20"/>
                <w:szCs w:val="20"/>
                <w:highlight w:val="white"/>
              </w:rPr>
            </w:pPr>
            <w:r>
              <w:rPr>
                <w:sz w:val="20"/>
                <w:szCs w:val="20"/>
                <w:highlight w:val="white"/>
              </w:rPr>
              <w:t>Missense</w:t>
            </w:r>
          </w:p>
        </w:tc>
        <w:tc>
          <w:tcPr>
            <w:tcW w:w="1140" w:type="dxa"/>
            <w:tcBorders>
              <w:top w:val="nil"/>
              <w:left w:val="nil"/>
              <w:bottom w:val="nil"/>
              <w:right w:val="nil"/>
            </w:tcBorders>
            <w:tcMar>
              <w:top w:w="40" w:type="dxa"/>
              <w:left w:w="40" w:type="dxa"/>
              <w:bottom w:w="40" w:type="dxa"/>
              <w:right w:w="40" w:type="dxa"/>
            </w:tcMar>
            <w:vAlign w:val="bottom"/>
          </w:tcPr>
          <w:p w14:paraId="22F8A6D7" w14:textId="77777777" w:rsidR="00067AD2" w:rsidRDefault="00001258">
            <w:pPr>
              <w:spacing w:line="259" w:lineRule="auto"/>
              <w:jc w:val="center"/>
              <w:rPr>
                <w:sz w:val="20"/>
                <w:szCs w:val="20"/>
                <w:highlight w:val="white"/>
              </w:rPr>
            </w:pPr>
            <w:r>
              <w:rPr>
                <w:sz w:val="20"/>
                <w:szCs w:val="20"/>
                <w:highlight w:val="white"/>
              </w:rPr>
              <w:t>6,718</w:t>
            </w:r>
          </w:p>
        </w:tc>
        <w:tc>
          <w:tcPr>
            <w:tcW w:w="1020" w:type="dxa"/>
            <w:tcBorders>
              <w:top w:val="nil"/>
              <w:left w:val="nil"/>
              <w:bottom w:val="nil"/>
              <w:right w:val="nil"/>
            </w:tcBorders>
            <w:tcMar>
              <w:top w:w="40" w:type="dxa"/>
              <w:left w:w="40" w:type="dxa"/>
              <w:bottom w:w="40" w:type="dxa"/>
              <w:right w:w="40" w:type="dxa"/>
            </w:tcMar>
            <w:vAlign w:val="bottom"/>
          </w:tcPr>
          <w:p w14:paraId="22F8A6D8" w14:textId="77777777" w:rsidR="00067AD2" w:rsidRDefault="00001258">
            <w:pPr>
              <w:spacing w:line="259" w:lineRule="auto"/>
              <w:jc w:val="center"/>
              <w:rPr>
                <w:sz w:val="20"/>
                <w:szCs w:val="20"/>
                <w:highlight w:val="white"/>
              </w:rPr>
            </w:pPr>
            <w:r>
              <w:rPr>
                <w:sz w:val="20"/>
                <w:szCs w:val="20"/>
                <w:highlight w:val="white"/>
              </w:rPr>
              <w:t>35.73%</w:t>
            </w:r>
          </w:p>
        </w:tc>
      </w:tr>
      <w:tr w:rsidR="00067AD2" w14:paraId="22F8A6DD" w14:textId="77777777">
        <w:trPr>
          <w:trHeight w:val="300"/>
        </w:trPr>
        <w:tc>
          <w:tcPr>
            <w:tcW w:w="3600" w:type="dxa"/>
            <w:tcBorders>
              <w:top w:val="nil"/>
              <w:left w:val="nil"/>
              <w:bottom w:val="nil"/>
              <w:right w:val="nil"/>
            </w:tcBorders>
            <w:tcMar>
              <w:top w:w="40" w:type="dxa"/>
              <w:left w:w="40" w:type="dxa"/>
              <w:bottom w:w="40" w:type="dxa"/>
              <w:right w:w="40" w:type="dxa"/>
            </w:tcMar>
            <w:vAlign w:val="bottom"/>
          </w:tcPr>
          <w:p w14:paraId="22F8A6DA" w14:textId="77777777" w:rsidR="00067AD2" w:rsidRDefault="00001258">
            <w:pPr>
              <w:spacing w:line="259" w:lineRule="auto"/>
              <w:jc w:val="center"/>
              <w:rPr>
                <w:sz w:val="20"/>
                <w:szCs w:val="20"/>
                <w:highlight w:val="white"/>
              </w:rPr>
            </w:pPr>
            <w:r>
              <w:rPr>
                <w:sz w:val="20"/>
                <w:szCs w:val="20"/>
                <w:highlight w:val="white"/>
              </w:rPr>
              <w:t>Nonsense</w:t>
            </w:r>
          </w:p>
        </w:tc>
        <w:tc>
          <w:tcPr>
            <w:tcW w:w="1140" w:type="dxa"/>
            <w:tcBorders>
              <w:top w:val="nil"/>
              <w:left w:val="nil"/>
              <w:bottom w:val="nil"/>
              <w:right w:val="nil"/>
            </w:tcBorders>
            <w:tcMar>
              <w:top w:w="40" w:type="dxa"/>
              <w:left w:w="40" w:type="dxa"/>
              <w:bottom w:w="40" w:type="dxa"/>
              <w:right w:w="40" w:type="dxa"/>
            </w:tcMar>
            <w:vAlign w:val="bottom"/>
          </w:tcPr>
          <w:p w14:paraId="22F8A6DB" w14:textId="77777777" w:rsidR="00067AD2" w:rsidRDefault="00001258">
            <w:pPr>
              <w:spacing w:line="259" w:lineRule="auto"/>
              <w:jc w:val="center"/>
              <w:rPr>
                <w:sz w:val="20"/>
                <w:szCs w:val="20"/>
                <w:highlight w:val="white"/>
              </w:rPr>
            </w:pPr>
            <w:r>
              <w:rPr>
                <w:sz w:val="20"/>
                <w:szCs w:val="20"/>
                <w:highlight w:val="white"/>
              </w:rPr>
              <w:t>18</w:t>
            </w:r>
          </w:p>
        </w:tc>
        <w:tc>
          <w:tcPr>
            <w:tcW w:w="1020" w:type="dxa"/>
            <w:tcBorders>
              <w:top w:val="nil"/>
              <w:left w:val="nil"/>
              <w:bottom w:val="nil"/>
              <w:right w:val="nil"/>
            </w:tcBorders>
            <w:tcMar>
              <w:top w:w="40" w:type="dxa"/>
              <w:left w:w="40" w:type="dxa"/>
              <w:bottom w:w="40" w:type="dxa"/>
              <w:right w:w="40" w:type="dxa"/>
            </w:tcMar>
            <w:vAlign w:val="bottom"/>
          </w:tcPr>
          <w:p w14:paraId="22F8A6DC" w14:textId="77777777" w:rsidR="00067AD2" w:rsidRDefault="00001258">
            <w:pPr>
              <w:spacing w:line="259" w:lineRule="auto"/>
              <w:jc w:val="center"/>
              <w:rPr>
                <w:sz w:val="20"/>
                <w:szCs w:val="20"/>
                <w:highlight w:val="white"/>
              </w:rPr>
            </w:pPr>
            <w:r>
              <w:rPr>
                <w:sz w:val="20"/>
                <w:szCs w:val="20"/>
                <w:highlight w:val="white"/>
              </w:rPr>
              <w:t>0.10%</w:t>
            </w:r>
          </w:p>
        </w:tc>
      </w:tr>
      <w:tr w:rsidR="00067AD2" w14:paraId="22F8A6E1" w14:textId="77777777">
        <w:trPr>
          <w:trHeight w:val="113"/>
        </w:trPr>
        <w:tc>
          <w:tcPr>
            <w:tcW w:w="3600" w:type="dxa"/>
            <w:tcBorders>
              <w:top w:val="nil"/>
              <w:left w:val="nil"/>
              <w:bottom w:val="single" w:sz="8" w:space="0" w:color="000000"/>
              <w:right w:val="nil"/>
            </w:tcBorders>
            <w:tcMar>
              <w:top w:w="40" w:type="dxa"/>
              <w:left w:w="40" w:type="dxa"/>
              <w:bottom w:w="40" w:type="dxa"/>
              <w:right w:w="40" w:type="dxa"/>
            </w:tcMar>
            <w:vAlign w:val="bottom"/>
          </w:tcPr>
          <w:p w14:paraId="22F8A6DE" w14:textId="77777777" w:rsidR="00067AD2" w:rsidRDefault="00001258">
            <w:pPr>
              <w:spacing w:line="259" w:lineRule="auto"/>
              <w:jc w:val="center"/>
              <w:rPr>
                <w:sz w:val="20"/>
                <w:szCs w:val="20"/>
                <w:highlight w:val="white"/>
              </w:rPr>
            </w:pPr>
            <w:r>
              <w:rPr>
                <w:sz w:val="20"/>
                <w:szCs w:val="20"/>
                <w:highlight w:val="white"/>
              </w:rPr>
              <w:t>Silent</w:t>
            </w:r>
          </w:p>
        </w:tc>
        <w:tc>
          <w:tcPr>
            <w:tcW w:w="1140" w:type="dxa"/>
            <w:tcBorders>
              <w:top w:val="nil"/>
              <w:left w:val="nil"/>
              <w:bottom w:val="single" w:sz="8" w:space="0" w:color="000000"/>
              <w:right w:val="nil"/>
            </w:tcBorders>
            <w:tcMar>
              <w:top w:w="40" w:type="dxa"/>
              <w:left w:w="40" w:type="dxa"/>
              <w:bottom w:w="40" w:type="dxa"/>
              <w:right w:w="40" w:type="dxa"/>
            </w:tcMar>
            <w:vAlign w:val="bottom"/>
          </w:tcPr>
          <w:p w14:paraId="22F8A6DF" w14:textId="77777777" w:rsidR="00067AD2" w:rsidRDefault="00001258">
            <w:pPr>
              <w:spacing w:line="259" w:lineRule="auto"/>
              <w:jc w:val="center"/>
              <w:rPr>
                <w:sz w:val="20"/>
                <w:szCs w:val="20"/>
                <w:highlight w:val="white"/>
              </w:rPr>
            </w:pPr>
            <w:r>
              <w:rPr>
                <w:sz w:val="20"/>
                <w:szCs w:val="20"/>
                <w:highlight w:val="white"/>
              </w:rPr>
              <w:t>12,066</w:t>
            </w:r>
          </w:p>
        </w:tc>
        <w:tc>
          <w:tcPr>
            <w:tcW w:w="1020" w:type="dxa"/>
            <w:tcBorders>
              <w:top w:val="nil"/>
              <w:left w:val="nil"/>
              <w:bottom w:val="single" w:sz="8" w:space="0" w:color="000000"/>
              <w:right w:val="nil"/>
            </w:tcBorders>
            <w:tcMar>
              <w:top w:w="40" w:type="dxa"/>
              <w:left w:w="40" w:type="dxa"/>
              <w:bottom w:w="40" w:type="dxa"/>
              <w:right w:w="40" w:type="dxa"/>
            </w:tcMar>
            <w:vAlign w:val="bottom"/>
          </w:tcPr>
          <w:p w14:paraId="22F8A6E0" w14:textId="77777777" w:rsidR="00067AD2" w:rsidRDefault="00001258">
            <w:pPr>
              <w:spacing w:line="259" w:lineRule="auto"/>
              <w:jc w:val="center"/>
              <w:rPr>
                <w:sz w:val="20"/>
                <w:szCs w:val="20"/>
                <w:highlight w:val="white"/>
              </w:rPr>
            </w:pPr>
            <w:r>
              <w:rPr>
                <w:sz w:val="20"/>
                <w:szCs w:val="20"/>
                <w:highlight w:val="white"/>
              </w:rPr>
              <w:t>64.17%</w:t>
            </w:r>
          </w:p>
        </w:tc>
      </w:tr>
      <w:tr w:rsidR="00067AD2" w14:paraId="22F8A6E5" w14:textId="77777777">
        <w:trPr>
          <w:trHeight w:val="258"/>
        </w:trPr>
        <w:tc>
          <w:tcPr>
            <w:tcW w:w="3600" w:type="dxa"/>
            <w:tcBorders>
              <w:top w:val="nil"/>
              <w:left w:val="nil"/>
              <w:bottom w:val="single" w:sz="8" w:space="0" w:color="000000"/>
              <w:right w:val="nil"/>
            </w:tcBorders>
            <w:tcMar>
              <w:top w:w="40" w:type="dxa"/>
              <w:left w:w="40" w:type="dxa"/>
              <w:bottom w:w="40" w:type="dxa"/>
              <w:right w:w="40" w:type="dxa"/>
            </w:tcMar>
            <w:vAlign w:val="bottom"/>
          </w:tcPr>
          <w:p w14:paraId="22F8A6E2" w14:textId="77777777" w:rsidR="00067AD2" w:rsidRDefault="00001258">
            <w:pPr>
              <w:spacing w:line="259" w:lineRule="auto"/>
              <w:jc w:val="center"/>
              <w:rPr>
                <w:sz w:val="20"/>
                <w:szCs w:val="20"/>
                <w:highlight w:val="white"/>
              </w:rPr>
            </w:pPr>
            <w:r>
              <w:rPr>
                <w:sz w:val="20"/>
                <w:szCs w:val="20"/>
                <w:highlight w:val="white"/>
              </w:rPr>
              <w:t>Total</w:t>
            </w:r>
          </w:p>
        </w:tc>
        <w:tc>
          <w:tcPr>
            <w:tcW w:w="1140" w:type="dxa"/>
            <w:tcBorders>
              <w:top w:val="nil"/>
              <w:left w:val="nil"/>
              <w:bottom w:val="single" w:sz="8" w:space="0" w:color="000000"/>
              <w:right w:val="nil"/>
            </w:tcBorders>
            <w:tcMar>
              <w:top w:w="40" w:type="dxa"/>
              <w:left w:w="40" w:type="dxa"/>
              <w:bottom w:w="40" w:type="dxa"/>
              <w:right w:w="40" w:type="dxa"/>
            </w:tcMar>
            <w:vAlign w:val="bottom"/>
          </w:tcPr>
          <w:p w14:paraId="22F8A6E3" w14:textId="77777777" w:rsidR="00067AD2" w:rsidRDefault="00001258">
            <w:pPr>
              <w:spacing w:line="259" w:lineRule="auto"/>
              <w:jc w:val="center"/>
              <w:rPr>
                <w:sz w:val="20"/>
                <w:szCs w:val="20"/>
                <w:highlight w:val="white"/>
              </w:rPr>
            </w:pPr>
            <w:r>
              <w:rPr>
                <w:sz w:val="20"/>
                <w:szCs w:val="20"/>
                <w:highlight w:val="white"/>
              </w:rPr>
              <w:t>18,802</w:t>
            </w:r>
          </w:p>
        </w:tc>
        <w:tc>
          <w:tcPr>
            <w:tcW w:w="1020" w:type="dxa"/>
            <w:tcBorders>
              <w:top w:val="nil"/>
              <w:left w:val="nil"/>
              <w:bottom w:val="single" w:sz="8" w:space="0" w:color="000000"/>
              <w:right w:val="nil"/>
            </w:tcBorders>
            <w:tcMar>
              <w:top w:w="40" w:type="dxa"/>
              <w:left w:w="40" w:type="dxa"/>
              <w:bottom w:w="40" w:type="dxa"/>
              <w:right w:w="40" w:type="dxa"/>
            </w:tcMar>
            <w:vAlign w:val="bottom"/>
          </w:tcPr>
          <w:p w14:paraId="22F8A6E4" w14:textId="77777777" w:rsidR="00067AD2" w:rsidRDefault="00067AD2">
            <w:pPr>
              <w:spacing w:after="160" w:line="259" w:lineRule="auto"/>
              <w:ind w:right="3870"/>
              <w:rPr>
                <w:sz w:val="20"/>
                <w:szCs w:val="20"/>
                <w:highlight w:val="white"/>
              </w:rPr>
            </w:pPr>
          </w:p>
        </w:tc>
      </w:tr>
    </w:tbl>
    <w:p w14:paraId="22F8A6E6" w14:textId="36E11E2C" w:rsidR="00067AD2" w:rsidRDefault="00001258">
      <w:pPr>
        <w:spacing w:after="160" w:line="259" w:lineRule="auto"/>
        <w:ind w:right="3600"/>
        <w:rPr>
          <w:sz w:val="20"/>
          <w:szCs w:val="20"/>
          <w:highlight w:val="white"/>
        </w:rPr>
      </w:pPr>
      <w:r>
        <w:rPr>
          <w:vertAlign w:val="superscript"/>
        </w:rPr>
        <w:t>a</w:t>
      </w:r>
      <w:r>
        <w:rPr>
          <w:sz w:val="20"/>
          <w:szCs w:val="20"/>
          <w:highlight w:val="white"/>
        </w:rPr>
        <w:t>Functional impact predicted using SNPeff</w:t>
      </w:r>
      <w:r>
        <w:fldChar w:fldCharType="begin"/>
      </w:r>
      <w:r w:rsidR="001515FF">
        <w:instrText xml:space="preserve"> ADDIN ZOTERO_ITEM CSL_CITATION {"citationID":"a1d0hpd91of","properties":{"formattedCitation":"\\super 13\\nosupersub{}","plainCitation":"13","noteIndex":0},"citationItems":[{"id":5248,"uris":["http://zotero.org/users/15948/items/VKDTLBLD"],"uri":["http://zotero.org/users/15948/items/VKDTLBLD"],"itemData":{"id":5248,"type":"article-journal","container-title":"Fly","issue":"2","note":"publisher: Taylor &amp; Francis","page":"80–92","title":"A program for annotating and predicting the effects of single nucleotide polymorphisms, SnpEff: SNPs in the genome of &lt;i&gt;Drosophila melanogaster&lt;/i&gt; strain w1118; iso-2; iso-3","volume":"6","author":[{"family":"Cingolani","given":"Pablo"},{"family":"Platts","given":"Adrian"},{"family":"Wang","given":"Le Lily"},{"family":"Coon","given":"Melissa"},{"family":"Nguyen","given":"Tung"},{"family":"Wang","given":"Luan"},{"family":"Land","given":"Susan J"},{"family":"Lu","given":"Xiangyi"},{"family":"Ruden","given":"Douglas M"}],"issued":{"date-parts":[["2012"]]}}}],"schema":"https://github.com/citation-style-language/schema/raw/master/csl-citation.json"} </w:instrText>
      </w:r>
      <w:r>
        <w:fldChar w:fldCharType="separate"/>
      </w:r>
      <w:r w:rsidR="00892867" w:rsidRPr="00892867">
        <w:rPr>
          <w:vertAlign w:val="superscript"/>
          <w:lang w:val="en-US"/>
        </w:rPr>
        <w:t>13</w:t>
      </w:r>
      <w:r>
        <w:fldChar w:fldCharType="end"/>
      </w:r>
      <w:r>
        <w:rPr>
          <w:sz w:val="20"/>
          <w:szCs w:val="20"/>
          <w:highlight w:val="white"/>
        </w:rPr>
        <w:t>. Missense are non-synonymous mutations, nonsense are mutations that cause stop codon loss or gain and frameshifts and silent mutations are synonymous (see Cingolani et al.</w:t>
      </w:r>
      <w:r>
        <w:fldChar w:fldCharType="begin"/>
      </w:r>
      <w:r w:rsidR="001515FF">
        <w:instrText xml:space="preserve"> ADDIN ZOTERO_ITEM CSL_CITATION {"citationID":"LTbVtHit","properties":{"formattedCitation":"\\super 13\\nosupersub{}","plainCitation":"13","noteIndex":0},"citationItems":[{"id":5248,"uris":["http://zotero.org/users/15948/items/VKDTLBLD"],"uri":["http://zotero.org/users/15948/items/VKDTLBLD"],"itemData":{"id":5248,"type":"article-journal","container-title":"Fly","issue":"2","note":"publisher: Taylor &amp; Francis","page":"80–92","title":"A program for annotating and predicting the effects of single nucleotide polymorphisms, SnpEff: SNPs in the genome of &lt;i&gt;Drosophila melanogaster&lt;/i&gt; strain w1118; iso-2; iso-3","volume":"6","author":[{"family":"Cingolani","given":"Pablo"},{"family":"Platts","given":"Adrian"},{"family":"Wang","given":"Le Lily"},{"family":"Coon","given":"Melissa"},{"family":"Nguyen","given":"Tung"},{"family":"Wang","given":"Luan"},{"family":"Land","given":"Susan J"},{"family":"Lu","given":"Xiangyi"},{"family":"Ruden","given":"Douglas M"}],"issued":{"date-parts":[["2012"]]}}}],"schema":"https://github.com/citation-style-language/schema/raw/master/csl-citation.json"} </w:instrText>
      </w:r>
      <w:r>
        <w:fldChar w:fldCharType="separate"/>
      </w:r>
      <w:r w:rsidR="00892867" w:rsidRPr="00892867">
        <w:rPr>
          <w:vertAlign w:val="superscript"/>
          <w:lang w:val="en-US"/>
        </w:rPr>
        <w:t>13</w:t>
      </w:r>
      <w:r>
        <w:fldChar w:fldCharType="end"/>
      </w:r>
      <w:r>
        <w:rPr>
          <w:sz w:val="20"/>
          <w:szCs w:val="20"/>
          <w:highlight w:val="white"/>
        </w:rPr>
        <w:t xml:space="preserve"> for additional information).</w:t>
      </w:r>
    </w:p>
    <w:p w14:paraId="22F8A6E7" w14:textId="77777777" w:rsidR="00067AD2" w:rsidRDefault="00001258">
      <w:pPr>
        <w:spacing w:after="160" w:line="259" w:lineRule="auto"/>
        <w:ind w:right="3600"/>
        <w:rPr>
          <w:sz w:val="20"/>
          <w:szCs w:val="20"/>
          <w:highlight w:val="white"/>
        </w:rPr>
      </w:pPr>
      <w:r>
        <w:rPr>
          <w:sz w:val="20"/>
          <w:szCs w:val="20"/>
          <w:highlight w:val="white"/>
          <w:vertAlign w:val="superscript"/>
        </w:rPr>
        <w:t>b</w:t>
      </w:r>
      <w:r>
        <w:rPr>
          <w:sz w:val="20"/>
          <w:szCs w:val="20"/>
          <w:highlight w:val="white"/>
        </w:rPr>
        <w:t>Intralineage polymorphic sites and those with missing data were excluded</w:t>
      </w:r>
    </w:p>
    <w:p w14:paraId="22F8A6E8" w14:textId="77777777" w:rsidR="00067AD2" w:rsidRDefault="00067AD2">
      <w:pPr>
        <w:spacing w:after="160" w:line="259" w:lineRule="auto"/>
        <w:ind w:right="3418"/>
        <w:rPr>
          <w:b/>
          <w:sz w:val="20"/>
          <w:szCs w:val="20"/>
          <w:highlight w:val="white"/>
        </w:rPr>
      </w:pPr>
    </w:p>
    <w:p w14:paraId="22F8A6E9" w14:textId="77777777" w:rsidR="00067AD2" w:rsidRDefault="00001258">
      <w:pPr>
        <w:spacing w:after="160" w:line="259" w:lineRule="auto"/>
        <w:ind w:right="3418"/>
        <w:rPr>
          <w:sz w:val="20"/>
          <w:szCs w:val="20"/>
          <w:highlight w:val="white"/>
        </w:rPr>
      </w:pPr>
      <w:r>
        <w:rPr>
          <w:b/>
          <w:sz w:val="20"/>
          <w:szCs w:val="20"/>
          <w:highlight w:val="white"/>
        </w:rPr>
        <w:t xml:space="preserve">Table S6. Predicted impact type of SNPs in hybrid </w:t>
      </w:r>
      <w:r>
        <w:rPr>
          <w:b/>
          <w:i/>
          <w:sz w:val="20"/>
          <w:szCs w:val="20"/>
          <w:highlight w:val="white"/>
        </w:rPr>
        <w:t>Phytophthora ramorum</w:t>
      </w:r>
      <w:r>
        <w:rPr>
          <w:b/>
          <w:sz w:val="20"/>
          <w:szCs w:val="20"/>
          <w:highlight w:val="white"/>
        </w:rPr>
        <w:t xml:space="preserve">. </w:t>
      </w:r>
      <w:r>
        <w:rPr>
          <w:sz w:val="20"/>
          <w:szCs w:val="20"/>
          <w:highlight w:val="white"/>
        </w:rPr>
        <w:t xml:space="preserve">Impact by type of variant for SNPs in novel genotypic combinations in the hybrid </w:t>
      </w:r>
      <w:r>
        <w:rPr>
          <w:i/>
          <w:sz w:val="20"/>
          <w:szCs w:val="20"/>
          <w:highlight w:val="white"/>
        </w:rPr>
        <w:t xml:space="preserve">P. ramorum </w:t>
      </w:r>
      <w:r>
        <w:rPr>
          <w:sz w:val="20"/>
          <w:szCs w:val="20"/>
          <w:highlight w:val="white"/>
        </w:rPr>
        <w:t>compared to the parents</w:t>
      </w:r>
    </w:p>
    <w:tbl>
      <w:tblPr>
        <w:tblStyle w:val="a4"/>
        <w:tblW w:w="5865" w:type="dxa"/>
        <w:tblBorders>
          <w:top w:val="nil"/>
          <w:left w:val="nil"/>
          <w:bottom w:val="nil"/>
          <w:right w:val="nil"/>
          <w:insideH w:val="nil"/>
          <w:insideV w:val="nil"/>
        </w:tblBorders>
        <w:tblLayout w:type="fixed"/>
        <w:tblLook w:val="0600" w:firstRow="0" w:lastRow="0" w:firstColumn="0" w:lastColumn="0" w:noHBand="1" w:noVBand="1"/>
      </w:tblPr>
      <w:tblGrid>
        <w:gridCol w:w="2730"/>
        <w:gridCol w:w="1605"/>
        <w:gridCol w:w="1530"/>
      </w:tblGrid>
      <w:tr w:rsidR="00067AD2" w14:paraId="22F8A6ED" w14:textId="77777777">
        <w:trPr>
          <w:trHeight w:val="345"/>
        </w:trPr>
        <w:tc>
          <w:tcPr>
            <w:tcW w:w="2730" w:type="dxa"/>
            <w:tcBorders>
              <w:top w:val="nil"/>
              <w:left w:val="nil"/>
              <w:bottom w:val="single" w:sz="8" w:space="0" w:color="000000"/>
              <w:right w:val="nil"/>
            </w:tcBorders>
            <w:tcMar>
              <w:top w:w="40" w:type="dxa"/>
              <w:left w:w="40" w:type="dxa"/>
              <w:bottom w:w="40" w:type="dxa"/>
              <w:right w:w="40" w:type="dxa"/>
            </w:tcMar>
            <w:vAlign w:val="bottom"/>
          </w:tcPr>
          <w:p w14:paraId="22F8A6EA" w14:textId="77777777" w:rsidR="00067AD2" w:rsidRDefault="00001258">
            <w:pPr>
              <w:spacing w:line="259" w:lineRule="auto"/>
              <w:jc w:val="center"/>
              <w:rPr>
                <w:sz w:val="20"/>
                <w:szCs w:val="20"/>
                <w:highlight w:val="white"/>
                <w:vertAlign w:val="superscript"/>
              </w:rPr>
            </w:pPr>
            <w:r>
              <w:rPr>
                <w:sz w:val="20"/>
                <w:szCs w:val="20"/>
                <w:highlight w:val="white"/>
              </w:rPr>
              <w:t>Variant Impact (Type)</w:t>
            </w:r>
            <w:r>
              <w:rPr>
                <w:sz w:val="20"/>
                <w:szCs w:val="20"/>
                <w:highlight w:val="white"/>
                <w:vertAlign w:val="superscript"/>
              </w:rPr>
              <w:t>a</w:t>
            </w:r>
          </w:p>
        </w:tc>
        <w:tc>
          <w:tcPr>
            <w:tcW w:w="1605" w:type="dxa"/>
            <w:tcBorders>
              <w:top w:val="nil"/>
              <w:left w:val="nil"/>
              <w:bottom w:val="single" w:sz="8" w:space="0" w:color="000000"/>
              <w:right w:val="nil"/>
            </w:tcBorders>
            <w:tcMar>
              <w:top w:w="40" w:type="dxa"/>
              <w:left w:w="40" w:type="dxa"/>
              <w:bottom w:w="40" w:type="dxa"/>
              <w:right w:w="40" w:type="dxa"/>
            </w:tcMar>
            <w:vAlign w:val="bottom"/>
          </w:tcPr>
          <w:p w14:paraId="22F8A6EB" w14:textId="77777777" w:rsidR="00067AD2" w:rsidRDefault="00001258">
            <w:pPr>
              <w:spacing w:line="259" w:lineRule="auto"/>
              <w:jc w:val="center"/>
              <w:rPr>
                <w:sz w:val="20"/>
                <w:szCs w:val="20"/>
                <w:highlight w:val="white"/>
                <w:vertAlign w:val="superscript"/>
              </w:rPr>
            </w:pPr>
            <w:r>
              <w:rPr>
                <w:sz w:val="20"/>
                <w:szCs w:val="20"/>
                <w:highlight w:val="white"/>
              </w:rPr>
              <w:t>Counts</w:t>
            </w:r>
            <w:r>
              <w:rPr>
                <w:sz w:val="20"/>
                <w:szCs w:val="20"/>
                <w:highlight w:val="white"/>
                <w:vertAlign w:val="superscript"/>
              </w:rPr>
              <w:t>b</w:t>
            </w:r>
          </w:p>
        </w:tc>
        <w:tc>
          <w:tcPr>
            <w:tcW w:w="1530" w:type="dxa"/>
            <w:tcBorders>
              <w:top w:val="nil"/>
              <w:left w:val="nil"/>
              <w:bottom w:val="single" w:sz="8" w:space="0" w:color="000000"/>
              <w:right w:val="nil"/>
            </w:tcBorders>
            <w:tcMar>
              <w:top w:w="40" w:type="dxa"/>
              <w:left w:w="40" w:type="dxa"/>
              <w:bottom w:w="40" w:type="dxa"/>
              <w:right w:w="40" w:type="dxa"/>
            </w:tcMar>
            <w:vAlign w:val="bottom"/>
          </w:tcPr>
          <w:p w14:paraId="22F8A6EC" w14:textId="77777777" w:rsidR="00067AD2" w:rsidRDefault="00001258">
            <w:pPr>
              <w:spacing w:line="259" w:lineRule="auto"/>
              <w:jc w:val="center"/>
              <w:rPr>
                <w:sz w:val="20"/>
                <w:szCs w:val="20"/>
                <w:highlight w:val="white"/>
              </w:rPr>
            </w:pPr>
            <w:r>
              <w:rPr>
                <w:sz w:val="20"/>
                <w:szCs w:val="20"/>
                <w:highlight w:val="white"/>
              </w:rPr>
              <w:t>Percent (%)</w:t>
            </w:r>
          </w:p>
        </w:tc>
      </w:tr>
      <w:tr w:rsidR="00067AD2" w14:paraId="22F8A6F1" w14:textId="77777777">
        <w:trPr>
          <w:trHeight w:val="315"/>
        </w:trPr>
        <w:tc>
          <w:tcPr>
            <w:tcW w:w="2730" w:type="dxa"/>
            <w:tcBorders>
              <w:top w:val="nil"/>
              <w:left w:val="nil"/>
              <w:bottom w:val="nil"/>
              <w:right w:val="nil"/>
            </w:tcBorders>
            <w:tcMar>
              <w:top w:w="40" w:type="dxa"/>
              <w:left w:w="40" w:type="dxa"/>
              <w:bottom w:w="40" w:type="dxa"/>
              <w:right w:w="40" w:type="dxa"/>
            </w:tcMar>
            <w:vAlign w:val="bottom"/>
          </w:tcPr>
          <w:p w14:paraId="22F8A6EE" w14:textId="77777777" w:rsidR="00067AD2" w:rsidRDefault="00001258">
            <w:pPr>
              <w:spacing w:line="259" w:lineRule="auto"/>
              <w:jc w:val="center"/>
              <w:rPr>
                <w:sz w:val="20"/>
                <w:szCs w:val="20"/>
                <w:highlight w:val="white"/>
              </w:rPr>
            </w:pPr>
            <w:r>
              <w:rPr>
                <w:sz w:val="20"/>
                <w:szCs w:val="20"/>
                <w:highlight w:val="white"/>
              </w:rPr>
              <w:t>High</w:t>
            </w:r>
          </w:p>
        </w:tc>
        <w:tc>
          <w:tcPr>
            <w:tcW w:w="1605" w:type="dxa"/>
            <w:tcBorders>
              <w:top w:val="nil"/>
              <w:left w:val="nil"/>
              <w:bottom w:val="nil"/>
              <w:right w:val="nil"/>
            </w:tcBorders>
            <w:tcMar>
              <w:top w:w="40" w:type="dxa"/>
              <w:left w:w="40" w:type="dxa"/>
              <w:bottom w:w="40" w:type="dxa"/>
              <w:right w:w="40" w:type="dxa"/>
            </w:tcMar>
            <w:vAlign w:val="bottom"/>
          </w:tcPr>
          <w:p w14:paraId="22F8A6EF" w14:textId="77777777" w:rsidR="00067AD2" w:rsidRDefault="00001258">
            <w:pPr>
              <w:spacing w:line="259" w:lineRule="auto"/>
              <w:jc w:val="center"/>
              <w:rPr>
                <w:sz w:val="20"/>
                <w:szCs w:val="20"/>
                <w:highlight w:val="white"/>
              </w:rPr>
            </w:pPr>
            <w:r>
              <w:rPr>
                <w:sz w:val="20"/>
                <w:szCs w:val="20"/>
                <w:highlight w:val="white"/>
              </w:rPr>
              <w:t>59</w:t>
            </w:r>
          </w:p>
        </w:tc>
        <w:tc>
          <w:tcPr>
            <w:tcW w:w="1530" w:type="dxa"/>
            <w:tcBorders>
              <w:top w:val="nil"/>
              <w:left w:val="nil"/>
              <w:bottom w:val="nil"/>
              <w:right w:val="nil"/>
            </w:tcBorders>
            <w:tcMar>
              <w:top w:w="40" w:type="dxa"/>
              <w:left w:w="40" w:type="dxa"/>
              <w:bottom w:w="40" w:type="dxa"/>
              <w:right w:w="40" w:type="dxa"/>
            </w:tcMar>
            <w:vAlign w:val="bottom"/>
          </w:tcPr>
          <w:p w14:paraId="22F8A6F0" w14:textId="77777777" w:rsidR="00067AD2" w:rsidRDefault="00001258">
            <w:pPr>
              <w:spacing w:line="259" w:lineRule="auto"/>
              <w:jc w:val="center"/>
              <w:rPr>
                <w:sz w:val="20"/>
                <w:szCs w:val="20"/>
                <w:highlight w:val="white"/>
              </w:rPr>
            </w:pPr>
            <w:r>
              <w:rPr>
                <w:sz w:val="20"/>
                <w:szCs w:val="20"/>
                <w:highlight w:val="white"/>
              </w:rPr>
              <w:t>0.03</w:t>
            </w:r>
          </w:p>
        </w:tc>
      </w:tr>
      <w:tr w:rsidR="00067AD2" w14:paraId="22F8A6F5" w14:textId="77777777">
        <w:trPr>
          <w:trHeight w:val="300"/>
        </w:trPr>
        <w:tc>
          <w:tcPr>
            <w:tcW w:w="2730" w:type="dxa"/>
            <w:tcBorders>
              <w:top w:val="nil"/>
              <w:left w:val="nil"/>
              <w:bottom w:val="nil"/>
              <w:right w:val="nil"/>
            </w:tcBorders>
            <w:tcMar>
              <w:top w:w="40" w:type="dxa"/>
              <w:left w:w="40" w:type="dxa"/>
              <w:bottom w:w="40" w:type="dxa"/>
              <w:right w:w="40" w:type="dxa"/>
            </w:tcMar>
            <w:vAlign w:val="bottom"/>
          </w:tcPr>
          <w:p w14:paraId="22F8A6F2" w14:textId="77777777" w:rsidR="00067AD2" w:rsidRDefault="00001258">
            <w:pPr>
              <w:spacing w:line="259" w:lineRule="auto"/>
              <w:jc w:val="center"/>
              <w:rPr>
                <w:sz w:val="20"/>
                <w:szCs w:val="20"/>
                <w:highlight w:val="white"/>
              </w:rPr>
            </w:pPr>
            <w:r>
              <w:rPr>
                <w:sz w:val="20"/>
                <w:szCs w:val="20"/>
                <w:highlight w:val="white"/>
              </w:rPr>
              <w:t>Moderate</w:t>
            </w:r>
          </w:p>
        </w:tc>
        <w:tc>
          <w:tcPr>
            <w:tcW w:w="1605" w:type="dxa"/>
            <w:tcBorders>
              <w:top w:val="nil"/>
              <w:left w:val="nil"/>
              <w:bottom w:val="nil"/>
              <w:right w:val="nil"/>
            </w:tcBorders>
            <w:tcMar>
              <w:top w:w="40" w:type="dxa"/>
              <w:left w:w="40" w:type="dxa"/>
              <w:bottom w:w="40" w:type="dxa"/>
              <w:right w:w="40" w:type="dxa"/>
            </w:tcMar>
            <w:vAlign w:val="bottom"/>
          </w:tcPr>
          <w:p w14:paraId="22F8A6F3" w14:textId="77777777" w:rsidR="00067AD2" w:rsidRDefault="00001258">
            <w:pPr>
              <w:spacing w:line="259" w:lineRule="auto"/>
              <w:jc w:val="center"/>
              <w:rPr>
                <w:sz w:val="20"/>
                <w:szCs w:val="20"/>
                <w:highlight w:val="white"/>
              </w:rPr>
            </w:pPr>
            <w:r>
              <w:rPr>
                <w:sz w:val="20"/>
                <w:szCs w:val="20"/>
                <w:highlight w:val="white"/>
              </w:rPr>
              <w:t>6693</w:t>
            </w:r>
          </w:p>
        </w:tc>
        <w:tc>
          <w:tcPr>
            <w:tcW w:w="1530" w:type="dxa"/>
            <w:tcBorders>
              <w:top w:val="nil"/>
              <w:left w:val="nil"/>
              <w:bottom w:val="nil"/>
              <w:right w:val="nil"/>
            </w:tcBorders>
            <w:tcMar>
              <w:top w:w="40" w:type="dxa"/>
              <w:left w:w="40" w:type="dxa"/>
              <w:bottom w:w="40" w:type="dxa"/>
              <w:right w:w="40" w:type="dxa"/>
            </w:tcMar>
            <w:vAlign w:val="bottom"/>
          </w:tcPr>
          <w:p w14:paraId="22F8A6F4" w14:textId="77777777" w:rsidR="00067AD2" w:rsidRDefault="00001258">
            <w:pPr>
              <w:spacing w:line="259" w:lineRule="auto"/>
              <w:jc w:val="center"/>
              <w:rPr>
                <w:sz w:val="20"/>
                <w:szCs w:val="20"/>
                <w:highlight w:val="white"/>
              </w:rPr>
            </w:pPr>
            <w:r>
              <w:rPr>
                <w:sz w:val="20"/>
                <w:szCs w:val="20"/>
                <w:highlight w:val="white"/>
              </w:rPr>
              <w:t>3.16</w:t>
            </w:r>
          </w:p>
        </w:tc>
      </w:tr>
      <w:tr w:rsidR="00067AD2" w14:paraId="22F8A6F9" w14:textId="77777777">
        <w:trPr>
          <w:trHeight w:val="300"/>
        </w:trPr>
        <w:tc>
          <w:tcPr>
            <w:tcW w:w="2730" w:type="dxa"/>
            <w:tcBorders>
              <w:top w:val="nil"/>
              <w:left w:val="nil"/>
              <w:bottom w:val="nil"/>
              <w:right w:val="nil"/>
            </w:tcBorders>
            <w:tcMar>
              <w:top w:w="40" w:type="dxa"/>
              <w:left w:w="40" w:type="dxa"/>
              <w:bottom w:w="40" w:type="dxa"/>
              <w:right w:w="40" w:type="dxa"/>
            </w:tcMar>
            <w:vAlign w:val="bottom"/>
          </w:tcPr>
          <w:p w14:paraId="22F8A6F6" w14:textId="77777777" w:rsidR="00067AD2" w:rsidRDefault="00001258">
            <w:pPr>
              <w:spacing w:line="259" w:lineRule="auto"/>
              <w:jc w:val="center"/>
              <w:rPr>
                <w:sz w:val="20"/>
                <w:szCs w:val="20"/>
                <w:highlight w:val="white"/>
              </w:rPr>
            </w:pPr>
            <w:r>
              <w:rPr>
                <w:sz w:val="20"/>
                <w:szCs w:val="20"/>
                <w:highlight w:val="white"/>
              </w:rPr>
              <w:t>Low</w:t>
            </w:r>
          </w:p>
        </w:tc>
        <w:tc>
          <w:tcPr>
            <w:tcW w:w="1605" w:type="dxa"/>
            <w:tcBorders>
              <w:top w:val="nil"/>
              <w:left w:val="nil"/>
              <w:bottom w:val="nil"/>
              <w:right w:val="nil"/>
            </w:tcBorders>
            <w:tcMar>
              <w:top w:w="40" w:type="dxa"/>
              <w:left w:w="40" w:type="dxa"/>
              <w:bottom w:w="40" w:type="dxa"/>
              <w:right w:w="40" w:type="dxa"/>
            </w:tcMar>
            <w:vAlign w:val="bottom"/>
          </w:tcPr>
          <w:p w14:paraId="22F8A6F7" w14:textId="77777777" w:rsidR="00067AD2" w:rsidRDefault="00001258">
            <w:pPr>
              <w:spacing w:line="259" w:lineRule="auto"/>
              <w:jc w:val="center"/>
              <w:rPr>
                <w:sz w:val="20"/>
                <w:szCs w:val="20"/>
                <w:highlight w:val="white"/>
              </w:rPr>
            </w:pPr>
            <w:r>
              <w:rPr>
                <w:sz w:val="20"/>
                <w:szCs w:val="20"/>
                <w:highlight w:val="white"/>
              </w:rPr>
              <w:t>12,458</w:t>
            </w:r>
          </w:p>
        </w:tc>
        <w:tc>
          <w:tcPr>
            <w:tcW w:w="1530" w:type="dxa"/>
            <w:tcBorders>
              <w:top w:val="nil"/>
              <w:left w:val="nil"/>
              <w:bottom w:val="nil"/>
              <w:right w:val="nil"/>
            </w:tcBorders>
            <w:tcMar>
              <w:top w:w="40" w:type="dxa"/>
              <w:left w:w="40" w:type="dxa"/>
              <w:bottom w:w="40" w:type="dxa"/>
              <w:right w:w="40" w:type="dxa"/>
            </w:tcMar>
            <w:vAlign w:val="bottom"/>
          </w:tcPr>
          <w:p w14:paraId="22F8A6F8" w14:textId="77777777" w:rsidR="00067AD2" w:rsidRDefault="00001258">
            <w:pPr>
              <w:spacing w:line="259" w:lineRule="auto"/>
              <w:jc w:val="center"/>
              <w:rPr>
                <w:sz w:val="20"/>
                <w:szCs w:val="20"/>
                <w:highlight w:val="white"/>
              </w:rPr>
            </w:pPr>
            <w:r>
              <w:rPr>
                <w:sz w:val="20"/>
                <w:szCs w:val="20"/>
                <w:highlight w:val="white"/>
              </w:rPr>
              <w:t>5.89</w:t>
            </w:r>
          </w:p>
        </w:tc>
      </w:tr>
      <w:tr w:rsidR="00067AD2" w14:paraId="22F8A6FD" w14:textId="77777777">
        <w:trPr>
          <w:trHeight w:val="315"/>
        </w:trPr>
        <w:tc>
          <w:tcPr>
            <w:tcW w:w="2730" w:type="dxa"/>
            <w:tcBorders>
              <w:top w:val="nil"/>
              <w:left w:val="nil"/>
              <w:bottom w:val="single" w:sz="8" w:space="0" w:color="000000"/>
              <w:right w:val="nil"/>
            </w:tcBorders>
            <w:tcMar>
              <w:top w:w="40" w:type="dxa"/>
              <w:left w:w="40" w:type="dxa"/>
              <w:bottom w:w="40" w:type="dxa"/>
              <w:right w:w="40" w:type="dxa"/>
            </w:tcMar>
            <w:vAlign w:val="bottom"/>
          </w:tcPr>
          <w:p w14:paraId="22F8A6FA" w14:textId="77777777" w:rsidR="00067AD2" w:rsidRDefault="00001258">
            <w:pPr>
              <w:spacing w:line="259" w:lineRule="auto"/>
              <w:jc w:val="center"/>
              <w:rPr>
                <w:sz w:val="20"/>
                <w:szCs w:val="20"/>
                <w:highlight w:val="white"/>
              </w:rPr>
            </w:pPr>
            <w:r>
              <w:rPr>
                <w:sz w:val="20"/>
                <w:szCs w:val="20"/>
                <w:highlight w:val="white"/>
              </w:rPr>
              <w:t>Modifier</w:t>
            </w:r>
          </w:p>
        </w:tc>
        <w:tc>
          <w:tcPr>
            <w:tcW w:w="1605" w:type="dxa"/>
            <w:tcBorders>
              <w:top w:val="nil"/>
              <w:left w:val="nil"/>
              <w:bottom w:val="single" w:sz="8" w:space="0" w:color="000000"/>
              <w:right w:val="nil"/>
            </w:tcBorders>
            <w:tcMar>
              <w:top w:w="40" w:type="dxa"/>
              <w:left w:w="40" w:type="dxa"/>
              <w:bottom w:w="40" w:type="dxa"/>
              <w:right w:w="40" w:type="dxa"/>
            </w:tcMar>
            <w:vAlign w:val="bottom"/>
          </w:tcPr>
          <w:p w14:paraId="22F8A6FB" w14:textId="77777777" w:rsidR="00067AD2" w:rsidRDefault="00001258">
            <w:pPr>
              <w:spacing w:line="259" w:lineRule="auto"/>
              <w:jc w:val="center"/>
              <w:rPr>
                <w:sz w:val="20"/>
                <w:szCs w:val="20"/>
                <w:highlight w:val="white"/>
              </w:rPr>
            </w:pPr>
            <w:r>
              <w:rPr>
                <w:sz w:val="20"/>
                <w:szCs w:val="20"/>
                <w:highlight w:val="white"/>
              </w:rPr>
              <w:t>192,346</w:t>
            </w:r>
          </w:p>
        </w:tc>
        <w:tc>
          <w:tcPr>
            <w:tcW w:w="1530" w:type="dxa"/>
            <w:tcBorders>
              <w:top w:val="nil"/>
              <w:left w:val="nil"/>
              <w:bottom w:val="single" w:sz="8" w:space="0" w:color="000000"/>
              <w:right w:val="nil"/>
            </w:tcBorders>
            <w:tcMar>
              <w:top w:w="40" w:type="dxa"/>
              <w:left w:w="40" w:type="dxa"/>
              <w:bottom w:w="40" w:type="dxa"/>
              <w:right w:w="40" w:type="dxa"/>
            </w:tcMar>
            <w:vAlign w:val="bottom"/>
          </w:tcPr>
          <w:p w14:paraId="22F8A6FC" w14:textId="77777777" w:rsidR="00067AD2" w:rsidRDefault="00001258">
            <w:pPr>
              <w:spacing w:line="259" w:lineRule="auto"/>
              <w:jc w:val="center"/>
              <w:rPr>
                <w:sz w:val="20"/>
                <w:szCs w:val="20"/>
                <w:highlight w:val="white"/>
              </w:rPr>
            </w:pPr>
            <w:r>
              <w:rPr>
                <w:sz w:val="20"/>
                <w:szCs w:val="20"/>
                <w:highlight w:val="white"/>
              </w:rPr>
              <w:t>90.92</w:t>
            </w:r>
          </w:p>
        </w:tc>
      </w:tr>
      <w:tr w:rsidR="00067AD2" w14:paraId="22F8A701" w14:textId="77777777">
        <w:trPr>
          <w:trHeight w:val="315"/>
        </w:trPr>
        <w:tc>
          <w:tcPr>
            <w:tcW w:w="2730" w:type="dxa"/>
            <w:tcBorders>
              <w:top w:val="nil"/>
              <w:left w:val="nil"/>
              <w:bottom w:val="single" w:sz="8" w:space="0" w:color="000000"/>
              <w:right w:val="nil"/>
            </w:tcBorders>
            <w:tcMar>
              <w:top w:w="40" w:type="dxa"/>
              <w:left w:w="40" w:type="dxa"/>
              <w:bottom w:w="40" w:type="dxa"/>
              <w:right w:w="40" w:type="dxa"/>
            </w:tcMar>
            <w:vAlign w:val="bottom"/>
          </w:tcPr>
          <w:p w14:paraId="22F8A6FE" w14:textId="77777777" w:rsidR="00067AD2" w:rsidRDefault="00001258">
            <w:pPr>
              <w:spacing w:line="259" w:lineRule="auto"/>
              <w:jc w:val="center"/>
              <w:rPr>
                <w:sz w:val="20"/>
                <w:szCs w:val="20"/>
                <w:highlight w:val="white"/>
              </w:rPr>
            </w:pPr>
            <w:r>
              <w:rPr>
                <w:sz w:val="20"/>
                <w:szCs w:val="20"/>
                <w:highlight w:val="white"/>
              </w:rPr>
              <w:t>Total</w:t>
            </w:r>
          </w:p>
        </w:tc>
        <w:tc>
          <w:tcPr>
            <w:tcW w:w="1605" w:type="dxa"/>
            <w:tcBorders>
              <w:top w:val="nil"/>
              <w:left w:val="nil"/>
              <w:bottom w:val="single" w:sz="8" w:space="0" w:color="000000"/>
              <w:right w:val="nil"/>
            </w:tcBorders>
            <w:tcMar>
              <w:top w:w="40" w:type="dxa"/>
              <w:left w:w="20" w:type="dxa"/>
              <w:bottom w:w="40" w:type="dxa"/>
              <w:right w:w="20" w:type="dxa"/>
            </w:tcMar>
            <w:vAlign w:val="bottom"/>
          </w:tcPr>
          <w:p w14:paraId="22F8A6FF" w14:textId="77777777" w:rsidR="00067AD2" w:rsidRDefault="00001258">
            <w:pPr>
              <w:spacing w:line="259" w:lineRule="auto"/>
              <w:jc w:val="center"/>
              <w:rPr>
                <w:sz w:val="20"/>
                <w:szCs w:val="20"/>
                <w:highlight w:val="white"/>
              </w:rPr>
            </w:pPr>
            <w:r>
              <w:rPr>
                <w:sz w:val="20"/>
                <w:szCs w:val="20"/>
                <w:highlight w:val="white"/>
              </w:rPr>
              <w:t>211,556</w:t>
            </w:r>
          </w:p>
        </w:tc>
        <w:tc>
          <w:tcPr>
            <w:tcW w:w="1530" w:type="dxa"/>
            <w:tcBorders>
              <w:top w:val="nil"/>
              <w:left w:val="nil"/>
              <w:bottom w:val="single" w:sz="8" w:space="0" w:color="000000"/>
              <w:right w:val="nil"/>
            </w:tcBorders>
            <w:tcMar>
              <w:top w:w="40" w:type="dxa"/>
              <w:left w:w="40" w:type="dxa"/>
              <w:bottom w:w="40" w:type="dxa"/>
              <w:right w:w="40" w:type="dxa"/>
            </w:tcMar>
            <w:vAlign w:val="bottom"/>
          </w:tcPr>
          <w:p w14:paraId="22F8A700" w14:textId="77777777" w:rsidR="00067AD2" w:rsidRDefault="00067AD2">
            <w:pPr>
              <w:spacing w:line="259" w:lineRule="auto"/>
              <w:jc w:val="center"/>
              <w:rPr>
                <w:sz w:val="20"/>
                <w:szCs w:val="20"/>
                <w:highlight w:val="white"/>
              </w:rPr>
            </w:pPr>
          </w:p>
        </w:tc>
      </w:tr>
    </w:tbl>
    <w:p w14:paraId="22F8A702" w14:textId="6A258766" w:rsidR="00067AD2" w:rsidRDefault="00001258">
      <w:pPr>
        <w:spacing w:after="160" w:line="259" w:lineRule="auto"/>
        <w:ind w:right="3508"/>
        <w:rPr>
          <w:sz w:val="20"/>
          <w:szCs w:val="20"/>
          <w:highlight w:val="white"/>
        </w:rPr>
      </w:pPr>
      <w:r>
        <w:rPr>
          <w:vertAlign w:val="superscript"/>
        </w:rPr>
        <w:t>a</w:t>
      </w:r>
      <w:r>
        <w:rPr>
          <w:sz w:val="20"/>
          <w:szCs w:val="20"/>
          <w:highlight w:val="white"/>
        </w:rPr>
        <w:t>Type of impact predicted using SNPeff</w:t>
      </w:r>
      <w:r>
        <w:fldChar w:fldCharType="begin"/>
      </w:r>
      <w:r w:rsidR="001515FF">
        <w:instrText xml:space="preserve"> ADDIN ZOTERO_ITEM CSL_CITATION {"citationID":"a64g7nknio","properties":{"formattedCitation":"\\super 13\\nosupersub{}","plainCitation":"13","noteIndex":0},"citationItems":[{"id":5248,"uris":["http://zotero.org/users/15948/items/VKDTLBLD"],"uri":["http://zotero.org/users/15948/items/VKDTLBLD"],"itemData":{"id":5248,"type":"article-journal","container-title":"Fly","issue":"2","note":"publisher: Taylor &amp; Francis","page":"80–92","title":"A program for annotating and predicting the effects of single nucleotide polymorphisms, SnpEff: SNPs in the genome of &lt;i&gt;Drosophila melanogaster&lt;/i&gt; strain w1118; iso-2; iso-3","volume":"6","author":[{"family":"Cingolani","given":"Pablo"},{"family":"Platts","given":"Adrian"},{"family":"Wang","given":"Le Lily"},{"family":"Coon","given":"Melissa"},{"family":"Nguyen","given":"Tung"},{"family":"Wang","given":"Luan"},{"family":"Land","given":"Susan J"},{"family":"Lu","given":"Xiangyi"},{"family":"Ruden","given":"Douglas M"}],"issued":{"date-parts":[["2012"]]}}}],"schema":"https://github.com/citation-style-language/schema/raw/master/csl-citation.json"} </w:instrText>
      </w:r>
      <w:r>
        <w:fldChar w:fldCharType="separate"/>
      </w:r>
      <w:r w:rsidR="00892867" w:rsidRPr="00892867">
        <w:rPr>
          <w:vertAlign w:val="superscript"/>
          <w:lang w:val="en-US"/>
        </w:rPr>
        <w:t>13</w:t>
      </w:r>
      <w:r>
        <w:fldChar w:fldCharType="end"/>
      </w:r>
      <w:r>
        <w:rPr>
          <w:sz w:val="20"/>
          <w:szCs w:val="20"/>
          <w:highlight w:val="white"/>
        </w:rPr>
        <w:t>. High impact mutations result in stop codon loss and gain and frameshifts; moderate impact mutations cause a codon to change the amino acid; low modifier mutations are in codon that produce the same amino acid; modifier mutations are in introns, upstream or downstream regions (see Cingolani et al.</w:t>
      </w:r>
      <w:r>
        <w:fldChar w:fldCharType="begin"/>
      </w:r>
      <w:r w:rsidR="001515FF">
        <w:instrText xml:space="preserve"> ADDIN ZOTERO_ITEM CSL_CITATION {"citationID":"abjkg42ual","properties":{"formattedCitation":"\\super 13\\nosupersub{}","plainCitation":"13","noteIndex":0},"citationItems":[{"id":5248,"uris":["http://zotero.org/users/15948/items/VKDTLBLD"],"uri":["http://zotero.org/users/15948/items/VKDTLBLD"],"itemData":{"id":5248,"type":"article-journal","container-title":"Fly","issue":"2","note":"publisher: Taylor &amp; Francis","page":"80–92","title":"A program for annotating and predicting the effects of single nucleotide polymorphisms, SnpEff: SNPs in the genome of &lt;i&gt;Drosophila melanogaster&lt;/i&gt; strain w1118; iso-2; iso-3","volume":"6","author":[{"family":"Cingolani","given":"Pablo"},{"family":"Platts","given":"Adrian"},{"family":"Wang","given":"Le Lily"},{"family":"Coon","given":"Melissa"},{"family":"Nguyen","given":"Tung"},{"family":"Wang","given":"Luan"},{"family":"Land","given":"Susan J"},{"family":"Lu","given":"Xiangyi"},{"family":"Ruden","given":"Douglas M"}],"issued":{"date-parts":[["2012"]]}}}],"schema":"https://github.com/citation-style-language/schema/raw/master/csl-citation.json"} </w:instrText>
      </w:r>
      <w:r>
        <w:fldChar w:fldCharType="separate"/>
      </w:r>
      <w:r w:rsidR="00892867" w:rsidRPr="00892867">
        <w:rPr>
          <w:vertAlign w:val="superscript"/>
          <w:lang w:val="en-US"/>
        </w:rPr>
        <w:t>13</w:t>
      </w:r>
      <w:r>
        <w:fldChar w:fldCharType="end"/>
      </w:r>
      <w:r>
        <w:rPr>
          <w:sz w:val="20"/>
          <w:szCs w:val="20"/>
          <w:highlight w:val="white"/>
        </w:rPr>
        <w:t xml:space="preserve"> for additional information and full list of impact types).</w:t>
      </w:r>
    </w:p>
    <w:p w14:paraId="22F8A703" w14:textId="77777777" w:rsidR="00067AD2" w:rsidRDefault="00001258">
      <w:pPr>
        <w:spacing w:after="160" w:line="259" w:lineRule="auto"/>
        <w:ind w:right="3600"/>
        <w:rPr>
          <w:sz w:val="20"/>
          <w:szCs w:val="20"/>
          <w:highlight w:val="white"/>
        </w:rPr>
      </w:pPr>
      <w:r>
        <w:rPr>
          <w:sz w:val="20"/>
          <w:szCs w:val="20"/>
          <w:highlight w:val="white"/>
          <w:vertAlign w:val="superscript"/>
        </w:rPr>
        <w:t>b</w:t>
      </w:r>
      <w:r>
        <w:rPr>
          <w:sz w:val="20"/>
          <w:szCs w:val="20"/>
          <w:highlight w:val="white"/>
        </w:rPr>
        <w:t>Intralineage polymorphic sites and those with missing data were excluded. The totals are larger than the number of SNPs because each SNP can be a modifier of up to five genes upstream or downstream.</w:t>
      </w:r>
    </w:p>
    <w:p w14:paraId="22F8A704" w14:textId="77777777" w:rsidR="00067AD2" w:rsidRDefault="00067AD2">
      <w:pPr>
        <w:spacing w:after="160" w:line="259" w:lineRule="auto"/>
        <w:rPr>
          <w:sz w:val="20"/>
          <w:szCs w:val="20"/>
          <w:highlight w:val="white"/>
        </w:rPr>
      </w:pPr>
    </w:p>
    <w:p w14:paraId="22F8A706" w14:textId="77777777" w:rsidR="00067AD2" w:rsidRDefault="00001258">
      <w:pPr>
        <w:spacing w:after="160" w:line="259" w:lineRule="auto"/>
        <w:rPr>
          <w:b/>
          <w:sz w:val="20"/>
          <w:szCs w:val="20"/>
          <w:highlight w:val="white"/>
        </w:rPr>
      </w:pPr>
      <w:r>
        <w:br w:type="page"/>
      </w:r>
    </w:p>
    <w:p w14:paraId="22F8A707" w14:textId="77777777" w:rsidR="00067AD2" w:rsidRDefault="00001258">
      <w:pPr>
        <w:spacing w:after="160" w:line="259" w:lineRule="auto"/>
        <w:rPr>
          <w:sz w:val="20"/>
          <w:szCs w:val="20"/>
          <w:highlight w:val="white"/>
        </w:rPr>
      </w:pPr>
      <w:r>
        <w:rPr>
          <w:b/>
          <w:sz w:val="20"/>
          <w:szCs w:val="20"/>
          <w:highlight w:val="white"/>
        </w:rPr>
        <w:lastRenderedPageBreak/>
        <w:t xml:space="preserve">Table S7. Predicted impact of hybridization in gene families associated with pathogenicity. </w:t>
      </w:r>
      <w:r>
        <w:rPr>
          <w:sz w:val="20"/>
          <w:szCs w:val="20"/>
          <w:highlight w:val="white"/>
        </w:rPr>
        <w:t xml:space="preserve">Impact of the mutations was assessed for genes that contained SNPs with novel genotypic combinations in the </w:t>
      </w:r>
      <w:r>
        <w:rPr>
          <w:i/>
          <w:sz w:val="20"/>
          <w:szCs w:val="20"/>
          <w:highlight w:val="white"/>
        </w:rPr>
        <w:t>Phytophthora ramorum</w:t>
      </w:r>
      <w:r>
        <w:rPr>
          <w:sz w:val="20"/>
          <w:szCs w:val="20"/>
          <w:highlight w:val="white"/>
        </w:rPr>
        <w:t xml:space="preserve"> hybrid (see Table S3). Mutation impact was assessed with SNPeff and reported for members of gene families known to be involved in pathogenicity in </w:t>
      </w:r>
      <w:r>
        <w:rPr>
          <w:i/>
          <w:sz w:val="20"/>
          <w:szCs w:val="20"/>
          <w:highlight w:val="white"/>
        </w:rPr>
        <w:t xml:space="preserve">Phytophthora </w:t>
      </w:r>
      <w:r>
        <w:rPr>
          <w:sz w:val="20"/>
          <w:szCs w:val="20"/>
          <w:highlight w:val="white"/>
        </w:rPr>
        <w:t xml:space="preserve">spp. </w:t>
      </w:r>
    </w:p>
    <w:tbl>
      <w:tblPr>
        <w:tblStyle w:val="a5"/>
        <w:tblW w:w="9135" w:type="dxa"/>
        <w:tblBorders>
          <w:top w:val="nil"/>
          <w:left w:val="nil"/>
          <w:bottom w:val="nil"/>
          <w:right w:val="nil"/>
          <w:insideH w:val="nil"/>
          <w:insideV w:val="nil"/>
        </w:tblBorders>
        <w:tblLayout w:type="fixed"/>
        <w:tblLook w:val="0600" w:firstRow="0" w:lastRow="0" w:firstColumn="0" w:lastColumn="0" w:noHBand="1" w:noVBand="1"/>
      </w:tblPr>
      <w:tblGrid>
        <w:gridCol w:w="3261"/>
        <w:gridCol w:w="1254"/>
        <w:gridCol w:w="1410"/>
        <w:gridCol w:w="1290"/>
        <w:gridCol w:w="975"/>
        <w:gridCol w:w="945"/>
      </w:tblGrid>
      <w:tr w:rsidR="00067AD2" w14:paraId="22F8A70E" w14:textId="77777777" w:rsidTr="007D4D8E">
        <w:trPr>
          <w:trHeight w:val="284"/>
        </w:trPr>
        <w:tc>
          <w:tcPr>
            <w:tcW w:w="3261" w:type="dxa"/>
            <w:tcBorders>
              <w:top w:val="nil"/>
              <w:left w:val="nil"/>
              <w:bottom w:val="single" w:sz="8" w:space="0" w:color="000000"/>
              <w:right w:val="nil"/>
            </w:tcBorders>
            <w:tcMar>
              <w:top w:w="100" w:type="dxa"/>
              <w:left w:w="40" w:type="dxa"/>
              <w:bottom w:w="100" w:type="dxa"/>
              <w:right w:w="40" w:type="dxa"/>
            </w:tcMar>
            <w:vAlign w:val="bottom"/>
          </w:tcPr>
          <w:p w14:paraId="22F8A708" w14:textId="77777777" w:rsidR="00067AD2" w:rsidRDefault="00001258">
            <w:pPr>
              <w:widowControl w:val="0"/>
              <w:pBdr>
                <w:top w:val="nil"/>
                <w:left w:val="nil"/>
                <w:bottom w:val="nil"/>
                <w:right w:val="nil"/>
                <w:between w:val="nil"/>
              </w:pBdr>
              <w:rPr>
                <w:sz w:val="20"/>
                <w:szCs w:val="20"/>
                <w:highlight w:val="white"/>
              </w:rPr>
            </w:pPr>
            <w:r>
              <w:rPr>
                <w:sz w:val="20"/>
                <w:szCs w:val="20"/>
                <w:highlight w:val="white"/>
              </w:rPr>
              <w:t>Genotypes</w:t>
            </w:r>
          </w:p>
        </w:tc>
        <w:tc>
          <w:tcPr>
            <w:tcW w:w="1254" w:type="dxa"/>
            <w:tcBorders>
              <w:top w:val="nil"/>
              <w:left w:val="nil"/>
              <w:bottom w:val="single" w:sz="8" w:space="0" w:color="000000"/>
              <w:right w:val="nil"/>
            </w:tcBorders>
            <w:tcMar>
              <w:top w:w="100" w:type="dxa"/>
              <w:left w:w="40" w:type="dxa"/>
              <w:bottom w:w="100" w:type="dxa"/>
              <w:right w:w="40" w:type="dxa"/>
            </w:tcMar>
            <w:vAlign w:val="bottom"/>
          </w:tcPr>
          <w:p w14:paraId="22F8A709" w14:textId="77777777" w:rsidR="00067AD2" w:rsidRDefault="00001258">
            <w:pPr>
              <w:spacing w:line="259" w:lineRule="auto"/>
              <w:rPr>
                <w:sz w:val="20"/>
                <w:szCs w:val="20"/>
                <w:highlight w:val="white"/>
                <w:vertAlign w:val="superscript"/>
              </w:rPr>
            </w:pPr>
            <w:r>
              <w:rPr>
                <w:sz w:val="20"/>
                <w:szCs w:val="20"/>
                <w:highlight w:val="white"/>
              </w:rPr>
              <w:t>Mutation Impact</w:t>
            </w:r>
            <w:r>
              <w:rPr>
                <w:sz w:val="20"/>
                <w:szCs w:val="20"/>
                <w:highlight w:val="white"/>
                <w:vertAlign w:val="superscript"/>
              </w:rPr>
              <w:t>a</w:t>
            </w:r>
          </w:p>
        </w:tc>
        <w:tc>
          <w:tcPr>
            <w:tcW w:w="1410" w:type="dxa"/>
            <w:tcBorders>
              <w:top w:val="nil"/>
              <w:left w:val="nil"/>
              <w:bottom w:val="single" w:sz="8" w:space="0" w:color="000000"/>
              <w:right w:val="nil"/>
            </w:tcBorders>
            <w:tcMar>
              <w:top w:w="100" w:type="dxa"/>
              <w:left w:w="40" w:type="dxa"/>
              <w:bottom w:w="100" w:type="dxa"/>
              <w:right w:w="40" w:type="dxa"/>
            </w:tcMar>
            <w:vAlign w:val="bottom"/>
          </w:tcPr>
          <w:p w14:paraId="22F8A70A" w14:textId="77777777" w:rsidR="00067AD2" w:rsidRDefault="00001258">
            <w:pPr>
              <w:spacing w:line="259" w:lineRule="auto"/>
              <w:jc w:val="center"/>
              <w:rPr>
                <w:sz w:val="20"/>
                <w:szCs w:val="20"/>
                <w:highlight w:val="white"/>
                <w:vertAlign w:val="superscript"/>
              </w:rPr>
            </w:pPr>
            <w:r>
              <w:rPr>
                <w:sz w:val="20"/>
                <w:szCs w:val="20"/>
                <w:highlight w:val="white"/>
              </w:rPr>
              <w:t>CAZY</w:t>
            </w:r>
            <w:r>
              <w:rPr>
                <w:sz w:val="20"/>
                <w:szCs w:val="20"/>
                <w:highlight w:val="white"/>
                <w:vertAlign w:val="superscript"/>
              </w:rPr>
              <w:t>b</w:t>
            </w:r>
          </w:p>
        </w:tc>
        <w:tc>
          <w:tcPr>
            <w:tcW w:w="1290" w:type="dxa"/>
            <w:tcBorders>
              <w:top w:val="nil"/>
              <w:left w:val="nil"/>
              <w:bottom w:val="single" w:sz="8" w:space="0" w:color="000000"/>
              <w:right w:val="nil"/>
            </w:tcBorders>
            <w:tcMar>
              <w:top w:w="100" w:type="dxa"/>
              <w:left w:w="40" w:type="dxa"/>
              <w:bottom w:w="100" w:type="dxa"/>
              <w:right w:w="40" w:type="dxa"/>
            </w:tcMar>
            <w:vAlign w:val="bottom"/>
          </w:tcPr>
          <w:p w14:paraId="22F8A70B" w14:textId="77777777" w:rsidR="00067AD2" w:rsidRDefault="00001258">
            <w:pPr>
              <w:spacing w:line="259" w:lineRule="auto"/>
              <w:rPr>
                <w:sz w:val="20"/>
                <w:szCs w:val="20"/>
                <w:highlight w:val="white"/>
              </w:rPr>
            </w:pPr>
            <w:r>
              <w:rPr>
                <w:sz w:val="20"/>
                <w:szCs w:val="20"/>
                <w:highlight w:val="white"/>
              </w:rPr>
              <w:t>Peptidases</w:t>
            </w:r>
          </w:p>
        </w:tc>
        <w:tc>
          <w:tcPr>
            <w:tcW w:w="975" w:type="dxa"/>
            <w:tcBorders>
              <w:top w:val="nil"/>
              <w:left w:val="nil"/>
              <w:bottom w:val="single" w:sz="8" w:space="0" w:color="000000"/>
              <w:right w:val="nil"/>
            </w:tcBorders>
            <w:tcMar>
              <w:top w:w="100" w:type="dxa"/>
              <w:left w:w="40" w:type="dxa"/>
              <w:bottom w:w="100" w:type="dxa"/>
              <w:right w:w="40" w:type="dxa"/>
            </w:tcMar>
            <w:vAlign w:val="bottom"/>
          </w:tcPr>
          <w:p w14:paraId="22F8A70C" w14:textId="77777777" w:rsidR="00067AD2" w:rsidRDefault="00001258">
            <w:pPr>
              <w:spacing w:line="259" w:lineRule="auto"/>
              <w:jc w:val="center"/>
              <w:rPr>
                <w:sz w:val="20"/>
                <w:szCs w:val="20"/>
                <w:highlight w:val="white"/>
              </w:rPr>
            </w:pPr>
            <w:r>
              <w:rPr>
                <w:sz w:val="20"/>
                <w:szCs w:val="20"/>
                <w:highlight w:val="white"/>
              </w:rPr>
              <w:t>RxLR</w:t>
            </w:r>
          </w:p>
        </w:tc>
        <w:tc>
          <w:tcPr>
            <w:tcW w:w="945" w:type="dxa"/>
            <w:tcBorders>
              <w:top w:val="nil"/>
              <w:left w:val="nil"/>
              <w:bottom w:val="single" w:sz="8" w:space="0" w:color="000000"/>
              <w:right w:val="nil"/>
            </w:tcBorders>
            <w:tcMar>
              <w:top w:w="100" w:type="dxa"/>
              <w:left w:w="40" w:type="dxa"/>
              <w:bottom w:w="100" w:type="dxa"/>
              <w:right w:w="40" w:type="dxa"/>
            </w:tcMar>
            <w:vAlign w:val="bottom"/>
          </w:tcPr>
          <w:p w14:paraId="22F8A70D" w14:textId="77777777" w:rsidR="00067AD2" w:rsidRDefault="00001258">
            <w:pPr>
              <w:spacing w:line="259" w:lineRule="auto"/>
              <w:jc w:val="center"/>
              <w:rPr>
                <w:sz w:val="20"/>
                <w:szCs w:val="20"/>
                <w:highlight w:val="white"/>
              </w:rPr>
            </w:pPr>
            <w:r>
              <w:rPr>
                <w:sz w:val="20"/>
                <w:szCs w:val="20"/>
                <w:highlight w:val="white"/>
              </w:rPr>
              <w:t>CRN</w:t>
            </w:r>
          </w:p>
        </w:tc>
      </w:tr>
      <w:tr w:rsidR="00067AD2" w14:paraId="22F8A715" w14:textId="77777777" w:rsidTr="007D4D8E">
        <w:trPr>
          <w:trHeight w:val="284"/>
        </w:trPr>
        <w:tc>
          <w:tcPr>
            <w:tcW w:w="3261" w:type="dxa"/>
            <w:tcBorders>
              <w:top w:val="nil"/>
              <w:left w:val="nil"/>
              <w:bottom w:val="nil"/>
              <w:right w:val="nil"/>
            </w:tcBorders>
            <w:tcMar>
              <w:top w:w="100" w:type="dxa"/>
              <w:left w:w="40" w:type="dxa"/>
              <w:bottom w:w="100" w:type="dxa"/>
              <w:right w:w="40" w:type="dxa"/>
            </w:tcMar>
            <w:vAlign w:val="bottom"/>
          </w:tcPr>
          <w:p w14:paraId="22F8A70F" w14:textId="77777777" w:rsidR="00067AD2" w:rsidRDefault="00001258">
            <w:pPr>
              <w:spacing w:line="259" w:lineRule="auto"/>
              <w:rPr>
                <w:sz w:val="20"/>
                <w:szCs w:val="20"/>
                <w:highlight w:val="white"/>
              </w:rPr>
            </w:pPr>
            <w:r>
              <w:rPr>
                <w:sz w:val="20"/>
                <w:szCs w:val="20"/>
                <w:highlight w:val="white"/>
              </w:rPr>
              <w:t>Homozygous for different SNPs in parents, heterozygous in hybrid</w:t>
            </w:r>
          </w:p>
        </w:tc>
        <w:tc>
          <w:tcPr>
            <w:tcW w:w="1254" w:type="dxa"/>
            <w:tcBorders>
              <w:top w:val="nil"/>
              <w:left w:val="nil"/>
              <w:bottom w:val="nil"/>
              <w:right w:val="nil"/>
            </w:tcBorders>
            <w:tcMar>
              <w:top w:w="100" w:type="dxa"/>
              <w:left w:w="40" w:type="dxa"/>
              <w:bottom w:w="100" w:type="dxa"/>
              <w:right w:w="40" w:type="dxa"/>
            </w:tcMar>
            <w:vAlign w:val="bottom"/>
          </w:tcPr>
          <w:p w14:paraId="22F8A710" w14:textId="77777777" w:rsidR="00067AD2" w:rsidRDefault="00001258">
            <w:pPr>
              <w:spacing w:line="259" w:lineRule="auto"/>
              <w:rPr>
                <w:sz w:val="20"/>
                <w:szCs w:val="20"/>
                <w:highlight w:val="white"/>
              </w:rPr>
            </w:pPr>
            <w:r>
              <w:rPr>
                <w:sz w:val="20"/>
                <w:szCs w:val="20"/>
                <w:highlight w:val="white"/>
              </w:rPr>
              <w:t>high</w:t>
            </w:r>
          </w:p>
        </w:tc>
        <w:tc>
          <w:tcPr>
            <w:tcW w:w="1410" w:type="dxa"/>
            <w:tcBorders>
              <w:top w:val="nil"/>
              <w:left w:val="nil"/>
              <w:bottom w:val="nil"/>
              <w:right w:val="nil"/>
            </w:tcBorders>
            <w:tcMar>
              <w:top w:w="100" w:type="dxa"/>
              <w:left w:w="40" w:type="dxa"/>
              <w:bottom w:w="100" w:type="dxa"/>
              <w:right w:w="40" w:type="dxa"/>
            </w:tcMar>
            <w:vAlign w:val="bottom"/>
          </w:tcPr>
          <w:p w14:paraId="22F8A711" w14:textId="77777777" w:rsidR="00067AD2" w:rsidRDefault="00001258">
            <w:pPr>
              <w:spacing w:line="259" w:lineRule="auto"/>
              <w:jc w:val="center"/>
              <w:rPr>
                <w:sz w:val="20"/>
                <w:szCs w:val="20"/>
                <w:highlight w:val="white"/>
              </w:rPr>
            </w:pPr>
            <w:r>
              <w:rPr>
                <w:sz w:val="20"/>
                <w:szCs w:val="20"/>
                <w:highlight w:val="white"/>
              </w:rPr>
              <w:t>0</w:t>
            </w:r>
          </w:p>
        </w:tc>
        <w:tc>
          <w:tcPr>
            <w:tcW w:w="1290" w:type="dxa"/>
            <w:tcBorders>
              <w:top w:val="nil"/>
              <w:left w:val="nil"/>
              <w:bottom w:val="nil"/>
              <w:right w:val="nil"/>
            </w:tcBorders>
            <w:tcMar>
              <w:top w:w="100" w:type="dxa"/>
              <w:left w:w="40" w:type="dxa"/>
              <w:bottom w:w="100" w:type="dxa"/>
              <w:right w:w="40" w:type="dxa"/>
            </w:tcMar>
            <w:vAlign w:val="bottom"/>
          </w:tcPr>
          <w:p w14:paraId="22F8A712" w14:textId="77777777" w:rsidR="00067AD2" w:rsidRDefault="00001258">
            <w:pPr>
              <w:spacing w:line="259" w:lineRule="auto"/>
              <w:jc w:val="center"/>
              <w:rPr>
                <w:sz w:val="20"/>
                <w:szCs w:val="20"/>
                <w:highlight w:val="white"/>
              </w:rPr>
            </w:pPr>
            <w:r>
              <w:rPr>
                <w:sz w:val="20"/>
                <w:szCs w:val="20"/>
                <w:highlight w:val="white"/>
              </w:rPr>
              <w:t>0</w:t>
            </w:r>
          </w:p>
        </w:tc>
        <w:tc>
          <w:tcPr>
            <w:tcW w:w="975" w:type="dxa"/>
            <w:tcBorders>
              <w:top w:val="nil"/>
              <w:left w:val="nil"/>
              <w:bottom w:val="nil"/>
              <w:right w:val="nil"/>
            </w:tcBorders>
            <w:tcMar>
              <w:top w:w="100" w:type="dxa"/>
              <w:left w:w="40" w:type="dxa"/>
              <w:bottom w:w="100" w:type="dxa"/>
              <w:right w:w="40" w:type="dxa"/>
            </w:tcMar>
            <w:vAlign w:val="bottom"/>
          </w:tcPr>
          <w:p w14:paraId="22F8A713" w14:textId="77777777" w:rsidR="00067AD2" w:rsidRDefault="00001258">
            <w:pPr>
              <w:spacing w:line="259" w:lineRule="auto"/>
              <w:jc w:val="center"/>
              <w:rPr>
                <w:sz w:val="20"/>
                <w:szCs w:val="20"/>
                <w:highlight w:val="white"/>
              </w:rPr>
            </w:pPr>
            <w:r>
              <w:rPr>
                <w:sz w:val="20"/>
                <w:szCs w:val="20"/>
                <w:highlight w:val="white"/>
              </w:rPr>
              <w:t>1 (1)</w:t>
            </w:r>
          </w:p>
        </w:tc>
        <w:tc>
          <w:tcPr>
            <w:tcW w:w="945" w:type="dxa"/>
            <w:tcBorders>
              <w:top w:val="nil"/>
              <w:left w:val="nil"/>
              <w:bottom w:val="nil"/>
              <w:right w:val="nil"/>
            </w:tcBorders>
            <w:tcMar>
              <w:top w:w="100" w:type="dxa"/>
              <w:left w:w="40" w:type="dxa"/>
              <w:bottom w:w="100" w:type="dxa"/>
              <w:right w:w="40" w:type="dxa"/>
            </w:tcMar>
            <w:vAlign w:val="bottom"/>
          </w:tcPr>
          <w:p w14:paraId="22F8A714" w14:textId="77777777" w:rsidR="00067AD2" w:rsidRDefault="00001258">
            <w:pPr>
              <w:spacing w:line="259" w:lineRule="auto"/>
              <w:jc w:val="center"/>
              <w:rPr>
                <w:sz w:val="20"/>
                <w:szCs w:val="20"/>
                <w:highlight w:val="white"/>
              </w:rPr>
            </w:pPr>
            <w:r>
              <w:rPr>
                <w:sz w:val="20"/>
                <w:szCs w:val="20"/>
                <w:highlight w:val="white"/>
              </w:rPr>
              <w:t>0</w:t>
            </w:r>
          </w:p>
        </w:tc>
      </w:tr>
      <w:tr w:rsidR="00067AD2" w14:paraId="22F8A71C" w14:textId="77777777" w:rsidTr="007D4D8E">
        <w:trPr>
          <w:trHeight w:val="284"/>
        </w:trPr>
        <w:tc>
          <w:tcPr>
            <w:tcW w:w="3261" w:type="dxa"/>
            <w:tcBorders>
              <w:top w:val="nil"/>
              <w:left w:val="nil"/>
              <w:bottom w:val="nil"/>
              <w:right w:val="nil"/>
            </w:tcBorders>
            <w:tcMar>
              <w:top w:w="100" w:type="dxa"/>
              <w:left w:w="40" w:type="dxa"/>
              <w:bottom w:w="100" w:type="dxa"/>
              <w:right w:w="40" w:type="dxa"/>
            </w:tcMar>
            <w:vAlign w:val="bottom"/>
          </w:tcPr>
          <w:p w14:paraId="22F8A716" w14:textId="77777777" w:rsidR="00067AD2" w:rsidRDefault="00067AD2">
            <w:pPr>
              <w:spacing w:after="160" w:line="259" w:lineRule="auto"/>
              <w:rPr>
                <w:sz w:val="20"/>
                <w:szCs w:val="20"/>
                <w:highlight w:val="white"/>
              </w:rPr>
            </w:pPr>
          </w:p>
        </w:tc>
        <w:tc>
          <w:tcPr>
            <w:tcW w:w="1254" w:type="dxa"/>
            <w:tcBorders>
              <w:top w:val="nil"/>
              <w:left w:val="nil"/>
              <w:bottom w:val="nil"/>
              <w:right w:val="nil"/>
            </w:tcBorders>
            <w:tcMar>
              <w:top w:w="100" w:type="dxa"/>
              <w:left w:w="40" w:type="dxa"/>
              <w:bottom w:w="100" w:type="dxa"/>
              <w:right w:w="40" w:type="dxa"/>
            </w:tcMar>
            <w:vAlign w:val="bottom"/>
          </w:tcPr>
          <w:p w14:paraId="22F8A717" w14:textId="77777777" w:rsidR="00067AD2" w:rsidRDefault="00001258">
            <w:pPr>
              <w:spacing w:line="259" w:lineRule="auto"/>
              <w:rPr>
                <w:sz w:val="20"/>
                <w:szCs w:val="20"/>
                <w:highlight w:val="white"/>
              </w:rPr>
            </w:pPr>
            <w:r>
              <w:rPr>
                <w:sz w:val="20"/>
                <w:szCs w:val="20"/>
                <w:highlight w:val="white"/>
              </w:rPr>
              <w:t>moderate</w:t>
            </w:r>
          </w:p>
        </w:tc>
        <w:tc>
          <w:tcPr>
            <w:tcW w:w="1410" w:type="dxa"/>
            <w:tcBorders>
              <w:top w:val="nil"/>
              <w:left w:val="nil"/>
              <w:bottom w:val="nil"/>
              <w:right w:val="nil"/>
            </w:tcBorders>
            <w:tcMar>
              <w:top w:w="100" w:type="dxa"/>
              <w:left w:w="40" w:type="dxa"/>
              <w:bottom w:w="100" w:type="dxa"/>
              <w:right w:w="40" w:type="dxa"/>
            </w:tcMar>
            <w:vAlign w:val="bottom"/>
          </w:tcPr>
          <w:p w14:paraId="22F8A718" w14:textId="77777777" w:rsidR="00067AD2" w:rsidRDefault="00001258">
            <w:pPr>
              <w:spacing w:line="259" w:lineRule="auto"/>
              <w:jc w:val="center"/>
              <w:rPr>
                <w:sz w:val="20"/>
                <w:szCs w:val="20"/>
                <w:highlight w:val="white"/>
              </w:rPr>
            </w:pPr>
            <w:r>
              <w:rPr>
                <w:sz w:val="20"/>
                <w:szCs w:val="20"/>
                <w:highlight w:val="white"/>
              </w:rPr>
              <w:t>53 (113)</w:t>
            </w:r>
          </w:p>
        </w:tc>
        <w:tc>
          <w:tcPr>
            <w:tcW w:w="1290" w:type="dxa"/>
            <w:tcBorders>
              <w:top w:val="nil"/>
              <w:left w:val="nil"/>
              <w:bottom w:val="nil"/>
              <w:right w:val="nil"/>
            </w:tcBorders>
            <w:tcMar>
              <w:top w:w="100" w:type="dxa"/>
              <w:left w:w="40" w:type="dxa"/>
              <w:bottom w:w="100" w:type="dxa"/>
              <w:right w:w="40" w:type="dxa"/>
            </w:tcMar>
            <w:vAlign w:val="bottom"/>
          </w:tcPr>
          <w:p w14:paraId="22F8A719" w14:textId="77777777" w:rsidR="00067AD2" w:rsidRDefault="00001258">
            <w:pPr>
              <w:spacing w:line="259" w:lineRule="auto"/>
              <w:jc w:val="center"/>
              <w:rPr>
                <w:sz w:val="20"/>
                <w:szCs w:val="20"/>
                <w:highlight w:val="white"/>
              </w:rPr>
            </w:pPr>
            <w:r>
              <w:rPr>
                <w:sz w:val="20"/>
                <w:szCs w:val="20"/>
                <w:highlight w:val="white"/>
              </w:rPr>
              <w:t>0</w:t>
            </w:r>
          </w:p>
        </w:tc>
        <w:tc>
          <w:tcPr>
            <w:tcW w:w="975" w:type="dxa"/>
            <w:tcBorders>
              <w:top w:val="nil"/>
              <w:left w:val="nil"/>
              <w:bottom w:val="nil"/>
              <w:right w:val="nil"/>
            </w:tcBorders>
            <w:tcMar>
              <w:top w:w="100" w:type="dxa"/>
              <w:left w:w="40" w:type="dxa"/>
              <w:bottom w:w="100" w:type="dxa"/>
              <w:right w:w="40" w:type="dxa"/>
            </w:tcMar>
            <w:vAlign w:val="bottom"/>
          </w:tcPr>
          <w:p w14:paraId="22F8A71A" w14:textId="77777777" w:rsidR="00067AD2" w:rsidRDefault="00001258">
            <w:pPr>
              <w:spacing w:line="259" w:lineRule="auto"/>
              <w:jc w:val="center"/>
              <w:rPr>
                <w:sz w:val="20"/>
                <w:szCs w:val="20"/>
                <w:highlight w:val="white"/>
              </w:rPr>
            </w:pPr>
            <w:r>
              <w:rPr>
                <w:sz w:val="20"/>
                <w:szCs w:val="20"/>
                <w:highlight w:val="white"/>
              </w:rPr>
              <w:t>19 (41)</w:t>
            </w:r>
          </w:p>
        </w:tc>
        <w:tc>
          <w:tcPr>
            <w:tcW w:w="945" w:type="dxa"/>
            <w:tcBorders>
              <w:top w:val="nil"/>
              <w:left w:val="nil"/>
              <w:bottom w:val="nil"/>
              <w:right w:val="nil"/>
            </w:tcBorders>
            <w:tcMar>
              <w:top w:w="100" w:type="dxa"/>
              <w:left w:w="40" w:type="dxa"/>
              <w:bottom w:w="100" w:type="dxa"/>
              <w:right w:w="40" w:type="dxa"/>
            </w:tcMar>
            <w:vAlign w:val="bottom"/>
          </w:tcPr>
          <w:p w14:paraId="22F8A71B" w14:textId="77777777" w:rsidR="00067AD2" w:rsidRDefault="00001258">
            <w:pPr>
              <w:spacing w:line="259" w:lineRule="auto"/>
              <w:jc w:val="center"/>
              <w:rPr>
                <w:sz w:val="20"/>
                <w:szCs w:val="20"/>
                <w:highlight w:val="white"/>
              </w:rPr>
            </w:pPr>
            <w:r>
              <w:rPr>
                <w:sz w:val="20"/>
                <w:szCs w:val="20"/>
                <w:highlight w:val="white"/>
              </w:rPr>
              <w:t>4 (5)</w:t>
            </w:r>
          </w:p>
        </w:tc>
      </w:tr>
      <w:tr w:rsidR="00067AD2" w14:paraId="22F8A723" w14:textId="77777777" w:rsidTr="007D4D8E">
        <w:trPr>
          <w:trHeight w:val="284"/>
        </w:trPr>
        <w:tc>
          <w:tcPr>
            <w:tcW w:w="3261" w:type="dxa"/>
            <w:tcBorders>
              <w:top w:val="nil"/>
              <w:left w:val="nil"/>
              <w:bottom w:val="nil"/>
              <w:right w:val="nil"/>
            </w:tcBorders>
            <w:tcMar>
              <w:top w:w="100" w:type="dxa"/>
              <w:left w:w="40" w:type="dxa"/>
              <w:bottom w:w="100" w:type="dxa"/>
              <w:right w:w="40" w:type="dxa"/>
            </w:tcMar>
            <w:vAlign w:val="bottom"/>
          </w:tcPr>
          <w:p w14:paraId="22F8A71D" w14:textId="77777777" w:rsidR="00067AD2" w:rsidRDefault="00001258">
            <w:pPr>
              <w:spacing w:line="259" w:lineRule="auto"/>
              <w:rPr>
                <w:sz w:val="20"/>
                <w:szCs w:val="20"/>
                <w:highlight w:val="white"/>
              </w:rPr>
            </w:pPr>
            <w:r>
              <w:rPr>
                <w:sz w:val="20"/>
                <w:szCs w:val="20"/>
                <w:highlight w:val="white"/>
              </w:rPr>
              <w:t>Heterozygous in parents, homozygous in hybrid</w:t>
            </w:r>
          </w:p>
        </w:tc>
        <w:tc>
          <w:tcPr>
            <w:tcW w:w="1254" w:type="dxa"/>
            <w:tcBorders>
              <w:top w:val="nil"/>
              <w:left w:val="nil"/>
              <w:bottom w:val="nil"/>
              <w:right w:val="nil"/>
            </w:tcBorders>
            <w:tcMar>
              <w:top w:w="100" w:type="dxa"/>
              <w:left w:w="40" w:type="dxa"/>
              <w:bottom w:w="100" w:type="dxa"/>
              <w:right w:w="40" w:type="dxa"/>
            </w:tcMar>
            <w:vAlign w:val="bottom"/>
          </w:tcPr>
          <w:p w14:paraId="22F8A71E" w14:textId="77777777" w:rsidR="00067AD2" w:rsidRDefault="00001258">
            <w:pPr>
              <w:spacing w:line="259" w:lineRule="auto"/>
              <w:rPr>
                <w:sz w:val="20"/>
                <w:szCs w:val="20"/>
                <w:highlight w:val="white"/>
              </w:rPr>
            </w:pPr>
            <w:r>
              <w:rPr>
                <w:sz w:val="20"/>
                <w:szCs w:val="20"/>
                <w:highlight w:val="white"/>
              </w:rPr>
              <w:t>high</w:t>
            </w:r>
          </w:p>
        </w:tc>
        <w:tc>
          <w:tcPr>
            <w:tcW w:w="1410" w:type="dxa"/>
            <w:tcBorders>
              <w:top w:val="nil"/>
              <w:left w:val="nil"/>
              <w:bottom w:val="nil"/>
              <w:right w:val="nil"/>
            </w:tcBorders>
            <w:tcMar>
              <w:top w:w="100" w:type="dxa"/>
              <w:left w:w="40" w:type="dxa"/>
              <w:bottom w:w="100" w:type="dxa"/>
              <w:right w:w="40" w:type="dxa"/>
            </w:tcMar>
            <w:vAlign w:val="bottom"/>
          </w:tcPr>
          <w:p w14:paraId="22F8A71F" w14:textId="77777777" w:rsidR="00067AD2" w:rsidRDefault="00001258">
            <w:pPr>
              <w:spacing w:line="259" w:lineRule="auto"/>
              <w:jc w:val="center"/>
              <w:rPr>
                <w:sz w:val="20"/>
                <w:szCs w:val="20"/>
                <w:highlight w:val="white"/>
              </w:rPr>
            </w:pPr>
            <w:r>
              <w:rPr>
                <w:sz w:val="20"/>
                <w:szCs w:val="20"/>
                <w:highlight w:val="white"/>
              </w:rPr>
              <w:t>1 (1)</w:t>
            </w:r>
          </w:p>
        </w:tc>
        <w:tc>
          <w:tcPr>
            <w:tcW w:w="1290" w:type="dxa"/>
            <w:tcBorders>
              <w:top w:val="nil"/>
              <w:left w:val="nil"/>
              <w:bottom w:val="nil"/>
              <w:right w:val="nil"/>
            </w:tcBorders>
            <w:tcMar>
              <w:top w:w="100" w:type="dxa"/>
              <w:left w:w="40" w:type="dxa"/>
              <w:bottom w:w="100" w:type="dxa"/>
              <w:right w:w="40" w:type="dxa"/>
            </w:tcMar>
            <w:vAlign w:val="bottom"/>
          </w:tcPr>
          <w:p w14:paraId="22F8A720" w14:textId="77777777" w:rsidR="00067AD2" w:rsidRDefault="00001258">
            <w:pPr>
              <w:spacing w:line="259" w:lineRule="auto"/>
              <w:jc w:val="center"/>
              <w:rPr>
                <w:sz w:val="20"/>
                <w:szCs w:val="20"/>
                <w:highlight w:val="white"/>
              </w:rPr>
            </w:pPr>
            <w:r>
              <w:rPr>
                <w:sz w:val="20"/>
                <w:szCs w:val="20"/>
                <w:highlight w:val="white"/>
              </w:rPr>
              <w:t>0</w:t>
            </w:r>
          </w:p>
        </w:tc>
        <w:tc>
          <w:tcPr>
            <w:tcW w:w="975" w:type="dxa"/>
            <w:tcBorders>
              <w:top w:val="nil"/>
              <w:left w:val="nil"/>
              <w:bottom w:val="nil"/>
              <w:right w:val="nil"/>
            </w:tcBorders>
            <w:tcMar>
              <w:top w:w="100" w:type="dxa"/>
              <w:left w:w="40" w:type="dxa"/>
              <w:bottom w:w="100" w:type="dxa"/>
              <w:right w:w="40" w:type="dxa"/>
            </w:tcMar>
            <w:vAlign w:val="bottom"/>
          </w:tcPr>
          <w:p w14:paraId="22F8A721" w14:textId="77777777" w:rsidR="00067AD2" w:rsidRDefault="00001258">
            <w:pPr>
              <w:spacing w:line="259" w:lineRule="auto"/>
              <w:jc w:val="center"/>
              <w:rPr>
                <w:sz w:val="20"/>
                <w:szCs w:val="20"/>
                <w:highlight w:val="white"/>
              </w:rPr>
            </w:pPr>
            <w:r>
              <w:rPr>
                <w:sz w:val="20"/>
                <w:szCs w:val="20"/>
                <w:highlight w:val="white"/>
              </w:rPr>
              <w:t>0</w:t>
            </w:r>
          </w:p>
        </w:tc>
        <w:tc>
          <w:tcPr>
            <w:tcW w:w="945" w:type="dxa"/>
            <w:tcBorders>
              <w:top w:val="nil"/>
              <w:left w:val="nil"/>
              <w:bottom w:val="nil"/>
              <w:right w:val="nil"/>
            </w:tcBorders>
            <w:tcMar>
              <w:top w:w="100" w:type="dxa"/>
              <w:left w:w="40" w:type="dxa"/>
              <w:bottom w:w="100" w:type="dxa"/>
              <w:right w:w="40" w:type="dxa"/>
            </w:tcMar>
            <w:vAlign w:val="bottom"/>
          </w:tcPr>
          <w:p w14:paraId="22F8A722" w14:textId="77777777" w:rsidR="00067AD2" w:rsidRDefault="00001258">
            <w:pPr>
              <w:spacing w:line="259" w:lineRule="auto"/>
              <w:jc w:val="center"/>
              <w:rPr>
                <w:sz w:val="20"/>
                <w:szCs w:val="20"/>
                <w:highlight w:val="white"/>
              </w:rPr>
            </w:pPr>
            <w:r>
              <w:rPr>
                <w:sz w:val="20"/>
                <w:szCs w:val="20"/>
                <w:highlight w:val="white"/>
              </w:rPr>
              <w:t>0</w:t>
            </w:r>
          </w:p>
        </w:tc>
      </w:tr>
      <w:tr w:rsidR="00067AD2" w14:paraId="22F8A72A" w14:textId="77777777" w:rsidTr="007D4D8E">
        <w:trPr>
          <w:trHeight w:val="284"/>
        </w:trPr>
        <w:tc>
          <w:tcPr>
            <w:tcW w:w="3261" w:type="dxa"/>
            <w:tcBorders>
              <w:top w:val="nil"/>
              <w:left w:val="nil"/>
              <w:bottom w:val="nil"/>
              <w:right w:val="nil"/>
            </w:tcBorders>
            <w:tcMar>
              <w:top w:w="100" w:type="dxa"/>
              <w:left w:w="40" w:type="dxa"/>
              <w:bottom w:w="100" w:type="dxa"/>
              <w:right w:w="40" w:type="dxa"/>
            </w:tcMar>
            <w:vAlign w:val="bottom"/>
          </w:tcPr>
          <w:p w14:paraId="22F8A724" w14:textId="77777777" w:rsidR="00067AD2" w:rsidRDefault="00067AD2">
            <w:pPr>
              <w:spacing w:after="160" w:line="259" w:lineRule="auto"/>
              <w:rPr>
                <w:sz w:val="20"/>
                <w:szCs w:val="20"/>
                <w:highlight w:val="white"/>
              </w:rPr>
            </w:pPr>
          </w:p>
        </w:tc>
        <w:tc>
          <w:tcPr>
            <w:tcW w:w="1254" w:type="dxa"/>
            <w:tcBorders>
              <w:top w:val="nil"/>
              <w:left w:val="nil"/>
              <w:bottom w:val="nil"/>
              <w:right w:val="nil"/>
            </w:tcBorders>
            <w:tcMar>
              <w:top w:w="100" w:type="dxa"/>
              <w:left w:w="40" w:type="dxa"/>
              <w:bottom w:w="100" w:type="dxa"/>
              <w:right w:w="40" w:type="dxa"/>
            </w:tcMar>
            <w:vAlign w:val="bottom"/>
          </w:tcPr>
          <w:p w14:paraId="22F8A725" w14:textId="77777777" w:rsidR="00067AD2" w:rsidRDefault="00001258">
            <w:pPr>
              <w:spacing w:line="259" w:lineRule="auto"/>
              <w:rPr>
                <w:sz w:val="20"/>
                <w:szCs w:val="20"/>
                <w:highlight w:val="white"/>
              </w:rPr>
            </w:pPr>
            <w:r>
              <w:rPr>
                <w:sz w:val="20"/>
                <w:szCs w:val="20"/>
                <w:highlight w:val="white"/>
              </w:rPr>
              <w:t>moderate</w:t>
            </w:r>
          </w:p>
        </w:tc>
        <w:tc>
          <w:tcPr>
            <w:tcW w:w="1410" w:type="dxa"/>
            <w:tcBorders>
              <w:top w:val="nil"/>
              <w:left w:val="nil"/>
              <w:bottom w:val="nil"/>
              <w:right w:val="nil"/>
            </w:tcBorders>
            <w:tcMar>
              <w:top w:w="100" w:type="dxa"/>
              <w:left w:w="40" w:type="dxa"/>
              <w:bottom w:w="100" w:type="dxa"/>
              <w:right w:w="40" w:type="dxa"/>
            </w:tcMar>
            <w:vAlign w:val="bottom"/>
          </w:tcPr>
          <w:p w14:paraId="22F8A726" w14:textId="77777777" w:rsidR="00067AD2" w:rsidRDefault="00001258">
            <w:pPr>
              <w:spacing w:line="259" w:lineRule="auto"/>
              <w:jc w:val="center"/>
              <w:rPr>
                <w:sz w:val="20"/>
                <w:szCs w:val="20"/>
                <w:highlight w:val="white"/>
              </w:rPr>
            </w:pPr>
            <w:r>
              <w:rPr>
                <w:sz w:val="20"/>
                <w:szCs w:val="20"/>
                <w:highlight w:val="white"/>
              </w:rPr>
              <w:t>25 (55)</w:t>
            </w:r>
          </w:p>
        </w:tc>
        <w:tc>
          <w:tcPr>
            <w:tcW w:w="1290" w:type="dxa"/>
            <w:tcBorders>
              <w:top w:val="nil"/>
              <w:left w:val="nil"/>
              <w:bottom w:val="nil"/>
              <w:right w:val="nil"/>
            </w:tcBorders>
            <w:tcMar>
              <w:top w:w="100" w:type="dxa"/>
              <w:left w:w="40" w:type="dxa"/>
              <w:bottom w:w="100" w:type="dxa"/>
              <w:right w:w="40" w:type="dxa"/>
            </w:tcMar>
            <w:vAlign w:val="bottom"/>
          </w:tcPr>
          <w:p w14:paraId="22F8A727" w14:textId="77777777" w:rsidR="00067AD2" w:rsidRDefault="00001258">
            <w:pPr>
              <w:spacing w:line="259" w:lineRule="auto"/>
              <w:jc w:val="center"/>
              <w:rPr>
                <w:sz w:val="20"/>
                <w:szCs w:val="20"/>
                <w:highlight w:val="white"/>
              </w:rPr>
            </w:pPr>
            <w:r>
              <w:rPr>
                <w:sz w:val="20"/>
                <w:szCs w:val="20"/>
                <w:highlight w:val="white"/>
              </w:rPr>
              <w:t>11 (21)</w:t>
            </w:r>
          </w:p>
        </w:tc>
        <w:tc>
          <w:tcPr>
            <w:tcW w:w="975" w:type="dxa"/>
            <w:tcBorders>
              <w:top w:val="nil"/>
              <w:left w:val="nil"/>
              <w:bottom w:val="nil"/>
              <w:right w:val="nil"/>
            </w:tcBorders>
            <w:tcMar>
              <w:top w:w="100" w:type="dxa"/>
              <w:left w:w="40" w:type="dxa"/>
              <w:bottom w:w="100" w:type="dxa"/>
              <w:right w:w="40" w:type="dxa"/>
            </w:tcMar>
            <w:vAlign w:val="bottom"/>
          </w:tcPr>
          <w:p w14:paraId="22F8A728" w14:textId="77777777" w:rsidR="00067AD2" w:rsidRDefault="00001258">
            <w:pPr>
              <w:spacing w:line="259" w:lineRule="auto"/>
              <w:jc w:val="center"/>
              <w:rPr>
                <w:sz w:val="20"/>
                <w:szCs w:val="20"/>
                <w:highlight w:val="white"/>
              </w:rPr>
            </w:pPr>
            <w:r>
              <w:rPr>
                <w:sz w:val="20"/>
                <w:szCs w:val="20"/>
                <w:highlight w:val="white"/>
              </w:rPr>
              <w:t>23 (52)</w:t>
            </w:r>
          </w:p>
        </w:tc>
        <w:tc>
          <w:tcPr>
            <w:tcW w:w="945" w:type="dxa"/>
            <w:tcBorders>
              <w:top w:val="nil"/>
              <w:left w:val="nil"/>
              <w:bottom w:val="nil"/>
              <w:right w:val="nil"/>
            </w:tcBorders>
            <w:tcMar>
              <w:top w:w="100" w:type="dxa"/>
              <w:left w:w="40" w:type="dxa"/>
              <w:bottom w:w="100" w:type="dxa"/>
              <w:right w:w="40" w:type="dxa"/>
            </w:tcMar>
            <w:vAlign w:val="bottom"/>
          </w:tcPr>
          <w:p w14:paraId="22F8A729" w14:textId="77777777" w:rsidR="00067AD2" w:rsidRDefault="00001258">
            <w:pPr>
              <w:spacing w:line="259" w:lineRule="auto"/>
              <w:jc w:val="center"/>
              <w:rPr>
                <w:sz w:val="20"/>
                <w:szCs w:val="20"/>
                <w:highlight w:val="white"/>
              </w:rPr>
            </w:pPr>
            <w:r>
              <w:rPr>
                <w:sz w:val="20"/>
                <w:szCs w:val="20"/>
                <w:highlight w:val="white"/>
              </w:rPr>
              <w:t>4 (5)</w:t>
            </w:r>
          </w:p>
        </w:tc>
      </w:tr>
      <w:tr w:rsidR="00067AD2" w14:paraId="22F8A731" w14:textId="77777777" w:rsidTr="007D4D8E">
        <w:trPr>
          <w:trHeight w:val="284"/>
        </w:trPr>
        <w:tc>
          <w:tcPr>
            <w:tcW w:w="3261" w:type="dxa"/>
            <w:tcBorders>
              <w:top w:val="nil"/>
              <w:left w:val="nil"/>
              <w:bottom w:val="single" w:sz="8" w:space="0" w:color="000000"/>
              <w:right w:val="nil"/>
            </w:tcBorders>
            <w:tcMar>
              <w:top w:w="100" w:type="dxa"/>
              <w:left w:w="40" w:type="dxa"/>
              <w:bottom w:w="100" w:type="dxa"/>
              <w:right w:w="40" w:type="dxa"/>
            </w:tcMar>
            <w:vAlign w:val="bottom"/>
          </w:tcPr>
          <w:p w14:paraId="22F8A72B" w14:textId="77777777" w:rsidR="00067AD2" w:rsidRDefault="00001258">
            <w:pPr>
              <w:spacing w:line="259" w:lineRule="auto"/>
              <w:rPr>
                <w:sz w:val="20"/>
                <w:szCs w:val="20"/>
                <w:highlight w:val="white"/>
              </w:rPr>
            </w:pPr>
            <w:r>
              <w:rPr>
                <w:sz w:val="20"/>
                <w:szCs w:val="20"/>
                <w:highlight w:val="white"/>
              </w:rPr>
              <w:t>Total</w:t>
            </w:r>
          </w:p>
        </w:tc>
        <w:tc>
          <w:tcPr>
            <w:tcW w:w="1254" w:type="dxa"/>
            <w:tcBorders>
              <w:top w:val="nil"/>
              <w:left w:val="nil"/>
              <w:bottom w:val="single" w:sz="8" w:space="0" w:color="000000"/>
              <w:right w:val="nil"/>
            </w:tcBorders>
            <w:tcMar>
              <w:top w:w="100" w:type="dxa"/>
              <w:left w:w="40" w:type="dxa"/>
              <w:bottom w:w="100" w:type="dxa"/>
              <w:right w:w="40" w:type="dxa"/>
            </w:tcMar>
            <w:vAlign w:val="bottom"/>
          </w:tcPr>
          <w:p w14:paraId="22F8A72C" w14:textId="77777777" w:rsidR="00067AD2" w:rsidRDefault="00001258">
            <w:pPr>
              <w:spacing w:line="259" w:lineRule="auto"/>
              <w:rPr>
                <w:sz w:val="20"/>
                <w:szCs w:val="20"/>
                <w:highlight w:val="white"/>
              </w:rPr>
            </w:pPr>
            <w:r>
              <w:rPr>
                <w:sz w:val="20"/>
                <w:szCs w:val="20"/>
                <w:highlight w:val="white"/>
              </w:rPr>
              <w:t>-</w:t>
            </w:r>
          </w:p>
        </w:tc>
        <w:tc>
          <w:tcPr>
            <w:tcW w:w="1410" w:type="dxa"/>
            <w:tcBorders>
              <w:top w:val="nil"/>
              <w:left w:val="nil"/>
              <w:bottom w:val="single" w:sz="8" w:space="0" w:color="000000"/>
              <w:right w:val="nil"/>
            </w:tcBorders>
            <w:tcMar>
              <w:top w:w="100" w:type="dxa"/>
              <w:left w:w="40" w:type="dxa"/>
              <w:bottom w:w="100" w:type="dxa"/>
              <w:right w:w="40" w:type="dxa"/>
            </w:tcMar>
            <w:vAlign w:val="bottom"/>
          </w:tcPr>
          <w:p w14:paraId="22F8A72D" w14:textId="77777777" w:rsidR="00067AD2" w:rsidRDefault="00001258">
            <w:pPr>
              <w:spacing w:line="259" w:lineRule="auto"/>
              <w:jc w:val="center"/>
              <w:rPr>
                <w:sz w:val="20"/>
                <w:szCs w:val="20"/>
                <w:highlight w:val="white"/>
              </w:rPr>
            </w:pPr>
            <w:r>
              <w:rPr>
                <w:sz w:val="20"/>
                <w:szCs w:val="20"/>
                <w:highlight w:val="white"/>
              </w:rPr>
              <w:t>79</w:t>
            </w:r>
          </w:p>
        </w:tc>
        <w:tc>
          <w:tcPr>
            <w:tcW w:w="1290" w:type="dxa"/>
            <w:tcBorders>
              <w:top w:val="nil"/>
              <w:left w:val="nil"/>
              <w:bottom w:val="single" w:sz="8" w:space="0" w:color="000000"/>
              <w:right w:val="nil"/>
            </w:tcBorders>
            <w:tcMar>
              <w:top w:w="100" w:type="dxa"/>
              <w:left w:w="40" w:type="dxa"/>
              <w:bottom w:w="100" w:type="dxa"/>
              <w:right w:w="40" w:type="dxa"/>
            </w:tcMar>
            <w:vAlign w:val="bottom"/>
          </w:tcPr>
          <w:p w14:paraId="22F8A72E" w14:textId="77777777" w:rsidR="00067AD2" w:rsidRDefault="00001258">
            <w:pPr>
              <w:spacing w:line="259" w:lineRule="auto"/>
              <w:jc w:val="center"/>
              <w:rPr>
                <w:sz w:val="20"/>
                <w:szCs w:val="20"/>
                <w:highlight w:val="white"/>
              </w:rPr>
            </w:pPr>
            <w:r>
              <w:rPr>
                <w:sz w:val="20"/>
                <w:szCs w:val="20"/>
                <w:highlight w:val="white"/>
              </w:rPr>
              <w:t>11</w:t>
            </w:r>
          </w:p>
        </w:tc>
        <w:tc>
          <w:tcPr>
            <w:tcW w:w="975" w:type="dxa"/>
            <w:tcBorders>
              <w:top w:val="nil"/>
              <w:left w:val="nil"/>
              <w:bottom w:val="single" w:sz="8" w:space="0" w:color="000000"/>
              <w:right w:val="nil"/>
            </w:tcBorders>
            <w:tcMar>
              <w:top w:w="100" w:type="dxa"/>
              <w:left w:w="40" w:type="dxa"/>
              <w:bottom w:w="100" w:type="dxa"/>
              <w:right w:w="40" w:type="dxa"/>
            </w:tcMar>
            <w:vAlign w:val="bottom"/>
          </w:tcPr>
          <w:p w14:paraId="22F8A72F" w14:textId="77777777" w:rsidR="00067AD2" w:rsidRDefault="00001258">
            <w:pPr>
              <w:spacing w:line="259" w:lineRule="auto"/>
              <w:jc w:val="center"/>
              <w:rPr>
                <w:sz w:val="20"/>
                <w:szCs w:val="20"/>
                <w:highlight w:val="white"/>
              </w:rPr>
            </w:pPr>
            <w:r>
              <w:rPr>
                <w:sz w:val="20"/>
                <w:szCs w:val="20"/>
                <w:highlight w:val="white"/>
              </w:rPr>
              <w:t>43</w:t>
            </w:r>
          </w:p>
        </w:tc>
        <w:tc>
          <w:tcPr>
            <w:tcW w:w="945" w:type="dxa"/>
            <w:tcBorders>
              <w:top w:val="nil"/>
              <w:left w:val="nil"/>
              <w:bottom w:val="single" w:sz="8" w:space="0" w:color="000000"/>
              <w:right w:val="nil"/>
            </w:tcBorders>
            <w:tcMar>
              <w:top w:w="100" w:type="dxa"/>
              <w:left w:w="40" w:type="dxa"/>
              <w:bottom w:w="100" w:type="dxa"/>
              <w:right w:w="40" w:type="dxa"/>
            </w:tcMar>
            <w:vAlign w:val="bottom"/>
          </w:tcPr>
          <w:p w14:paraId="22F8A730" w14:textId="77777777" w:rsidR="00067AD2" w:rsidRDefault="00001258">
            <w:pPr>
              <w:spacing w:line="259" w:lineRule="auto"/>
              <w:jc w:val="center"/>
              <w:rPr>
                <w:sz w:val="20"/>
                <w:szCs w:val="20"/>
                <w:highlight w:val="white"/>
              </w:rPr>
            </w:pPr>
            <w:r>
              <w:rPr>
                <w:sz w:val="20"/>
                <w:szCs w:val="20"/>
                <w:highlight w:val="white"/>
              </w:rPr>
              <w:t>8</w:t>
            </w:r>
          </w:p>
        </w:tc>
      </w:tr>
      <w:tr w:rsidR="00067AD2" w14:paraId="22F8A738" w14:textId="77777777" w:rsidTr="007D4D8E">
        <w:trPr>
          <w:trHeight w:val="284"/>
        </w:trPr>
        <w:tc>
          <w:tcPr>
            <w:tcW w:w="3261" w:type="dxa"/>
            <w:tcBorders>
              <w:top w:val="nil"/>
              <w:left w:val="nil"/>
              <w:bottom w:val="single" w:sz="8" w:space="0" w:color="000000"/>
              <w:right w:val="nil"/>
            </w:tcBorders>
            <w:tcMar>
              <w:top w:w="100" w:type="dxa"/>
              <w:left w:w="40" w:type="dxa"/>
              <w:bottom w:w="100" w:type="dxa"/>
              <w:right w:w="40" w:type="dxa"/>
            </w:tcMar>
            <w:vAlign w:val="bottom"/>
          </w:tcPr>
          <w:p w14:paraId="22F8A732" w14:textId="77777777" w:rsidR="00067AD2" w:rsidRDefault="00001258">
            <w:pPr>
              <w:spacing w:line="259" w:lineRule="auto"/>
              <w:rPr>
                <w:sz w:val="20"/>
                <w:szCs w:val="20"/>
                <w:highlight w:val="white"/>
              </w:rPr>
            </w:pPr>
            <w:r>
              <w:rPr>
                <w:sz w:val="20"/>
                <w:szCs w:val="20"/>
                <w:highlight w:val="white"/>
              </w:rPr>
              <w:t>Total predicted in genome</w:t>
            </w:r>
          </w:p>
        </w:tc>
        <w:tc>
          <w:tcPr>
            <w:tcW w:w="1254" w:type="dxa"/>
            <w:tcBorders>
              <w:top w:val="nil"/>
              <w:left w:val="nil"/>
              <w:bottom w:val="single" w:sz="8" w:space="0" w:color="000000"/>
              <w:right w:val="nil"/>
            </w:tcBorders>
            <w:tcMar>
              <w:top w:w="100" w:type="dxa"/>
              <w:left w:w="40" w:type="dxa"/>
              <w:bottom w:w="100" w:type="dxa"/>
              <w:right w:w="40" w:type="dxa"/>
            </w:tcMar>
            <w:vAlign w:val="bottom"/>
          </w:tcPr>
          <w:p w14:paraId="22F8A733" w14:textId="77777777" w:rsidR="00067AD2" w:rsidRDefault="00001258">
            <w:pPr>
              <w:spacing w:line="259" w:lineRule="auto"/>
              <w:rPr>
                <w:sz w:val="20"/>
                <w:szCs w:val="20"/>
                <w:highlight w:val="white"/>
              </w:rPr>
            </w:pPr>
            <w:r>
              <w:rPr>
                <w:sz w:val="20"/>
                <w:szCs w:val="20"/>
                <w:highlight w:val="white"/>
              </w:rPr>
              <w:t>-</w:t>
            </w:r>
          </w:p>
        </w:tc>
        <w:tc>
          <w:tcPr>
            <w:tcW w:w="1410" w:type="dxa"/>
            <w:tcBorders>
              <w:top w:val="nil"/>
              <w:left w:val="nil"/>
              <w:bottom w:val="single" w:sz="8" w:space="0" w:color="000000"/>
              <w:right w:val="nil"/>
            </w:tcBorders>
            <w:tcMar>
              <w:top w:w="100" w:type="dxa"/>
              <w:left w:w="40" w:type="dxa"/>
              <w:bottom w:w="100" w:type="dxa"/>
              <w:right w:w="40" w:type="dxa"/>
            </w:tcMar>
            <w:vAlign w:val="bottom"/>
          </w:tcPr>
          <w:p w14:paraId="22F8A734" w14:textId="77777777" w:rsidR="00067AD2" w:rsidRDefault="00001258">
            <w:pPr>
              <w:spacing w:line="259" w:lineRule="auto"/>
              <w:jc w:val="center"/>
              <w:rPr>
                <w:sz w:val="20"/>
                <w:szCs w:val="20"/>
                <w:highlight w:val="white"/>
              </w:rPr>
            </w:pPr>
            <w:r>
              <w:rPr>
                <w:sz w:val="20"/>
                <w:szCs w:val="20"/>
                <w:highlight w:val="white"/>
              </w:rPr>
              <w:t>332</w:t>
            </w:r>
          </w:p>
        </w:tc>
        <w:tc>
          <w:tcPr>
            <w:tcW w:w="1290" w:type="dxa"/>
            <w:tcBorders>
              <w:top w:val="nil"/>
              <w:left w:val="nil"/>
              <w:bottom w:val="single" w:sz="8" w:space="0" w:color="000000"/>
              <w:right w:val="nil"/>
            </w:tcBorders>
            <w:tcMar>
              <w:top w:w="100" w:type="dxa"/>
              <w:left w:w="40" w:type="dxa"/>
              <w:bottom w:w="100" w:type="dxa"/>
              <w:right w:w="40" w:type="dxa"/>
            </w:tcMar>
            <w:vAlign w:val="bottom"/>
          </w:tcPr>
          <w:p w14:paraId="22F8A735" w14:textId="77777777" w:rsidR="00067AD2" w:rsidRDefault="00001258">
            <w:pPr>
              <w:spacing w:line="259" w:lineRule="auto"/>
              <w:jc w:val="center"/>
              <w:rPr>
                <w:sz w:val="20"/>
                <w:szCs w:val="20"/>
                <w:highlight w:val="white"/>
              </w:rPr>
            </w:pPr>
            <w:r>
              <w:rPr>
                <w:sz w:val="20"/>
                <w:szCs w:val="20"/>
                <w:highlight w:val="white"/>
              </w:rPr>
              <w:t>147</w:t>
            </w:r>
          </w:p>
        </w:tc>
        <w:tc>
          <w:tcPr>
            <w:tcW w:w="975" w:type="dxa"/>
            <w:tcBorders>
              <w:top w:val="nil"/>
              <w:left w:val="nil"/>
              <w:bottom w:val="single" w:sz="8" w:space="0" w:color="000000"/>
              <w:right w:val="nil"/>
            </w:tcBorders>
            <w:tcMar>
              <w:top w:w="100" w:type="dxa"/>
              <w:left w:w="40" w:type="dxa"/>
              <w:bottom w:w="100" w:type="dxa"/>
              <w:right w:w="40" w:type="dxa"/>
            </w:tcMar>
            <w:vAlign w:val="bottom"/>
          </w:tcPr>
          <w:p w14:paraId="22F8A736" w14:textId="77777777" w:rsidR="00067AD2" w:rsidRDefault="00001258">
            <w:pPr>
              <w:spacing w:line="259" w:lineRule="auto"/>
              <w:jc w:val="center"/>
              <w:rPr>
                <w:sz w:val="20"/>
                <w:szCs w:val="20"/>
                <w:highlight w:val="white"/>
              </w:rPr>
            </w:pPr>
            <w:r>
              <w:rPr>
                <w:sz w:val="20"/>
                <w:szCs w:val="20"/>
                <w:highlight w:val="white"/>
              </w:rPr>
              <w:t>143</w:t>
            </w:r>
          </w:p>
        </w:tc>
        <w:tc>
          <w:tcPr>
            <w:tcW w:w="945" w:type="dxa"/>
            <w:tcBorders>
              <w:top w:val="nil"/>
              <w:left w:val="nil"/>
              <w:bottom w:val="single" w:sz="8" w:space="0" w:color="000000"/>
              <w:right w:val="nil"/>
            </w:tcBorders>
            <w:tcMar>
              <w:top w:w="100" w:type="dxa"/>
              <w:left w:w="40" w:type="dxa"/>
              <w:bottom w:w="100" w:type="dxa"/>
              <w:right w:w="40" w:type="dxa"/>
            </w:tcMar>
            <w:vAlign w:val="bottom"/>
          </w:tcPr>
          <w:p w14:paraId="22F8A737" w14:textId="77777777" w:rsidR="00067AD2" w:rsidRDefault="00001258">
            <w:pPr>
              <w:spacing w:line="259" w:lineRule="auto"/>
              <w:jc w:val="center"/>
              <w:rPr>
                <w:sz w:val="20"/>
                <w:szCs w:val="20"/>
                <w:highlight w:val="white"/>
              </w:rPr>
            </w:pPr>
            <w:r>
              <w:rPr>
                <w:sz w:val="20"/>
                <w:szCs w:val="20"/>
                <w:highlight w:val="white"/>
              </w:rPr>
              <w:t>31</w:t>
            </w:r>
          </w:p>
        </w:tc>
      </w:tr>
    </w:tbl>
    <w:p w14:paraId="22F8A739" w14:textId="23B0A45D" w:rsidR="00067AD2" w:rsidRDefault="00001258">
      <w:pPr>
        <w:spacing w:after="160" w:line="259" w:lineRule="auto"/>
        <w:rPr>
          <w:sz w:val="20"/>
          <w:szCs w:val="20"/>
          <w:highlight w:val="white"/>
        </w:rPr>
      </w:pPr>
      <w:r>
        <w:rPr>
          <w:vertAlign w:val="superscript"/>
        </w:rPr>
        <w:t>a</w:t>
      </w:r>
      <w:r>
        <w:rPr>
          <w:sz w:val="20"/>
          <w:szCs w:val="20"/>
          <w:highlight w:val="white"/>
        </w:rPr>
        <w:t>Impact predicted using SNPeff</w:t>
      </w:r>
      <w:r>
        <w:fldChar w:fldCharType="begin"/>
      </w:r>
      <w:r w:rsidR="001515FF">
        <w:instrText xml:space="preserve"> ADDIN ZOTERO_ITEM CSL_CITATION {"citationID":"a2chg5c1vvs","properties":{"formattedCitation":"\\super 13\\nosupersub{}","plainCitation":"13","noteIndex":0},"citationItems":[{"id":5248,"uris":["http://zotero.org/users/15948/items/VKDTLBLD"],"uri":["http://zotero.org/users/15948/items/VKDTLBLD"],"itemData":{"id":5248,"type":"article-journal","container-title":"Fly","issue":"2","note":"publisher: Taylor &amp; Francis","page":"80–92","title":"A program for annotating and predicting the effects of single nucleotide polymorphisms, SnpEff: SNPs in the genome of &lt;i&gt;Drosophila melanogaster&lt;/i&gt; strain w1118; iso-2; iso-3","volume":"6","author":[{"family":"Cingolani","given":"Pablo"},{"family":"Platts","given":"Adrian"},{"family":"Wang","given":"Le Lily"},{"family":"Coon","given":"Melissa"},{"family":"Nguyen","given":"Tung"},{"family":"Wang","given":"Luan"},{"family":"Land","given":"Susan J"},{"family":"Lu","given":"Xiangyi"},{"family":"Ruden","given":"Douglas M"}],"issued":{"date-parts":[["2012"]]}}}],"schema":"https://github.com/citation-style-language/schema/raw/master/csl-citation.json"} </w:instrText>
      </w:r>
      <w:r>
        <w:fldChar w:fldCharType="separate"/>
      </w:r>
      <w:r w:rsidR="00892867" w:rsidRPr="00892867">
        <w:rPr>
          <w:vertAlign w:val="superscript"/>
          <w:lang w:val="en-US"/>
        </w:rPr>
        <w:t>13</w:t>
      </w:r>
      <w:r>
        <w:fldChar w:fldCharType="end"/>
      </w:r>
      <w:r>
        <w:rPr>
          <w:sz w:val="20"/>
          <w:szCs w:val="20"/>
          <w:highlight w:val="white"/>
        </w:rPr>
        <w:t>. High impact mutations result in stop codon loss and gain and frameshifts; moderate impact mutations cause a codon to change the amino acid; low modifier mutations are in codon that produce the same amino acid; modifier mutations are in introns, upstream or downstream regions (see Cingolani et al.</w:t>
      </w:r>
      <w:r>
        <w:fldChar w:fldCharType="begin"/>
      </w:r>
      <w:r w:rsidR="001515FF">
        <w:instrText xml:space="preserve"> ADDIN ZOTERO_ITEM CSL_CITATION {"citationID":"WY8MmX8h","properties":{"formattedCitation":"\\super 13\\nosupersub{}","plainCitation":"13","noteIndex":0},"citationItems":[{"id":5248,"uris":["http://zotero.org/users/15948/items/VKDTLBLD"],"uri":["http://zotero.org/users/15948/items/VKDTLBLD"],"itemData":{"id":5248,"type":"article-journal","container-title":"Fly","issue":"2","note":"publisher: Taylor &amp; Francis","page":"80–92","title":"A program for annotating and predicting the effects of single nucleotide polymorphisms, SnpEff: SNPs in the genome of &lt;i&gt;Drosophila melanogaster&lt;/i&gt; strain w1118; iso-2; iso-3","volume":"6","author":[{"family":"Cingolani","given":"Pablo"},{"family":"Platts","given":"Adrian"},{"family":"Wang","given":"Le Lily"},{"family":"Coon","given":"Melissa"},{"family":"Nguyen","given":"Tung"},{"family":"Wang","given":"Luan"},{"family":"Land","given":"Susan J"},{"family":"Lu","given":"Xiangyi"},{"family":"Ruden","given":"Douglas M"}],"issued":{"date-parts":[["2012"]]}}}],"schema":"https://github.com/citation-style-language/schema/raw/master/csl-citation.json"} </w:instrText>
      </w:r>
      <w:r>
        <w:fldChar w:fldCharType="separate"/>
      </w:r>
      <w:r w:rsidR="00892867" w:rsidRPr="00892867">
        <w:rPr>
          <w:vertAlign w:val="superscript"/>
          <w:lang w:val="en-US"/>
        </w:rPr>
        <w:t>13</w:t>
      </w:r>
      <w:r>
        <w:fldChar w:fldCharType="end"/>
      </w:r>
      <w:r>
        <w:rPr>
          <w:sz w:val="20"/>
          <w:szCs w:val="20"/>
          <w:highlight w:val="white"/>
        </w:rPr>
        <w:t xml:space="preserve"> for additional information and full list of impact types).</w:t>
      </w:r>
    </w:p>
    <w:p w14:paraId="22F8A73A" w14:textId="77777777" w:rsidR="00067AD2" w:rsidRDefault="00001258">
      <w:pPr>
        <w:spacing w:after="160" w:line="259" w:lineRule="auto"/>
        <w:rPr>
          <w:sz w:val="20"/>
          <w:szCs w:val="20"/>
          <w:highlight w:val="white"/>
        </w:rPr>
      </w:pPr>
      <w:r>
        <w:rPr>
          <w:vertAlign w:val="superscript"/>
        </w:rPr>
        <w:t>b</w:t>
      </w:r>
      <w:r>
        <w:rPr>
          <w:sz w:val="20"/>
          <w:szCs w:val="20"/>
          <w:highlight w:val="white"/>
        </w:rPr>
        <w:t>Number of genes (number of SNPs)</w:t>
      </w:r>
    </w:p>
    <w:p w14:paraId="22F8A73B" w14:textId="77777777" w:rsidR="00067AD2" w:rsidRDefault="00001258">
      <w:pPr>
        <w:spacing w:after="160" w:line="259" w:lineRule="auto"/>
        <w:rPr>
          <w:b/>
        </w:rPr>
        <w:sectPr w:rsidR="00067AD2">
          <w:pgSz w:w="12240" w:h="15840"/>
          <w:pgMar w:top="1440" w:right="1440" w:bottom="1440" w:left="1440" w:header="720" w:footer="720" w:gutter="0"/>
          <w:cols w:space="720"/>
        </w:sectPr>
      </w:pPr>
      <w:r>
        <w:br w:type="page"/>
      </w:r>
    </w:p>
    <w:p w14:paraId="22F8A73C" w14:textId="77777777" w:rsidR="00067AD2" w:rsidRPr="007D4D8E" w:rsidRDefault="00001258">
      <w:pPr>
        <w:spacing w:after="160" w:line="259" w:lineRule="auto"/>
        <w:rPr>
          <w:sz w:val="20"/>
          <w:szCs w:val="20"/>
        </w:rPr>
      </w:pPr>
      <w:r w:rsidRPr="007D4D8E">
        <w:rPr>
          <w:b/>
          <w:sz w:val="20"/>
          <w:szCs w:val="20"/>
        </w:rPr>
        <w:lastRenderedPageBreak/>
        <w:t xml:space="preserve">Table S8. Runs of homozygosity (ROH) identified in the </w:t>
      </w:r>
      <w:r w:rsidRPr="007D4D8E">
        <w:rPr>
          <w:b/>
          <w:i/>
          <w:sz w:val="20"/>
          <w:szCs w:val="20"/>
        </w:rPr>
        <w:t>Phytophthora ramorum</w:t>
      </w:r>
      <w:r w:rsidRPr="007D4D8E">
        <w:rPr>
          <w:b/>
          <w:sz w:val="20"/>
          <w:szCs w:val="20"/>
        </w:rPr>
        <w:t xml:space="preserve"> hybrid</w:t>
      </w:r>
      <w:r w:rsidRPr="007D4D8E">
        <w:rPr>
          <w:sz w:val="20"/>
          <w:szCs w:val="20"/>
        </w:rPr>
        <w:t>. Regions with ROH contain stretches of SNPs (11 to 82 loci) with fixed differences in the parental lineages NA2 and EU1 that are homozygous in the hybrid sample 16_284_032</w:t>
      </w:r>
      <w:r w:rsidRPr="007D4D8E">
        <w:rPr>
          <w:sz w:val="20"/>
          <w:szCs w:val="20"/>
          <w:vertAlign w:val="superscript"/>
        </w:rPr>
        <w:t>a</w:t>
      </w:r>
      <w:r w:rsidRPr="007D4D8E">
        <w:rPr>
          <w:sz w:val="20"/>
          <w:szCs w:val="20"/>
        </w:rPr>
        <w:t xml:space="preserve">, a pattern unexpected for first generation hybrids </w:t>
      </w:r>
    </w:p>
    <w:tbl>
      <w:tblPr>
        <w:tblStyle w:val="a6"/>
        <w:tblW w:w="13080" w:type="dxa"/>
        <w:tblLayout w:type="fixed"/>
        <w:tblLook w:val="0400" w:firstRow="0" w:lastRow="0" w:firstColumn="0" w:lastColumn="0" w:noHBand="0" w:noVBand="1"/>
      </w:tblPr>
      <w:tblGrid>
        <w:gridCol w:w="1650"/>
        <w:gridCol w:w="750"/>
        <w:gridCol w:w="1095"/>
        <w:gridCol w:w="735"/>
        <w:gridCol w:w="1275"/>
        <w:gridCol w:w="1305"/>
        <w:gridCol w:w="1635"/>
        <w:gridCol w:w="1485"/>
        <w:gridCol w:w="105"/>
        <w:gridCol w:w="2790"/>
        <w:gridCol w:w="255"/>
      </w:tblGrid>
      <w:tr w:rsidR="00067AD2" w:rsidRPr="007D4D8E" w14:paraId="22F8A744" w14:textId="77777777">
        <w:trPr>
          <w:gridAfter w:val="1"/>
          <w:wAfter w:w="255" w:type="dxa"/>
          <w:trHeight w:val="486"/>
        </w:trPr>
        <w:tc>
          <w:tcPr>
            <w:tcW w:w="1650" w:type="dxa"/>
            <w:vMerge w:val="restart"/>
            <w:tcBorders>
              <w:top w:val="single" w:sz="8" w:space="0" w:color="000000"/>
              <w:left w:val="nil"/>
              <w:right w:val="nil"/>
            </w:tcBorders>
            <w:shd w:val="clear" w:color="auto" w:fill="auto"/>
            <w:vAlign w:val="center"/>
          </w:tcPr>
          <w:p w14:paraId="22F8A73D" w14:textId="77777777" w:rsidR="00067AD2" w:rsidRPr="007D4D8E" w:rsidRDefault="00001258">
            <w:pPr>
              <w:spacing w:line="240" w:lineRule="auto"/>
              <w:rPr>
                <w:sz w:val="16"/>
                <w:szCs w:val="16"/>
              </w:rPr>
            </w:pPr>
            <w:r w:rsidRPr="007D4D8E">
              <w:rPr>
                <w:sz w:val="16"/>
                <w:szCs w:val="16"/>
              </w:rPr>
              <w:t>Scaffold:position</w:t>
            </w:r>
          </w:p>
        </w:tc>
        <w:tc>
          <w:tcPr>
            <w:tcW w:w="750" w:type="dxa"/>
            <w:vMerge w:val="restart"/>
            <w:tcBorders>
              <w:top w:val="single" w:sz="8" w:space="0" w:color="000000"/>
              <w:left w:val="nil"/>
              <w:right w:val="nil"/>
            </w:tcBorders>
            <w:shd w:val="clear" w:color="auto" w:fill="auto"/>
            <w:vAlign w:val="center"/>
          </w:tcPr>
          <w:p w14:paraId="22F8A73E" w14:textId="77777777" w:rsidR="00067AD2" w:rsidRPr="007D4D8E" w:rsidRDefault="00001258">
            <w:pPr>
              <w:spacing w:line="240" w:lineRule="auto"/>
              <w:rPr>
                <w:sz w:val="16"/>
                <w:szCs w:val="16"/>
              </w:rPr>
            </w:pPr>
            <w:r w:rsidRPr="007D4D8E">
              <w:rPr>
                <w:sz w:val="16"/>
                <w:szCs w:val="16"/>
              </w:rPr>
              <w:t>Region size (bp)</w:t>
            </w:r>
          </w:p>
        </w:tc>
        <w:tc>
          <w:tcPr>
            <w:tcW w:w="1095" w:type="dxa"/>
            <w:vMerge w:val="restart"/>
            <w:tcBorders>
              <w:top w:val="single" w:sz="8" w:space="0" w:color="000000"/>
              <w:left w:val="nil"/>
              <w:right w:val="nil"/>
            </w:tcBorders>
            <w:shd w:val="clear" w:color="auto" w:fill="auto"/>
            <w:vAlign w:val="center"/>
          </w:tcPr>
          <w:p w14:paraId="22F8A73F" w14:textId="77777777" w:rsidR="00067AD2" w:rsidRPr="007D4D8E" w:rsidRDefault="00001258">
            <w:pPr>
              <w:spacing w:line="240" w:lineRule="auto"/>
              <w:rPr>
                <w:sz w:val="16"/>
                <w:szCs w:val="16"/>
              </w:rPr>
            </w:pPr>
            <w:r w:rsidRPr="007D4D8E">
              <w:rPr>
                <w:sz w:val="16"/>
                <w:szCs w:val="16"/>
              </w:rPr>
              <w:t>No. of homozygous “diagnostic” SNPs</w:t>
            </w:r>
            <w:r w:rsidRPr="007D4D8E">
              <w:rPr>
                <w:sz w:val="16"/>
                <w:szCs w:val="16"/>
                <w:vertAlign w:val="superscript"/>
              </w:rPr>
              <w:t>a</w:t>
            </w:r>
          </w:p>
        </w:tc>
        <w:tc>
          <w:tcPr>
            <w:tcW w:w="735" w:type="dxa"/>
            <w:vMerge w:val="restart"/>
            <w:tcBorders>
              <w:top w:val="single" w:sz="8" w:space="0" w:color="000000"/>
              <w:left w:val="nil"/>
              <w:right w:val="nil"/>
            </w:tcBorders>
            <w:shd w:val="clear" w:color="auto" w:fill="auto"/>
            <w:vAlign w:val="center"/>
          </w:tcPr>
          <w:p w14:paraId="22F8A740" w14:textId="77777777" w:rsidR="00067AD2" w:rsidRPr="007D4D8E" w:rsidRDefault="00001258">
            <w:pPr>
              <w:spacing w:line="240" w:lineRule="auto"/>
              <w:rPr>
                <w:sz w:val="16"/>
                <w:szCs w:val="16"/>
              </w:rPr>
            </w:pPr>
            <w:r w:rsidRPr="007D4D8E">
              <w:rPr>
                <w:sz w:val="16"/>
                <w:szCs w:val="16"/>
              </w:rPr>
              <w:t>Total No. of SNPs</w:t>
            </w:r>
          </w:p>
        </w:tc>
        <w:tc>
          <w:tcPr>
            <w:tcW w:w="1275" w:type="dxa"/>
            <w:vMerge w:val="restart"/>
            <w:tcBorders>
              <w:top w:val="single" w:sz="8" w:space="0" w:color="000000"/>
              <w:left w:val="nil"/>
              <w:right w:val="nil"/>
            </w:tcBorders>
            <w:shd w:val="clear" w:color="auto" w:fill="auto"/>
            <w:vAlign w:val="center"/>
          </w:tcPr>
          <w:p w14:paraId="22F8A741" w14:textId="77777777" w:rsidR="00067AD2" w:rsidRPr="007D4D8E" w:rsidRDefault="00001258">
            <w:pPr>
              <w:spacing w:line="240" w:lineRule="auto"/>
              <w:rPr>
                <w:sz w:val="16"/>
                <w:szCs w:val="16"/>
              </w:rPr>
            </w:pPr>
            <w:r w:rsidRPr="007D4D8E">
              <w:rPr>
                <w:sz w:val="16"/>
                <w:szCs w:val="16"/>
              </w:rPr>
              <w:t>No. of heterozygous sites</w:t>
            </w:r>
            <w:r w:rsidRPr="007D4D8E">
              <w:rPr>
                <w:sz w:val="16"/>
                <w:szCs w:val="16"/>
                <w:vertAlign w:val="superscript"/>
              </w:rPr>
              <w:t>b</w:t>
            </w:r>
          </w:p>
        </w:tc>
        <w:tc>
          <w:tcPr>
            <w:tcW w:w="1305" w:type="dxa"/>
            <w:vMerge w:val="restart"/>
            <w:tcBorders>
              <w:top w:val="single" w:sz="8" w:space="0" w:color="000000"/>
              <w:left w:val="nil"/>
              <w:right w:val="nil"/>
            </w:tcBorders>
            <w:shd w:val="clear" w:color="auto" w:fill="auto"/>
            <w:vAlign w:val="center"/>
          </w:tcPr>
          <w:p w14:paraId="22F8A742" w14:textId="77777777" w:rsidR="00067AD2" w:rsidRPr="007D4D8E" w:rsidRDefault="00001258">
            <w:pPr>
              <w:spacing w:line="240" w:lineRule="auto"/>
              <w:rPr>
                <w:sz w:val="16"/>
                <w:szCs w:val="16"/>
              </w:rPr>
            </w:pPr>
            <w:r w:rsidRPr="007D4D8E">
              <w:rPr>
                <w:sz w:val="16"/>
                <w:szCs w:val="16"/>
              </w:rPr>
              <w:t>No. of genes</w:t>
            </w:r>
            <w:r w:rsidRPr="007D4D8E">
              <w:rPr>
                <w:sz w:val="16"/>
                <w:szCs w:val="16"/>
                <w:vertAlign w:val="superscript"/>
              </w:rPr>
              <w:t>c</w:t>
            </w:r>
            <w:r w:rsidRPr="007D4D8E">
              <w:rPr>
                <w:sz w:val="16"/>
                <w:szCs w:val="16"/>
              </w:rPr>
              <w:t xml:space="preserve"> </w:t>
            </w:r>
          </w:p>
        </w:tc>
        <w:tc>
          <w:tcPr>
            <w:tcW w:w="6015" w:type="dxa"/>
            <w:gridSpan w:val="4"/>
            <w:tcBorders>
              <w:top w:val="single" w:sz="8" w:space="0" w:color="000000"/>
              <w:left w:val="nil"/>
              <w:right w:val="nil"/>
            </w:tcBorders>
            <w:shd w:val="clear" w:color="auto" w:fill="auto"/>
            <w:vAlign w:val="center"/>
          </w:tcPr>
          <w:p w14:paraId="22F8A743" w14:textId="77777777" w:rsidR="00067AD2" w:rsidRPr="007D4D8E" w:rsidRDefault="00001258">
            <w:pPr>
              <w:spacing w:line="240" w:lineRule="auto"/>
              <w:jc w:val="center"/>
              <w:rPr>
                <w:sz w:val="16"/>
                <w:szCs w:val="16"/>
              </w:rPr>
            </w:pPr>
            <w:r w:rsidRPr="007D4D8E">
              <w:rPr>
                <w:sz w:val="16"/>
                <w:szCs w:val="16"/>
              </w:rPr>
              <w:t>Gene model and putative function</w:t>
            </w:r>
            <w:r w:rsidRPr="007D4D8E">
              <w:rPr>
                <w:sz w:val="16"/>
                <w:szCs w:val="16"/>
                <w:vertAlign w:val="superscript"/>
              </w:rPr>
              <w:t>d</w:t>
            </w:r>
          </w:p>
        </w:tc>
      </w:tr>
      <w:tr w:rsidR="00067AD2" w:rsidRPr="007D4D8E" w14:paraId="22F8A74E" w14:textId="77777777">
        <w:trPr>
          <w:gridAfter w:val="1"/>
          <w:wAfter w:w="255" w:type="dxa"/>
          <w:trHeight w:val="486"/>
        </w:trPr>
        <w:tc>
          <w:tcPr>
            <w:tcW w:w="1650" w:type="dxa"/>
            <w:vMerge/>
            <w:tcBorders>
              <w:top w:val="single" w:sz="8" w:space="0" w:color="000000"/>
              <w:left w:val="nil"/>
              <w:right w:val="nil"/>
            </w:tcBorders>
            <w:shd w:val="clear" w:color="auto" w:fill="auto"/>
            <w:vAlign w:val="center"/>
          </w:tcPr>
          <w:p w14:paraId="22F8A745" w14:textId="77777777" w:rsidR="00067AD2" w:rsidRPr="007D4D8E" w:rsidRDefault="00067AD2">
            <w:pPr>
              <w:widowControl w:val="0"/>
              <w:rPr>
                <w:sz w:val="20"/>
                <w:szCs w:val="20"/>
              </w:rPr>
            </w:pPr>
          </w:p>
        </w:tc>
        <w:tc>
          <w:tcPr>
            <w:tcW w:w="750" w:type="dxa"/>
            <w:vMerge/>
            <w:tcBorders>
              <w:top w:val="single" w:sz="8" w:space="0" w:color="000000"/>
              <w:left w:val="nil"/>
              <w:right w:val="nil"/>
            </w:tcBorders>
            <w:shd w:val="clear" w:color="auto" w:fill="auto"/>
            <w:vAlign w:val="center"/>
          </w:tcPr>
          <w:p w14:paraId="22F8A746" w14:textId="77777777" w:rsidR="00067AD2" w:rsidRPr="007D4D8E" w:rsidRDefault="00067AD2">
            <w:pPr>
              <w:widowControl w:val="0"/>
              <w:rPr>
                <w:sz w:val="20"/>
                <w:szCs w:val="20"/>
              </w:rPr>
            </w:pPr>
          </w:p>
        </w:tc>
        <w:tc>
          <w:tcPr>
            <w:tcW w:w="1095" w:type="dxa"/>
            <w:vMerge/>
            <w:tcBorders>
              <w:top w:val="single" w:sz="8" w:space="0" w:color="000000"/>
              <w:left w:val="nil"/>
              <w:right w:val="nil"/>
            </w:tcBorders>
            <w:shd w:val="clear" w:color="auto" w:fill="auto"/>
            <w:vAlign w:val="center"/>
          </w:tcPr>
          <w:p w14:paraId="22F8A747" w14:textId="77777777" w:rsidR="00067AD2" w:rsidRPr="007D4D8E" w:rsidRDefault="00067AD2">
            <w:pPr>
              <w:widowControl w:val="0"/>
              <w:rPr>
                <w:sz w:val="20"/>
                <w:szCs w:val="20"/>
              </w:rPr>
            </w:pPr>
          </w:p>
        </w:tc>
        <w:tc>
          <w:tcPr>
            <w:tcW w:w="735" w:type="dxa"/>
            <w:vMerge/>
            <w:tcBorders>
              <w:top w:val="single" w:sz="8" w:space="0" w:color="000000"/>
              <w:left w:val="nil"/>
              <w:right w:val="nil"/>
            </w:tcBorders>
            <w:shd w:val="clear" w:color="auto" w:fill="auto"/>
            <w:vAlign w:val="center"/>
          </w:tcPr>
          <w:p w14:paraId="22F8A748" w14:textId="77777777" w:rsidR="00067AD2" w:rsidRPr="007D4D8E" w:rsidRDefault="00067AD2">
            <w:pPr>
              <w:widowControl w:val="0"/>
              <w:rPr>
                <w:sz w:val="20"/>
                <w:szCs w:val="20"/>
              </w:rPr>
            </w:pPr>
          </w:p>
        </w:tc>
        <w:tc>
          <w:tcPr>
            <w:tcW w:w="1275" w:type="dxa"/>
            <w:vMerge/>
            <w:tcBorders>
              <w:top w:val="single" w:sz="8" w:space="0" w:color="000000"/>
              <w:left w:val="nil"/>
              <w:right w:val="nil"/>
            </w:tcBorders>
            <w:shd w:val="clear" w:color="auto" w:fill="auto"/>
            <w:vAlign w:val="center"/>
          </w:tcPr>
          <w:p w14:paraId="22F8A749" w14:textId="77777777" w:rsidR="00067AD2" w:rsidRPr="007D4D8E" w:rsidRDefault="00067AD2">
            <w:pPr>
              <w:widowControl w:val="0"/>
              <w:rPr>
                <w:sz w:val="20"/>
                <w:szCs w:val="20"/>
              </w:rPr>
            </w:pPr>
          </w:p>
        </w:tc>
        <w:tc>
          <w:tcPr>
            <w:tcW w:w="1305" w:type="dxa"/>
            <w:vMerge/>
            <w:tcBorders>
              <w:top w:val="single" w:sz="8" w:space="0" w:color="000000"/>
              <w:left w:val="nil"/>
              <w:right w:val="nil"/>
            </w:tcBorders>
            <w:shd w:val="clear" w:color="auto" w:fill="auto"/>
            <w:vAlign w:val="center"/>
          </w:tcPr>
          <w:p w14:paraId="22F8A74A" w14:textId="77777777" w:rsidR="00067AD2" w:rsidRPr="007D4D8E" w:rsidRDefault="00067AD2">
            <w:pPr>
              <w:widowControl w:val="0"/>
              <w:rPr>
                <w:sz w:val="20"/>
                <w:szCs w:val="20"/>
              </w:rPr>
            </w:pPr>
          </w:p>
        </w:tc>
        <w:tc>
          <w:tcPr>
            <w:tcW w:w="1635" w:type="dxa"/>
            <w:tcBorders>
              <w:top w:val="single" w:sz="4" w:space="0" w:color="000000"/>
              <w:left w:val="nil"/>
              <w:bottom w:val="single" w:sz="4" w:space="0" w:color="000000"/>
              <w:right w:val="nil"/>
            </w:tcBorders>
            <w:shd w:val="clear" w:color="auto" w:fill="auto"/>
            <w:vAlign w:val="center"/>
          </w:tcPr>
          <w:p w14:paraId="22F8A74B" w14:textId="77777777" w:rsidR="00067AD2" w:rsidRPr="007D4D8E" w:rsidRDefault="00001258">
            <w:pPr>
              <w:spacing w:line="240" w:lineRule="auto"/>
              <w:rPr>
                <w:sz w:val="16"/>
                <w:szCs w:val="16"/>
              </w:rPr>
            </w:pPr>
            <w:r w:rsidRPr="007D4D8E">
              <w:rPr>
                <w:sz w:val="16"/>
                <w:szCs w:val="16"/>
              </w:rPr>
              <w:t>5-flanking region</w:t>
            </w:r>
          </w:p>
        </w:tc>
        <w:tc>
          <w:tcPr>
            <w:tcW w:w="1590" w:type="dxa"/>
            <w:gridSpan w:val="2"/>
            <w:tcBorders>
              <w:top w:val="single" w:sz="4" w:space="0" w:color="000000"/>
              <w:left w:val="nil"/>
              <w:bottom w:val="single" w:sz="4" w:space="0" w:color="000000"/>
              <w:right w:val="nil"/>
            </w:tcBorders>
            <w:shd w:val="clear" w:color="auto" w:fill="auto"/>
            <w:vAlign w:val="center"/>
          </w:tcPr>
          <w:p w14:paraId="22F8A74C" w14:textId="77777777" w:rsidR="00067AD2" w:rsidRPr="007D4D8E" w:rsidRDefault="00001258">
            <w:pPr>
              <w:spacing w:line="240" w:lineRule="auto"/>
              <w:rPr>
                <w:sz w:val="16"/>
                <w:szCs w:val="16"/>
              </w:rPr>
            </w:pPr>
            <w:r w:rsidRPr="007D4D8E">
              <w:rPr>
                <w:sz w:val="16"/>
                <w:szCs w:val="16"/>
              </w:rPr>
              <w:t>Region of interest</w:t>
            </w:r>
          </w:p>
        </w:tc>
        <w:tc>
          <w:tcPr>
            <w:tcW w:w="2790" w:type="dxa"/>
            <w:tcBorders>
              <w:top w:val="single" w:sz="4" w:space="0" w:color="000000"/>
              <w:left w:val="nil"/>
              <w:bottom w:val="single" w:sz="4" w:space="0" w:color="000000"/>
              <w:right w:val="nil"/>
            </w:tcBorders>
            <w:shd w:val="clear" w:color="auto" w:fill="auto"/>
            <w:vAlign w:val="center"/>
          </w:tcPr>
          <w:p w14:paraId="22F8A74D" w14:textId="77777777" w:rsidR="00067AD2" w:rsidRPr="007D4D8E" w:rsidRDefault="00001258">
            <w:pPr>
              <w:spacing w:line="240" w:lineRule="auto"/>
              <w:rPr>
                <w:sz w:val="16"/>
                <w:szCs w:val="16"/>
              </w:rPr>
            </w:pPr>
            <w:r w:rsidRPr="007D4D8E">
              <w:rPr>
                <w:sz w:val="16"/>
                <w:szCs w:val="16"/>
              </w:rPr>
              <w:t>3’-flanking region</w:t>
            </w:r>
          </w:p>
        </w:tc>
      </w:tr>
      <w:tr w:rsidR="00067AD2" w:rsidRPr="007D4D8E" w14:paraId="22F8A75B" w14:textId="77777777">
        <w:tc>
          <w:tcPr>
            <w:tcW w:w="1650" w:type="dxa"/>
            <w:tcBorders>
              <w:top w:val="single" w:sz="4" w:space="0" w:color="000000"/>
              <w:left w:val="nil"/>
              <w:bottom w:val="nil"/>
              <w:right w:val="nil"/>
            </w:tcBorders>
            <w:shd w:val="clear" w:color="auto" w:fill="auto"/>
            <w:vAlign w:val="center"/>
          </w:tcPr>
          <w:p w14:paraId="22F8A74F" w14:textId="77777777" w:rsidR="00067AD2" w:rsidRPr="007D4D8E" w:rsidRDefault="00001258">
            <w:pPr>
              <w:spacing w:line="240" w:lineRule="auto"/>
              <w:rPr>
                <w:sz w:val="16"/>
                <w:szCs w:val="16"/>
              </w:rPr>
            </w:pPr>
            <w:r w:rsidRPr="007D4D8E">
              <w:rPr>
                <w:sz w:val="16"/>
                <w:szCs w:val="16"/>
              </w:rPr>
              <w:t>Phyram_PR-102_s0004:</w:t>
            </w:r>
          </w:p>
          <w:p w14:paraId="22F8A750" w14:textId="77777777" w:rsidR="00067AD2" w:rsidRPr="007D4D8E" w:rsidRDefault="00001258">
            <w:pPr>
              <w:spacing w:line="240" w:lineRule="auto"/>
              <w:rPr>
                <w:sz w:val="16"/>
                <w:szCs w:val="16"/>
              </w:rPr>
            </w:pPr>
            <w:r w:rsidRPr="007D4D8E">
              <w:rPr>
                <w:sz w:val="16"/>
                <w:szCs w:val="16"/>
              </w:rPr>
              <w:t>2,193,974-2,213,187</w:t>
            </w:r>
          </w:p>
        </w:tc>
        <w:tc>
          <w:tcPr>
            <w:tcW w:w="750" w:type="dxa"/>
            <w:tcBorders>
              <w:top w:val="single" w:sz="4" w:space="0" w:color="000000"/>
              <w:left w:val="nil"/>
              <w:bottom w:val="nil"/>
              <w:right w:val="nil"/>
            </w:tcBorders>
            <w:shd w:val="clear" w:color="auto" w:fill="auto"/>
            <w:vAlign w:val="center"/>
          </w:tcPr>
          <w:p w14:paraId="22F8A751" w14:textId="77777777" w:rsidR="00067AD2" w:rsidRPr="007D4D8E" w:rsidRDefault="00001258">
            <w:pPr>
              <w:spacing w:line="240" w:lineRule="auto"/>
              <w:rPr>
                <w:sz w:val="16"/>
                <w:szCs w:val="16"/>
              </w:rPr>
            </w:pPr>
            <w:r w:rsidRPr="007D4D8E">
              <w:rPr>
                <w:sz w:val="16"/>
                <w:szCs w:val="16"/>
              </w:rPr>
              <w:t>18,309</w:t>
            </w:r>
          </w:p>
        </w:tc>
        <w:tc>
          <w:tcPr>
            <w:tcW w:w="1095" w:type="dxa"/>
            <w:tcBorders>
              <w:top w:val="single" w:sz="4" w:space="0" w:color="000000"/>
              <w:left w:val="nil"/>
              <w:bottom w:val="nil"/>
              <w:right w:val="nil"/>
            </w:tcBorders>
            <w:shd w:val="clear" w:color="auto" w:fill="auto"/>
            <w:vAlign w:val="center"/>
          </w:tcPr>
          <w:p w14:paraId="22F8A752" w14:textId="77777777" w:rsidR="00067AD2" w:rsidRPr="007D4D8E" w:rsidRDefault="00001258">
            <w:pPr>
              <w:spacing w:line="240" w:lineRule="auto"/>
              <w:rPr>
                <w:sz w:val="16"/>
                <w:szCs w:val="16"/>
              </w:rPr>
            </w:pPr>
            <w:r w:rsidRPr="007D4D8E">
              <w:rPr>
                <w:sz w:val="16"/>
                <w:szCs w:val="16"/>
              </w:rPr>
              <w:t>82</w:t>
            </w:r>
          </w:p>
        </w:tc>
        <w:tc>
          <w:tcPr>
            <w:tcW w:w="735" w:type="dxa"/>
            <w:tcBorders>
              <w:top w:val="single" w:sz="4" w:space="0" w:color="000000"/>
              <w:left w:val="nil"/>
              <w:bottom w:val="nil"/>
              <w:right w:val="nil"/>
            </w:tcBorders>
            <w:shd w:val="clear" w:color="auto" w:fill="auto"/>
            <w:vAlign w:val="center"/>
          </w:tcPr>
          <w:p w14:paraId="22F8A753" w14:textId="77777777" w:rsidR="00067AD2" w:rsidRPr="007D4D8E" w:rsidRDefault="00001258">
            <w:pPr>
              <w:spacing w:line="240" w:lineRule="auto"/>
              <w:rPr>
                <w:sz w:val="16"/>
                <w:szCs w:val="16"/>
              </w:rPr>
            </w:pPr>
            <w:r w:rsidRPr="007D4D8E">
              <w:rPr>
                <w:sz w:val="16"/>
                <w:szCs w:val="16"/>
              </w:rPr>
              <w:t>93</w:t>
            </w:r>
          </w:p>
        </w:tc>
        <w:tc>
          <w:tcPr>
            <w:tcW w:w="1275" w:type="dxa"/>
            <w:tcBorders>
              <w:top w:val="single" w:sz="4" w:space="0" w:color="000000"/>
              <w:left w:val="nil"/>
              <w:bottom w:val="nil"/>
              <w:right w:val="nil"/>
            </w:tcBorders>
            <w:shd w:val="clear" w:color="auto" w:fill="auto"/>
            <w:vAlign w:val="center"/>
          </w:tcPr>
          <w:p w14:paraId="22F8A754" w14:textId="77777777" w:rsidR="00067AD2" w:rsidRPr="007D4D8E" w:rsidRDefault="00001258">
            <w:pPr>
              <w:spacing w:line="240" w:lineRule="auto"/>
              <w:rPr>
                <w:sz w:val="16"/>
                <w:szCs w:val="16"/>
              </w:rPr>
            </w:pPr>
            <w:r w:rsidRPr="007D4D8E">
              <w:rPr>
                <w:sz w:val="16"/>
                <w:szCs w:val="16"/>
              </w:rPr>
              <w:t xml:space="preserve">0 </w:t>
            </w:r>
          </w:p>
          <w:p w14:paraId="22F8A755" w14:textId="77777777" w:rsidR="00067AD2" w:rsidRPr="007D4D8E" w:rsidRDefault="00001258">
            <w:pPr>
              <w:spacing w:line="240" w:lineRule="auto"/>
              <w:rPr>
                <w:sz w:val="16"/>
                <w:szCs w:val="16"/>
              </w:rPr>
            </w:pPr>
            <w:r w:rsidRPr="007D4D8E">
              <w:rPr>
                <w:sz w:val="16"/>
                <w:szCs w:val="16"/>
              </w:rPr>
              <w:t>(82; p &lt; 0.001)</w:t>
            </w:r>
          </w:p>
        </w:tc>
        <w:tc>
          <w:tcPr>
            <w:tcW w:w="1305" w:type="dxa"/>
            <w:tcBorders>
              <w:top w:val="single" w:sz="4" w:space="0" w:color="000000"/>
              <w:left w:val="nil"/>
              <w:bottom w:val="nil"/>
              <w:right w:val="nil"/>
            </w:tcBorders>
            <w:shd w:val="clear" w:color="auto" w:fill="auto"/>
            <w:vAlign w:val="center"/>
          </w:tcPr>
          <w:p w14:paraId="22F8A756" w14:textId="77777777" w:rsidR="00067AD2" w:rsidRPr="007D4D8E" w:rsidRDefault="00001258">
            <w:pPr>
              <w:spacing w:line="240" w:lineRule="auto"/>
              <w:rPr>
                <w:sz w:val="16"/>
                <w:szCs w:val="16"/>
              </w:rPr>
            </w:pPr>
            <w:r w:rsidRPr="007D4D8E">
              <w:rPr>
                <w:sz w:val="16"/>
                <w:szCs w:val="16"/>
              </w:rPr>
              <w:t xml:space="preserve">0 </w:t>
            </w:r>
          </w:p>
          <w:p w14:paraId="22F8A757" w14:textId="77777777" w:rsidR="00067AD2" w:rsidRPr="007D4D8E" w:rsidRDefault="00001258">
            <w:pPr>
              <w:spacing w:line="240" w:lineRule="auto"/>
              <w:rPr>
                <w:sz w:val="16"/>
                <w:szCs w:val="16"/>
              </w:rPr>
            </w:pPr>
            <w:r w:rsidRPr="007D4D8E">
              <w:rPr>
                <w:sz w:val="16"/>
                <w:szCs w:val="16"/>
              </w:rPr>
              <w:t xml:space="preserve">(4; </w:t>
            </w:r>
            <w:r w:rsidRPr="007D4D8E">
              <w:rPr>
                <w:i/>
                <w:sz w:val="16"/>
                <w:szCs w:val="16"/>
              </w:rPr>
              <w:t xml:space="preserve">p </w:t>
            </w:r>
            <w:r w:rsidRPr="007D4D8E">
              <w:rPr>
                <w:sz w:val="16"/>
                <w:szCs w:val="16"/>
              </w:rPr>
              <w:t>&lt; 0.001)</w:t>
            </w:r>
          </w:p>
        </w:tc>
        <w:tc>
          <w:tcPr>
            <w:tcW w:w="1635" w:type="dxa"/>
            <w:tcBorders>
              <w:top w:val="single" w:sz="4" w:space="0" w:color="000000"/>
              <w:left w:val="nil"/>
              <w:bottom w:val="nil"/>
              <w:right w:val="nil"/>
            </w:tcBorders>
            <w:shd w:val="clear" w:color="auto" w:fill="auto"/>
            <w:vAlign w:val="center"/>
          </w:tcPr>
          <w:p w14:paraId="22F8A758" w14:textId="77777777" w:rsidR="00067AD2" w:rsidRPr="007D4D8E" w:rsidRDefault="00001258">
            <w:pPr>
              <w:spacing w:line="240" w:lineRule="auto"/>
              <w:rPr>
                <w:sz w:val="16"/>
                <w:szCs w:val="16"/>
              </w:rPr>
            </w:pPr>
            <w:r w:rsidRPr="007D4D8E">
              <w:rPr>
                <w:sz w:val="16"/>
                <w:szCs w:val="16"/>
              </w:rPr>
              <w:t>Carbohydrate-binding protein</w:t>
            </w:r>
          </w:p>
        </w:tc>
        <w:tc>
          <w:tcPr>
            <w:tcW w:w="1485" w:type="dxa"/>
            <w:tcBorders>
              <w:top w:val="single" w:sz="4" w:space="0" w:color="000000"/>
              <w:left w:val="nil"/>
              <w:bottom w:val="nil"/>
              <w:right w:val="nil"/>
            </w:tcBorders>
            <w:shd w:val="clear" w:color="auto" w:fill="auto"/>
            <w:vAlign w:val="center"/>
          </w:tcPr>
          <w:p w14:paraId="22F8A759" w14:textId="77777777" w:rsidR="00067AD2" w:rsidRPr="007D4D8E" w:rsidRDefault="00001258">
            <w:pPr>
              <w:spacing w:line="240" w:lineRule="auto"/>
              <w:rPr>
                <w:sz w:val="16"/>
                <w:szCs w:val="16"/>
              </w:rPr>
            </w:pPr>
            <w:r w:rsidRPr="007D4D8E">
              <w:rPr>
                <w:sz w:val="16"/>
                <w:szCs w:val="16"/>
              </w:rPr>
              <w:t>-</w:t>
            </w:r>
          </w:p>
        </w:tc>
        <w:tc>
          <w:tcPr>
            <w:tcW w:w="3150" w:type="dxa"/>
            <w:gridSpan w:val="3"/>
            <w:tcBorders>
              <w:top w:val="single" w:sz="4" w:space="0" w:color="000000"/>
              <w:left w:val="nil"/>
              <w:bottom w:val="nil"/>
              <w:right w:val="nil"/>
            </w:tcBorders>
            <w:shd w:val="clear" w:color="auto" w:fill="auto"/>
            <w:vAlign w:val="center"/>
          </w:tcPr>
          <w:p w14:paraId="22F8A75A" w14:textId="77777777" w:rsidR="00067AD2" w:rsidRPr="007D4D8E" w:rsidRDefault="00001258">
            <w:pPr>
              <w:spacing w:line="240" w:lineRule="auto"/>
              <w:rPr>
                <w:sz w:val="16"/>
                <w:szCs w:val="16"/>
              </w:rPr>
            </w:pPr>
            <w:r w:rsidRPr="007D4D8E">
              <w:rPr>
                <w:sz w:val="16"/>
                <w:szCs w:val="16"/>
              </w:rPr>
              <w:t>Carbohydrate-binding protein</w:t>
            </w:r>
          </w:p>
        </w:tc>
      </w:tr>
      <w:tr w:rsidR="00067AD2" w:rsidRPr="007D4D8E" w14:paraId="22F8A768" w14:textId="77777777">
        <w:trPr>
          <w:trHeight w:val="1020"/>
        </w:trPr>
        <w:tc>
          <w:tcPr>
            <w:tcW w:w="1650" w:type="dxa"/>
            <w:tcBorders>
              <w:top w:val="nil"/>
              <w:left w:val="nil"/>
              <w:bottom w:val="nil"/>
              <w:right w:val="nil"/>
            </w:tcBorders>
            <w:shd w:val="clear" w:color="auto" w:fill="auto"/>
            <w:vAlign w:val="center"/>
          </w:tcPr>
          <w:p w14:paraId="22F8A75C" w14:textId="77777777" w:rsidR="00067AD2" w:rsidRPr="007D4D8E" w:rsidRDefault="00001258">
            <w:pPr>
              <w:spacing w:line="240" w:lineRule="auto"/>
              <w:rPr>
                <w:sz w:val="16"/>
                <w:szCs w:val="16"/>
              </w:rPr>
            </w:pPr>
            <w:r w:rsidRPr="007D4D8E">
              <w:rPr>
                <w:sz w:val="16"/>
                <w:szCs w:val="16"/>
              </w:rPr>
              <w:t>Phyram_PR-102_s0001:</w:t>
            </w:r>
          </w:p>
          <w:p w14:paraId="22F8A75D" w14:textId="77777777" w:rsidR="00067AD2" w:rsidRPr="007D4D8E" w:rsidRDefault="00001258">
            <w:pPr>
              <w:spacing w:line="240" w:lineRule="auto"/>
              <w:rPr>
                <w:sz w:val="16"/>
                <w:szCs w:val="16"/>
              </w:rPr>
            </w:pPr>
            <w:r w:rsidRPr="007D4D8E">
              <w:rPr>
                <w:sz w:val="16"/>
                <w:szCs w:val="16"/>
              </w:rPr>
              <w:t>3,197,107-3,260,781</w:t>
            </w:r>
          </w:p>
        </w:tc>
        <w:tc>
          <w:tcPr>
            <w:tcW w:w="750" w:type="dxa"/>
            <w:tcBorders>
              <w:top w:val="nil"/>
              <w:left w:val="nil"/>
              <w:bottom w:val="nil"/>
              <w:right w:val="nil"/>
            </w:tcBorders>
            <w:shd w:val="clear" w:color="auto" w:fill="auto"/>
            <w:vAlign w:val="center"/>
          </w:tcPr>
          <w:p w14:paraId="22F8A75E" w14:textId="77777777" w:rsidR="00067AD2" w:rsidRPr="007D4D8E" w:rsidRDefault="00001258">
            <w:pPr>
              <w:spacing w:line="240" w:lineRule="auto"/>
              <w:rPr>
                <w:sz w:val="16"/>
                <w:szCs w:val="16"/>
              </w:rPr>
            </w:pPr>
            <w:r w:rsidRPr="007D4D8E">
              <w:rPr>
                <w:sz w:val="16"/>
                <w:szCs w:val="16"/>
              </w:rPr>
              <w:t>33,637</w:t>
            </w:r>
          </w:p>
        </w:tc>
        <w:tc>
          <w:tcPr>
            <w:tcW w:w="1095" w:type="dxa"/>
            <w:tcBorders>
              <w:top w:val="nil"/>
              <w:left w:val="nil"/>
              <w:bottom w:val="nil"/>
              <w:right w:val="nil"/>
            </w:tcBorders>
            <w:shd w:val="clear" w:color="auto" w:fill="auto"/>
            <w:vAlign w:val="center"/>
          </w:tcPr>
          <w:p w14:paraId="22F8A75F" w14:textId="77777777" w:rsidR="00067AD2" w:rsidRPr="007D4D8E" w:rsidRDefault="00001258">
            <w:pPr>
              <w:spacing w:line="240" w:lineRule="auto"/>
              <w:rPr>
                <w:sz w:val="16"/>
                <w:szCs w:val="16"/>
              </w:rPr>
            </w:pPr>
            <w:r w:rsidRPr="007D4D8E">
              <w:rPr>
                <w:sz w:val="16"/>
                <w:szCs w:val="16"/>
              </w:rPr>
              <w:t>55</w:t>
            </w:r>
          </w:p>
        </w:tc>
        <w:tc>
          <w:tcPr>
            <w:tcW w:w="735" w:type="dxa"/>
            <w:tcBorders>
              <w:top w:val="nil"/>
              <w:left w:val="nil"/>
              <w:bottom w:val="nil"/>
              <w:right w:val="nil"/>
            </w:tcBorders>
            <w:shd w:val="clear" w:color="auto" w:fill="auto"/>
            <w:vAlign w:val="center"/>
          </w:tcPr>
          <w:p w14:paraId="22F8A760" w14:textId="77777777" w:rsidR="00067AD2" w:rsidRPr="007D4D8E" w:rsidRDefault="00001258">
            <w:pPr>
              <w:spacing w:line="240" w:lineRule="auto"/>
              <w:rPr>
                <w:sz w:val="16"/>
                <w:szCs w:val="16"/>
              </w:rPr>
            </w:pPr>
            <w:r w:rsidRPr="007D4D8E">
              <w:rPr>
                <w:sz w:val="16"/>
                <w:szCs w:val="16"/>
              </w:rPr>
              <w:t>61</w:t>
            </w:r>
          </w:p>
        </w:tc>
        <w:tc>
          <w:tcPr>
            <w:tcW w:w="1275" w:type="dxa"/>
            <w:tcBorders>
              <w:top w:val="nil"/>
              <w:left w:val="nil"/>
              <w:bottom w:val="nil"/>
              <w:right w:val="nil"/>
            </w:tcBorders>
            <w:shd w:val="clear" w:color="auto" w:fill="auto"/>
            <w:vAlign w:val="center"/>
          </w:tcPr>
          <w:p w14:paraId="22F8A761" w14:textId="77777777" w:rsidR="00067AD2" w:rsidRPr="007D4D8E" w:rsidRDefault="00001258">
            <w:pPr>
              <w:spacing w:line="240" w:lineRule="auto"/>
              <w:rPr>
                <w:sz w:val="16"/>
                <w:szCs w:val="16"/>
              </w:rPr>
            </w:pPr>
            <w:r w:rsidRPr="007D4D8E">
              <w:rPr>
                <w:sz w:val="16"/>
                <w:szCs w:val="16"/>
              </w:rPr>
              <w:t xml:space="preserve">0 </w:t>
            </w:r>
          </w:p>
          <w:p w14:paraId="22F8A762" w14:textId="77777777" w:rsidR="00067AD2" w:rsidRPr="007D4D8E" w:rsidRDefault="00001258">
            <w:pPr>
              <w:spacing w:line="240" w:lineRule="auto"/>
              <w:rPr>
                <w:sz w:val="16"/>
                <w:szCs w:val="16"/>
              </w:rPr>
            </w:pPr>
            <w:r w:rsidRPr="007D4D8E">
              <w:rPr>
                <w:sz w:val="16"/>
                <w:szCs w:val="16"/>
              </w:rPr>
              <w:t xml:space="preserve">(140; </w:t>
            </w:r>
            <w:r w:rsidRPr="007D4D8E">
              <w:rPr>
                <w:i/>
                <w:sz w:val="16"/>
                <w:szCs w:val="16"/>
              </w:rPr>
              <w:t>p</w:t>
            </w:r>
            <w:r w:rsidRPr="007D4D8E">
              <w:rPr>
                <w:sz w:val="16"/>
                <w:szCs w:val="16"/>
              </w:rPr>
              <w:t xml:space="preserve"> &lt; 0.001)</w:t>
            </w:r>
          </w:p>
        </w:tc>
        <w:tc>
          <w:tcPr>
            <w:tcW w:w="1305" w:type="dxa"/>
            <w:tcBorders>
              <w:top w:val="nil"/>
              <w:left w:val="nil"/>
              <w:bottom w:val="nil"/>
              <w:right w:val="nil"/>
            </w:tcBorders>
            <w:shd w:val="clear" w:color="auto" w:fill="auto"/>
            <w:vAlign w:val="center"/>
          </w:tcPr>
          <w:p w14:paraId="22F8A763" w14:textId="77777777" w:rsidR="00067AD2" w:rsidRPr="007D4D8E" w:rsidRDefault="00001258">
            <w:pPr>
              <w:spacing w:line="240" w:lineRule="auto"/>
              <w:rPr>
                <w:sz w:val="16"/>
                <w:szCs w:val="16"/>
              </w:rPr>
            </w:pPr>
            <w:r w:rsidRPr="007D4D8E">
              <w:rPr>
                <w:sz w:val="16"/>
                <w:szCs w:val="16"/>
              </w:rPr>
              <w:t xml:space="preserve">2 </w:t>
            </w:r>
          </w:p>
          <w:p w14:paraId="22F8A764" w14:textId="77777777" w:rsidR="00067AD2" w:rsidRPr="007D4D8E" w:rsidRDefault="00001258">
            <w:pPr>
              <w:spacing w:line="240" w:lineRule="auto"/>
              <w:rPr>
                <w:sz w:val="16"/>
                <w:szCs w:val="16"/>
              </w:rPr>
            </w:pPr>
            <w:r w:rsidRPr="007D4D8E">
              <w:rPr>
                <w:sz w:val="16"/>
                <w:szCs w:val="16"/>
              </w:rPr>
              <w:t xml:space="preserve">(7; </w:t>
            </w:r>
            <w:r w:rsidRPr="007D4D8E">
              <w:rPr>
                <w:i/>
                <w:sz w:val="16"/>
                <w:szCs w:val="16"/>
              </w:rPr>
              <w:t xml:space="preserve">p </w:t>
            </w:r>
            <w:r w:rsidRPr="007D4D8E">
              <w:rPr>
                <w:sz w:val="16"/>
                <w:szCs w:val="16"/>
              </w:rPr>
              <w:t>&lt; 0.001)</w:t>
            </w:r>
          </w:p>
        </w:tc>
        <w:tc>
          <w:tcPr>
            <w:tcW w:w="1635" w:type="dxa"/>
            <w:tcBorders>
              <w:top w:val="nil"/>
              <w:left w:val="nil"/>
              <w:bottom w:val="nil"/>
              <w:right w:val="nil"/>
            </w:tcBorders>
            <w:shd w:val="clear" w:color="auto" w:fill="auto"/>
            <w:vAlign w:val="center"/>
          </w:tcPr>
          <w:p w14:paraId="22F8A765" w14:textId="77777777" w:rsidR="00067AD2" w:rsidRPr="007D4D8E" w:rsidRDefault="00001258">
            <w:pPr>
              <w:spacing w:line="240" w:lineRule="auto"/>
              <w:rPr>
                <w:sz w:val="16"/>
                <w:szCs w:val="16"/>
              </w:rPr>
            </w:pPr>
            <w:r w:rsidRPr="007D4D8E">
              <w:rPr>
                <w:sz w:val="16"/>
                <w:szCs w:val="16"/>
              </w:rPr>
              <w:t>Flavin oxidoreductase</w:t>
            </w:r>
          </w:p>
        </w:tc>
        <w:tc>
          <w:tcPr>
            <w:tcW w:w="1485" w:type="dxa"/>
            <w:tcBorders>
              <w:top w:val="nil"/>
              <w:left w:val="nil"/>
              <w:bottom w:val="nil"/>
              <w:right w:val="nil"/>
            </w:tcBorders>
            <w:shd w:val="clear" w:color="auto" w:fill="auto"/>
            <w:vAlign w:val="center"/>
          </w:tcPr>
          <w:p w14:paraId="22F8A766" w14:textId="77777777" w:rsidR="00067AD2" w:rsidRPr="007D4D8E" w:rsidRDefault="00001258">
            <w:pPr>
              <w:spacing w:line="240" w:lineRule="auto"/>
              <w:rPr>
                <w:sz w:val="16"/>
                <w:szCs w:val="16"/>
              </w:rPr>
            </w:pPr>
            <w:r w:rsidRPr="007D4D8E">
              <w:rPr>
                <w:b/>
                <w:sz w:val="16"/>
                <w:szCs w:val="16"/>
              </w:rPr>
              <w:t>DNA binding protein</w:t>
            </w:r>
            <w:r w:rsidRPr="007D4D8E">
              <w:rPr>
                <w:sz w:val="16"/>
                <w:szCs w:val="16"/>
              </w:rPr>
              <w:t>, Hypothetical protein</w:t>
            </w:r>
          </w:p>
        </w:tc>
        <w:tc>
          <w:tcPr>
            <w:tcW w:w="3150" w:type="dxa"/>
            <w:gridSpan w:val="3"/>
            <w:tcBorders>
              <w:top w:val="nil"/>
              <w:left w:val="nil"/>
              <w:bottom w:val="nil"/>
              <w:right w:val="nil"/>
            </w:tcBorders>
            <w:shd w:val="clear" w:color="auto" w:fill="auto"/>
            <w:vAlign w:val="center"/>
          </w:tcPr>
          <w:p w14:paraId="22F8A767" w14:textId="77777777" w:rsidR="00067AD2" w:rsidRPr="007D4D8E" w:rsidRDefault="00001258">
            <w:pPr>
              <w:spacing w:line="240" w:lineRule="auto"/>
              <w:rPr>
                <w:sz w:val="16"/>
                <w:szCs w:val="16"/>
              </w:rPr>
            </w:pPr>
            <w:r w:rsidRPr="007D4D8E">
              <w:rPr>
                <w:sz w:val="16"/>
                <w:szCs w:val="16"/>
              </w:rPr>
              <w:t>Ubiquitin-specific protease</w:t>
            </w:r>
          </w:p>
        </w:tc>
      </w:tr>
      <w:tr w:rsidR="00067AD2" w:rsidRPr="007D4D8E" w14:paraId="22F8A775" w14:textId="77777777">
        <w:tc>
          <w:tcPr>
            <w:tcW w:w="1650" w:type="dxa"/>
            <w:tcBorders>
              <w:top w:val="nil"/>
              <w:left w:val="nil"/>
              <w:bottom w:val="nil"/>
              <w:right w:val="nil"/>
            </w:tcBorders>
            <w:shd w:val="clear" w:color="auto" w:fill="auto"/>
            <w:vAlign w:val="center"/>
          </w:tcPr>
          <w:p w14:paraId="22F8A769" w14:textId="77777777" w:rsidR="00067AD2" w:rsidRPr="007D4D8E" w:rsidRDefault="00001258">
            <w:pPr>
              <w:spacing w:line="240" w:lineRule="auto"/>
              <w:rPr>
                <w:sz w:val="16"/>
                <w:szCs w:val="16"/>
              </w:rPr>
            </w:pPr>
            <w:r w:rsidRPr="007D4D8E">
              <w:rPr>
                <w:sz w:val="16"/>
                <w:szCs w:val="16"/>
              </w:rPr>
              <w:t>Phyram_PR-102_s0010:</w:t>
            </w:r>
          </w:p>
          <w:p w14:paraId="22F8A76A" w14:textId="77777777" w:rsidR="00067AD2" w:rsidRPr="007D4D8E" w:rsidRDefault="00001258">
            <w:pPr>
              <w:spacing w:line="240" w:lineRule="auto"/>
              <w:rPr>
                <w:sz w:val="16"/>
                <w:szCs w:val="16"/>
              </w:rPr>
            </w:pPr>
            <w:r w:rsidRPr="007D4D8E">
              <w:rPr>
                <w:sz w:val="16"/>
                <w:szCs w:val="16"/>
              </w:rPr>
              <w:t>1,124,548-1,169,435</w:t>
            </w:r>
          </w:p>
        </w:tc>
        <w:tc>
          <w:tcPr>
            <w:tcW w:w="750" w:type="dxa"/>
            <w:tcBorders>
              <w:top w:val="nil"/>
              <w:left w:val="nil"/>
              <w:bottom w:val="nil"/>
              <w:right w:val="nil"/>
            </w:tcBorders>
            <w:shd w:val="clear" w:color="auto" w:fill="auto"/>
            <w:vAlign w:val="center"/>
          </w:tcPr>
          <w:p w14:paraId="22F8A76B" w14:textId="77777777" w:rsidR="00067AD2" w:rsidRPr="007D4D8E" w:rsidRDefault="00001258">
            <w:pPr>
              <w:spacing w:line="240" w:lineRule="auto"/>
              <w:rPr>
                <w:sz w:val="16"/>
                <w:szCs w:val="16"/>
              </w:rPr>
            </w:pPr>
            <w:r w:rsidRPr="007D4D8E">
              <w:rPr>
                <w:sz w:val="16"/>
                <w:szCs w:val="16"/>
              </w:rPr>
              <w:t>35,120</w:t>
            </w:r>
          </w:p>
        </w:tc>
        <w:tc>
          <w:tcPr>
            <w:tcW w:w="1095" w:type="dxa"/>
            <w:tcBorders>
              <w:top w:val="nil"/>
              <w:left w:val="nil"/>
              <w:bottom w:val="nil"/>
              <w:right w:val="nil"/>
            </w:tcBorders>
            <w:shd w:val="clear" w:color="auto" w:fill="auto"/>
            <w:vAlign w:val="center"/>
          </w:tcPr>
          <w:p w14:paraId="22F8A76C" w14:textId="77777777" w:rsidR="00067AD2" w:rsidRPr="007D4D8E" w:rsidRDefault="00001258">
            <w:pPr>
              <w:spacing w:line="240" w:lineRule="auto"/>
              <w:rPr>
                <w:sz w:val="16"/>
                <w:szCs w:val="16"/>
              </w:rPr>
            </w:pPr>
            <w:r w:rsidRPr="007D4D8E">
              <w:rPr>
                <w:sz w:val="16"/>
                <w:szCs w:val="16"/>
              </w:rPr>
              <w:t>42</w:t>
            </w:r>
          </w:p>
        </w:tc>
        <w:tc>
          <w:tcPr>
            <w:tcW w:w="735" w:type="dxa"/>
            <w:tcBorders>
              <w:top w:val="nil"/>
              <w:left w:val="nil"/>
              <w:bottom w:val="nil"/>
              <w:right w:val="nil"/>
            </w:tcBorders>
            <w:shd w:val="clear" w:color="auto" w:fill="auto"/>
            <w:vAlign w:val="center"/>
          </w:tcPr>
          <w:p w14:paraId="22F8A76D" w14:textId="77777777" w:rsidR="00067AD2" w:rsidRPr="007D4D8E" w:rsidRDefault="00001258">
            <w:pPr>
              <w:spacing w:line="240" w:lineRule="auto"/>
              <w:rPr>
                <w:sz w:val="16"/>
                <w:szCs w:val="16"/>
              </w:rPr>
            </w:pPr>
            <w:r w:rsidRPr="007D4D8E">
              <w:rPr>
                <w:sz w:val="16"/>
                <w:szCs w:val="16"/>
              </w:rPr>
              <w:t>121</w:t>
            </w:r>
          </w:p>
        </w:tc>
        <w:tc>
          <w:tcPr>
            <w:tcW w:w="1275" w:type="dxa"/>
            <w:tcBorders>
              <w:top w:val="nil"/>
              <w:left w:val="nil"/>
              <w:bottom w:val="nil"/>
              <w:right w:val="nil"/>
            </w:tcBorders>
            <w:shd w:val="clear" w:color="auto" w:fill="auto"/>
            <w:vAlign w:val="center"/>
          </w:tcPr>
          <w:p w14:paraId="22F8A76E" w14:textId="77777777" w:rsidR="00067AD2" w:rsidRPr="007D4D8E" w:rsidRDefault="00001258">
            <w:pPr>
              <w:spacing w:line="240" w:lineRule="auto"/>
              <w:rPr>
                <w:sz w:val="16"/>
                <w:szCs w:val="16"/>
              </w:rPr>
            </w:pPr>
            <w:r w:rsidRPr="007D4D8E">
              <w:rPr>
                <w:sz w:val="16"/>
                <w:szCs w:val="16"/>
              </w:rPr>
              <w:t xml:space="preserve">0 </w:t>
            </w:r>
          </w:p>
          <w:p w14:paraId="22F8A76F" w14:textId="77777777" w:rsidR="00067AD2" w:rsidRPr="007D4D8E" w:rsidRDefault="00001258">
            <w:pPr>
              <w:spacing w:line="240" w:lineRule="auto"/>
              <w:rPr>
                <w:sz w:val="16"/>
                <w:szCs w:val="16"/>
              </w:rPr>
            </w:pPr>
            <w:r w:rsidRPr="007D4D8E">
              <w:rPr>
                <w:sz w:val="16"/>
                <w:szCs w:val="16"/>
              </w:rPr>
              <w:t xml:space="preserve">(151; </w:t>
            </w:r>
            <w:r w:rsidRPr="007D4D8E">
              <w:rPr>
                <w:i/>
                <w:sz w:val="16"/>
                <w:szCs w:val="16"/>
              </w:rPr>
              <w:t>p</w:t>
            </w:r>
            <w:r w:rsidRPr="007D4D8E">
              <w:rPr>
                <w:sz w:val="16"/>
                <w:szCs w:val="16"/>
              </w:rPr>
              <w:t xml:space="preserve"> &lt; 0.001)</w:t>
            </w:r>
          </w:p>
        </w:tc>
        <w:tc>
          <w:tcPr>
            <w:tcW w:w="1305" w:type="dxa"/>
            <w:tcBorders>
              <w:top w:val="nil"/>
              <w:left w:val="nil"/>
              <w:bottom w:val="nil"/>
              <w:right w:val="nil"/>
            </w:tcBorders>
            <w:shd w:val="clear" w:color="auto" w:fill="auto"/>
            <w:vAlign w:val="center"/>
          </w:tcPr>
          <w:p w14:paraId="22F8A770" w14:textId="77777777" w:rsidR="00067AD2" w:rsidRPr="007D4D8E" w:rsidRDefault="00001258">
            <w:pPr>
              <w:spacing w:line="240" w:lineRule="auto"/>
              <w:rPr>
                <w:sz w:val="16"/>
                <w:szCs w:val="16"/>
              </w:rPr>
            </w:pPr>
            <w:r w:rsidRPr="007D4D8E">
              <w:rPr>
                <w:sz w:val="16"/>
                <w:szCs w:val="16"/>
              </w:rPr>
              <w:t xml:space="preserve">2 </w:t>
            </w:r>
          </w:p>
          <w:p w14:paraId="22F8A771" w14:textId="77777777" w:rsidR="00067AD2" w:rsidRPr="007D4D8E" w:rsidRDefault="00001258">
            <w:pPr>
              <w:spacing w:line="240" w:lineRule="auto"/>
              <w:rPr>
                <w:sz w:val="16"/>
                <w:szCs w:val="16"/>
              </w:rPr>
            </w:pPr>
            <w:r w:rsidRPr="007D4D8E">
              <w:rPr>
                <w:sz w:val="16"/>
                <w:szCs w:val="16"/>
              </w:rPr>
              <w:t xml:space="preserve">(7; </w:t>
            </w:r>
            <w:r w:rsidRPr="007D4D8E">
              <w:rPr>
                <w:i/>
                <w:sz w:val="16"/>
                <w:szCs w:val="16"/>
              </w:rPr>
              <w:t xml:space="preserve">p </w:t>
            </w:r>
            <w:r w:rsidRPr="007D4D8E">
              <w:rPr>
                <w:sz w:val="16"/>
                <w:szCs w:val="16"/>
              </w:rPr>
              <w:t>&lt; 0.001)</w:t>
            </w:r>
          </w:p>
        </w:tc>
        <w:tc>
          <w:tcPr>
            <w:tcW w:w="1635" w:type="dxa"/>
            <w:tcBorders>
              <w:top w:val="nil"/>
              <w:left w:val="nil"/>
              <w:bottom w:val="nil"/>
              <w:right w:val="nil"/>
            </w:tcBorders>
            <w:shd w:val="clear" w:color="auto" w:fill="auto"/>
            <w:vAlign w:val="center"/>
          </w:tcPr>
          <w:p w14:paraId="22F8A772" w14:textId="77777777" w:rsidR="00067AD2" w:rsidRPr="007D4D8E" w:rsidRDefault="00001258">
            <w:pPr>
              <w:spacing w:line="240" w:lineRule="auto"/>
              <w:rPr>
                <w:sz w:val="16"/>
                <w:szCs w:val="16"/>
              </w:rPr>
            </w:pPr>
            <w:r w:rsidRPr="007D4D8E">
              <w:rPr>
                <w:sz w:val="16"/>
                <w:szCs w:val="16"/>
              </w:rPr>
              <w:t>Putative F-box domain-containing protein</w:t>
            </w:r>
          </w:p>
        </w:tc>
        <w:tc>
          <w:tcPr>
            <w:tcW w:w="1485" w:type="dxa"/>
            <w:tcBorders>
              <w:top w:val="nil"/>
              <w:left w:val="nil"/>
              <w:bottom w:val="nil"/>
              <w:right w:val="nil"/>
            </w:tcBorders>
            <w:shd w:val="clear" w:color="auto" w:fill="auto"/>
            <w:vAlign w:val="center"/>
          </w:tcPr>
          <w:p w14:paraId="22F8A773" w14:textId="77777777" w:rsidR="00067AD2" w:rsidRPr="007D4D8E" w:rsidRDefault="00001258">
            <w:pPr>
              <w:spacing w:line="240" w:lineRule="auto"/>
              <w:rPr>
                <w:sz w:val="16"/>
                <w:szCs w:val="16"/>
              </w:rPr>
            </w:pPr>
            <w:r w:rsidRPr="007D4D8E">
              <w:rPr>
                <w:sz w:val="16"/>
                <w:szCs w:val="16"/>
              </w:rPr>
              <w:t xml:space="preserve">Glyceraldehyde-3-phosphate dehydrogenase, </w:t>
            </w:r>
            <w:r w:rsidRPr="007D4D8E">
              <w:rPr>
                <w:b/>
                <w:sz w:val="16"/>
                <w:szCs w:val="16"/>
              </w:rPr>
              <w:t>Putative restriction endonuclease</w:t>
            </w:r>
          </w:p>
        </w:tc>
        <w:tc>
          <w:tcPr>
            <w:tcW w:w="3150" w:type="dxa"/>
            <w:gridSpan w:val="3"/>
            <w:tcBorders>
              <w:top w:val="nil"/>
              <w:left w:val="nil"/>
              <w:bottom w:val="nil"/>
              <w:right w:val="nil"/>
            </w:tcBorders>
            <w:shd w:val="clear" w:color="auto" w:fill="auto"/>
            <w:vAlign w:val="center"/>
          </w:tcPr>
          <w:p w14:paraId="22F8A774" w14:textId="77777777" w:rsidR="00067AD2" w:rsidRPr="007D4D8E" w:rsidRDefault="00001258">
            <w:pPr>
              <w:spacing w:line="240" w:lineRule="auto"/>
              <w:rPr>
                <w:sz w:val="16"/>
                <w:szCs w:val="16"/>
              </w:rPr>
            </w:pPr>
            <w:r w:rsidRPr="007D4D8E">
              <w:rPr>
                <w:sz w:val="16"/>
                <w:szCs w:val="16"/>
              </w:rPr>
              <w:t>Glyceraldehyde 3-phosphate dehydrogenase</w:t>
            </w:r>
          </w:p>
        </w:tc>
      </w:tr>
      <w:tr w:rsidR="00067AD2" w:rsidRPr="007D4D8E" w14:paraId="22F8A782" w14:textId="77777777">
        <w:tc>
          <w:tcPr>
            <w:tcW w:w="1650" w:type="dxa"/>
            <w:tcBorders>
              <w:top w:val="nil"/>
              <w:left w:val="nil"/>
              <w:bottom w:val="nil"/>
              <w:right w:val="nil"/>
            </w:tcBorders>
            <w:shd w:val="clear" w:color="auto" w:fill="auto"/>
            <w:vAlign w:val="center"/>
          </w:tcPr>
          <w:p w14:paraId="22F8A776" w14:textId="77777777" w:rsidR="00067AD2" w:rsidRPr="007D4D8E" w:rsidRDefault="00001258">
            <w:pPr>
              <w:spacing w:line="240" w:lineRule="auto"/>
              <w:rPr>
                <w:sz w:val="16"/>
                <w:szCs w:val="16"/>
              </w:rPr>
            </w:pPr>
            <w:r w:rsidRPr="007D4D8E">
              <w:rPr>
                <w:sz w:val="16"/>
                <w:szCs w:val="16"/>
              </w:rPr>
              <w:t>Phyram_PR-102_s0001:</w:t>
            </w:r>
          </w:p>
          <w:p w14:paraId="22F8A777" w14:textId="77777777" w:rsidR="00067AD2" w:rsidRPr="007D4D8E" w:rsidRDefault="00001258">
            <w:pPr>
              <w:spacing w:line="240" w:lineRule="auto"/>
              <w:rPr>
                <w:sz w:val="16"/>
                <w:szCs w:val="16"/>
              </w:rPr>
            </w:pPr>
            <w:r w:rsidRPr="007D4D8E">
              <w:rPr>
                <w:sz w:val="16"/>
                <w:szCs w:val="16"/>
              </w:rPr>
              <w:t>4,517,898-4,524,817</w:t>
            </w:r>
          </w:p>
        </w:tc>
        <w:tc>
          <w:tcPr>
            <w:tcW w:w="750" w:type="dxa"/>
            <w:tcBorders>
              <w:top w:val="nil"/>
              <w:left w:val="nil"/>
              <w:bottom w:val="nil"/>
              <w:right w:val="nil"/>
            </w:tcBorders>
            <w:shd w:val="clear" w:color="auto" w:fill="auto"/>
            <w:vAlign w:val="center"/>
          </w:tcPr>
          <w:p w14:paraId="22F8A778" w14:textId="77777777" w:rsidR="00067AD2" w:rsidRPr="007D4D8E" w:rsidRDefault="00001258">
            <w:pPr>
              <w:spacing w:line="240" w:lineRule="auto"/>
              <w:rPr>
                <w:sz w:val="16"/>
                <w:szCs w:val="16"/>
              </w:rPr>
            </w:pPr>
            <w:r w:rsidRPr="007D4D8E">
              <w:rPr>
                <w:sz w:val="16"/>
                <w:szCs w:val="16"/>
              </w:rPr>
              <w:t>5,274</w:t>
            </w:r>
          </w:p>
        </w:tc>
        <w:tc>
          <w:tcPr>
            <w:tcW w:w="1095" w:type="dxa"/>
            <w:tcBorders>
              <w:top w:val="nil"/>
              <w:left w:val="nil"/>
              <w:bottom w:val="nil"/>
              <w:right w:val="nil"/>
            </w:tcBorders>
            <w:shd w:val="clear" w:color="auto" w:fill="auto"/>
            <w:vAlign w:val="center"/>
          </w:tcPr>
          <w:p w14:paraId="22F8A779" w14:textId="77777777" w:rsidR="00067AD2" w:rsidRPr="007D4D8E" w:rsidRDefault="00001258">
            <w:pPr>
              <w:spacing w:line="240" w:lineRule="auto"/>
              <w:rPr>
                <w:sz w:val="16"/>
                <w:szCs w:val="16"/>
              </w:rPr>
            </w:pPr>
            <w:r w:rsidRPr="007D4D8E">
              <w:rPr>
                <w:sz w:val="16"/>
                <w:szCs w:val="16"/>
              </w:rPr>
              <w:t>28</w:t>
            </w:r>
          </w:p>
        </w:tc>
        <w:tc>
          <w:tcPr>
            <w:tcW w:w="735" w:type="dxa"/>
            <w:tcBorders>
              <w:top w:val="nil"/>
              <w:left w:val="nil"/>
              <w:bottom w:val="nil"/>
              <w:right w:val="nil"/>
            </w:tcBorders>
            <w:shd w:val="clear" w:color="auto" w:fill="auto"/>
            <w:vAlign w:val="center"/>
          </w:tcPr>
          <w:p w14:paraId="22F8A77A" w14:textId="77777777" w:rsidR="00067AD2" w:rsidRPr="007D4D8E" w:rsidRDefault="00001258">
            <w:pPr>
              <w:spacing w:line="240" w:lineRule="auto"/>
              <w:rPr>
                <w:sz w:val="16"/>
                <w:szCs w:val="16"/>
              </w:rPr>
            </w:pPr>
            <w:r w:rsidRPr="007D4D8E">
              <w:rPr>
                <w:sz w:val="16"/>
                <w:szCs w:val="16"/>
              </w:rPr>
              <w:t>119</w:t>
            </w:r>
          </w:p>
        </w:tc>
        <w:tc>
          <w:tcPr>
            <w:tcW w:w="1275" w:type="dxa"/>
            <w:tcBorders>
              <w:top w:val="nil"/>
              <w:left w:val="nil"/>
              <w:bottom w:val="nil"/>
              <w:right w:val="nil"/>
            </w:tcBorders>
            <w:shd w:val="clear" w:color="auto" w:fill="auto"/>
            <w:vAlign w:val="center"/>
          </w:tcPr>
          <w:p w14:paraId="22F8A77B" w14:textId="77777777" w:rsidR="00067AD2" w:rsidRPr="007D4D8E" w:rsidRDefault="00001258">
            <w:pPr>
              <w:spacing w:line="240" w:lineRule="auto"/>
              <w:rPr>
                <w:sz w:val="16"/>
                <w:szCs w:val="16"/>
              </w:rPr>
            </w:pPr>
            <w:r w:rsidRPr="007D4D8E">
              <w:rPr>
                <w:sz w:val="16"/>
                <w:szCs w:val="16"/>
              </w:rPr>
              <w:t xml:space="preserve">0 </w:t>
            </w:r>
          </w:p>
          <w:p w14:paraId="22F8A77C" w14:textId="77777777" w:rsidR="00067AD2" w:rsidRPr="007D4D8E" w:rsidRDefault="00001258">
            <w:pPr>
              <w:spacing w:line="240" w:lineRule="auto"/>
              <w:rPr>
                <w:sz w:val="16"/>
                <w:szCs w:val="16"/>
              </w:rPr>
            </w:pPr>
            <w:r w:rsidRPr="007D4D8E">
              <w:rPr>
                <w:sz w:val="16"/>
                <w:szCs w:val="16"/>
              </w:rPr>
              <w:t xml:space="preserve">(27; </w:t>
            </w:r>
            <w:r w:rsidRPr="007D4D8E">
              <w:rPr>
                <w:i/>
                <w:sz w:val="16"/>
                <w:szCs w:val="16"/>
              </w:rPr>
              <w:t>p</w:t>
            </w:r>
            <w:r w:rsidRPr="007D4D8E">
              <w:rPr>
                <w:sz w:val="16"/>
                <w:szCs w:val="16"/>
              </w:rPr>
              <w:t xml:space="preserve"> &lt; 0.001)</w:t>
            </w:r>
          </w:p>
        </w:tc>
        <w:tc>
          <w:tcPr>
            <w:tcW w:w="1305" w:type="dxa"/>
            <w:tcBorders>
              <w:top w:val="nil"/>
              <w:left w:val="nil"/>
              <w:bottom w:val="nil"/>
              <w:right w:val="nil"/>
            </w:tcBorders>
            <w:shd w:val="clear" w:color="auto" w:fill="auto"/>
            <w:vAlign w:val="center"/>
          </w:tcPr>
          <w:p w14:paraId="22F8A77D" w14:textId="77777777" w:rsidR="00067AD2" w:rsidRPr="007D4D8E" w:rsidRDefault="00001258">
            <w:pPr>
              <w:spacing w:line="240" w:lineRule="auto"/>
              <w:rPr>
                <w:sz w:val="16"/>
                <w:szCs w:val="16"/>
              </w:rPr>
            </w:pPr>
            <w:r w:rsidRPr="007D4D8E">
              <w:rPr>
                <w:sz w:val="16"/>
                <w:szCs w:val="16"/>
              </w:rPr>
              <w:t xml:space="preserve">0 </w:t>
            </w:r>
          </w:p>
          <w:p w14:paraId="22F8A77E" w14:textId="77777777" w:rsidR="00067AD2" w:rsidRPr="007D4D8E" w:rsidRDefault="00001258">
            <w:pPr>
              <w:spacing w:line="240" w:lineRule="auto"/>
              <w:rPr>
                <w:sz w:val="16"/>
                <w:szCs w:val="16"/>
              </w:rPr>
            </w:pPr>
            <w:r w:rsidRPr="007D4D8E">
              <w:rPr>
                <w:sz w:val="16"/>
                <w:szCs w:val="16"/>
              </w:rPr>
              <w:t xml:space="preserve">(1; </w:t>
            </w:r>
            <w:r w:rsidRPr="007D4D8E">
              <w:rPr>
                <w:i/>
                <w:sz w:val="16"/>
                <w:szCs w:val="16"/>
              </w:rPr>
              <w:t>p</w:t>
            </w:r>
            <w:r w:rsidRPr="007D4D8E">
              <w:rPr>
                <w:sz w:val="16"/>
                <w:szCs w:val="16"/>
              </w:rPr>
              <w:t xml:space="preserve"> &lt; 0.001)</w:t>
            </w:r>
          </w:p>
        </w:tc>
        <w:tc>
          <w:tcPr>
            <w:tcW w:w="1635" w:type="dxa"/>
            <w:tcBorders>
              <w:top w:val="nil"/>
              <w:left w:val="nil"/>
              <w:bottom w:val="nil"/>
              <w:right w:val="nil"/>
            </w:tcBorders>
            <w:shd w:val="clear" w:color="auto" w:fill="auto"/>
            <w:vAlign w:val="center"/>
          </w:tcPr>
          <w:p w14:paraId="22F8A77F" w14:textId="77777777" w:rsidR="00067AD2" w:rsidRPr="007D4D8E" w:rsidRDefault="00001258">
            <w:pPr>
              <w:spacing w:line="240" w:lineRule="auto"/>
              <w:rPr>
                <w:sz w:val="16"/>
                <w:szCs w:val="16"/>
              </w:rPr>
            </w:pPr>
            <w:r w:rsidRPr="007D4D8E">
              <w:rPr>
                <w:sz w:val="16"/>
                <w:szCs w:val="16"/>
              </w:rPr>
              <w:t>RNA recognition motif-containing protein</w:t>
            </w:r>
          </w:p>
        </w:tc>
        <w:tc>
          <w:tcPr>
            <w:tcW w:w="1485" w:type="dxa"/>
            <w:tcBorders>
              <w:top w:val="nil"/>
              <w:left w:val="nil"/>
              <w:bottom w:val="nil"/>
              <w:right w:val="nil"/>
            </w:tcBorders>
            <w:shd w:val="clear" w:color="auto" w:fill="auto"/>
            <w:vAlign w:val="center"/>
          </w:tcPr>
          <w:p w14:paraId="22F8A780" w14:textId="77777777" w:rsidR="00067AD2" w:rsidRPr="007D4D8E" w:rsidRDefault="00001258">
            <w:pPr>
              <w:spacing w:line="240" w:lineRule="auto"/>
              <w:rPr>
                <w:sz w:val="16"/>
                <w:szCs w:val="16"/>
              </w:rPr>
            </w:pPr>
            <w:r w:rsidRPr="007D4D8E">
              <w:rPr>
                <w:sz w:val="16"/>
                <w:szCs w:val="16"/>
              </w:rPr>
              <w:t>-</w:t>
            </w:r>
          </w:p>
        </w:tc>
        <w:tc>
          <w:tcPr>
            <w:tcW w:w="3150" w:type="dxa"/>
            <w:gridSpan w:val="3"/>
            <w:tcBorders>
              <w:top w:val="nil"/>
              <w:left w:val="nil"/>
              <w:bottom w:val="nil"/>
              <w:right w:val="nil"/>
            </w:tcBorders>
            <w:shd w:val="clear" w:color="auto" w:fill="auto"/>
            <w:vAlign w:val="center"/>
          </w:tcPr>
          <w:p w14:paraId="22F8A781" w14:textId="77777777" w:rsidR="00067AD2" w:rsidRPr="007D4D8E" w:rsidRDefault="00001258">
            <w:pPr>
              <w:spacing w:line="240" w:lineRule="auto"/>
              <w:rPr>
                <w:sz w:val="16"/>
                <w:szCs w:val="16"/>
              </w:rPr>
            </w:pPr>
            <w:r w:rsidRPr="007D4D8E">
              <w:rPr>
                <w:sz w:val="16"/>
                <w:szCs w:val="16"/>
              </w:rPr>
              <w:t>3-ketoacyl-CoA thiolase</w:t>
            </w:r>
          </w:p>
        </w:tc>
      </w:tr>
      <w:tr w:rsidR="00067AD2" w:rsidRPr="007D4D8E" w14:paraId="22F8A78F" w14:textId="77777777">
        <w:tc>
          <w:tcPr>
            <w:tcW w:w="1650" w:type="dxa"/>
            <w:tcBorders>
              <w:top w:val="nil"/>
              <w:left w:val="nil"/>
              <w:bottom w:val="nil"/>
              <w:right w:val="nil"/>
            </w:tcBorders>
            <w:shd w:val="clear" w:color="auto" w:fill="auto"/>
            <w:vAlign w:val="center"/>
          </w:tcPr>
          <w:p w14:paraId="22F8A783" w14:textId="77777777" w:rsidR="00067AD2" w:rsidRPr="007D4D8E" w:rsidRDefault="00001258">
            <w:pPr>
              <w:spacing w:line="240" w:lineRule="auto"/>
              <w:rPr>
                <w:sz w:val="16"/>
                <w:szCs w:val="16"/>
              </w:rPr>
            </w:pPr>
            <w:r w:rsidRPr="007D4D8E">
              <w:rPr>
                <w:sz w:val="16"/>
                <w:szCs w:val="16"/>
              </w:rPr>
              <w:t>Phyram_PR-102_s0010:</w:t>
            </w:r>
          </w:p>
          <w:p w14:paraId="22F8A784" w14:textId="77777777" w:rsidR="00067AD2" w:rsidRPr="007D4D8E" w:rsidRDefault="00001258">
            <w:pPr>
              <w:spacing w:line="240" w:lineRule="auto"/>
              <w:rPr>
                <w:sz w:val="16"/>
                <w:szCs w:val="16"/>
              </w:rPr>
            </w:pPr>
            <w:r w:rsidRPr="007D4D8E">
              <w:rPr>
                <w:sz w:val="16"/>
                <w:szCs w:val="16"/>
              </w:rPr>
              <w:t>1,586,355-1,813,851</w:t>
            </w:r>
          </w:p>
        </w:tc>
        <w:tc>
          <w:tcPr>
            <w:tcW w:w="750" w:type="dxa"/>
            <w:tcBorders>
              <w:top w:val="nil"/>
              <w:left w:val="nil"/>
              <w:bottom w:val="nil"/>
              <w:right w:val="nil"/>
            </w:tcBorders>
            <w:shd w:val="clear" w:color="auto" w:fill="auto"/>
            <w:vAlign w:val="center"/>
          </w:tcPr>
          <w:p w14:paraId="22F8A785" w14:textId="77777777" w:rsidR="00067AD2" w:rsidRPr="007D4D8E" w:rsidRDefault="00001258">
            <w:pPr>
              <w:spacing w:line="240" w:lineRule="auto"/>
              <w:rPr>
                <w:sz w:val="16"/>
                <w:szCs w:val="16"/>
              </w:rPr>
            </w:pPr>
            <w:r w:rsidRPr="007D4D8E">
              <w:rPr>
                <w:sz w:val="16"/>
                <w:szCs w:val="16"/>
              </w:rPr>
              <w:t>220,473</w:t>
            </w:r>
          </w:p>
        </w:tc>
        <w:tc>
          <w:tcPr>
            <w:tcW w:w="1095" w:type="dxa"/>
            <w:tcBorders>
              <w:top w:val="nil"/>
              <w:left w:val="nil"/>
              <w:bottom w:val="nil"/>
              <w:right w:val="nil"/>
            </w:tcBorders>
            <w:shd w:val="clear" w:color="auto" w:fill="auto"/>
            <w:vAlign w:val="center"/>
          </w:tcPr>
          <w:p w14:paraId="22F8A786" w14:textId="77777777" w:rsidR="00067AD2" w:rsidRPr="007D4D8E" w:rsidRDefault="00001258">
            <w:pPr>
              <w:spacing w:line="240" w:lineRule="auto"/>
              <w:rPr>
                <w:sz w:val="16"/>
                <w:szCs w:val="16"/>
              </w:rPr>
            </w:pPr>
            <w:r w:rsidRPr="007D4D8E">
              <w:rPr>
                <w:sz w:val="16"/>
                <w:szCs w:val="16"/>
              </w:rPr>
              <w:t>25</w:t>
            </w:r>
          </w:p>
        </w:tc>
        <w:tc>
          <w:tcPr>
            <w:tcW w:w="735" w:type="dxa"/>
            <w:tcBorders>
              <w:top w:val="nil"/>
              <w:left w:val="nil"/>
              <w:bottom w:val="nil"/>
              <w:right w:val="nil"/>
            </w:tcBorders>
            <w:shd w:val="clear" w:color="auto" w:fill="auto"/>
            <w:vAlign w:val="center"/>
          </w:tcPr>
          <w:p w14:paraId="22F8A787" w14:textId="77777777" w:rsidR="00067AD2" w:rsidRPr="007D4D8E" w:rsidRDefault="00001258">
            <w:pPr>
              <w:spacing w:line="240" w:lineRule="auto"/>
              <w:rPr>
                <w:sz w:val="16"/>
                <w:szCs w:val="16"/>
              </w:rPr>
            </w:pPr>
            <w:r w:rsidRPr="007D4D8E">
              <w:rPr>
                <w:sz w:val="16"/>
                <w:szCs w:val="16"/>
              </w:rPr>
              <w:t>161</w:t>
            </w:r>
          </w:p>
        </w:tc>
        <w:tc>
          <w:tcPr>
            <w:tcW w:w="1275" w:type="dxa"/>
            <w:tcBorders>
              <w:top w:val="nil"/>
              <w:left w:val="nil"/>
              <w:bottom w:val="nil"/>
              <w:right w:val="nil"/>
            </w:tcBorders>
            <w:shd w:val="clear" w:color="auto" w:fill="auto"/>
            <w:vAlign w:val="center"/>
          </w:tcPr>
          <w:p w14:paraId="22F8A788" w14:textId="77777777" w:rsidR="00067AD2" w:rsidRPr="007D4D8E" w:rsidRDefault="00001258">
            <w:pPr>
              <w:spacing w:line="240" w:lineRule="auto"/>
              <w:rPr>
                <w:sz w:val="16"/>
                <w:szCs w:val="16"/>
              </w:rPr>
            </w:pPr>
            <w:r w:rsidRPr="007D4D8E">
              <w:rPr>
                <w:sz w:val="16"/>
                <w:szCs w:val="16"/>
              </w:rPr>
              <w:t xml:space="preserve">54 </w:t>
            </w:r>
          </w:p>
          <w:p w14:paraId="22F8A789" w14:textId="77777777" w:rsidR="00067AD2" w:rsidRPr="007D4D8E" w:rsidRDefault="00001258">
            <w:pPr>
              <w:spacing w:line="240" w:lineRule="auto"/>
              <w:rPr>
                <w:sz w:val="16"/>
                <w:szCs w:val="16"/>
              </w:rPr>
            </w:pPr>
            <w:r w:rsidRPr="007D4D8E">
              <w:rPr>
                <w:sz w:val="16"/>
                <w:szCs w:val="16"/>
              </w:rPr>
              <w:t xml:space="preserve">(819; </w:t>
            </w:r>
            <w:r w:rsidRPr="007D4D8E">
              <w:rPr>
                <w:i/>
                <w:sz w:val="16"/>
                <w:szCs w:val="16"/>
              </w:rPr>
              <w:t>p</w:t>
            </w:r>
            <w:r w:rsidRPr="007D4D8E">
              <w:rPr>
                <w:sz w:val="16"/>
                <w:szCs w:val="16"/>
              </w:rPr>
              <w:t xml:space="preserve"> &lt; 0.001)</w:t>
            </w:r>
          </w:p>
        </w:tc>
        <w:tc>
          <w:tcPr>
            <w:tcW w:w="1305" w:type="dxa"/>
            <w:tcBorders>
              <w:top w:val="nil"/>
              <w:left w:val="nil"/>
              <w:bottom w:val="nil"/>
              <w:right w:val="nil"/>
            </w:tcBorders>
            <w:shd w:val="clear" w:color="auto" w:fill="auto"/>
            <w:vAlign w:val="center"/>
          </w:tcPr>
          <w:p w14:paraId="22F8A78A" w14:textId="77777777" w:rsidR="00067AD2" w:rsidRPr="007D4D8E" w:rsidRDefault="00001258">
            <w:pPr>
              <w:spacing w:line="240" w:lineRule="auto"/>
              <w:rPr>
                <w:sz w:val="16"/>
                <w:szCs w:val="16"/>
              </w:rPr>
            </w:pPr>
            <w:r w:rsidRPr="007D4D8E">
              <w:rPr>
                <w:sz w:val="16"/>
                <w:szCs w:val="16"/>
              </w:rPr>
              <w:t>4</w:t>
            </w:r>
          </w:p>
          <w:p w14:paraId="22F8A78B" w14:textId="77777777" w:rsidR="00067AD2" w:rsidRPr="007D4D8E" w:rsidRDefault="00001258">
            <w:pPr>
              <w:spacing w:line="240" w:lineRule="auto"/>
              <w:rPr>
                <w:sz w:val="16"/>
                <w:szCs w:val="16"/>
              </w:rPr>
            </w:pPr>
            <w:r w:rsidRPr="007D4D8E">
              <w:rPr>
                <w:sz w:val="16"/>
                <w:szCs w:val="16"/>
              </w:rPr>
              <w:t xml:space="preserve">(47; </w:t>
            </w:r>
            <w:r w:rsidRPr="007D4D8E">
              <w:rPr>
                <w:i/>
                <w:sz w:val="16"/>
                <w:szCs w:val="16"/>
              </w:rPr>
              <w:t>p</w:t>
            </w:r>
            <w:r w:rsidRPr="007D4D8E">
              <w:rPr>
                <w:sz w:val="16"/>
                <w:szCs w:val="16"/>
              </w:rPr>
              <w:t xml:space="preserve"> &lt; 0.001)</w:t>
            </w:r>
          </w:p>
        </w:tc>
        <w:tc>
          <w:tcPr>
            <w:tcW w:w="1635" w:type="dxa"/>
            <w:tcBorders>
              <w:top w:val="nil"/>
              <w:left w:val="nil"/>
              <w:bottom w:val="nil"/>
              <w:right w:val="nil"/>
            </w:tcBorders>
            <w:shd w:val="clear" w:color="auto" w:fill="auto"/>
            <w:vAlign w:val="center"/>
          </w:tcPr>
          <w:p w14:paraId="22F8A78C" w14:textId="77777777" w:rsidR="00067AD2" w:rsidRPr="007D4D8E" w:rsidRDefault="00001258">
            <w:pPr>
              <w:spacing w:line="240" w:lineRule="auto"/>
              <w:rPr>
                <w:sz w:val="16"/>
                <w:szCs w:val="16"/>
              </w:rPr>
            </w:pPr>
            <w:r w:rsidRPr="007D4D8E">
              <w:rPr>
                <w:sz w:val="16"/>
                <w:szCs w:val="16"/>
              </w:rPr>
              <w:t>Hypothetical protein</w:t>
            </w:r>
          </w:p>
        </w:tc>
        <w:tc>
          <w:tcPr>
            <w:tcW w:w="1485" w:type="dxa"/>
            <w:tcBorders>
              <w:top w:val="nil"/>
              <w:left w:val="nil"/>
              <w:bottom w:val="nil"/>
              <w:right w:val="nil"/>
            </w:tcBorders>
            <w:shd w:val="clear" w:color="auto" w:fill="auto"/>
            <w:vAlign w:val="center"/>
          </w:tcPr>
          <w:p w14:paraId="22F8A78D" w14:textId="77777777" w:rsidR="00067AD2" w:rsidRPr="007D4D8E" w:rsidRDefault="00001258">
            <w:pPr>
              <w:spacing w:line="240" w:lineRule="auto"/>
              <w:rPr>
                <w:sz w:val="16"/>
                <w:szCs w:val="16"/>
              </w:rPr>
            </w:pPr>
            <w:r w:rsidRPr="007D4D8E">
              <w:rPr>
                <w:sz w:val="16"/>
                <w:szCs w:val="16"/>
              </w:rPr>
              <w:t>Hypothetical protein, RXLR effector, Hypothetical protein (x2)</w:t>
            </w:r>
          </w:p>
        </w:tc>
        <w:tc>
          <w:tcPr>
            <w:tcW w:w="3150" w:type="dxa"/>
            <w:gridSpan w:val="3"/>
            <w:tcBorders>
              <w:top w:val="nil"/>
              <w:left w:val="nil"/>
              <w:bottom w:val="nil"/>
              <w:right w:val="nil"/>
            </w:tcBorders>
            <w:shd w:val="clear" w:color="auto" w:fill="auto"/>
            <w:vAlign w:val="center"/>
          </w:tcPr>
          <w:p w14:paraId="22F8A78E" w14:textId="77777777" w:rsidR="00067AD2" w:rsidRPr="007D4D8E" w:rsidRDefault="00001258">
            <w:pPr>
              <w:spacing w:line="240" w:lineRule="auto"/>
              <w:rPr>
                <w:sz w:val="16"/>
                <w:szCs w:val="16"/>
              </w:rPr>
            </w:pPr>
            <w:r w:rsidRPr="007D4D8E">
              <w:rPr>
                <w:sz w:val="16"/>
                <w:szCs w:val="16"/>
              </w:rPr>
              <w:t>-</w:t>
            </w:r>
          </w:p>
        </w:tc>
      </w:tr>
      <w:tr w:rsidR="00067AD2" w:rsidRPr="007D4D8E" w14:paraId="22F8A79C" w14:textId="77777777">
        <w:tc>
          <w:tcPr>
            <w:tcW w:w="1650" w:type="dxa"/>
            <w:tcBorders>
              <w:top w:val="nil"/>
              <w:left w:val="nil"/>
              <w:bottom w:val="nil"/>
              <w:right w:val="nil"/>
            </w:tcBorders>
            <w:shd w:val="clear" w:color="auto" w:fill="auto"/>
            <w:vAlign w:val="center"/>
          </w:tcPr>
          <w:p w14:paraId="22F8A790" w14:textId="77777777" w:rsidR="00067AD2" w:rsidRPr="007D4D8E" w:rsidRDefault="00001258">
            <w:pPr>
              <w:spacing w:line="240" w:lineRule="auto"/>
              <w:rPr>
                <w:sz w:val="16"/>
                <w:szCs w:val="16"/>
              </w:rPr>
            </w:pPr>
            <w:r w:rsidRPr="007D4D8E">
              <w:rPr>
                <w:sz w:val="16"/>
                <w:szCs w:val="16"/>
              </w:rPr>
              <w:t>Phyram_PR-102_s0013:</w:t>
            </w:r>
          </w:p>
          <w:p w14:paraId="22F8A791" w14:textId="77777777" w:rsidR="00067AD2" w:rsidRPr="007D4D8E" w:rsidRDefault="00001258">
            <w:pPr>
              <w:spacing w:line="240" w:lineRule="auto"/>
              <w:rPr>
                <w:sz w:val="16"/>
                <w:szCs w:val="16"/>
              </w:rPr>
            </w:pPr>
            <w:r w:rsidRPr="007D4D8E">
              <w:rPr>
                <w:sz w:val="16"/>
                <w:szCs w:val="16"/>
              </w:rPr>
              <w:t>753,236-782,526</w:t>
            </w:r>
          </w:p>
        </w:tc>
        <w:tc>
          <w:tcPr>
            <w:tcW w:w="750" w:type="dxa"/>
            <w:tcBorders>
              <w:top w:val="nil"/>
              <w:left w:val="nil"/>
              <w:bottom w:val="nil"/>
              <w:right w:val="nil"/>
            </w:tcBorders>
            <w:shd w:val="clear" w:color="auto" w:fill="auto"/>
            <w:vAlign w:val="center"/>
          </w:tcPr>
          <w:p w14:paraId="22F8A792" w14:textId="77777777" w:rsidR="00067AD2" w:rsidRPr="007D4D8E" w:rsidRDefault="00001258">
            <w:pPr>
              <w:spacing w:line="240" w:lineRule="auto"/>
              <w:rPr>
                <w:sz w:val="16"/>
                <w:szCs w:val="16"/>
              </w:rPr>
            </w:pPr>
            <w:r w:rsidRPr="007D4D8E">
              <w:rPr>
                <w:sz w:val="16"/>
                <w:szCs w:val="16"/>
              </w:rPr>
              <w:t>11,994</w:t>
            </w:r>
          </w:p>
        </w:tc>
        <w:tc>
          <w:tcPr>
            <w:tcW w:w="1095" w:type="dxa"/>
            <w:tcBorders>
              <w:top w:val="nil"/>
              <w:left w:val="nil"/>
              <w:bottom w:val="nil"/>
              <w:right w:val="nil"/>
            </w:tcBorders>
            <w:shd w:val="clear" w:color="auto" w:fill="auto"/>
            <w:vAlign w:val="center"/>
          </w:tcPr>
          <w:p w14:paraId="22F8A793" w14:textId="77777777" w:rsidR="00067AD2" w:rsidRPr="007D4D8E" w:rsidRDefault="00001258">
            <w:pPr>
              <w:spacing w:line="240" w:lineRule="auto"/>
              <w:rPr>
                <w:sz w:val="16"/>
                <w:szCs w:val="16"/>
              </w:rPr>
            </w:pPr>
            <w:r w:rsidRPr="007D4D8E">
              <w:rPr>
                <w:sz w:val="16"/>
                <w:szCs w:val="16"/>
              </w:rPr>
              <w:t>18</w:t>
            </w:r>
          </w:p>
        </w:tc>
        <w:tc>
          <w:tcPr>
            <w:tcW w:w="735" w:type="dxa"/>
            <w:tcBorders>
              <w:top w:val="nil"/>
              <w:left w:val="nil"/>
              <w:bottom w:val="nil"/>
              <w:right w:val="nil"/>
            </w:tcBorders>
            <w:shd w:val="clear" w:color="auto" w:fill="auto"/>
            <w:vAlign w:val="center"/>
          </w:tcPr>
          <w:p w14:paraId="22F8A794" w14:textId="77777777" w:rsidR="00067AD2" w:rsidRPr="007D4D8E" w:rsidRDefault="00001258">
            <w:pPr>
              <w:spacing w:line="240" w:lineRule="auto"/>
              <w:rPr>
                <w:sz w:val="16"/>
                <w:szCs w:val="16"/>
              </w:rPr>
            </w:pPr>
            <w:r w:rsidRPr="007D4D8E">
              <w:rPr>
                <w:sz w:val="16"/>
                <w:szCs w:val="16"/>
              </w:rPr>
              <w:t>92</w:t>
            </w:r>
          </w:p>
        </w:tc>
        <w:tc>
          <w:tcPr>
            <w:tcW w:w="1275" w:type="dxa"/>
            <w:tcBorders>
              <w:top w:val="nil"/>
              <w:left w:val="nil"/>
              <w:bottom w:val="nil"/>
              <w:right w:val="nil"/>
            </w:tcBorders>
            <w:shd w:val="clear" w:color="auto" w:fill="auto"/>
            <w:vAlign w:val="center"/>
          </w:tcPr>
          <w:p w14:paraId="22F8A795" w14:textId="77777777" w:rsidR="00067AD2" w:rsidRPr="007D4D8E" w:rsidRDefault="00001258">
            <w:pPr>
              <w:spacing w:line="240" w:lineRule="auto"/>
              <w:rPr>
                <w:sz w:val="16"/>
                <w:szCs w:val="16"/>
              </w:rPr>
            </w:pPr>
            <w:r w:rsidRPr="007D4D8E">
              <w:rPr>
                <w:sz w:val="16"/>
                <w:szCs w:val="16"/>
              </w:rPr>
              <w:t xml:space="preserve">0 </w:t>
            </w:r>
          </w:p>
          <w:p w14:paraId="22F8A796" w14:textId="77777777" w:rsidR="00067AD2" w:rsidRPr="007D4D8E" w:rsidRDefault="00001258">
            <w:pPr>
              <w:spacing w:line="240" w:lineRule="auto"/>
              <w:rPr>
                <w:sz w:val="16"/>
                <w:szCs w:val="16"/>
              </w:rPr>
            </w:pPr>
            <w:r w:rsidRPr="007D4D8E">
              <w:rPr>
                <w:sz w:val="16"/>
                <w:szCs w:val="16"/>
              </w:rPr>
              <w:t xml:space="preserve">(56; </w:t>
            </w:r>
            <w:r w:rsidRPr="007D4D8E">
              <w:rPr>
                <w:i/>
                <w:sz w:val="16"/>
                <w:szCs w:val="16"/>
              </w:rPr>
              <w:t>p</w:t>
            </w:r>
            <w:r w:rsidRPr="007D4D8E">
              <w:rPr>
                <w:sz w:val="16"/>
                <w:szCs w:val="16"/>
              </w:rPr>
              <w:t xml:space="preserve"> &lt; 0.001)</w:t>
            </w:r>
          </w:p>
        </w:tc>
        <w:tc>
          <w:tcPr>
            <w:tcW w:w="1305" w:type="dxa"/>
            <w:tcBorders>
              <w:top w:val="nil"/>
              <w:left w:val="nil"/>
              <w:bottom w:val="nil"/>
              <w:right w:val="nil"/>
            </w:tcBorders>
            <w:shd w:val="clear" w:color="auto" w:fill="auto"/>
            <w:vAlign w:val="center"/>
          </w:tcPr>
          <w:p w14:paraId="22F8A797" w14:textId="77777777" w:rsidR="00067AD2" w:rsidRPr="007D4D8E" w:rsidRDefault="00001258">
            <w:pPr>
              <w:spacing w:line="240" w:lineRule="auto"/>
              <w:rPr>
                <w:sz w:val="16"/>
                <w:szCs w:val="16"/>
              </w:rPr>
            </w:pPr>
            <w:r w:rsidRPr="007D4D8E">
              <w:rPr>
                <w:sz w:val="16"/>
                <w:szCs w:val="16"/>
              </w:rPr>
              <w:t xml:space="preserve">0 </w:t>
            </w:r>
          </w:p>
          <w:p w14:paraId="22F8A798" w14:textId="77777777" w:rsidR="00067AD2" w:rsidRPr="007D4D8E" w:rsidRDefault="00001258">
            <w:pPr>
              <w:spacing w:line="240" w:lineRule="auto"/>
              <w:rPr>
                <w:sz w:val="16"/>
                <w:szCs w:val="16"/>
              </w:rPr>
            </w:pPr>
            <w:r w:rsidRPr="007D4D8E">
              <w:rPr>
                <w:sz w:val="16"/>
                <w:szCs w:val="16"/>
              </w:rPr>
              <w:t xml:space="preserve">(3; </w:t>
            </w:r>
            <w:r w:rsidRPr="007D4D8E">
              <w:rPr>
                <w:i/>
                <w:sz w:val="16"/>
                <w:szCs w:val="16"/>
              </w:rPr>
              <w:t>p</w:t>
            </w:r>
            <w:r w:rsidRPr="007D4D8E">
              <w:rPr>
                <w:sz w:val="16"/>
                <w:szCs w:val="16"/>
              </w:rPr>
              <w:t xml:space="preserve"> &lt; 0.001)</w:t>
            </w:r>
          </w:p>
        </w:tc>
        <w:tc>
          <w:tcPr>
            <w:tcW w:w="1635" w:type="dxa"/>
            <w:tcBorders>
              <w:top w:val="nil"/>
              <w:left w:val="nil"/>
              <w:bottom w:val="nil"/>
              <w:right w:val="nil"/>
            </w:tcBorders>
            <w:shd w:val="clear" w:color="auto" w:fill="auto"/>
            <w:vAlign w:val="center"/>
          </w:tcPr>
          <w:p w14:paraId="22F8A799" w14:textId="77777777" w:rsidR="00067AD2" w:rsidRPr="007D4D8E" w:rsidRDefault="00001258">
            <w:pPr>
              <w:spacing w:line="240" w:lineRule="auto"/>
              <w:rPr>
                <w:sz w:val="16"/>
                <w:szCs w:val="16"/>
              </w:rPr>
            </w:pPr>
            <w:r w:rsidRPr="007D4D8E">
              <w:rPr>
                <w:sz w:val="16"/>
                <w:szCs w:val="16"/>
              </w:rPr>
              <w:t>RxLR effector</w:t>
            </w:r>
          </w:p>
        </w:tc>
        <w:tc>
          <w:tcPr>
            <w:tcW w:w="1485" w:type="dxa"/>
            <w:tcBorders>
              <w:top w:val="nil"/>
              <w:left w:val="nil"/>
              <w:bottom w:val="nil"/>
              <w:right w:val="nil"/>
            </w:tcBorders>
            <w:shd w:val="clear" w:color="auto" w:fill="auto"/>
            <w:vAlign w:val="center"/>
          </w:tcPr>
          <w:p w14:paraId="22F8A79A" w14:textId="77777777" w:rsidR="00067AD2" w:rsidRPr="007D4D8E" w:rsidRDefault="00001258">
            <w:pPr>
              <w:spacing w:line="240" w:lineRule="auto"/>
              <w:rPr>
                <w:sz w:val="16"/>
                <w:szCs w:val="16"/>
              </w:rPr>
            </w:pPr>
            <w:r w:rsidRPr="007D4D8E">
              <w:rPr>
                <w:sz w:val="16"/>
                <w:szCs w:val="16"/>
              </w:rPr>
              <w:t>-</w:t>
            </w:r>
          </w:p>
        </w:tc>
        <w:tc>
          <w:tcPr>
            <w:tcW w:w="3150" w:type="dxa"/>
            <w:gridSpan w:val="3"/>
            <w:tcBorders>
              <w:top w:val="nil"/>
              <w:left w:val="nil"/>
              <w:bottom w:val="nil"/>
              <w:right w:val="nil"/>
            </w:tcBorders>
            <w:shd w:val="clear" w:color="auto" w:fill="auto"/>
            <w:vAlign w:val="center"/>
          </w:tcPr>
          <w:p w14:paraId="22F8A79B" w14:textId="77777777" w:rsidR="00067AD2" w:rsidRPr="007D4D8E" w:rsidRDefault="00001258">
            <w:pPr>
              <w:spacing w:line="240" w:lineRule="auto"/>
              <w:rPr>
                <w:sz w:val="16"/>
                <w:szCs w:val="16"/>
              </w:rPr>
            </w:pPr>
            <w:r w:rsidRPr="007D4D8E">
              <w:rPr>
                <w:sz w:val="16"/>
                <w:szCs w:val="16"/>
              </w:rPr>
              <w:t xml:space="preserve">PpiC-type peptidyl-prolyl cis-trans isomerase </w:t>
            </w:r>
          </w:p>
        </w:tc>
      </w:tr>
      <w:tr w:rsidR="00067AD2" w:rsidRPr="007D4D8E" w14:paraId="22F8A7A9" w14:textId="77777777">
        <w:tc>
          <w:tcPr>
            <w:tcW w:w="1650" w:type="dxa"/>
            <w:tcBorders>
              <w:top w:val="nil"/>
              <w:left w:val="nil"/>
              <w:bottom w:val="nil"/>
              <w:right w:val="nil"/>
            </w:tcBorders>
            <w:shd w:val="clear" w:color="auto" w:fill="auto"/>
            <w:vAlign w:val="center"/>
          </w:tcPr>
          <w:p w14:paraId="22F8A79D" w14:textId="77777777" w:rsidR="00067AD2" w:rsidRPr="007D4D8E" w:rsidRDefault="00001258">
            <w:pPr>
              <w:spacing w:line="240" w:lineRule="auto"/>
              <w:rPr>
                <w:sz w:val="16"/>
                <w:szCs w:val="16"/>
              </w:rPr>
            </w:pPr>
            <w:r w:rsidRPr="007D4D8E">
              <w:rPr>
                <w:sz w:val="16"/>
                <w:szCs w:val="16"/>
              </w:rPr>
              <w:t>Phyram_PR-102_s0014:</w:t>
            </w:r>
          </w:p>
          <w:p w14:paraId="22F8A79E" w14:textId="77777777" w:rsidR="00067AD2" w:rsidRPr="007D4D8E" w:rsidRDefault="00001258">
            <w:pPr>
              <w:spacing w:line="240" w:lineRule="auto"/>
              <w:rPr>
                <w:sz w:val="16"/>
                <w:szCs w:val="16"/>
              </w:rPr>
            </w:pPr>
            <w:r w:rsidRPr="007D4D8E">
              <w:rPr>
                <w:sz w:val="16"/>
                <w:szCs w:val="16"/>
              </w:rPr>
              <w:t>331,057-331,564</w:t>
            </w:r>
          </w:p>
        </w:tc>
        <w:tc>
          <w:tcPr>
            <w:tcW w:w="750" w:type="dxa"/>
            <w:tcBorders>
              <w:top w:val="nil"/>
              <w:left w:val="nil"/>
              <w:bottom w:val="nil"/>
              <w:right w:val="nil"/>
            </w:tcBorders>
            <w:shd w:val="clear" w:color="auto" w:fill="auto"/>
            <w:vAlign w:val="center"/>
          </w:tcPr>
          <w:p w14:paraId="22F8A79F" w14:textId="77777777" w:rsidR="00067AD2" w:rsidRPr="007D4D8E" w:rsidRDefault="00001258">
            <w:pPr>
              <w:spacing w:line="240" w:lineRule="auto"/>
              <w:rPr>
                <w:sz w:val="16"/>
                <w:szCs w:val="16"/>
              </w:rPr>
            </w:pPr>
            <w:r w:rsidRPr="007D4D8E">
              <w:rPr>
                <w:sz w:val="16"/>
                <w:szCs w:val="16"/>
              </w:rPr>
              <w:t>327</w:t>
            </w:r>
          </w:p>
        </w:tc>
        <w:tc>
          <w:tcPr>
            <w:tcW w:w="1095" w:type="dxa"/>
            <w:tcBorders>
              <w:top w:val="nil"/>
              <w:left w:val="nil"/>
              <w:bottom w:val="nil"/>
              <w:right w:val="nil"/>
            </w:tcBorders>
            <w:shd w:val="clear" w:color="auto" w:fill="auto"/>
            <w:vAlign w:val="center"/>
          </w:tcPr>
          <w:p w14:paraId="22F8A7A0" w14:textId="77777777" w:rsidR="00067AD2" w:rsidRPr="007D4D8E" w:rsidRDefault="00001258">
            <w:pPr>
              <w:spacing w:line="240" w:lineRule="auto"/>
              <w:rPr>
                <w:sz w:val="16"/>
                <w:szCs w:val="16"/>
              </w:rPr>
            </w:pPr>
            <w:r w:rsidRPr="007D4D8E">
              <w:rPr>
                <w:sz w:val="16"/>
                <w:szCs w:val="16"/>
              </w:rPr>
              <w:t>17</w:t>
            </w:r>
          </w:p>
        </w:tc>
        <w:tc>
          <w:tcPr>
            <w:tcW w:w="735" w:type="dxa"/>
            <w:tcBorders>
              <w:top w:val="nil"/>
              <w:left w:val="nil"/>
              <w:bottom w:val="nil"/>
              <w:right w:val="nil"/>
            </w:tcBorders>
            <w:shd w:val="clear" w:color="auto" w:fill="auto"/>
            <w:vAlign w:val="center"/>
          </w:tcPr>
          <w:p w14:paraId="22F8A7A1" w14:textId="77777777" w:rsidR="00067AD2" w:rsidRPr="007D4D8E" w:rsidRDefault="00001258">
            <w:pPr>
              <w:spacing w:line="240" w:lineRule="auto"/>
              <w:rPr>
                <w:sz w:val="16"/>
                <w:szCs w:val="16"/>
              </w:rPr>
            </w:pPr>
            <w:r w:rsidRPr="007D4D8E">
              <w:rPr>
                <w:sz w:val="16"/>
                <w:szCs w:val="16"/>
              </w:rPr>
              <w:t>18</w:t>
            </w:r>
          </w:p>
        </w:tc>
        <w:tc>
          <w:tcPr>
            <w:tcW w:w="1275" w:type="dxa"/>
            <w:tcBorders>
              <w:top w:val="nil"/>
              <w:left w:val="nil"/>
              <w:bottom w:val="nil"/>
              <w:right w:val="nil"/>
            </w:tcBorders>
            <w:shd w:val="clear" w:color="auto" w:fill="auto"/>
            <w:vAlign w:val="center"/>
          </w:tcPr>
          <w:p w14:paraId="22F8A7A2" w14:textId="77777777" w:rsidR="00067AD2" w:rsidRPr="007D4D8E" w:rsidRDefault="00001258">
            <w:pPr>
              <w:spacing w:line="240" w:lineRule="auto"/>
              <w:rPr>
                <w:sz w:val="16"/>
                <w:szCs w:val="16"/>
              </w:rPr>
            </w:pPr>
            <w:r w:rsidRPr="007D4D8E">
              <w:rPr>
                <w:sz w:val="16"/>
                <w:szCs w:val="16"/>
              </w:rPr>
              <w:t xml:space="preserve">0 </w:t>
            </w:r>
          </w:p>
          <w:p w14:paraId="22F8A7A3" w14:textId="77777777" w:rsidR="00067AD2" w:rsidRPr="007D4D8E" w:rsidRDefault="00001258">
            <w:pPr>
              <w:spacing w:line="240" w:lineRule="auto"/>
              <w:rPr>
                <w:sz w:val="16"/>
                <w:szCs w:val="16"/>
              </w:rPr>
            </w:pPr>
            <w:r w:rsidRPr="007D4D8E">
              <w:rPr>
                <w:sz w:val="16"/>
                <w:szCs w:val="16"/>
              </w:rPr>
              <w:t xml:space="preserve">(2; </w:t>
            </w:r>
            <w:r w:rsidRPr="007D4D8E">
              <w:rPr>
                <w:i/>
                <w:sz w:val="16"/>
                <w:szCs w:val="16"/>
              </w:rPr>
              <w:t xml:space="preserve">p </w:t>
            </w:r>
            <w:r w:rsidRPr="007D4D8E">
              <w:rPr>
                <w:sz w:val="16"/>
                <w:szCs w:val="16"/>
              </w:rPr>
              <w:t>&lt; 0.001)</w:t>
            </w:r>
          </w:p>
        </w:tc>
        <w:tc>
          <w:tcPr>
            <w:tcW w:w="1305" w:type="dxa"/>
            <w:tcBorders>
              <w:top w:val="nil"/>
              <w:left w:val="nil"/>
              <w:bottom w:val="nil"/>
              <w:right w:val="nil"/>
            </w:tcBorders>
            <w:shd w:val="clear" w:color="auto" w:fill="auto"/>
            <w:vAlign w:val="center"/>
          </w:tcPr>
          <w:p w14:paraId="22F8A7A4" w14:textId="77777777" w:rsidR="00067AD2" w:rsidRPr="007D4D8E" w:rsidRDefault="00001258">
            <w:pPr>
              <w:spacing w:line="240" w:lineRule="auto"/>
              <w:rPr>
                <w:sz w:val="16"/>
                <w:szCs w:val="16"/>
              </w:rPr>
            </w:pPr>
            <w:r w:rsidRPr="007D4D8E">
              <w:rPr>
                <w:sz w:val="16"/>
                <w:szCs w:val="16"/>
              </w:rPr>
              <w:t xml:space="preserve">0 </w:t>
            </w:r>
          </w:p>
          <w:p w14:paraId="22F8A7A5" w14:textId="77777777" w:rsidR="00067AD2" w:rsidRPr="007D4D8E" w:rsidRDefault="00001258">
            <w:pPr>
              <w:spacing w:line="240" w:lineRule="auto"/>
              <w:rPr>
                <w:sz w:val="16"/>
                <w:szCs w:val="16"/>
              </w:rPr>
            </w:pPr>
            <w:r w:rsidRPr="007D4D8E">
              <w:rPr>
                <w:sz w:val="16"/>
                <w:szCs w:val="16"/>
              </w:rPr>
              <w:t>(0; ns)</w:t>
            </w:r>
          </w:p>
        </w:tc>
        <w:tc>
          <w:tcPr>
            <w:tcW w:w="1635" w:type="dxa"/>
            <w:tcBorders>
              <w:top w:val="nil"/>
              <w:left w:val="nil"/>
              <w:bottom w:val="nil"/>
              <w:right w:val="nil"/>
            </w:tcBorders>
            <w:shd w:val="clear" w:color="auto" w:fill="auto"/>
            <w:vAlign w:val="center"/>
          </w:tcPr>
          <w:p w14:paraId="22F8A7A6" w14:textId="77777777" w:rsidR="00067AD2" w:rsidRPr="007D4D8E" w:rsidRDefault="00001258">
            <w:pPr>
              <w:spacing w:line="240" w:lineRule="auto"/>
              <w:rPr>
                <w:sz w:val="16"/>
                <w:szCs w:val="16"/>
              </w:rPr>
            </w:pPr>
            <w:r w:rsidRPr="007D4D8E">
              <w:rPr>
                <w:sz w:val="16"/>
                <w:szCs w:val="16"/>
              </w:rPr>
              <w:t>Hypothetical protein</w:t>
            </w:r>
          </w:p>
        </w:tc>
        <w:tc>
          <w:tcPr>
            <w:tcW w:w="1485" w:type="dxa"/>
            <w:tcBorders>
              <w:top w:val="nil"/>
              <w:left w:val="nil"/>
              <w:bottom w:val="nil"/>
              <w:right w:val="nil"/>
            </w:tcBorders>
            <w:shd w:val="clear" w:color="auto" w:fill="auto"/>
            <w:vAlign w:val="center"/>
          </w:tcPr>
          <w:p w14:paraId="22F8A7A7" w14:textId="77777777" w:rsidR="00067AD2" w:rsidRPr="007D4D8E" w:rsidRDefault="00001258">
            <w:pPr>
              <w:spacing w:line="240" w:lineRule="auto"/>
              <w:rPr>
                <w:sz w:val="16"/>
                <w:szCs w:val="16"/>
              </w:rPr>
            </w:pPr>
            <w:r w:rsidRPr="007D4D8E">
              <w:rPr>
                <w:sz w:val="16"/>
                <w:szCs w:val="16"/>
              </w:rPr>
              <w:t>-</w:t>
            </w:r>
          </w:p>
        </w:tc>
        <w:tc>
          <w:tcPr>
            <w:tcW w:w="3150" w:type="dxa"/>
            <w:gridSpan w:val="3"/>
            <w:tcBorders>
              <w:top w:val="nil"/>
              <w:left w:val="nil"/>
              <w:bottom w:val="nil"/>
              <w:right w:val="nil"/>
            </w:tcBorders>
            <w:shd w:val="clear" w:color="auto" w:fill="auto"/>
            <w:vAlign w:val="center"/>
          </w:tcPr>
          <w:p w14:paraId="22F8A7A8" w14:textId="77777777" w:rsidR="00067AD2" w:rsidRPr="007D4D8E" w:rsidRDefault="00001258">
            <w:pPr>
              <w:spacing w:line="240" w:lineRule="auto"/>
              <w:rPr>
                <w:sz w:val="16"/>
                <w:szCs w:val="16"/>
              </w:rPr>
            </w:pPr>
            <w:r w:rsidRPr="007D4D8E">
              <w:rPr>
                <w:sz w:val="16"/>
                <w:szCs w:val="16"/>
              </w:rPr>
              <w:t>Hypothetical protein</w:t>
            </w:r>
          </w:p>
        </w:tc>
      </w:tr>
      <w:tr w:rsidR="00067AD2" w:rsidRPr="007D4D8E" w14:paraId="22F8A7B6" w14:textId="77777777">
        <w:tc>
          <w:tcPr>
            <w:tcW w:w="1650" w:type="dxa"/>
            <w:tcBorders>
              <w:top w:val="nil"/>
              <w:left w:val="nil"/>
              <w:bottom w:val="nil"/>
              <w:right w:val="nil"/>
            </w:tcBorders>
            <w:shd w:val="clear" w:color="auto" w:fill="auto"/>
            <w:vAlign w:val="center"/>
          </w:tcPr>
          <w:p w14:paraId="22F8A7AA" w14:textId="77777777" w:rsidR="00067AD2" w:rsidRPr="007D4D8E" w:rsidRDefault="00001258">
            <w:pPr>
              <w:spacing w:line="240" w:lineRule="auto"/>
              <w:rPr>
                <w:sz w:val="16"/>
                <w:szCs w:val="16"/>
              </w:rPr>
            </w:pPr>
            <w:r w:rsidRPr="007D4D8E">
              <w:rPr>
                <w:sz w:val="16"/>
                <w:szCs w:val="16"/>
              </w:rPr>
              <w:t>Phyram_PR-102_s0001:</w:t>
            </w:r>
          </w:p>
          <w:p w14:paraId="22F8A7AB" w14:textId="77777777" w:rsidR="00067AD2" w:rsidRPr="007D4D8E" w:rsidRDefault="00001258">
            <w:pPr>
              <w:spacing w:line="240" w:lineRule="auto"/>
              <w:rPr>
                <w:sz w:val="16"/>
                <w:szCs w:val="16"/>
              </w:rPr>
            </w:pPr>
            <w:r w:rsidRPr="007D4D8E">
              <w:rPr>
                <w:sz w:val="16"/>
                <w:szCs w:val="16"/>
              </w:rPr>
              <w:t>1,622,653-1,630,898</w:t>
            </w:r>
          </w:p>
        </w:tc>
        <w:tc>
          <w:tcPr>
            <w:tcW w:w="750" w:type="dxa"/>
            <w:tcBorders>
              <w:top w:val="nil"/>
              <w:left w:val="nil"/>
              <w:bottom w:val="nil"/>
              <w:right w:val="nil"/>
            </w:tcBorders>
            <w:shd w:val="clear" w:color="auto" w:fill="auto"/>
            <w:vAlign w:val="center"/>
          </w:tcPr>
          <w:p w14:paraId="22F8A7AC" w14:textId="77777777" w:rsidR="00067AD2" w:rsidRPr="007D4D8E" w:rsidRDefault="00001258">
            <w:pPr>
              <w:spacing w:line="240" w:lineRule="auto"/>
              <w:rPr>
                <w:sz w:val="16"/>
                <w:szCs w:val="16"/>
              </w:rPr>
            </w:pPr>
            <w:r w:rsidRPr="007D4D8E">
              <w:rPr>
                <w:sz w:val="16"/>
                <w:szCs w:val="16"/>
              </w:rPr>
              <w:t>3,201</w:t>
            </w:r>
          </w:p>
        </w:tc>
        <w:tc>
          <w:tcPr>
            <w:tcW w:w="1095" w:type="dxa"/>
            <w:tcBorders>
              <w:top w:val="nil"/>
              <w:left w:val="nil"/>
              <w:bottom w:val="nil"/>
              <w:right w:val="nil"/>
            </w:tcBorders>
            <w:shd w:val="clear" w:color="auto" w:fill="auto"/>
            <w:vAlign w:val="center"/>
          </w:tcPr>
          <w:p w14:paraId="22F8A7AD" w14:textId="77777777" w:rsidR="00067AD2" w:rsidRPr="007D4D8E" w:rsidRDefault="00001258">
            <w:pPr>
              <w:spacing w:line="240" w:lineRule="auto"/>
              <w:rPr>
                <w:sz w:val="16"/>
                <w:szCs w:val="16"/>
              </w:rPr>
            </w:pPr>
            <w:r w:rsidRPr="007D4D8E">
              <w:rPr>
                <w:sz w:val="16"/>
                <w:szCs w:val="16"/>
              </w:rPr>
              <w:t>16</w:t>
            </w:r>
          </w:p>
        </w:tc>
        <w:tc>
          <w:tcPr>
            <w:tcW w:w="735" w:type="dxa"/>
            <w:tcBorders>
              <w:top w:val="nil"/>
              <w:left w:val="nil"/>
              <w:bottom w:val="nil"/>
              <w:right w:val="nil"/>
            </w:tcBorders>
            <w:shd w:val="clear" w:color="auto" w:fill="auto"/>
            <w:vAlign w:val="center"/>
          </w:tcPr>
          <w:p w14:paraId="22F8A7AE" w14:textId="77777777" w:rsidR="00067AD2" w:rsidRPr="007D4D8E" w:rsidRDefault="00001258">
            <w:pPr>
              <w:spacing w:line="240" w:lineRule="auto"/>
              <w:rPr>
                <w:sz w:val="16"/>
                <w:szCs w:val="16"/>
              </w:rPr>
            </w:pPr>
            <w:r w:rsidRPr="007D4D8E">
              <w:rPr>
                <w:sz w:val="16"/>
                <w:szCs w:val="16"/>
              </w:rPr>
              <w:t>25</w:t>
            </w:r>
          </w:p>
        </w:tc>
        <w:tc>
          <w:tcPr>
            <w:tcW w:w="1275" w:type="dxa"/>
            <w:tcBorders>
              <w:top w:val="nil"/>
              <w:left w:val="nil"/>
              <w:bottom w:val="nil"/>
              <w:right w:val="nil"/>
            </w:tcBorders>
            <w:shd w:val="clear" w:color="auto" w:fill="auto"/>
            <w:vAlign w:val="center"/>
          </w:tcPr>
          <w:p w14:paraId="22F8A7AF" w14:textId="77777777" w:rsidR="00067AD2" w:rsidRPr="007D4D8E" w:rsidRDefault="00001258">
            <w:pPr>
              <w:spacing w:line="240" w:lineRule="auto"/>
              <w:rPr>
                <w:sz w:val="16"/>
                <w:szCs w:val="16"/>
              </w:rPr>
            </w:pPr>
            <w:r w:rsidRPr="007D4D8E">
              <w:rPr>
                <w:sz w:val="16"/>
                <w:szCs w:val="16"/>
              </w:rPr>
              <w:t xml:space="preserve">0 </w:t>
            </w:r>
          </w:p>
          <w:p w14:paraId="22F8A7B0" w14:textId="77777777" w:rsidR="00067AD2" w:rsidRPr="007D4D8E" w:rsidRDefault="00001258">
            <w:pPr>
              <w:spacing w:line="240" w:lineRule="auto"/>
              <w:rPr>
                <w:sz w:val="16"/>
                <w:szCs w:val="16"/>
              </w:rPr>
            </w:pPr>
            <w:r w:rsidRPr="007D4D8E">
              <w:rPr>
                <w:sz w:val="16"/>
                <w:szCs w:val="16"/>
              </w:rPr>
              <w:t xml:space="preserve">(17; </w:t>
            </w:r>
            <w:r w:rsidRPr="007D4D8E">
              <w:rPr>
                <w:i/>
                <w:sz w:val="16"/>
                <w:szCs w:val="16"/>
              </w:rPr>
              <w:t>p</w:t>
            </w:r>
            <w:r w:rsidRPr="007D4D8E">
              <w:rPr>
                <w:sz w:val="16"/>
                <w:szCs w:val="16"/>
              </w:rPr>
              <w:t xml:space="preserve"> &lt; 0.001)</w:t>
            </w:r>
          </w:p>
        </w:tc>
        <w:tc>
          <w:tcPr>
            <w:tcW w:w="1305" w:type="dxa"/>
            <w:tcBorders>
              <w:top w:val="nil"/>
              <w:left w:val="nil"/>
              <w:bottom w:val="nil"/>
              <w:right w:val="nil"/>
            </w:tcBorders>
            <w:shd w:val="clear" w:color="auto" w:fill="auto"/>
            <w:vAlign w:val="center"/>
          </w:tcPr>
          <w:p w14:paraId="22F8A7B1" w14:textId="77777777" w:rsidR="00067AD2" w:rsidRPr="007D4D8E" w:rsidRDefault="00001258">
            <w:pPr>
              <w:spacing w:line="240" w:lineRule="auto"/>
              <w:rPr>
                <w:sz w:val="16"/>
                <w:szCs w:val="16"/>
              </w:rPr>
            </w:pPr>
            <w:r w:rsidRPr="007D4D8E">
              <w:rPr>
                <w:sz w:val="16"/>
                <w:szCs w:val="16"/>
              </w:rPr>
              <w:t xml:space="preserve">0 </w:t>
            </w:r>
          </w:p>
          <w:p w14:paraId="22F8A7B2" w14:textId="77777777" w:rsidR="00067AD2" w:rsidRPr="007D4D8E" w:rsidRDefault="00001258">
            <w:pPr>
              <w:spacing w:line="240" w:lineRule="auto"/>
              <w:rPr>
                <w:sz w:val="16"/>
                <w:szCs w:val="16"/>
              </w:rPr>
            </w:pPr>
            <w:r w:rsidRPr="007D4D8E">
              <w:rPr>
                <w:sz w:val="16"/>
                <w:szCs w:val="16"/>
              </w:rPr>
              <w:t xml:space="preserve">(1; </w:t>
            </w:r>
            <w:r w:rsidRPr="007D4D8E">
              <w:rPr>
                <w:i/>
                <w:sz w:val="16"/>
                <w:szCs w:val="16"/>
              </w:rPr>
              <w:t>p</w:t>
            </w:r>
            <w:r w:rsidRPr="007D4D8E">
              <w:rPr>
                <w:sz w:val="16"/>
                <w:szCs w:val="16"/>
              </w:rPr>
              <w:t xml:space="preserve"> &lt; 0.001)</w:t>
            </w:r>
          </w:p>
        </w:tc>
        <w:tc>
          <w:tcPr>
            <w:tcW w:w="1635" w:type="dxa"/>
            <w:tcBorders>
              <w:top w:val="nil"/>
              <w:left w:val="nil"/>
              <w:bottom w:val="nil"/>
              <w:right w:val="nil"/>
            </w:tcBorders>
            <w:shd w:val="clear" w:color="auto" w:fill="auto"/>
            <w:vAlign w:val="center"/>
          </w:tcPr>
          <w:p w14:paraId="22F8A7B3" w14:textId="77777777" w:rsidR="00067AD2" w:rsidRPr="007D4D8E" w:rsidRDefault="00001258">
            <w:pPr>
              <w:spacing w:line="240" w:lineRule="auto"/>
              <w:rPr>
                <w:sz w:val="16"/>
                <w:szCs w:val="16"/>
              </w:rPr>
            </w:pPr>
            <w:r w:rsidRPr="007D4D8E">
              <w:rPr>
                <w:sz w:val="16"/>
                <w:szCs w:val="16"/>
              </w:rPr>
              <w:t>Folate-biopterin Transporter</w:t>
            </w:r>
          </w:p>
        </w:tc>
        <w:tc>
          <w:tcPr>
            <w:tcW w:w="1485" w:type="dxa"/>
            <w:tcBorders>
              <w:top w:val="nil"/>
              <w:left w:val="nil"/>
              <w:bottom w:val="nil"/>
              <w:right w:val="nil"/>
            </w:tcBorders>
            <w:shd w:val="clear" w:color="auto" w:fill="auto"/>
            <w:vAlign w:val="center"/>
          </w:tcPr>
          <w:p w14:paraId="22F8A7B4" w14:textId="77777777" w:rsidR="00067AD2" w:rsidRPr="007D4D8E" w:rsidRDefault="00001258">
            <w:pPr>
              <w:spacing w:line="240" w:lineRule="auto"/>
              <w:rPr>
                <w:sz w:val="16"/>
                <w:szCs w:val="16"/>
              </w:rPr>
            </w:pPr>
            <w:r w:rsidRPr="007D4D8E">
              <w:rPr>
                <w:sz w:val="16"/>
                <w:szCs w:val="16"/>
              </w:rPr>
              <w:t>-</w:t>
            </w:r>
          </w:p>
        </w:tc>
        <w:tc>
          <w:tcPr>
            <w:tcW w:w="3150" w:type="dxa"/>
            <w:gridSpan w:val="3"/>
            <w:tcBorders>
              <w:top w:val="nil"/>
              <w:left w:val="nil"/>
              <w:bottom w:val="nil"/>
              <w:right w:val="nil"/>
            </w:tcBorders>
            <w:shd w:val="clear" w:color="auto" w:fill="auto"/>
            <w:vAlign w:val="center"/>
          </w:tcPr>
          <w:p w14:paraId="22F8A7B5" w14:textId="77777777" w:rsidR="00067AD2" w:rsidRPr="007D4D8E" w:rsidRDefault="00001258">
            <w:pPr>
              <w:spacing w:line="240" w:lineRule="auto"/>
              <w:rPr>
                <w:sz w:val="16"/>
                <w:szCs w:val="16"/>
              </w:rPr>
            </w:pPr>
            <w:r w:rsidRPr="007D4D8E">
              <w:rPr>
                <w:sz w:val="16"/>
                <w:szCs w:val="16"/>
              </w:rPr>
              <w:t>RxLR effector</w:t>
            </w:r>
          </w:p>
        </w:tc>
      </w:tr>
      <w:tr w:rsidR="00067AD2" w:rsidRPr="007D4D8E" w14:paraId="22F8A7C3" w14:textId="77777777">
        <w:tc>
          <w:tcPr>
            <w:tcW w:w="1650" w:type="dxa"/>
            <w:tcBorders>
              <w:top w:val="nil"/>
              <w:left w:val="nil"/>
              <w:bottom w:val="nil"/>
              <w:right w:val="nil"/>
            </w:tcBorders>
            <w:shd w:val="clear" w:color="auto" w:fill="auto"/>
            <w:vAlign w:val="center"/>
          </w:tcPr>
          <w:p w14:paraId="22F8A7B7" w14:textId="77777777" w:rsidR="00067AD2" w:rsidRPr="007D4D8E" w:rsidRDefault="00001258">
            <w:pPr>
              <w:spacing w:line="240" w:lineRule="auto"/>
              <w:rPr>
                <w:sz w:val="16"/>
                <w:szCs w:val="16"/>
              </w:rPr>
            </w:pPr>
            <w:r w:rsidRPr="007D4D8E">
              <w:rPr>
                <w:sz w:val="16"/>
                <w:szCs w:val="16"/>
              </w:rPr>
              <w:t>Phyram_PR-102_s0002:</w:t>
            </w:r>
          </w:p>
          <w:p w14:paraId="22F8A7B8" w14:textId="77777777" w:rsidR="00067AD2" w:rsidRPr="007D4D8E" w:rsidRDefault="00001258">
            <w:pPr>
              <w:spacing w:line="240" w:lineRule="auto"/>
              <w:rPr>
                <w:sz w:val="16"/>
                <w:szCs w:val="16"/>
              </w:rPr>
            </w:pPr>
            <w:r w:rsidRPr="007D4D8E">
              <w:rPr>
                <w:sz w:val="16"/>
                <w:szCs w:val="16"/>
              </w:rPr>
              <w:t>682,281-686,516</w:t>
            </w:r>
          </w:p>
        </w:tc>
        <w:tc>
          <w:tcPr>
            <w:tcW w:w="750" w:type="dxa"/>
            <w:tcBorders>
              <w:top w:val="nil"/>
              <w:left w:val="nil"/>
              <w:bottom w:val="nil"/>
              <w:right w:val="nil"/>
            </w:tcBorders>
            <w:shd w:val="clear" w:color="auto" w:fill="auto"/>
            <w:vAlign w:val="center"/>
          </w:tcPr>
          <w:p w14:paraId="22F8A7B9" w14:textId="77777777" w:rsidR="00067AD2" w:rsidRPr="007D4D8E" w:rsidRDefault="00001258">
            <w:pPr>
              <w:spacing w:line="240" w:lineRule="auto"/>
              <w:rPr>
                <w:sz w:val="16"/>
                <w:szCs w:val="16"/>
              </w:rPr>
            </w:pPr>
            <w:r w:rsidRPr="007D4D8E">
              <w:rPr>
                <w:sz w:val="16"/>
                <w:szCs w:val="16"/>
              </w:rPr>
              <w:t>4,182</w:t>
            </w:r>
          </w:p>
        </w:tc>
        <w:tc>
          <w:tcPr>
            <w:tcW w:w="1095" w:type="dxa"/>
            <w:tcBorders>
              <w:top w:val="nil"/>
              <w:left w:val="nil"/>
              <w:bottom w:val="nil"/>
              <w:right w:val="nil"/>
            </w:tcBorders>
            <w:shd w:val="clear" w:color="auto" w:fill="auto"/>
            <w:vAlign w:val="center"/>
          </w:tcPr>
          <w:p w14:paraId="22F8A7BA" w14:textId="77777777" w:rsidR="00067AD2" w:rsidRPr="007D4D8E" w:rsidRDefault="00001258">
            <w:pPr>
              <w:spacing w:line="240" w:lineRule="auto"/>
              <w:rPr>
                <w:sz w:val="16"/>
                <w:szCs w:val="16"/>
              </w:rPr>
            </w:pPr>
            <w:r w:rsidRPr="007D4D8E">
              <w:rPr>
                <w:sz w:val="16"/>
                <w:szCs w:val="16"/>
              </w:rPr>
              <w:t>16</w:t>
            </w:r>
          </w:p>
        </w:tc>
        <w:tc>
          <w:tcPr>
            <w:tcW w:w="735" w:type="dxa"/>
            <w:tcBorders>
              <w:top w:val="nil"/>
              <w:left w:val="nil"/>
              <w:bottom w:val="nil"/>
              <w:right w:val="nil"/>
            </w:tcBorders>
            <w:shd w:val="clear" w:color="auto" w:fill="auto"/>
            <w:vAlign w:val="center"/>
          </w:tcPr>
          <w:p w14:paraId="22F8A7BB" w14:textId="77777777" w:rsidR="00067AD2" w:rsidRPr="007D4D8E" w:rsidRDefault="00001258">
            <w:pPr>
              <w:spacing w:line="240" w:lineRule="auto"/>
              <w:rPr>
                <w:sz w:val="16"/>
                <w:szCs w:val="16"/>
              </w:rPr>
            </w:pPr>
            <w:r w:rsidRPr="007D4D8E">
              <w:rPr>
                <w:sz w:val="16"/>
                <w:szCs w:val="16"/>
              </w:rPr>
              <w:t>18</w:t>
            </w:r>
          </w:p>
        </w:tc>
        <w:tc>
          <w:tcPr>
            <w:tcW w:w="1275" w:type="dxa"/>
            <w:tcBorders>
              <w:top w:val="nil"/>
              <w:left w:val="nil"/>
              <w:bottom w:val="nil"/>
              <w:right w:val="nil"/>
            </w:tcBorders>
            <w:shd w:val="clear" w:color="auto" w:fill="auto"/>
            <w:vAlign w:val="center"/>
          </w:tcPr>
          <w:p w14:paraId="22F8A7BC" w14:textId="77777777" w:rsidR="00067AD2" w:rsidRPr="007D4D8E" w:rsidRDefault="00001258">
            <w:pPr>
              <w:spacing w:line="240" w:lineRule="auto"/>
              <w:rPr>
                <w:sz w:val="16"/>
                <w:szCs w:val="16"/>
              </w:rPr>
            </w:pPr>
            <w:r w:rsidRPr="007D4D8E">
              <w:rPr>
                <w:sz w:val="16"/>
                <w:szCs w:val="16"/>
              </w:rPr>
              <w:t xml:space="preserve">0 </w:t>
            </w:r>
          </w:p>
          <w:p w14:paraId="22F8A7BD" w14:textId="77777777" w:rsidR="00067AD2" w:rsidRPr="007D4D8E" w:rsidRDefault="00001258">
            <w:pPr>
              <w:spacing w:line="240" w:lineRule="auto"/>
              <w:rPr>
                <w:sz w:val="16"/>
                <w:szCs w:val="16"/>
              </w:rPr>
            </w:pPr>
            <w:r w:rsidRPr="007D4D8E">
              <w:rPr>
                <w:sz w:val="16"/>
                <w:szCs w:val="16"/>
              </w:rPr>
              <w:t>(23;</w:t>
            </w:r>
            <w:r w:rsidRPr="007D4D8E">
              <w:rPr>
                <w:i/>
                <w:sz w:val="16"/>
                <w:szCs w:val="16"/>
              </w:rPr>
              <w:t xml:space="preserve"> p</w:t>
            </w:r>
            <w:r w:rsidRPr="007D4D8E">
              <w:rPr>
                <w:sz w:val="16"/>
                <w:szCs w:val="16"/>
              </w:rPr>
              <w:t xml:space="preserve"> &lt; 0.001)</w:t>
            </w:r>
          </w:p>
        </w:tc>
        <w:tc>
          <w:tcPr>
            <w:tcW w:w="1305" w:type="dxa"/>
            <w:tcBorders>
              <w:top w:val="nil"/>
              <w:left w:val="nil"/>
              <w:bottom w:val="nil"/>
              <w:right w:val="nil"/>
            </w:tcBorders>
            <w:shd w:val="clear" w:color="auto" w:fill="auto"/>
            <w:vAlign w:val="center"/>
          </w:tcPr>
          <w:p w14:paraId="22F8A7BE" w14:textId="77777777" w:rsidR="00067AD2" w:rsidRPr="007D4D8E" w:rsidRDefault="00001258">
            <w:pPr>
              <w:spacing w:line="240" w:lineRule="auto"/>
              <w:rPr>
                <w:sz w:val="16"/>
                <w:szCs w:val="16"/>
              </w:rPr>
            </w:pPr>
            <w:r w:rsidRPr="007D4D8E">
              <w:rPr>
                <w:sz w:val="16"/>
                <w:szCs w:val="16"/>
              </w:rPr>
              <w:t xml:space="preserve">0 </w:t>
            </w:r>
          </w:p>
          <w:p w14:paraId="22F8A7BF" w14:textId="77777777" w:rsidR="00067AD2" w:rsidRPr="007D4D8E" w:rsidRDefault="00001258">
            <w:pPr>
              <w:spacing w:line="240" w:lineRule="auto"/>
              <w:rPr>
                <w:sz w:val="16"/>
                <w:szCs w:val="16"/>
              </w:rPr>
            </w:pPr>
            <w:r w:rsidRPr="007D4D8E">
              <w:rPr>
                <w:sz w:val="16"/>
                <w:szCs w:val="16"/>
              </w:rPr>
              <w:t xml:space="preserve">(1; </w:t>
            </w:r>
            <w:r w:rsidRPr="007D4D8E">
              <w:rPr>
                <w:i/>
                <w:sz w:val="16"/>
                <w:szCs w:val="16"/>
              </w:rPr>
              <w:t>p</w:t>
            </w:r>
            <w:r w:rsidRPr="007D4D8E">
              <w:rPr>
                <w:sz w:val="16"/>
                <w:szCs w:val="16"/>
              </w:rPr>
              <w:t xml:space="preserve"> &lt; 0.001)</w:t>
            </w:r>
          </w:p>
        </w:tc>
        <w:tc>
          <w:tcPr>
            <w:tcW w:w="1635" w:type="dxa"/>
            <w:tcBorders>
              <w:top w:val="nil"/>
              <w:left w:val="nil"/>
              <w:bottom w:val="nil"/>
              <w:right w:val="nil"/>
            </w:tcBorders>
            <w:shd w:val="clear" w:color="auto" w:fill="auto"/>
            <w:vAlign w:val="center"/>
          </w:tcPr>
          <w:p w14:paraId="22F8A7C0" w14:textId="77777777" w:rsidR="00067AD2" w:rsidRPr="007D4D8E" w:rsidRDefault="00001258">
            <w:pPr>
              <w:spacing w:line="240" w:lineRule="auto"/>
              <w:rPr>
                <w:sz w:val="16"/>
                <w:szCs w:val="16"/>
              </w:rPr>
            </w:pPr>
            <w:r w:rsidRPr="007D4D8E">
              <w:rPr>
                <w:sz w:val="16"/>
                <w:szCs w:val="16"/>
              </w:rPr>
              <w:t>Hypothetical protein</w:t>
            </w:r>
          </w:p>
        </w:tc>
        <w:tc>
          <w:tcPr>
            <w:tcW w:w="1485" w:type="dxa"/>
            <w:tcBorders>
              <w:top w:val="nil"/>
              <w:left w:val="nil"/>
              <w:bottom w:val="nil"/>
              <w:right w:val="nil"/>
            </w:tcBorders>
            <w:shd w:val="clear" w:color="auto" w:fill="auto"/>
            <w:vAlign w:val="center"/>
          </w:tcPr>
          <w:p w14:paraId="22F8A7C1" w14:textId="77777777" w:rsidR="00067AD2" w:rsidRPr="007D4D8E" w:rsidRDefault="00001258">
            <w:pPr>
              <w:spacing w:line="240" w:lineRule="auto"/>
              <w:rPr>
                <w:sz w:val="16"/>
                <w:szCs w:val="16"/>
              </w:rPr>
            </w:pPr>
            <w:r w:rsidRPr="007D4D8E">
              <w:rPr>
                <w:sz w:val="16"/>
                <w:szCs w:val="16"/>
              </w:rPr>
              <w:t>-</w:t>
            </w:r>
          </w:p>
        </w:tc>
        <w:tc>
          <w:tcPr>
            <w:tcW w:w="3150" w:type="dxa"/>
            <w:gridSpan w:val="3"/>
            <w:tcBorders>
              <w:top w:val="nil"/>
              <w:left w:val="nil"/>
              <w:bottom w:val="nil"/>
              <w:right w:val="nil"/>
            </w:tcBorders>
            <w:shd w:val="clear" w:color="auto" w:fill="auto"/>
            <w:vAlign w:val="center"/>
          </w:tcPr>
          <w:p w14:paraId="22F8A7C2" w14:textId="77777777" w:rsidR="00067AD2" w:rsidRPr="007D4D8E" w:rsidRDefault="00001258">
            <w:pPr>
              <w:spacing w:line="240" w:lineRule="auto"/>
              <w:rPr>
                <w:sz w:val="16"/>
                <w:szCs w:val="16"/>
              </w:rPr>
            </w:pPr>
            <w:r w:rsidRPr="007D4D8E">
              <w:rPr>
                <w:sz w:val="16"/>
                <w:szCs w:val="16"/>
              </w:rPr>
              <w:t>RxLR effector</w:t>
            </w:r>
          </w:p>
        </w:tc>
      </w:tr>
      <w:tr w:rsidR="00067AD2" w:rsidRPr="007D4D8E" w14:paraId="22F8A7D0" w14:textId="77777777">
        <w:tc>
          <w:tcPr>
            <w:tcW w:w="1650" w:type="dxa"/>
            <w:tcBorders>
              <w:top w:val="nil"/>
              <w:left w:val="nil"/>
              <w:bottom w:val="nil"/>
              <w:right w:val="nil"/>
            </w:tcBorders>
            <w:shd w:val="clear" w:color="auto" w:fill="auto"/>
            <w:vAlign w:val="center"/>
          </w:tcPr>
          <w:p w14:paraId="22F8A7C4" w14:textId="77777777" w:rsidR="00067AD2" w:rsidRPr="007D4D8E" w:rsidRDefault="00001258">
            <w:pPr>
              <w:spacing w:line="240" w:lineRule="auto"/>
              <w:rPr>
                <w:sz w:val="16"/>
                <w:szCs w:val="16"/>
              </w:rPr>
            </w:pPr>
            <w:r w:rsidRPr="007D4D8E">
              <w:rPr>
                <w:sz w:val="16"/>
                <w:szCs w:val="16"/>
              </w:rPr>
              <w:t>Phyram_PR-102_s0003:</w:t>
            </w:r>
          </w:p>
          <w:p w14:paraId="22F8A7C5" w14:textId="77777777" w:rsidR="00067AD2" w:rsidRPr="007D4D8E" w:rsidRDefault="00001258">
            <w:pPr>
              <w:spacing w:line="240" w:lineRule="auto"/>
              <w:rPr>
                <w:sz w:val="16"/>
                <w:szCs w:val="16"/>
              </w:rPr>
            </w:pPr>
            <w:r w:rsidRPr="007D4D8E">
              <w:rPr>
                <w:sz w:val="16"/>
                <w:szCs w:val="16"/>
              </w:rPr>
              <w:t>5,004,466-5,039,189</w:t>
            </w:r>
          </w:p>
        </w:tc>
        <w:tc>
          <w:tcPr>
            <w:tcW w:w="750" w:type="dxa"/>
            <w:tcBorders>
              <w:top w:val="nil"/>
              <w:left w:val="nil"/>
              <w:bottom w:val="nil"/>
              <w:right w:val="nil"/>
            </w:tcBorders>
            <w:shd w:val="clear" w:color="auto" w:fill="auto"/>
            <w:vAlign w:val="center"/>
          </w:tcPr>
          <w:p w14:paraId="22F8A7C6" w14:textId="77777777" w:rsidR="00067AD2" w:rsidRPr="007D4D8E" w:rsidRDefault="00001258">
            <w:pPr>
              <w:spacing w:line="240" w:lineRule="auto"/>
              <w:rPr>
                <w:sz w:val="16"/>
                <w:szCs w:val="16"/>
              </w:rPr>
            </w:pPr>
            <w:r w:rsidRPr="007D4D8E">
              <w:rPr>
                <w:sz w:val="16"/>
                <w:szCs w:val="16"/>
              </w:rPr>
              <w:t>15,673</w:t>
            </w:r>
          </w:p>
        </w:tc>
        <w:tc>
          <w:tcPr>
            <w:tcW w:w="1095" w:type="dxa"/>
            <w:tcBorders>
              <w:top w:val="nil"/>
              <w:left w:val="nil"/>
              <w:bottom w:val="nil"/>
              <w:right w:val="nil"/>
            </w:tcBorders>
            <w:shd w:val="clear" w:color="auto" w:fill="auto"/>
            <w:vAlign w:val="center"/>
          </w:tcPr>
          <w:p w14:paraId="22F8A7C7" w14:textId="77777777" w:rsidR="00067AD2" w:rsidRPr="007D4D8E" w:rsidRDefault="00001258">
            <w:pPr>
              <w:spacing w:line="240" w:lineRule="auto"/>
              <w:rPr>
                <w:sz w:val="16"/>
                <w:szCs w:val="16"/>
              </w:rPr>
            </w:pPr>
            <w:r w:rsidRPr="007D4D8E">
              <w:rPr>
                <w:sz w:val="16"/>
                <w:szCs w:val="16"/>
              </w:rPr>
              <w:t>16</w:t>
            </w:r>
          </w:p>
        </w:tc>
        <w:tc>
          <w:tcPr>
            <w:tcW w:w="735" w:type="dxa"/>
            <w:tcBorders>
              <w:top w:val="nil"/>
              <w:left w:val="nil"/>
              <w:bottom w:val="nil"/>
              <w:right w:val="nil"/>
            </w:tcBorders>
            <w:shd w:val="clear" w:color="auto" w:fill="auto"/>
            <w:vAlign w:val="center"/>
          </w:tcPr>
          <w:p w14:paraId="22F8A7C8" w14:textId="77777777" w:rsidR="00067AD2" w:rsidRPr="007D4D8E" w:rsidRDefault="00001258">
            <w:pPr>
              <w:spacing w:line="240" w:lineRule="auto"/>
              <w:rPr>
                <w:sz w:val="16"/>
                <w:szCs w:val="16"/>
              </w:rPr>
            </w:pPr>
            <w:r w:rsidRPr="007D4D8E">
              <w:rPr>
                <w:sz w:val="16"/>
                <w:szCs w:val="16"/>
              </w:rPr>
              <w:t>52</w:t>
            </w:r>
          </w:p>
        </w:tc>
        <w:tc>
          <w:tcPr>
            <w:tcW w:w="1275" w:type="dxa"/>
            <w:tcBorders>
              <w:top w:val="nil"/>
              <w:left w:val="nil"/>
              <w:bottom w:val="nil"/>
              <w:right w:val="nil"/>
            </w:tcBorders>
            <w:shd w:val="clear" w:color="auto" w:fill="auto"/>
            <w:vAlign w:val="center"/>
          </w:tcPr>
          <w:p w14:paraId="22F8A7C9" w14:textId="77777777" w:rsidR="00067AD2" w:rsidRPr="007D4D8E" w:rsidRDefault="00001258">
            <w:pPr>
              <w:spacing w:line="240" w:lineRule="auto"/>
              <w:rPr>
                <w:sz w:val="16"/>
                <w:szCs w:val="16"/>
              </w:rPr>
            </w:pPr>
            <w:r w:rsidRPr="007D4D8E">
              <w:rPr>
                <w:sz w:val="16"/>
                <w:szCs w:val="16"/>
              </w:rPr>
              <w:t xml:space="preserve">0 </w:t>
            </w:r>
          </w:p>
          <w:p w14:paraId="22F8A7CA" w14:textId="77777777" w:rsidR="00067AD2" w:rsidRPr="007D4D8E" w:rsidRDefault="00001258">
            <w:pPr>
              <w:spacing w:line="240" w:lineRule="auto"/>
              <w:rPr>
                <w:sz w:val="16"/>
                <w:szCs w:val="16"/>
              </w:rPr>
            </w:pPr>
            <w:r w:rsidRPr="007D4D8E">
              <w:rPr>
                <w:sz w:val="16"/>
                <w:szCs w:val="16"/>
              </w:rPr>
              <w:t xml:space="preserve">(72; </w:t>
            </w:r>
            <w:r w:rsidRPr="007D4D8E">
              <w:rPr>
                <w:i/>
                <w:sz w:val="16"/>
                <w:szCs w:val="16"/>
              </w:rPr>
              <w:t>p</w:t>
            </w:r>
            <w:r w:rsidRPr="007D4D8E">
              <w:rPr>
                <w:sz w:val="16"/>
                <w:szCs w:val="16"/>
              </w:rPr>
              <w:t xml:space="preserve"> &lt; 0.001)</w:t>
            </w:r>
          </w:p>
        </w:tc>
        <w:tc>
          <w:tcPr>
            <w:tcW w:w="1305" w:type="dxa"/>
            <w:tcBorders>
              <w:top w:val="nil"/>
              <w:left w:val="nil"/>
              <w:bottom w:val="nil"/>
              <w:right w:val="nil"/>
            </w:tcBorders>
            <w:shd w:val="clear" w:color="auto" w:fill="auto"/>
            <w:vAlign w:val="center"/>
          </w:tcPr>
          <w:p w14:paraId="22F8A7CB" w14:textId="77777777" w:rsidR="00067AD2" w:rsidRPr="007D4D8E" w:rsidRDefault="00001258">
            <w:pPr>
              <w:spacing w:line="240" w:lineRule="auto"/>
              <w:rPr>
                <w:sz w:val="16"/>
                <w:szCs w:val="16"/>
              </w:rPr>
            </w:pPr>
            <w:r w:rsidRPr="007D4D8E">
              <w:rPr>
                <w:sz w:val="16"/>
                <w:szCs w:val="16"/>
              </w:rPr>
              <w:t xml:space="preserve">1 </w:t>
            </w:r>
          </w:p>
          <w:p w14:paraId="22F8A7CC" w14:textId="77777777" w:rsidR="00067AD2" w:rsidRPr="007D4D8E" w:rsidRDefault="00001258">
            <w:pPr>
              <w:spacing w:line="240" w:lineRule="auto"/>
              <w:rPr>
                <w:sz w:val="16"/>
                <w:szCs w:val="16"/>
              </w:rPr>
            </w:pPr>
            <w:r w:rsidRPr="007D4D8E">
              <w:rPr>
                <w:sz w:val="16"/>
                <w:szCs w:val="16"/>
              </w:rPr>
              <w:t xml:space="preserve">(3; </w:t>
            </w:r>
            <w:r w:rsidRPr="007D4D8E">
              <w:rPr>
                <w:i/>
                <w:sz w:val="16"/>
                <w:szCs w:val="16"/>
              </w:rPr>
              <w:t>p</w:t>
            </w:r>
            <w:r w:rsidRPr="007D4D8E">
              <w:rPr>
                <w:sz w:val="16"/>
                <w:szCs w:val="16"/>
              </w:rPr>
              <w:t xml:space="preserve"> &lt; 0.001)</w:t>
            </w:r>
          </w:p>
        </w:tc>
        <w:tc>
          <w:tcPr>
            <w:tcW w:w="1635" w:type="dxa"/>
            <w:tcBorders>
              <w:top w:val="nil"/>
              <w:left w:val="nil"/>
              <w:bottom w:val="nil"/>
              <w:right w:val="nil"/>
            </w:tcBorders>
            <w:shd w:val="clear" w:color="auto" w:fill="auto"/>
            <w:vAlign w:val="center"/>
          </w:tcPr>
          <w:p w14:paraId="22F8A7CD" w14:textId="77777777" w:rsidR="00067AD2" w:rsidRPr="007D4D8E" w:rsidRDefault="00001258">
            <w:pPr>
              <w:spacing w:line="240" w:lineRule="auto"/>
              <w:rPr>
                <w:b/>
                <w:sz w:val="16"/>
                <w:szCs w:val="16"/>
              </w:rPr>
            </w:pPr>
            <w:r w:rsidRPr="007D4D8E">
              <w:rPr>
                <w:b/>
                <w:sz w:val="16"/>
                <w:szCs w:val="16"/>
              </w:rPr>
              <w:t>Mar9 Transposase</w:t>
            </w:r>
          </w:p>
        </w:tc>
        <w:tc>
          <w:tcPr>
            <w:tcW w:w="1485" w:type="dxa"/>
            <w:tcBorders>
              <w:top w:val="nil"/>
              <w:left w:val="nil"/>
              <w:bottom w:val="nil"/>
              <w:right w:val="nil"/>
            </w:tcBorders>
            <w:shd w:val="clear" w:color="auto" w:fill="auto"/>
            <w:vAlign w:val="center"/>
          </w:tcPr>
          <w:p w14:paraId="22F8A7CE" w14:textId="77777777" w:rsidR="00067AD2" w:rsidRPr="007D4D8E" w:rsidRDefault="00001258">
            <w:pPr>
              <w:spacing w:line="240" w:lineRule="auto"/>
              <w:rPr>
                <w:sz w:val="16"/>
                <w:szCs w:val="16"/>
              </w:rPr>
            </w:pPr>
            <w:r w:rsidRPr="007D4D8E">
              <w:rPr>
                <w:sz w:val="16"/>
                <w:szCs w:val="16"/>
              </w:rPr>
              <w:t>Hypothetical protein</w:t>
            </w:r>
          </w:p>
        </w:tc>
        <w:tc>
          <w:tcPr>
            <w:tcW w:w="3150" w:type="dxa"/>
            <w:gridSpan w:val="3"/>
            <w:tcBorders>
              <w:top w:val="nil"/>
              <w:left w:val="nil"/>
              <w:bottom w:val="nil"/>
              <w:right w:val="nil"/>
            </w:tcBorders>
            <w:shd w:val="clear" w:color="auto" w:fill="auto"/>
            <w:vAlign w:val="center"/>
          </w:tcPr>
          <w:p w14:paraId="22F8A7CF" w14:textId="77777777" w:rsidR="00067AD2" w:rsidRPr="007D4D8E" w:rsidRDefault="00001258">
            <w:pPr>
              <w:spacing w:line="240" w:lineRule="auto"/>
              <w:rPr>
                <w:sz w:val="16"/>
                <w:szCs w:val="16"/>
              </w:rPr>
            </w:pPr>
            <w:r w:rsidRPr="007D4D8E">
              <w:rPr>
                <w:sz w:val="16"/>
                <w:szCs w:val="16"/>
              </w:rPr>
              <w:t>Hypothetical protein</w:t>
            </w:r>
          </w:p>
        </w:tc>
      </w:tr>
      <w:tr w:rsidR="00067AD2" w:rsidRPr="007D4D8E" w14:paraId="22F8A7DD" w14:textId="77777777">
        <w:tc>
          <w:tcPr>
            <w:tcW w:w="1650" w:type="dxa"/>
            <w:tcBorders>
              <w:top w:val="nil"/>
              <w:left w:val="nil"/>
              <w:bottom w:val="nil"/>
              <w:right w:val="nil"/>
            </w:tcBorders>
            <w:shd w:val="clear" w:color="auto" w:fill="auto"/>
            <w:vAlign w:val="center"/>
          </w:tcPr>
          <w:p w14:paraId="22F8A7D1" w14:textId="77777777" w:rsidR="00067AD2" w:rsidRPr="007D4D8E" w:rsidRDefault="00001258">
            <w:pPr>
              <w:spacing w:line="240" w:lineRule="auto"/>
              <w:rPr>
                <w:sz w:val="16"/>
                <w:szCs w:val="16"/>
              </w:rPr>
            </w:pPr>
            <w:r w:rsidRPr="007D4D8E">
              <w:rPr>
                <w:sz w:val="16"/>
                <w:szCs w:val="16"/>
              </w:rPr>
              <w:t>Phyram_PR-102_s0005:</w:t>
            </w:r>
          </w:p>
          <w:p w14:paraId="22F8A7D2" w14:textId="77777777" w:rsidR="00067AD2" w:rsidRPr="007D4D8E" w:rsidRDefault="00001258">
            <w:pPr>
              <w:spacing w:line="240" w:lineRule="auto"/>
              <w:rPr>
                <w:sz w:val="16"/>
                <w:szCs w:val="16"/>
              </w:rPr>
            </w:pPr>
            <w:r w:rsidRPr="007D4D8E">
              <w:rPr>
                <w:sz w:val="16"/>
                <w:szCs w:val="16"/>
              </w:rPr>
              <w:lastRenderedPageBreak/>
              <w:t>3,381,020-3,381,802</w:t>
            </w:r>
          </w:p>
        </w:tc>
        <w:tc>
          <w:tcPr>
            <w:tcW w:w="750" w:type="dxa"/>
            <w:tcBorders>
              <w:top w:val="nil"/>
              <w:left w:val="nil"/>
              <w:bottom w:val="nil"/>
              <w:right w:val="nil"/>
            </w:tcBorders>
            <w:shd w:val="clear" w:color="auto" w:fill="auto"/>
            <w:vAlign w:val="center"/>
          </w:tcPr>
          <w:p w14:paraId="22F8A7D3" w14:textId="77777777" w:rsidR="00067AD2" w:rsidRPr="007D4D8E" w:rsidRDefault="00001258">
            <w:pPr>
              <w:spacing w:line="240" w:lineRule="auto"/>
              <w:rPr>
                <w:sz w:val="16"/>
                <w:szCs w:val="16"/>
              </w:rPr>
            </w:pPr>
            <w:r w:rsidRPr="007D4D8E">
              <w:rPr>
                <w:sz w:val="16"/>
                <w:szCs w:val="16"/>
              </w:rPr>
              <w:lastRenderedPageBreak/>
              <w:t>679</w:t>
            </w:r>
          </w:p>
        </w:tc>
        <w:tc>
          <w:tcPr>
            <w:tcW w:w="1095" w:type="dxa"/>
            <w:tcBorders>
              <w:top w:val="nil"/>
              <w:left w:val="nil"/>
              <w:bottom w:val="nil"/>
              <w:right w:val="nil"/>
            </w:tcBorders>
            <w:shd w:val="clear" w:color="auto" w:fill="auto"/>
            <w:vAlign w:val="center"/>
          </w:tcPr>
          <w:p w14:paraId="22F8A7D4" w14:textId="77777777" w:rsidR="00067AD2" w:rsidRPr="007D4D8E" w:rsidRDefault="00001258">
            <w:pPr>
              <w:spacing w:line="240" w:lineRule="auto"/>
              <w:rPr>
                <w:sz w:val="16"/>
                <w:szCs w:val="16"/>
              </w:rPr>
            </w:pPr>
            <w:r w:rsidRPr="007D4D8E">
              <w:rPr>
                <w:sz w:val="16"/>
                <w:szCs w:val="16"/>
              </w:rPr>
              <w:t>13</w:t>
            </w:r>
          </w:p>
        </w:tc>
        <w:tc>
          <w:tcPr>
            <w:tcW w:w="735" w:type="dxa"/>
            <w:tcBorders>
              <w:top w:val="nil"/>
              <w:left w:val="nil"/>
              <w:bottom w:val="nil"/>
              <w:right w:val="nil"/>
            </w:tcBorders>
            <w:shd w:val="clear" w:color="auto" w:fill="auto"/>
            <w:vAlign w:val="center"/>
          </w:tcPr>
          <w:p w14:paraId="22F8A7D5" w14:textId="77777777" w:rsidR="00067AD2" w:rsidRPr="007D4D8E" w:rsidRDefault="00001258">
            <w:pPr>
              <w:spacing w:line="240" w:lineRule="auto"/>
              <w:rPr>
                <w:sz w:val="16"/>
                <w:szCs w:val="16"/>
              </w:rPr>
            </w:pPr>
            <w:r w:rsidRPr="007D4D8E">
              <w:rPr>
                <w:sz w:val="16"/>
                <w:szCs w:val="16"/>
              </w:rPr>
              <w:t>21</w:t>
            </w:r>
          </w:p>
        </w:tc>
        <w:tc>
          <w:tcPr>
            <w:tcW w:w="1275" w:type="dxa"/>
            <w:tcBorders>
              <w:top w:val="nil"/>
              <w:left w:val="nil"/>
              <w:bottom w:val="nil"/>
              <w:right w:val="nil"/>
            </w:tcBorders>
            <w:shd w:val="clear" w:color="auto" w:fill="auto"/>
            <w:vAlign w:val="center"/>
          </w:tcPr>
          <w:p w14:paraId="22F8A7D6" w14:textId="77777777" w:rsidR="00067AD2" w:rsidRPr="007D4D8E" w:rsidRDefault="00001258">
            <w:pPr>
              <w:spacing w:line="240" w:lineRule="auto"/>
              <w:rPr>
                <w:sz w:val="16"/>
                <w:szCs w:val="16"/>
              </w:rPr>
            </w:pPr>
            <w:r w:rsidRPr="007D4D8E">
              <w:rPr>
                <w:sz w:val="16"/>
                <w:szCs w:val="16"/>
              </w:rPr>
              <w:t xml:space="preserve">0 </w:t>
            </w:r>
          </w:p>
          <w:p w14:paraId="22F8A7D7" w14:textId="77777777" w:rsidR="00067AD2" w:rsidRPr="007D4D8E" w:rsidRDefault="00001258">
            <w:pPr>
              <w:spacing w:line="240" w:lineRule="auto"/>
              <w:rPr>
                <w:sz w:val="16"/>
                <w:szCs w:val="16"/>
              </w:rPr>
            </w:pPr>
            <w:r w:rsidRPr="007D4D8E">
              <w:rPr>
                <w:sz w:val="16"/>
                <w:szCs w:val="16"/>
              </w:rPr>
              <w:t xml:space="preserve">(4; </w:t>
            </w:r>
            <w:r w:rsidRPr="007D4D8E">
              <w:rPr>
                <w:i/>
                <w:sz w:val="16"/>
                <w:szCs w:val="16"/>
              </w:rPr>
              <w:t>p</w:t>
            </w:r>
            <w:r w:rsidRPr="007D4D8E">
              <w:rPr>
                <w:sz w:val="16"/>
                <w:szCs w:val="16"/>
              </w:rPr>
              <w:t xml:space="preserve"> &lt; 0.001)</w:t>
            </w:r>
          </w:p>
        </w:tc>
        <w:tc>
          <w:tcPr>
            <w:tcW w:w="1305" w:type="dxa"/>
            <w:tcBorders>
              <w:top w:val="nil"/>
              <w:left w:val="nil"/>
              <w:bottom w:val="nil"/>
              <w:right w:val="nil"/>
            </w:tcBorders>
            <w:shd w:val="clear" w:color="auto" w:fill="auto"/>
            <w:vAlign w:val="center"/>
          </w:tcPr>
          <w:p w14:paraId="22F8A7D8" w14:textId="77777777" w:rsidR="00067AD2" w:rsidRPr="007D4D8E" w:rsidRDefault="00001258">
            <w:pPr>
              <w:spacing w:line="240" w:lineRule="auto"/>
              <w:rPr>
                <w:sz w:val="16"/>
                <w:szCs w:val="16"/>
              </w:rPr>
            </w:pPr>
            <w:r w:rsidRPr="007D4D8E">
              <w:rPr>
                <w:sz w:val="16"/>
                <w:szCs w:val="16"/>
              </w:rPr>
              <w:t xml:space="preserve">0 </w:t>
            </w:r>
          </w:p>
          <w:p w14:paraId="22F8A7D9" w14:textId="77777777" w:rsidR="00067AD2" w:rsidRPr="007D4D8E" w:rsidRDefault="00001258">
            <w:pPr>
              <w:spacing w:line="240" w:lineRule="auto"/>
              <w:rPr>
                <w:sz w:val="16"/>
                <w:szCs w:val="16"/>
              </w:rPr>
            </w:pPr>
            <w:r w:rsidRPr="007D4D8E">
              <w:rPr>
                <w:sz w:val="16"/>
                <w:szCs w:val="16"/>
              </w:rPr>
              <w:t>(0; ns)</w:t>
            </w:r>
          </w:p>
        </w:tc>
        <w:tc>
          <w:tcPr>
            <w:tcW w:w="1635" w:type="dxa"/>
            <w:tcBorders>
              <w:top w:val="nil"/>
              <w:left w:val="nil"/>
              <w:bottom w:val="nil"/>
              <w:right w:val="nil"/>
            </w:tcBorders>
            <w:shd w:val="clear" w:color="auto" w:fill="auto"/>
            <w:vAlign w:val="center"/>
          </w:tcPr>
          <w:p w14:paraId="22F8A7DA" w14:textId="77777777" w:rsidR="00067AD2" w:rsidRPr="007D4D8E" w:rsidRDefault="00001258">
            <w:pPr>
              <w:spacing w:line="240" w:lineRule="auto"/>
              <w:rPr>
                <w:sz w:val="16"/>
                <w:szCs w:val="16"/>
              </w:rPr>
            </w:pPr>
            <w:r w:rsidRPr="007D4D8E">
              <w:rPr>
                <w:sz w:val="16"/>
                <w:szCs w:val="16"/>
              </w:rPr>
              <w:t>RxLR effector</w:t>
            </w:r>
          </w:p>
        </w:tc>
        <w:tc>
          <w:tcPr>
            <w:tcW w:w="1485" w:type="dxa"/>
            <w:tcBorders>
              <w:top w:val="nil"/>
              <w:left w:val="nil"/>
              <w:bottom w:val="nil"/>
              <w:right w:val="nil"/>
            </w:tcBorders>
            <w:shd w:val="clear" w:color="auto" w:fill="auto"/>
            <w:vAlign w:val="center"/>
          </w:tcPr>
          <w:p w14:paraId="22F8A7DB" w14:textId="77777777" w:rsidR="00067AD2" w:rsidRPr="007D4D8E" w:rsidRDefault="00001258">
            <w:pPr>
              <w:spacing w:line="240" w:lineRule="auto"/>
              <w:rPr>
                <w:sz w:val="16"/>
                <w:szCs w:val="16"/>
              </w:rPr>
            </w:pPr>
            <w:r w:rsidRPr="007D4D8E">
              <w:rPr>
                <w:sz w:val="16"/>
                <w:szCs w:val="16"/>
              </w:rPr>
              <w:t>-</w:t>
            </w:r>
          </w:p>
        </w:tc>
        <w:tc>
          <w:tcPr>
            <w:tcW w:w="3150" w:type="dxa"/>
            <w:gridSpan w:val="3"/>
            <w:tcBorders>
              <w:top w:val="nil"/>
              <w:left w:val="nil"/>
              <w:bottom w:val="nil"/>
              <w:right w:val="nil"/>
            </w:tcBorders>
            <w:shd w:val="clear" w:color="auto" w:fill="auto"/>
            <w:vAlign w:val="center"/>
          </w:tcPr>
          <w:p w14:paraId="22F8A7DC" w14:textId="77777777" w:rsidR="00067AD2" w:rsidRPr="007D4D8E" w:rsidRDefault="00001258">
            <w:pPr>
              <w:spacing w:line="240" w:lineRule="auto"/>
              <w:rPr>
                <w:sz w:val="16"/>
                <w:szCs w:val="16"/>
              </w:rPr>
            </w:pPr>
            <w:r w:rsidRPr="007D4D8E">
              <w:rPr>
                <w:sz w:val="16"/>
                <w:szCs w:val="16"/>
              </w:rPr>
              <w:t>Hypothetical protein</w:t>
            </w:r>
          </w:p>
        </w:tc>
      </w:tr>
      <w:tr w:rsidR="00067AD2" w:rsidRPr="007D4D8E" w14:paraId="22F8A7EA" w14:textId="77777777">
        <w:tc>
          <w:tcPr>
            <w:tcW w:w="1650" w:type="dxa"/>
            <w:tcBorders>
              <w:top w:val="nil"/>
              <w:left w:val="nil"/>
              <w:bottom w:val="nil"/>
              <w:right w:val="nil"/>
            </w:tcBorders>
            <w:shd w:val="clear" w:color="auto" w:fill="auto"/>
            <w:vAlign w:val="center"/>
          </w:tcPr>
          <w:p w14:paraId="22F8A7DE" w14:textId="77777777" w:rsidR="00067AD2" w:rsidRPr="007D4D8E" w:rsidRDefault="00001258">
            <w:pPr>
              <w:spacing w:line="240" w:lineRule="auto"/>
              <w:rPr>
                <w:sz w:val="16"/>
                <w:szCs w:val="16"/>
              </w:rPr>
            </w:pPr>
            <w:r w:rsidRPr="007D4D8E">
              <w:rPr>
                <w:sz w:val="16"/>
                <w:szCs w:val="16"/>
              </w:rPr>
              <w:t>Phyram_PR-102_s0015:</w:t>
            </w:r>
          </w:p>
          <w:p w14:paraId="22F8A7DF" w14:textId="77777777" w:rsidR="00067AD2" w:rsidRPr="007D4D8E" w:rsidRDefault="00001258">
            <w:pPr>
              <w:spacing w:line="240" w:lineRule="auto"/>
              <w:rPr>
                <w:sz w:val="16"/>
                <w:szCs w:val="16"/>
              </w:rPr>
            </w:pPr>
            <w:r w:rsidRPr="007D4D8E">
              <w:rPr>
                <w:sz w:val="16"/>
                <w:szCs w:val="16"/>
              </w:rPr>
              <w:t>955,229-973,820</w:t>
            </w:r>
          </w:p>
        </w:tc>
        <w:tc>
          <w:tcPr>
            <w:tcW w:w="750" w:type="dxa"/>
            <w:tcBorders>
              <w:top w:val="nil"/>
              <w:left w:val="nil"/>
              <w:bottom w:val="nil"/>
              <w:right w:val="nil"/>
            </w:tcBorders>
            <w:shd w:val="clear" w:color="auto" w:fill="auto"/>
            <w:vAlign w:val="center"/>
          </w:tcPr>
          <w:p w14:paraId="22F8A7E0" w14:textId="77777777" w:rsidR="00067AD2" w:rsidRPr="007D4D8E" w:rsidRDefault="00001258">
            <w:pPr>
              <w:spacing w:line="240" w:lineRule="auto"/>
              <w:rPr>
                <w:sz w:val="16"/>
                <w:szCs w:val="16"/>
              </w:rPr>
            </w:pPr>
            <w:r w:rsidRPr="007D4D8E">
              <w:rPr>
                <w:sz w:val="16"/>
                <w:szCs w:val="16"/>
              </w:rPr>
              <w:t>2,622</w:t>
            </w:r>
          </w:p>
        </w:tc>
        <w:tc>
          <w:tcPr>
            <w:tcW w:w="1095" w:type="dxa"/>
            <w:tcBorders>
              <w:top w:val="nil"/>
              <w:left w:val="nil"/>
              <w:bottom w:val="nil"/>
              <w:right w:val="nil"/>
            </w:tcBorders>
            <w:shd w:val="clear" w:color="auto" w:fill="auto"/>
            <w:vAlign w:val="center"/>
          </w:tcPr>
          <w:p w14:paraId="22F8A7E1" w14:textId="77777777" w:rsidR="00067AD2" w:rsidRPr="007D4D8E" w:rsidRDefault="00001258">
            <w:pPr>
              <w:spacing w:line="240" w:lineRule="auto"/>
              <w:rPr>
                <w:sz w:val="16"/>
                <w:szCs w:val="16"/>
              </w:rPr>
            </w:pPr>
            <w:r w:rsidRPr="007D4D8E">
              <w:rPr>
                <w:sz w:val="16"/>
                <w:szCs w:val="16"/>
              </w:rPr>
              <w:t>12</w:t>
            </w:r>
          </w:p>
        </w:tc>
        <w:tc>
          <w:tcPr>
            <w:tcW w:w="735" w:type="dxa"/>
            <w:tcBorders>
              <w:top w:val="nil"/>
              <w:left w:val="nil"/>
              <w:bottom w:val="nil"/>
              <w:right w:val="nil"/>
            </w:tcBorders>
            <w:shd w:val="clear" w:color="auto" w:fill="auto"/>
            <w:vAlign w:val="center"/>
          </w:tcPr>
          <w:p w14:paraId="22F8A7E2" w14:textId="77777777" w:rsidR="00067AD2" w:rsidRPr="007D4D8E" w:rsidRDefault="00001258">
            <w:pPr>
              <w:spacing w:line="240" w:lineRule="auto"/>
              <w:rPr>
                <w:sz w:val="16"/>
                <w:szCs w:val="16"/>
              </w:rPr>
            </w:pPr>
            <w:r w:rsidRPr="007D4D8E">
              <w:rPr>
                <w:sz w:val="16"/>
                <w:szCs w:val="16"/>
              </w:rPr>
              <w:t>49</w:t>
            </w:r>
          </w:p>
        </w:tc>
        <w:tc>
          <w:tcPr>
            <w:tcW w:w="1275" w:type="dxa"/>
            <w:tcBorders>
              <w:top w:val="nil"/>
              <w:left w:val="nil"/>
              <w:bottom w:val="nil"/>
              <w:right w:val="nil"/>
            </w:tcBorders>
            <w:shd w:val="clear" w:color="auto" w:fill="auto"/>
            <w:vAlign w:val="center"/>
          </w:tcPr>
          <w:p w14:paraId="22F8A7E3" w14:textId="77777777" w:rsidR="00067AD2" w:rsidRPr="007D4D8E" w:rsidRDefault="00001258">
            <w:pPr>
              <w:spacing w:line="240" w:lineRule="auto"/>
              <w:rPr>
                <w:sz w:val="16"/>
                <w:szCs w:val="16"/>
              </w:rPr>
            </w:pPr>
            <w:r w:rsidRPr="007D4D8E">
              <w:rPr>
                <w:sz w:val="16"/>
                <w:szCs w:val="16"/>
              </w:rPr>
              <w:t xml:space="preserve">0 </w:t>
            </w:r>
          </w:p>
          <w:p w14:paraId="22F8A7E4" w14:textId="77777777" w:rsidR="00067AD2" w:rsidRPr="007D4D8E" w:rsidRDefault="00001258">
            <w:pPr>
              <w:spacing w:line="240" w:lineRule="auto"/>
              <w:rPr>
                <w:sz w:val="16"/>
                <w:szCs w:val="16"/>
              </w:rPr>
            </w:pPr>
            <w:r w:rsidRPr="007D4D8E">
              <w:rPr>
                <w:sz w:val="16"/>
                <w:szCs w:val="16"/>
              </w:rPr>
              <w:t xml:space="preserve">(17; </w:t>
            </w:r>
            <w:r w:rsidRPr="007D4D8E">
              <w:rPr>
                <w:i/>
                <w:sz w:val="16"/>
                <w:szCs w:val="16"/>
              </w:rPr>
              <w:t>p</w:t>
            </w:r>
            <w:r w:rsidRPr="007D4D8E">
              <w:rPr>
                <w:sz w:val="16"/>
                <w:szCs w:val="16"/>
              </w:rPr>
              <w:t xml:space="preserve"> &lt; 0.001)</w:t>
            </w:r>
          </w:p>
        </w:tc>
        <w:tc>
          <w:tcPr>
            <w:tcW w:w="1305" w:type="dxa"/>
            <w:tcBorders>
              <w:top w:val="nil"/>
              <w:left w:val="nil"/>
              <w:bottom w:val="nil"/>
              <w:right w:val="nil"/>
            </w:tcBorders>
            <w:shd w:val="clear" w:color="auto" w:fill="auto"/>
            <w:vAlign w:val="center"/>
          </w:tcPr>
          <w:p w14:paraId="22F8A7E5" w14:textId="77777777" w:rsidR="00067AD2" w:rsidRPr="007D4D8E" w:rsidRDefault="00001258">
            <w:pPr>
              <w:spacing w:line="240" w:lineRule="auto"/>
              <w:rPr>
                <w:sz w:val="16"/>
                <w:szCs w:val="16"/>
              </w:rPr>
            </w:pPr>
            <w:r w:rsidRPr="007D4D8E">
              <w:rPr>
                <w:sz w:val="16"/>
                <w:szCs w:val="16"/>
              </w:rPr>
              <w:t xml:space="preserve">1 </w:t>
            </w:r>
          </w:p>
          <w:p w14:paraId="22F8A7E6" w14:textId="77777777" w:rsidR="00067AD2" w:rsidRPr="007D4D8E" w:rsidRDefault="00001258">
            <w:pPr>
              <w:spacing w:line="240" w:lineRule="auto"/>
              <w:rPr>
                <w:sz w:val="16"/>
                <w:szCs w:val="16"/>
              </w:rPr>
            </w:pPr>
            <w:r w:rsidRPr="007D4D8E">
              <w:rPr>
                <w:sz w:val="16"/>
                <w:szCs w:val="16"/>
              </w:rPr>
              <w:t>(1; ns)</w:t>
            </w:r>
          </w:p>
        </w:tc>
        <w:tc>
          <w:tcPr>
            <w:tcW w:w="1635" w:type="dxa"/>
            <w:tcBorders>
              <w:top w:val="nil"/>
              <w:left w:val="nil"/>
              <w:bottom w:val="nil"/>
              <w:right w:val="nil"/>
            </w:tcBorders>
            <w:shd w:val="clear" w:color="auto" w:fill="auto"/>
            <w:vAlign w:val="center"/>
          </w:tcPr>
          <w:p w14:paraId="22F8A7E7" w14:textId="77777777" w:rsidR="00067AD2" w:rsidRPr="007D4D8E" w:rsidRDefault="00001258">
            <w:pPr>
              <w:spacing w:line="240" w:lineRule="auto"/>
              <w:rPr>
                <w:sz w:val="16"/>
                <w:szCs w:val="16"/>
              </w:rPr>
            </w:pPr>
            <w:r w:rsidRPr="007D4D8E">
              <w:rPr>
                <w:sz w:val="16"/>
                <w:szCs w:val="16"/>
              </w:rPr>
              <w:t>Concanavalin A</w:t>
            </w:r>
          </w:p>
        </w:tc>
        <w:tc>
          <w:tcPr>
            <w:tcW w:w="1485" w:type="dxa"/>
            <w:tcBorders>
              <w:top w:val="nil"/>
              <w:left w:val="nil"/>
              <w:bottom w:val="nil"/>
              <w:right w:val="nil"/>
            </w:tcBorders>
            <w:shd w:val="clear" w:color="auto" w:fill="auto"/>
            <w:vAlign w:val="center"/>
          </w:tcPr>
          <w:p w14:paraId="22F8A7E8" w14:textId="77777777" w:rsidR="00067AD2" w:rsidRPr="007D4D8E" w:rsidRDefault="00001258">
            <w:pPr>
              <w:spacing w:line="240" w:lineRule="auto"/>
              <w:rPr>
                <w:sz w:val="16"/>
                <w:szCs w:val="16"/>
              </w:rPr>
            </w:pPr>
            <w:r w:rsidRPr="007D4D8E">
              <w:rPr>
                <w:sz w:val="16"/>
                <w:szCs w:val="16"/>
              </w:rPr>
              <w:t>RxLR effector (Avh111)</w:t>
            </w:r>
          </w:p>
        </w:tc>
        <w:tc>
          <w:tcPr>
            <w:tcW w:w="3150" w:type="dxa"/>
            <w:gridSpan w:val="3"/>
            <w:tcBorders>
              <w:top w:val="nil"/>
              <w:left w:val="nil"/>
              <w:bottom w:val="nil"/>
              <w:right w:val="nil"/>
            </w:tcBorders>
            <w:shd w:val="clear" w:color="auto" w:fill="auto"/>
            <w:vAlign w:val="center"/>
          </w:tcPr>
          <w:p w14:paraId="22F8A7E9" w14:textId="77777777" w:rsidR="00067AD2" w:rsidRPr="007D4D8E" w:rsidRDefault="00001258">
            <w:pPr>
              <w:spacing w:line="240" w:lineRule="auto"/>
              <w:rPr>
                <w:sz w:val="16"/>
                <w:szCs w:val="16"/>
              </w:rPr>
            </w:pPr>
            <w:r w:rsidRPr="007D4D8E">
              <w:rPr>
                <w:sz w:val="16"/>
                <w:szCs w:val="16"/>
              </w:rPr>
              <w:t>Hypothetical protein</w:t>
            </w:r>
          </w:p>
        </w:tc>
      </w:tr>
      <w:tr w:rsidR="00067AD2" w:rsidRPr="007D4D8E" w14:paraId="22F8A7F7" w14:textId="77777777">
        <w:tc>
          <w:tcPr>
            <w:tcW w:w="1650" w:type="dxa"/>
            <w:tcBorders>
              <w:top w:val="nil"/>
              <w:left w:val="nil"/>
              <w:bottom w:val="single" w:sz="8" w:space="0" w:color="000000"/>
              <w:right w:val="nil"/>
            </w:tcBorders>
            <w:shd w:val="clear" w:color="auto" w:fill="auto"/>
            <w:vAlign w:val="center"/>
          </w:tcPr>
          <w:p w14:paraId="22F8A7EB" w14:textId="77777777" w:rsidR="00067AD2" w:rsidRPr="007D4D8E" w:rsidRDefault="00001258">
            <w:pPr>
              <w:spacing w:line="240" w:lineRule="auto"/>
              <w:rPr>
                <w:sz w:val="16"/>
                <w:szCs w:val="16"/>
              </w:rPr>
            </w:pPr>
            <w:r w:rsidRPr="007D4D8E">
              <w:rPr>
                <w:sz w:val="16"/>
                <w:szCs w:val="16"/>
              </w:rPr>
              <w:t>Phyram_PR-102_s0003:</w:t>
            </w:r>
          </w:p>
          <w:p w14:paraId="22F8A7EC" w14:textId="77777777" w:rsidR="00067AD2" w:rsidRPr="007D4D8E" w:rsidRDefault="00001258">
            <w:pPr>
              <w:spacing w:line="240" w:lineRule="auto"/>
              <w:rPr>
                <w:sz w:val="16"/>
                <w:szCs w:val="16"/>
              </w:rPr>
            </w:pPr>
            <w:r w:rsidRPr="007D4D8E">
              <w:rPr>
                <w:sz w:val="16"/>
                <w:szCs w:val="16"/>
              </w:rPr>
              <w:t>3,681,996-3,696,630</w:t>
            </w:r>
          </w:p>
        </w:tc>
        <w:tc>
          <w:tcPr>
            <w:tcW w:w="750" w:type="dxa"/>
            <w:tcBorders>
              <w:top w:val="nil"/>
              <w:left w:val="nil"/>
              <w:bottom w:val="single" w:sz="8" w:space="0" w:color="000000"/>
              <w:right w:val="nil"/>
            </w:tcBorders>
            <w:shd w:val="clear" w:color="auto" w:fill="auto"/>
            <w:vAlign w:val="center"/>
          </w:tcPr>
          <w:p w14:paraId="22F8A7ED" w14:textId="77777777" w:rsidR="00067AD2" w:rsidRPr="007D4D8E" w:rsidRDefault="00001258">
            <w:pPr>
              <w:spacing w:line="240" w:lineRule="auto"/>
              <w:rPr>
                <w:sz w:val="16"/>
                <w:szCs w:val="16"/>
              </w:rPr>
            </w:pPr>
            <w:r w:rsidRPr="007D4D8E">
              <w:rPr>
                <w:sz w:val="16"/>
                <w:szCs w:val="16"/>
              </w:rPr>
              <w:t>5,380</w:t>
            </w:r>
          </w:p>
        </w:tc>
        <w:tc>
          <w:tcPr>
            <w:tcW w:w="1095" w:type="dxa"/>
            <w:tcBorders>
              <w:top w:val="nil"/>
              <w:left w:val="nil"/>
              <w:bottom w:val="single" w:sz="8" w:space="0" w:color="000000"/>
              <w:right w:val="nil"/>
            </w:tcBorders>
            <w:shd w:val="clear" w:color="auto" w:fill="auto"/>
            <w:vAlign w:val="center"/>
          </w:tcPr>
          <w:p w14:paraId="22F8A7EE" w14:textId="77777777" w:rsidR="00067AD2" w:rsidRPr="007D4D8E" w:rsidRDefault="00001258">
            <w:pPr>
              <w:spacing w:line="240" w:lineRule="auto"/>
              <w:rPr>
                <w:sz w:val="16"/>
                <w:szCs w:val="16"/>
              </w:rPr>
            </w:pPr>
            <w:r w:rsidRPr="007D4D8E">
              <w:rPr>
                <w:sz w:val="16"/>
                <w:szCs w:val="16"/>
              </w:rPr>
              <w:t>11</w:t>
            </w:r>
          </w:p>
        </w:tc>
        <w:tc>
          <w:tcPr>
            <w:tcW w:w="735" w:type="dxa"/>
            <w:tcBorders>
              <w:top w:val="nil"/>
              <w:left w:val="nil"/>
              <w:bottom w:val="single" w:sz="8" w:space="0" w:color="000000"/>
              <w:right w:val="nil"/>
            </w:tcBorders>
            <w:shd w:val="clear" w:color="auto" w:fill="auto"/>
            <w:vAlign w:val="center"/>
          </w:tcPr>
          <w:p w14:paraId="22F8A7EF" w14:textId="77777777" w:rsidR="00067AD2" w:rsidRPr="007D4D8E" w:rsidRDefault="00001258">
            <w:pPr>
              <w:spacing w:line="240" w:lineRule="auto"/>
              <w:rPr>
                <w:sz w:val="16"/>
                <w:szCs w:val="16"/>
              </w:rPr>
            </w:pPr>
            <w:r w:rsidRPr="007D4D8E">
              <w:rPr>
                <w:sz w:val="16"/>
                <w:szCs w:val="16"/>
              </w:rPr>
              <w:t>15</w:t>
            </w:r>
          </w:p>
        </w:tc>
        <w:tc>
          <w:tcPr>
            <w:tcW w:w="1275" w:type="dxa"/>
            <w:tcBorders>
              <w:top w:val="nil"/>
              <w:left w:val="nil"/>
              <w:bottom w:val="single" w:sz="8" w:space="0" w:color="000000"/>
              <w:right w:val="nil"/>
            </w:tcBorders>
            <w:shd w:val="clear" w:color="auto" w:fill="auto"/>
            <w:vAlign w:val="center"/>
          </w:tcPr>
          <w:p w14:paraId="22F8A7F0" w14:textId="77777777" w:rsidR="00067AD2" w:rsidRPr="007D4D8E" w:rsidRDefault="00001258">
            <w:pPr>
              <w:spacing w:line="240" w:lineRule="auto"/>
              <w:rPr>
                <w:sz w:val="16"/>
                <w:szCs w:val="16"/>
              </w:rPr>
            </w:pPr>
            <w:r w:rsidRPr="007D4D8E">
              <w:rPr>
                <w:sz w:val="16"/>
                <w:szCs w:val="16"/>
              </w:rPr>
              <w:t xml:space="preserve">0 </w:t>
            </w:r>
          </w:p>
          <w:p w14:paraId="22F8A7F1" w14:textId="77777777" w:rsidR="00067AD2" w:rsidRPr="007D4D8E" w:rsidRDefault="00001258">
            <w:pPr>
              <w:spacing w:line="240" w:lineRule="auto"/>
              <w:rPr>
                <w:sz w:val="16"/>
                <w:szCs w:val="16"/>
              </w:rPr>
            </w:pPr>
            <w:r w:rsidRPr="007D4D8E">
              <w:rPr>
                <w:sz w:val="16"/>
                <w:szCs w:val="16"/>
              </w:rPr>
              <w:t xml:space="preserve">(28; </w:t>
            </w:r>
            <w:r w:rsidRPr="007D4D8E">
              <w:rPr>
                <w:i/>
                <w:sz w:val="16"/>
                <w:szCs w:val="16"/>
              </w:rPr>
              <w:t>p</w:t>
            </w:r>
            <w:r w:rsidRPr="007D4D8E">
              <w:rPr>
                <w:sz w:val="16"/>
                <w:szCs w:val="16"/>
              </w:rPr>
              <w:t xml:space="preserve"> &lt; 0.001)</w:t>
            </w:r>
          </w:p>
        </w:tc>
        <w:tc>
          <w:tcPr>
            <w:tcW w:w="1305" w:type="dxa"/>
            <w:tcBorders>
              <w:top w:val="nil"/>
              <w:left w:val="nil"/>
              <w:bottom w:val="single" w:sz="8" w:space="0" w:color="000000"/>
              <w:right w:val="nil"/>
            </w:tcBorders>
            <w:shd w:val="clear" w:color="auto" w:fill="auto"/>
            <w:vAlign w:val="center"/>
          </w:tcPr>
          <w:p w14:paraId="22F8A7F2" w14:textId="77777777" w:rsidR="00067AD2" w:rsidRPr="007D4D8E" w:rsidRDefault="00001258">
            <w:pPr>
              <w:spacing w:line="240" w:lineRule="auto"/>
              <w:rPr>
                <w:sz w:val="16"/>
                <w:szCs w:val="16"/>
              </w:rPr>
            </w:pPr>
            <w:r w:rsidRPr="007D4D8E">
              <w:rPr>
                <w:sz w:val="16"/>
                <w:szCs w:val="16"/>
              </w:rPr>
              <w:t xml:space="preserve">0 </w:t>
            </w:r>
          </w:p>
          <w:p w14:paraId="22F8A7F3" w14:textId="77777777" w:rsidR="00067AD2" w:rsidRPr="007D4D8E" w:rsidRDefault="00001258">
            <w:pPr>
              <w:spacing w:line="240" w:lineRule="auto"/>
              <w:rPr>
                <w:sz w:val="16"/>
                <w:szCs w:val="16"/>
              </w:rPr>
            </w:pPr>
            <w:r w:rsidRPr="007D4D8E">
              <w:rPr>
                <w:sz w:val="16"/>
                <w:szCs w:val="16"/>
              </w:rPr>
              <w:t xml:space="preserve">(1; </w:t>
            </w:r>
            <w:r w:rsidRPr="007D4D8E">
              <w:rPr>
                <w:i/>
                <w:sz w:val="16"/>
                <w:szCs w:val="16"/>
              </w:rPr>
              <w:t>p</w:t>
            </w:r>
            <w:r w:rsidRPr="007D4D8E">
              <w:rPr>
                <w:sz w:val="16"/>
                <w:szCs w:val="16"/>
              </w:rPr>
              <w:t xml:space="preserve"> &lt; 0.001)</w:t>
            </w:r>
          </w:p>
        </w:tc>
        <w:tc>
          <w:tcPr>
            <w:tcW w:w="1635" w:type="dxa"/>
            <w:tcBorders>
              <w:top w:val="nil"/>
              <w:left w:val="nil"/>
              <w:bottom w:val="single" w:sz="8" w:space="0" w:color="000000"/>
              <w:right w:val="nil"/>
            </w:tcBorders>
            <w:shd w:val="clear" w:color="auto" w:fill="auto"/>
            <w:vAlign w:val="center"/>
          </w:tcPr>
          <w:p w14:paraId="22F8A7F4" w14:textId="77777777" w:rsidR="00067AD2" w:rsidRPr="007D4D8E" w:rsidRDefault="00001258">
            <w:pPr>
              <w:spacing w:line="240" w:lineRule="auto"/>
              <w:rPr>
                <w:sz w:val="16"/>
                <w:szCs w:val="16"/>
              </w:rPr>
            </w:pPr>
            <w:r w:rsidRPr="007D4D8E">
              <w:rPr>
                <w:sz w:val="16"/>
                <w:szCs w:val="16"/>
              </w:rPr>
              <w:t>Lipase</w:t>
            </w:r>
          </w:p>
        </w:tc>
        <w:tc>
          <w:tcPr>
            <w:tcW w:w="1485" w:type="dxa"/>
            <w:tcBorders>
              <w:top w:val="nil"/>
              <w:left w:val="nil"/>
              <w:bottom w:val="single" w:sz="8" w:space="0" w:color="000000"/>
              <w:right w:val="nil"/>
            </w:tcBorders>
            <w:shd w:val="clear" w:color="auto" w:fill="auto"/>
            <w:vAlign w:val="center"/>
          </w:tcPr>
          <w:p w14:paraId="22F8A7F5" w14:textId="77777777" w:rsidR="00067AD2" w:rsidRPr="007D4D8E" w:rsidRDefault="00001258">
            <w:pPr>
              <w:spacing w:line="240" w:lineRule="auto"/>
              <w:rPr>
                <w:sz w:val="16"/>
                <w:szCs w:val="16"/>
              </w:rPr>
            </w:pPr>
            <w:r w:rsidRPr="007D4D8E">
              <w:rPr>
                <w:sz w:val="16"/>
                <w:szCs w:val="16"/>
              </w:rPr>
              <w:t>-</w:t>
            </w:r>
          </w:p>
        </w:tc>
        <w:tc>
          <w:tcPr>
            <w:tcW w:w="3150" w:type="dxa"/>
            <w:gridSpan w:val="3"/>
            <w:tcBorders>
              <w:top w:val="nil"/>
              <w:left w:val="nil"/>
              <w:bottom w:val="single" w:sz="8" w:space="0" w:color="000000"/>
              <w:right w:val="nil"/>
            </w:tcBorders>
            <w:shd w:val="clear" w:color="auto" w:fill="auto"/>
            <w:vAlign w:val="center"/>
          </w:tcPr>
          <w:p w14:paraId="22F8A7F6" w14:textId="77777777" w:rsidR="00067AD2" w:rsidRPr="007D4D8E" w:rsidRDefault="00001258">
            <w:pPr>
              <w:spacing w:line="240" w:lineRule="auto"/>
              <w:rPr>
                <w:sz w:val="16"/>
                <w:szCs w:val="16"/>
              </w:rPr>
            </w:pPr>
            <w:r w:rsidRPr="007D4D8E">
              <w:rPr>
                <w:sz w:val="16"/>
                <w:szCs w:val="16"/>
              </w:rPr>
              <w:t>POC1 centriolar A</w:t>
            </w:r>
          </w:p>
        </w:tc>
      </w:tr>
    </w:tbl>
    <w:p w14:paraId="22F8A7F8" w14:textId="77777777" w:rsidR="00067AD2" w:rsidRPr="007D4D8E" w:rsidRDefault="00001258" w:rsidP="007D4D8E">
      <w:pPr>
        <w:spacing w:after="160"/>
        <w:rPr>
          <w:rFonts w:eastAsia="Calibri"/>
          <w:sz w:val="20"/>
          <w:szCs w:val="20"/>
        </w:rPr>
      </w:pPr>
      <w:r w:rsidRPr="007D4D8E">
        <w:rPr>
          <w:rFonts w:eastAsia="Calibri"/>
          <w:sz w:val="20"/>
          <w:szCs w:val="20"/>
          <w:vertAlign w:val="superscript"/>
        </w:rPr>
        <w:t>a</w:t>
      </w:r>
      <w:r w:rsidRPr="007D4D8E">
        <w:rPr>
          <w:rFonts w:eastAsia="Calibri"/>
          <w:sz w:val="20"/>
          <w:szCs w:val="20"/>
        </w:rPr>
        <w:t xml:space="preserve">SNPs that are </w:t>
      </w:r>
      <w:r w:rsidRPr="007D4D8E">
        <w:rPr>
          <w:rFonts w:eastAsia="Calibri"/>
          <w:color w:val="1C1D1E"/>
          <w:sz w:val="20"/>
          <w:szCs w:val="20"/>
          <w:highlight w:val="white"/>
        </w:rPr>
        <w:t xml:space="preserve">homozygous for different alleles in the parental lineages NA2 and EU1 and homozygous in the hybrid </w:t>
      </w:r>
      <w:r w:rsidRPr="007D4D8E">
        <w:rPr>
          <w:rFonts w:eastAsia="Calibri"/>
          <w:sz w:val="20"/>
          <w:szCs w:val="20"/>
        </w:rPr>
        <w:t>sample 16_284_032</w:t>
      </w:r>
      <w:r w:rsidRPr="007D4D8E">
        <w:rPr>
          <w:rFonts w:eastAsia="Calibri"/>
          <w:color w:val="1C1D1E"/>
          <w:sz w:val="20"/>
          <w:szCs w:val="20"/>
          <w:highlight w:val="white"/>
        </w:rPr>
        <w:t xml:space="preserve">. </w:t>
      </w:r>
    </w:p>
    <w:p w14:paraId="22F8A7F9" w14:textId="77777777" w:rsidR="00067AD2" w:rsidRPr="007D4D8E" w:rsidRDefault="00001258" w:rsidP="007D4D8E">
      <w:pPr>
        <w:spacing w:after="160"/>
        <w:rPr>
          <w:rFonts w:eastAsia="Calibri"/>
          <w:sz w:val="20"/>
          <w:szCs w:val="20"/>
        </w:rPr>
      </w:pPr>
      <w:r w:rsidRPr="007D4D8E">
        <w:rPr>
          <w:rFonts w:eastAsia="Calibri"/>
          <w:sz w:val="20"/>
          <w:szCs w:val="20"/>
          <w:vertAlign w:val="superscript"/>
        </w:rPr>
        <w:t>b</w:t>
      </w:r>
      <w:r w:rsidRPr="007D4D8E">
        <w:rPr>
          <w:rFonts w:eastAsia="Calibri"/>
          <w:sz w:val="20"/>
          <w:szCs w:val="20"/>
        </w:rPr>
        <w:t xml:space="preserve">The expected number of heterozygous sites in a region of same size based on the distribution of heterozygous sites across the genome is in parentheses; the </w:t>
      </w:r>
      <w:r w:rsidRPr="007D4D8E">
        <w:rPr>
          <w:rFonts w:eastAsia="Calibri"/>
          <w:i/>
          <w:sz w:val="20"/>
          <w:szCs w:val="20"/>
        </w:rPr>
        <w:t>p</w:t>
      </w:r>
      <w:r w:rsidRPr="007D4D8E">
        <w:rPr>
          <w:rFonts w:eastAsia="Calibri"/>
          <w:sz w:val="20"/>
          <w:szCs w:val="20"/>
        </w:rPr>
        <w:t>-value is the result of a one sample t-test between the observed value and the distribution of expected values.</w:t>
      </w:r>
    </w:p>
    <w:p w14:paraId="22F8A7FA" w14:textId="77777777" w:rsidR="00067AD2" w:rsidRPr="007D4D8E" w:rsidRDefault="00001258" w:rsidP="007D4D8E">
      <w:pPr>
        <w:spacing w:after="160"/>
        <w:rPr>
          <w:rFonts w:eastAsia="Calibri"/>
          <w:sz w:val="20"/>
          <w:szCs w:val="20"/>
        </w:rPr>
      </w:pPr>
      <w:r w:rsidRPr="007D4D8E">
        <w:rPr>
          <w:rFonts w:eastAsia="Calibri"/>
          <w:sz w:val="20"/>
          <w:szCs w:val="20"/>
          <w:vertAlign w:val="superscript"/>
        </w:rPr>
        <w:t>c</w:t>
      </w:r>
      <w:r w:rsidRPr="007D4D8E">
        <w:rPr>
          <w:rFonts w:eastAsia="Calibri"/>
          <w:sz w:val="20"/>
          <w:szCs w:val="20"/>
        </w:rPr>
        <w:t xml:space="preserve">The expected number of genes found in a region of the same size based on the distribution of genes across the genome is in parentheses; the </w:t>
      </w:r>
      <w:r w:rsidRPr="007D4D8E">
        <w:rPr>
          <w:rFonts w:eastAsia="Calibri"/>
          <w:i/>
          <w:sz w:val="20"/>
          <w:szCs w:val="20"/>
        </w:rPr>
        <w:t>p</w:t>
      </w:r>
      <w:r w:rsidRPr="007D4D8E">
        <w:rPr>
          <w:rFonts w:eastAsia="Calibri"/>
          <w:sz w:val="20"/>
          <w:szCs w:val="20"/>
        </w:rPr>
        <w:t>-value is the result of a one sample t-test between the observed value and the distribution of expected values.</w:t>
      </w:r>
    </w:p>
    <w:p w14:paraId="22F8A7FB" w14:textId="77777777" w:rsidR="00067AD2" w:rsidRPr="007D4D8E" w:rsidRDefault="00001258" w:rsidP="007D4D8E">
      <w:pPr>
        <w:spacing w:after="160"/>
        <w:rPr>
          <w:b/>
        </w:rPr>
      </w:pPr>
      <w:r w:rsidRPr="007D4D8E">
        <w:rPr>
          <w:rFonts w:eastAsia="Calibri"/>
          <w:sz w:val="20"/>
          <w:szCs w:val="20"/>
          <w:vertAlign w:val="superscript"/>
        </w:rPr>
        <w:t>d</w:t>
      </w:r>
      <w:r w:rsidRPr="007D4D8E">
        <w:rPr>
          <w:rFonts w:eastAsia="Calibri"/>
          <w:sz w:val="20"/>
          <w:szCs w:val="20"/>
        </w:rPr>
        <w:t>Putative transposable elements are in bold.</w:t>
      </w:r>
    </w:p>
    <w:p w14:paraId="22F8A7FC" w14:textId="77777777" w:rsidR="00067AD2" w:rsidRDefault="00067AD2">
      <w:pPr>
        <w:spacing w:after="160" w:line="259" w:lineRule="auto"/>
        <w:rPr>
          <w:b/>
          <w:sz w:val="20"/>
          <w:szCs w:val="20"/>
          <w:highlight w:val="white"/>
        </w:rPr>
        <w:sectPr w:rsidR="00067AD2">
          <w:pgSz w:w="15840" w:h="12240" w:orient="landscape"/>
          <w:pgMar w:top="1440" w:right="1440" w:bottom="1440" w:left="1440" w:header="720" w:footer="720" w:gutter="0"/>
          <w:cols w:space="720"/>
        </w:sectPr>
      </w:pPr>
    </w:p>
    <w:p w14:paraId="22F8A7FD" w14:textId="77777777" w:rsidR="00067AD2" w:rsidRDefault="00001258">
      <w:pPr>
        <w:spacing w:after="160" w:line="259" w:lineRule="auto"/>
        <w:rPr>
          <w:sz w:val="20"/>
          <w:szCs w:val="20"/>
        </w:rPr>
      </w:pPr>
      <w:r>
        <w:rPr>
          <w:b/>
          <w:sz w:val="20"/>
          <w:szCs w:val="20"/>
          <w:highlight w:val="white"/>
        </w:rPr>
        <w:lastRenderedPageBreak/>
        <w:t xml:space="preserve">Fig. S1. Assignment of hybrids to </w:t>
      </w:r>
      <w:r>
        <w:rPr>
          <w:b/>
          <w:i/>
          <w:sz w:val="20"/>
          <w:szCs w:val="20"/>
          <w:highlight w:val="white"/>
        </w:rPr>
        <w:t>Phytophthora ramorum</w:t>
      </w:r>
      <w:r>
        <w:rPr>
          <w:b/>
          <w:sz w:val="20"/>
          <w:szCs w:val="20"/>
          <w:highlight w:val="white"/>
        </w:rPr>
        <w:t xml:space="preserve"> lineages. </w:t>
      </w:r>
      <w:r>
        <w:rPr>
          <w:sz w:val="20"/>
          <w:szCs w:val="20"/>
          <w:highlight w:val="white"/>
        </w:rPr>
        <w:t xml:space="preserve">Probability of assignment (obtained from a naïve Bayes classifier) of the hybrid </w:t>
      </w:r>
      <w:r>
        <w:rPr>
          <w:i/>
          <w:sz w:val="20"/>
          <w:szCs w:val="20"/>
          <w:highlight w:val="white"/>
        </w:rPr>
        <w:t>P. ramorum</w:t>
      </w:r>
      <w:r>
        <w:rPr>
          <w:sz w:val="20"/>
          <w:szCs w:val="20"/>
          <w:highlight w:val="white"/>
        </w:rPr>
        <w:t xml:space="preserve"> sample 16_237_021 to different populations. A, Assignment based on 100 sets of 1,000 randomly selected SNP loci selected along the nuclear genome of </w:t>
      </w:r>
      <w:r>
        <w:rPr>
          <w:i/>
          <w:sz w:val="20"/>
          <w:szCs w:val="20"/>
          <w:highlight w:val="white"/>
        </w:rPr>
        <w:t>P. ramorum</w:t>
      </w:r>
      <w:r>
        <w:rPr>
          <w:sz w:val="20"/>
          <w:szCs w:val="20"/>
          <w:highlight w:val="white"/>
        </w:rPr>
        <w:t xml:space="preserve">; error bars (standard deviation) are represented in red. B, assignment based on the 103 SNP loci retrieved from the mitochondrial genome of </w:t>
      </w:r>
      <w:r>
        <w:rPr>
          <w:i/>
          <w:sz w:val="20"/>
          <w:szCs w:val="20"/>
          <w:highlight w:val="white"/>
        </w:rPr>
        <w:t>P. ramorum</w:t>
      </w:r>
      <w:r>
        <w:rPr>
          <w:sz w:val="20"/>
          <w:szCs w:val="20"/>
          <w:highlight w:val="white"/>
        </w:rPr>
        <w:t>.</w:t>
      </w:r>
    </w:p>
    <w:p w14:paraId="22F8A7FE" w14:textId="77777777" w:rsidR="00067AD2" w:rsidRDefault="00001258">
      <w:pPr>
        <w:spacing w:after="160" w:line="259" w:lineRule="auto"/>
        <w:rPr>
          <w:rFonts w:ascii="Calibri" w:eastAsia="Calibri" w:hAnsi="Calibri" w:cs="Calibri"/>
          <w:color w:val="00796B"/>
          <w:sz w:val="24"/>
          <w:szCs w:val="24"/>
          <w:highlight w:val="white"/>
        </w:rPr>
      </w:pPr>
      <w:r>
        <w:rPr>
          <w:rFonts w:ascii="Calibri" w:eastAsia="Calibri" w:hAnsi="Calibri" w:cs="Calibri"/>
          <w:noProof/>
          <w:color w:val="00796B"/>
          <w:sz w:val="24"/>
          <w:szCs w:val="24"/>
          <w:highlight w:val="white"/>
        </w:rPr>
        <w:drawing>
          <wp:inline distT="0" distB="0" distL="0" distR="0" wp14:anchorId="22F8A80C" wp14:editId="22F8A80D">
            <wp:extent cx="4846331" cy="6461775"/>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4846331" cy="6461775"/>
                    </a:xfrm>
                    <a:prstGeom prst="rect">
                      <a:avLst/>
                    </a:prstGeom>
                    <a:ln/>
                  </pic:spPr>
                </pic:pic>
              </a:graphicData>
            </a:graphic>
          </wp:inline>
        </w:drawing>
      </w:r>
    </w:p>
    <w:p w14:paraId="22F8A7FF" w14:textId="77777777" w:rsidR="00067AD2" w:rsidRDefault="00067AD2">
      <w:pPr>
        <w:spacing w:after="160" w:line="259" w:lineRule="auto"/>
        <w:rPr>
          <w:b/>
        </w:rPr>
      </w:pPr>
    </w:p>
    <w:p w14:paraId="22F8A800" w14:textId="77777777" w:rsidR="00067AD2" w:rsidRDefault="00001258">
      <w:pPr>
        <w:spacing w:after="160" w:line="259" w:lineRule="auto"/>
        <w:rPr>
          <w:b/>
        </w:rPr>
      </w:pPr>
      <w:r>
        <w:br w:type="page"/>
      </w:r>
    </w:p>
    <w:p w14:paraId="22F8A801" w14:textId="77777777" w:rsidR="00067AD2" w:rsidRDefault="00001258">
      <w:pPr>
        <w:spacing w:after="160" w:line="259" w:lineRule="auto"/>
      </w:pPr>
      <w:r>
        <w:rPr>
          <w:b/>
          <w:sz w:val="20"/>
          <w:szCs w:val="20"/>
        </w:rPr>
        <w:lastRenderedPageBreak/>
        <w:t xml:space="preserve">Fig. S2. Phylogenetic tree of hybrid and </w:t>
      </w:r>
      <w:r>
        <w:rPr>
          <w:b/>
          <w:i/>
          <w:sz w:val="20"/>
          <w:szCs w:val="20"/>
        </w:rPr>
        <w:t>Phytophthora ramorum</w:t>
      </w:r>
      <w:r>
        <w:rPr>
          <w:b/>
          <w:sz w:val="20"/>
          <w:szCs w:val="20"/>
        </w:rPr>
        <w:t xml:space="preserve"> lineages and simulated populations. </w:t>
      </w:r>
      <w:r>
        <w:rPr>
          <w:sz w:val="20"/>
          <w:szCs w:val="20"/>
        </w:rPr>
        <w:t xml:space="preserve">Neighbour-joining tree of EU1 and NA2 </w:t>
      </w:r>
      <w:r>
        <w:rPr>
          <w:i/>
          <w:sz w:val="20"/>
          <w:szCs w:val="20"/>
        </w:rPr>
        <w:t>P. ramorum</w:t>
      </w:r>
      <w:r>
        <w:rPr>
          <w:sz w:val="20"/>
          <w:szCs w:val="20"/>
        </w:rPr>
        <w:t xml:space="preserve"> isolates, two hybrid samples (Hybrid), 10 simulated F1 hybrids (SimulF1) and 10 simulated backcrosses to each putative parental lineage, NA2 (SimulBCNA2) and EU1 (SimulBCEU1).</w:t>
      </w:r>
      <w:r>
        <w:rPr>
          <w:noProof/>
        </w:rPr>
        <w:drawing>
          <wp:inline distT="114300" distB="114300" distL="114300" distR="114300" wp14:anchorId="22F8A80E" wp14:editId="22F8A80F">
            <wp:extent cx="5943600" cy="5943600"/>
            <wp:effectExtent l="0" t="0" r="0" b="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a:off x="0" y="0"/>
                      <a:ext cx="5943600" cy="5943600"/>
                    </a:xfrm>
                    <a:prstGeom prst="rect">
                      <a:avLst/>
                    </a:prstGeom>
                    <a:ln/>
                  </pic:spPr>
                </pic:pic>
              </a:graphicData>
            </a:graphic>
          </wp:inline>
        </w:drawing>
      </w:r>
    </w:p>
    <w:p w14:paraId="22F8A802" w14:textId="77777777" w:rsidR="00067AD2" w:rsidRDefault="00067AD2">
      <w:pPr>
        <w:spacing w:after="160" w:line="259" w:lineRule="auto"/>
      </w:pPr>
    </w:p>
    <w:p w14:paraId="22F8A803" w14:textId="77777777" w:rsidR="00067AD2" w:rsidRDefault="00001258">
      <w:pPr>
        <w:spacing w:after="160" w:line="259" w:lineRule="auto"/>
        <w:rPr>
          <w:b/>
          <w:sz w:val="20"/>
          <w:szCs w:val="20"/>
          <w:highlight w:val="white"/>
        </w:rPr>
      </w:pPr>
      <w:r>
        <w:br w:type="page"/>
      </w:r>
    </w:p>
    <w:p w14:paraId="22F8A804" w14:textId="77777777" w:rsidR="00067AD2" w:rsidRDefault="00001258">
      <w:pPr>
        <w:spacing w:after="160" w:line="259" w:lineRule="auto"/>
        <w:rPr>
          <w:b/>
          <w:sz w:val="20"/>
          <w:szCs w:val="20"/>
          <w:highlight w:val="white"/>
        </w:rPr>
      </w:pPr>
      <w:r>
        <w:rPr>
          <w:b/>
          <w:sz w:val="20"/>
          <w:szCs w:val="20"/>
          <w:highlight w:val="white"/>
        </w:rPr>
        <w:lastRenderedPageBreak/>
        <w:t xml:space="preserve">Fig. S3. Mitotic recombination in the </w:t>
      </w:r>
      <w:r>
        <w:rPr>
          <w:b/>
          <w:i/>
          <w:sz w:val="20"/>
          <w:szCs w:val="20"/>
          <w:highlight w:val="white"/>
        </w:rPr>
        <w:t>Phytophthora ramorum</w:t>
      </w:r>
      <w:r>
        <w:rPr>
          <w:b/>
          <w:sz w:val="20"/>
          <w:szCs w:val="20"/>
          <w:highlight w:val="white"/>
        </w:rPr>
        <w:t xml:space="preserve"> hybrid. </w:t>
      </w:r>
      <w:r>
        <w:rPr>
          <w:sz w:val="20"/>
          <w:szCs w:val="20"/>
          <w:highlight w:val="white"/>
        </w:rPr>
        <w:t>Distribution of single nucleotide polymorphisms with fixed differences in the EU1 and NA2 lineages that are also homozygous in the hybrid sample 16_284_032 (the other hybrid sample, 16_237_021</w:t>
      </w:r>
      <w:r>
        <w:rPr>
          <w:sz w:val="20"/>
          <w:szCs w:val="20"/>
        </w:rPr>
        <w:t>, had higher proportion of missing values and was not used for this analysis)</w:t>
      </w:r>
      <w:r>
        <w:rPr>
          <w:sz w:val="20"/>
          <w:szCs w:val="20"/>
          <w:highlight w:val="white"/>
        </w:rPr>
        <w:t xml:space="preserve">. The 1049 SNPs were sorted into bins of contiguous (1 to &gt;10 SNPs). </w:t>
      </w:r>
      <w:r>
        <w:rPr>
          <w:b/>
          <w:sz w:val="20"/>
          <w:szCs w:val="20"/>
          <w:highlight w:val="white"/>
        </w:rPr>
        <w:t xml:space="preserve">A. </w:t>
      </w:r>
      <w:r>
        <w:rPr>
          <w:sz w:val="20"/>
          <w:szCs w:val="20"/>
          <w:highlight w:val="white"/>
        </w:rPr>
        <w:t xml:space="preserve">Observed distribution of the number of contiguous SNPs in 16_284_032; </w:t>
      </w:r>
      <w:r>
        <w:rPr>
          <w:b/>
          <w:sz w:val="20"/>
          <w:szCs w:val="20"/>
          <w:highlight w:val="white"/>
        </w:rPr>
        <w:t>B.</w:t>
      </w:r>
      <w:r>
        <w:rPr>
          <w:sz w:val="20"/>
          <w:szCs w:val="20"/>
          <w:highlight w:val="white"/>
        </w:rPr>
        <w:t xml:space="preserve"> Expected distribution of the contiguous SNPs under the assumption of random distribution, with 100 replications.  </w:t>
      </w:r>
    </w:p>
    <w:p w14:paraId="22F8A805" w14:textId="77777777" w:rsidR="00067AD2" w:rsidRDefault="00067AD2">
      <w:pPr>
        <w:spacing w:after="160" w:line="259" w:lineRule="auto"/>
        <w:rPr>
          <w:b/>
          <w:sz w:val="20"/>
          <w:szCs w:val="20"/>
          <w:highlight w:val="white"/>
        </w:rPr>
      </w:pPr>
    </w:p>
    <w:p w14:paraId="22F8A806" w14:textId="77777777" w:rsidR="00067AD2" w:rsidRDefault="00001258">
      <w:pPr>
        <w:spacing w:after="160" w:line="259" w:lineRule="auto"/>
        <w:rPr>
          <w:b/>
          <w:sz w:val="20"/>
          <w:szCs w:val="20"/>
          <w:highlight w:val="white"/>
        </w:rPr>
      </w:pPr>
      <w:r>
        <w:rPr>
          <w:b/>
          <w:noProof/>
          <w:sz w:val="20"/>
          <w:szCs w:val="20"/>
          <w:highlight w:val="white"/>
        </w:rPr>
        <w:drawing>
          <wp:inline distT="114300" distB="114300" distL="114300" distR="114300" wp14:anchorId="22F8A810" wp14:editId="22F8A811">
            <wp:extent cx="5943600" cy="2617908"/>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b="26707"/>
                    <a:stretch>
                      <a:fillRect/>
                    </a:stretch>
                  </pic:blipFill>
                  <pic:spPr>
                    <a:xfrm>
                      <a:off x="0" y="0"/>
                      <a:ext cx="5943600" cy="2617908"/>
                    </a:xfrm>
                    <a:prstGeom prst="rect">
                      <a:avLst/>
                    </a:prstGeom>
                    <a:ln/>
                  </pic:spPr>
                </pic:pic>
              </a:graphicData>
            </a:graphic>
          </wp:inline>
        </w:drawing>
      </w:r>
    </w:p>
    <w:p w14:paraId="22F8A807" w14:textId="77777777" w:rsidR="00067AD2" w:rsidRDefault="00001258">
      <w:pPr>
        <w:spacing w:after="160" w:line="259" w:lineRule="auto"/>
        <w:rPr>
          <w:b/>
        </w:rPr>
      </w:pPr>
      <w:r>
        <w:br w:type="page"/>
      </w:r>
    </w:p>
    <w:p w14:paraId="22F8A808" w14:textId="77777777" w:rsidR="00067AD2" w:rsidRDefault="00001258">
      <w:pPr>
        <w:widowControl w:val="0"/>
        <w:pBdr>
          <w:top w:val="nil"/>
          <w:left w:val="nil"/>
          <w:bottom w:val="nil"/>
          <w:right w:val="nil"/>
          <w:between w:val="nil"/>
        </w:pBdr>
        <w:spacing w:line="480" w:lineRule="auto"/>
        <w:ind w:left="264" w:hanging="264"/>
        <w:rPr>
          <w:b/>
        </w:rPr>
      </w:pPr>
      <w:r>
        <w:rPr>
          <w:b/>
        </w:rPr>
        <w:lastRenderedPageBreak/>
        <w:t>Cited references</w:t>
      </w:r>
    </w:p>
    <w:p w14:paraId="22F8A809" w14:textId="77777777" w:rsidR="00067AD2" w:rsidRDefault="00067AD2">
      <w:pPr>
        <w:widowControl w:val="0"/>
        <w:pBdr>
          <w:top w:val="nil"/>
          <w:left w:val="nil"/>
          <w:bottom w:val="nil"/>
          <w:right w:val="nil"/>
          <w:between w:val="nil"/>
        </w:pBdr>
        <w:spacing w:line="480" w:lineRule="auto"/>
        <w:ind w:left="264" w:hanging="264"/>
        <w:rPr>
          <w:b/>
        </w:rPr>
      </w:pPr>
    </w:p>
    <w:p w14:paraId="2FE4F1B8" w14:textId="77777777" w:rsidR="005270ED" w:rsidRPr="005270ED" w:rsidRDefault="00001258" w:rsidP="007F21C6">
      <w:pPr>
        <w:pStyle w:val="Bibliography"/>
        <w:spacing w:line="276" w:lineRule="auto"/>
        <w:rPr>
          <w:lang w:val="en-US"/>
        </w:rPr>
      </w:pPr>
      <w:r>
        <w:fldChar w:fldCharType="begin"/>
      </w:r>
      <w:r w:rsidR="005270ED" w:rsidRPr="007F21C6">
        <w:rPr>
          <w:lang w:val="en-CA"/>
        </w:rPr>
        <w:instrText xml:space="preserve"> ADDIN ZOTERO_BIBL {"uncited":[],"omitted":[],"custom":[]} CSL_BIBLIOGRAPHY </w:instrText>
      </w:r>
      <w:r>
        <w:fldChar w:fldCharType="separate"/>
      </w:r>
      <w:r w:rsidR="005270ED" w:rsidRPr="007F21C6">
        <w:rPr>
          <w:lang w:val="en-CA"/>
        </w:rPr>
        <w:t>1.</w:t>
      </w:r>
      <w:r w:rsidR="005270ED" w:rsidRPr="007F21C6">
        <w:rPr>
          <w:lang w:val="en-CA"/>
        </w:rPr>
        <w:tab/>
        <w:t xml:space="preserve">Bilodeau, G. J. </w:t>
      </w:r>
      <w:r w:rsidR="005270ED" w:rsidRPr="007F21C6">
        <w:rPr>
          <w:i/>
          <w:iCs/>
          <w:lang w:val="en-CA"/>
        </w:rPr>
        <w:t>et al.</w:t>
      </w:r>
      <w:r w:rsidR="005270ED" w:rsidRPr="007F21C6">
        <w:rPr>
          <w:lang w:val="en-CA"/>
        </w:rPr>
        <w:t xml:space="preserve"> </w:t>
      </w:r>
      <w:r w:rsidR="005270ED" w:rsidRPr="005270ED">
        <w:rPr>
          <w:lang w:val="en-US"/>
        </w:rPr>
        <w:t xml:space="preserve">Molecular detection of </w:t>
      </w:r>
      <w:r w:rsidR="005270ED" w:rsidRPr="005270ED">
        <w:rPr>
          <w:i/>
          <w:iCs/>
          <w:lang w:val="en-US"/>
        </w:rPr>
        <w:t>Phytophthora ramorum</w:t>
      </w:r>
      <w:r w:rsidR="005270ED" w:rsidRPr="005270ED">
        <w:rPr>
          <w:lang w:val="en-US"/>
        </w:rPr>
        <w:t xml:space="preserve">  by real-time PCR using Taqman, SYBR Green and molecular beacons with three genes. </w:t>
      </w:r>
      <w:r w:rsidR="005270ED" w:rsidRPr="005270ED">
        <w:rPr>
          <w:i/>
          <w:iCs/>
          <w:lang w:val="en-US"/>
        </w:rPr>
        <w:t>Phytopathology</w:t>
      </w:r>
      <w:r w:rsidR="005270ED" w:rsidRPr="005270ED">
        <w:rPr>
          <w:lang w:val="en-US"/>
        </w:rPr>
        <w:t xml:space="preserve"> </w:t>
      </w:r>
      <w:r w:rsidR="005270ED" w:rsidRPr="005270ED">
        <w:rPr>
          <w:b/>
          <w:bCs/>
          <w:lang w:val="en-US"/>
        </w:rPr>
        <w:t>97</w:t>
      </w:r>
      <w:r w:rsidR="005270ED" w:rsidRPr="005270ED">
        <w:rPr>
          <w:lang w:val="en-US"/>
        </w:rPr>
        <w:t>, 632–642 (2007).</w:t>
      </w:r>
    </w:p>
    <w:p w14:paraId="7D19E706" w14:textId="77777777" w:rsidR="005270ED" w:rsidRPr="005270ED" w:rsidRDefault="005270ED" w:rsidP="007F21C6">
      <w:pPr>
        <w:pStyle w:val="Bibliography"/>
        <w:spacing w:line="276" w:lineRule="auto"/>
        <w:rPr>
          <w:lang w:val="en-US"/>
        </w:rPr>
      </w:pPr>
      <w:r w:rsidRPr="005270ED">
        <w:rPr>
          <w:lang w:val="en-US"/>
        </w:rPr>
        <w:t>2.</w:t>
      </w:r>
      <w:r w:rsidRPr="005270ED">
        <w:rPr>
          <w:lang w:val="en-US"/>
        </w:rPr>
        <w:tab/>
        <w:t xml:space="preserve">Gagnon, M.-C., Bergeron, M.-J., Hamelin, R. C., Grünwald, N. J. &amp; Bilodeau, G. J. Real-time PCR assay to distinguish </w:t>
      </w:r>
      <w:r w:rsidRPr="005270ED">
        <w:rPr>
          <w:i/>
          <w:iCs/>
          <w:lang w:val="en-US"/>
        </w:rPr>
        <w:t>Phytophthora ramorum</w:t>
      </w:r>
      <w:r w:rsidRPr="005270ED">
        <w:rPr>
          <w:lang w:val="en-US"/>
        </w:rPr>
        <w:t xml:space="preserve"> lineages using the cellulose binding elicitor lectin (CBEL) locus. </w:t>
      </w:r>
      <w:r w:rsidRPr="005270ED">
        <w:rPr>
          <w:i/>
          <w:iCs/>
          <w:lang w:val="en-US"/>
        </w:rPr>
        <w:t>Canadian Journal of Plant Pathology</w:t>
      </w:r>
      <w:r w:rsidRPr="005270ED">
        <w:rPr>
          <w:lang w:val="en-US"/>
        </w:rPr>
        <w:t xml:space="preserve"> </w:t>
      </w:r>
      <w:r w:rsidRPr="005270ED">
        <w:rPr>
          <w:b/>
          <w:bCs/>
          <w:lang w:val="en-US"/>
        </w:rPr>
        <w:t>36</w:t>
      </w:r>
      <w:r w:rsidRPr="005270ED">
        <w:rPr>
          <w:lang w:val="en-US"/>
        </w:rPr>
        <w:t>, 367–376 (2014).</w:t>
      </w:r>
    </w:p>
    <w:p w14:paraId="65C0C072" w14:textId="77777777" w:rsidR="005270ED" w:rsidRPr="005270ED" w:rsidRDefault="005270ED" w:rsidP="007F21C6">
      <w:pPr>
        <w:pStyle w:val="Bibliography"/>
        <w:spacing w:line="276" w:lineRule="auto"/>
        <w:rPr>
          <w:lang w:val="en-US"/>
        </w:rPr>
      </w:pPr>
      <w:r w:rsidRPr="005270ED">
        <w:rPr>
          <w:lang w:val="en-US"/>
        </w:rPr>
        <w:t>3.</w:t>
      </w:r>
      <w:r w:rsidRPr="005270ED">
        <w:rPr>
          <w:lang w:val="en-US"/>
        </w:rPr>
        <w:tab/>
        <w:t xml:space="preserve">Dale, A. L. </w:t>
      </w:r>
      <w:r w:rsidRPr="005270ED">
        <w:rPr>
          <w:i/>
          <w:iCs/>
          <w:lang w:val="en-US"/>
        </w:rPr>
        <w:t>et al.</w:t>
      </w:r>
      <w:r w:rsidRPr="005270ED">
        <w:rPr>
          <w:lang w:val="en-US"/>
        </w:rPr>
        <w:t xml:space="preserve"> Mitotic recombination and rapid genome evolution in the invasive forest pathogen </w:t>
      </w:r>
      <w:r w:rsidRPr="005270ED">
        <w:rPr>
          <w:i/>
          <w:iCs/>
          <w:lang w:val="en-US"/>
        </w:rPr>
        <w:t>Phytophthora ramorum</w:t>
      </w:r>
      <w:r w:rsidRPr="005270ED">
        <w:rPr>
          <w:lang w:val="en-US"/>
        </w:rPr>
        <w:t xml:space="preserve">. </w:t>
      </w:r>
      <w:r w:rsidRPr="005270ED">
        <w:rPr>
          <w:i/>
          <w:iCs/>
          <w:lang w:val="en-US"/>
        </w:rPr>
        <w:t>mBio</w:t>
      </w:r>
      <w:r w:rsidRPr="005270ED">
        <w:rPr>
          <w:lang w:val="en-US"/>
        </w:rPr>
        <w:t xml:space="preserve"> </w:t>
      </w:r>
      <w:r w:rsidRPr="005270ED">
        <w:rPr>
          <w:b/>
          <w:bCs/>
          <w:lang w:val="en-US"/>
        </w:rPr>
        <w:t>10</w:t>
      </w:r>
      <w:r w:rsidRPr="005270ED">
        <w:rPr>
          <w:lang w:val="en-US"/>
        </w:rPr>
        <w:t>, e02452-18 (2019).</w:t>
      </w:r>
    </w:p>
    <w:p w14:paraId="2EA3CB94" w14:textId="77777777" w:rsidR="005270ED" w:rsidRPr="005270ED" w:rsidRDefault="005270ED" w:rsidP="007F21C6">
      <w:pPr>
        <w:pStyle w:val="Bibliography"/>
        <w:spacing w:line="276" w:lineRule="auto"/>
        <w:rPr>
          <w:lang w:val="en-US"/>
        </w:rPr>
      </w:pPr>
      <w:r w:rsidRPr="005270ED">
        <w:rPr>
          <w:lang w:val="en-US"/>
        </w:rPr>
        <w:t>4.</w:t>
      </w:r>
      <w:r w:rsidRPr="005270ED">
        <w:rPr>
          <w:lang w:val="en-US"/>
        </w:rPr>
        <w:tab/>
        <w:t xml:space="preserve">Yuzon, J., Rizzo, D. M., Tripathy, S., Kasuga, T., &amp; others. Resequencing of the </w:t>
      </w:r>
      <w:r w:rsidRPr="005270ED">
        <w:rPr>
          <w:i/>
          <w:iCs/>
          <w:lang w:val="en-US"/>
        </w:rPr>
        <w:t>Phytophthora ramorum</w:t>
      </w:r>
      <w:r w:rsidRPr="005270ED">
        <w:rPr>
          <w:lang w:val="en-US"/>
        </w:rPr>
        <w:t xml:space="preserve"> genome to characterize genetic variation and population dynamics of the invasive pathogen. in </w:t>
      </w:r>
      <w:r w:rsidRPr="005270ED">
        <w:rPr>
          <w:i/>
          <w:iCs/>
          <w:lang w:val="en-US"/>
        </w:rPr>
        <w:t>Proceedings of the sudden oak death sixth science symposium. Gen. Tech. Rep. GTR-PSW-255. Albany, CA: US Department of Agriculture, Forest Service, Pacific Southwest Research Station: 105-106.</w:t>
      </w:r>
      <w:r w:rsidRPr="005270ED">
        <w:rPr>
          <w:lang w:val="en-US"/>
        </w:rPr>
        <w:t xml:space="preserve"> 105–106 (2017).</w:t>
      </w:r>
    </w:p>
    <w:p w14:paraId="5CC5B166" w14:textId="77777777" w:rsidR="005270ED" w:rsidRPr="005270ED" w:rsidRDefault="005270ED" w:rsidP="007F21C6">
      <w:pPr>
        <w:pStyle w:val="Bibliography"/>
        <w:spacing w:line="276" w:lineRule="auto"/>
        <w:rPr>
          <w:lang w:val="en-US"/>
        </w:rPr>
      </w:pPr>
      <w:r w:rsidRPr="005270ED">
        <w:rPr>
          <w:lang w:val="en-US"/>
        </w:rPr>
        <w:t>5.</w:t>
      </w:r>
      <w:r w:rsidRPr="005270ED">
        <w:rPr>
          <w:lang w:val="en-US"/>
        </w:rPr>
        <w:tab/>
        <w:t xml:space="preserve">Turner, J. </w:t>
      </w:r>
      <w:r w:rsidRPr="005270ED">
        <w:rPr>
          <w:i/>
          <w:iCs/>
          <w:lang w:val="en-US"/>
        </w:rPr>
        <w:t>et al.</w:t>
      </w:r>
      <w:r w:rsidRPr="005270ED">
        <w:rPr>
          <w:lang w:val="en-US"/>
        </w:rPr>
        <w:t xml:space="preserve"> Genome sequences of 12 isolates of the EU1 lineage of </w:t>
      </w:r>
      <w:r w:rsidRPr="005270ED">
        <w:rPr>
          <w:i/>
          <w:iCs/>
          <w:lang w:val="en-US"/>
        </w:rPr>
        <w:t>Phytophthora ramorum</w:t>
      </w:r>
      <w:r w:rsidRPr="005270ED">
        <w:rPr>
          <w:lang w:val="en-US"/>
        </w:rPr>
        <w:t xml:space="preserve">, a fungus-like pathogen that causes extensive damage and mortality to a wide range of trees and other plants. </w:t>
      </w:r>
      <w:r w:rsidRPr="005270ED">
        <w:rPr>
          <w:i/>
          <w:iCs/>
          <w:lang w:val="en-US"/>
        </w:rPr>
        <w:t>Genomics Data</w:t>
      </w:r>
      <w:r w:rsidRPr="005270ED">
        <w:rPr>
          <w:lang w:val="en-US"/>
        </w:rPr>
        <w:t xml:space="preserve"> </w:t>
      </w:r>
      <w:r w:rsidRPr="005270ED">
        <w:rPr>
          <w:b/>
          <w:bCs/>
          <w:lang w:val="en-US"/>
        </w:rPr>
        <w:t>12</w:t>
      </w:r>
      <w:r w:rsidRPr="005270ED">
        <w:rPr>
          <w:lang w:val="en-US"/>
        </w:rPr>
        <w:t>, 17–21 (2017).</w:t>
      </w:r>
    </w:p>
    <w:p w14:paraId="27337E95" w14:textId="77777777" w:rsidR="005270ED" w:rsidRPr="005270ED" w:rsidRDefault="005270ED" w:rsidP="007F21C6">
      <w:pPr>
        <w:pStyle w:val="Bibliography"/>
        <w:spacing w:line="276" w:lineRule="auto"/>
        <w:rPr>
          <w:lang w:val="en-US"/>
        </w:rPr>
      </w:pPr>
      <w:r w:rsidRPr="005270ED">
        <w:rPr>
          <w:lang w:val="en-US"/>
        </w:rPr>
        <w:t>6.</w:t>
      </w:r>
      <w:r w:rsidRPr="005270ED">
        <w:rPr>
          <w:lang w:val="en-US"/>
        </w:rPr>
        <w:tab/>
        <w:t xml:space="preserve">Miller, P. M. V-8 juice agar as a general-purpose medium for fungal and bacteria. </w:t>
      </w:r>
      <w:r w:rsidRPr="005270ED">
        <w:rPr>
          <w:i/>
          <w:iCs/>
          <w:lang w:val="en-US"/>
        </w:rPr>
        <w:t>Phytopathology</w:t>
      </w:r>
      <w:r w:rsidRPr="005270ED">
        <w:rPr>
          <w:lang w:val="en-US"/>
        </w:rPr>
        <w:t xml:space="preserve"> </w:t>
      </w:r>
      <w:r w:rsidRPr="005270ED">
        <w:rPr>
          <w:b/>
          <w:bCs/>
          <w:lang w:val="en-US"/>
        </w:rPr>
        <w:t>45</w:t>
      </w:r>
      <w:r w:rsidRPr="005270ED">
        <w:rPr>
          <w:lang w:val="en-US"/>
        </w:rPr>
        <w:t>, 461–462 (1955).</w:t>
      </w:r>
    </w:p>
    <w:p w14:paraId="7D8BDC83" w14:textId="77777777" w:rsidR="005270ED" w:rsidRPr="005270ED" w:rsidRDefault="005270ED" w:rsidP="007F21C6">
      <w:pPr>
        <w:pStyle w:val="Bibliography"/>
        <w:spacing w:line="276" w:lineRule="auto"/>
        <w:rPr>
          <w:lang w:val="en-US"/>
        </w:rPr>
      </w:pPr>
      <w:r w:rsidRPr="005270ED">
        <w:rPr>
          <w:lang w:val="en-US"/>
        </w:rPr>
        <w:t>7.</w:t>
      </w:r>
      <w:r w:rsidRPr="005270ED">
        <w:rPr>
          <w:lang w:val="en-US"/>
        </w:rPr>
        <w:tab/>
        <w:t xml:space="preserve">Möller, E., Bahnweg, G., Sandermann, H. &amp; Geiger, H. A simple and efficient protocol for isolation of high molecular weight DNA from filamentous fungi, fruit bodies, and infected plant tissues. </w:t>
      </w:r>
      <w:r w:rsidRPr="005270ED">
        <w:rPr>
          <w:i/>
          <w:iCs/>
          <w:lang w:val="en-US"/>
        </w:rPr>
        <w:t>Nucleic acids research</w:t>
      </w:r>
      <w:r w:rsidRPr="005270ED">
        <w:rPr>
          <w:lang w:val="en-US"/>
        </w:rPr>
        <w:t xml:space="preserve"> </w:t>
      </w:r>
      <w:r w:rsidRPr="005270ED">
        <w:rPr>
          <w:b/>
          <w:bCs/>
          <w:lang w:val="en-US"/>
        </w:rPr>
        <w:t>20</w:t>
      </w:r>
      <w:r w:rsidRPr="005270ED">
        <w:rPr>
          <w:lang w:val="en-US"/>
        </w:rPr>
        <w:t>, 6115 (1992).</w:t>
      </w:r>
    </w:p>
    <w:p w14:paraId="79978B3E" w14:textId="77777777" w:rsidR="005270ED" w:rsidRPr="005270ED" w:rsidRDefault="005270ED" w:rsidP="007F21C6">
      <w:pPr>
        <w:pStyle w:val="Bibliography"/>
        <w:spacing w:line="276" w:lineRule="auto"/>
        <w:rPr>
          <w:lang w:val="en-US"/>
        </w:rPr>
      </w:pPr>
      <w:r w:rsidRPr="005270ED">
        <w:rPr>
          <w:lang w:val="en-US"/>
        </w:rPr>
        <w:t>8.</w:t>
      </w:r>
      <w:r w:rsidRPr="005270ED">
        <w:rPr>
          <w:lang w:val="en-US"/>
        </w:rPr>
        <w:tab/>
        <w:t xml:space="preserve">Bolger, A. M., Lohse, M. &amp; Usadel, B. Trimmomatic: a flexible trimmer for Illumina sequence data. </w:t>
      </w:r>
      <w:r w:rsidRPr="005270ED">
        <w:rPr>
          <w:i/>
          <w:iCs/>
          <w:lang w:val="en-US"/>
        </w:rPr>
        <w:t>Bioinformatics</w:t>
      </w:r>
      <w:r w:rsidRPr="005270ED">
        <w:rPr>
          <w:lang w:val="en-US"/>
        </w:rPr>
        <w:t xml:space="preserve"> </w:t>
      </w:r>
      <w:r w:rsidRPr="005270ED">
        <w:rPr>
          <w:b/>
          <w:bCs/>
          <w:lang w:val="en-US"/>
        </w:rPr>
        <w:t>30</w:t>
      </w:r>
      <w:r w:rsidRPr="005270ED">
        <w:rPr>
          <w:lang w:val="en-US"/>
        </w:rPr>
        <w:t>, 2114–2120 (2014).</w:t>
      </w:r>
    </w:p>
    <w:p w14:paraId="45C5BAE4" w14:textId="77777777" w:rsidR="005270ED" w:rsidRPr="005270ED" w:rsidRDefault="005270ED" w:rsidP="007F21C6">
      <w:pPr>
        <w:pStyle w:val="Bibliography"/>
        <w:spacing w:line="276" w:lineRule="auto"/>
        <w:rPr>
          <w:lang w:val="en-US"/>
        </w:rPr>
      </w:pPr>
      <w:r w:rsidRPr="005270ED">
        <w:rPr>
          <w:lang w:val="en-US"/>
        </w:rPr>
        <w:t>9.</w:t>
      </w:r>
      <w:r w:rsidRPr="005270ED">
        <w:rPr>
          <w:lang w:val="en-US"/>
        </w:rPr>
        <w:tab/>
        <w:t xml:space="preserve">Li, H. Aligning sequence reads, clone sequences and assembly contigs with BWA-MEM. </w:t>
      </w:r>
      <w:r w:rsidRPr="005270ED">
        <w:rPr>
          <w:i/>
          <w:iCs/>
          <w:lang w:val="en-US"/>
        </w:rPr>
        <w:t>arXiv preprint arXiv:1303.3997</w:t>
      </w:r>
      <w:r w:rsidRPr="005270ED">
        <w:rPr>
          <w:lang w:val="en-US"/>
        </w:rPr>
        <w:t xml:space="preserve"> (2013).</w:t>
      </w:r>
    </w:p>
    <w:p w14:paraId="4D9F8FEC" w14:textId="77777777" w:rsidR="005270ED" w:rsidRPr="005270ED" w:rsidRDefault="005270ED" w:rsidP="007F21C6">
      <w:pPr>
        <w:pStyle w:val="Bibliography"/>
        <w:spacing w:line="276" w:lineRule="auto"/>
        <w:rPr>
          <w:lang w:val="en-US"/>
        </w:rPr>
      </w:pPr>
      <w:r w:rsidRPr="005270ED">
        <w:rPr>
          <w:lang w:val="en-US"/>
        </w:rPr>
        <w:t>10.</w:t>
      </w:r>
      <w:r w:rsidRPr="005270ED">
        <w:rPr>
          <w:lang w:val="en-US"/>
        </w:rPr>
        <w:tab/>
        <w:t xml:space="preserve">Li, H. </w:t>
      </w:r>
      <w:r w:rsidRPr="005270ED">
        <w:rPr>
          <w:i/>
          <w:iCs/>
          <w:lang w:val="en-US"/>
        </w:rPr>
        <w:t>et al.</w:t>
      </w:r>
      <w:r w:rsidRPr="005270ED">
        <w:rPr>
          <w:lang w:val="en-US"/>
        </w:rPr>
        <w:t xml:space="preserve"> The sequence alignment/map format and SAMtools. </w:t>
      </w:r>
      <w:r w:rsidRPr="005270ED">
        <w:rPr>
          <w:i/>
          <w:iCs/>
          <w:lang w:val="en-US"/>
        </w:rPr>
        <w:t>Bioinformatics</w:t>
      </w:r>
      <w:r w:rsidRPr="005270ED">
        <w:rPr>
          <w:lang w:val="en-US"/>
        </w:rPr>
        <w:t xml:space="preserve"> </w:t>
      </w:r>
      <w:r w:rsidRPr="005270ED">
        <w:rPr>
          <w:b/>
          <w:bCs/>
          <w:lang w:val="en-US"/>
        </w:rPr>
        <w:t>25</w:t>
      </w:r>
      <w:r w:rsidRPr="005270ED">
        <w:rPr>
          <w:lang w:val="en-US"/>
        </w:rPr>
        <w:t>, 2078–2079 (2009).</w:t>
      </w:r>
    </w:p>
    <w:p w14:paraId="7D613B6E" w14:textId="77777777" w:rsidR="005270ED" w:rsidRPr="005270ED" w:rsidRDefault="005270ED" w:rsidP="007F21C6">
      <w:pPr>
        <w:pStyle w:val="Bibliography"/>
        <w:spacing w:line="276" w:lineRule="auto"/>
        <w:rPr>
          <w:lang w:val="en-US"/>
        </w:rPr>
      </w:pPr>
      <w:r w:rsidRPr="005270ED">
        <w:rPr>
          <w:lang w:val="en-US"/>
        </w:rPr>
        <w:t>11.</w:t>
      </w:r>
      <w:r w:rsidRPr="005270ED">
        <w:rPr>
          <w:lang w:val="en-US"/>
        </w:rPr>
        <w:tab/>
        <w:t xml:space="preserve">Okonechnikov, K., Conesa, A. &amp; García-Alcalde, F. Qualimap 2: advanced multi-sample quality control for high-throughput sequencing data. </w:t>
      </w:r>
      <w:r w:rsidRPr="005270ED">
        <w:rPr>
          <w:i/>
          <w:iCs/>
          <w:lang w:val="en-US"/>
        </w:rPr>
        <w:t>Bioinformatics</w:t>
      </w:r>
      <w:r w:rsidRPr="005270ED">
        <w:rPr>
          <w:lang w:val="en-US"/>
        </w:rPr>
        <w:t xml:space="preserve"> </w:t>
      </w:r>
      <w:r w:rsidRPr="005270ED">
        <w:rPr>
          <w:b/>
          <w:bCs/>
          <w:lang w:val="en-US"/>
        </w:rPr>
        <w:t>32</w:t>
      </w:r>
      <w:r w:rsidRPr="005270ED">
        <w:rPr>
          <w:lang w:val="en-US"/>
        </w:rPr>
        <w:t>, 292–294 (2016).</w:t>
      </w:r>
    </w:p>
    <w:p w14:paraId="1631DDFB" w14:textId="77777777" w:rsidR="005270ED" w:rsidRPr="005270ED" w:rsidRDefault="005270ED" w:rsidP="007F21C6">
      <w:pPr>
        <w:pStyle w:val="Bibliography"/>
        <w:spacing w:line="276" w:lineRule="auto"/>
        <w:rPr>
          <w:lang w:val="en-US"/>
        </w:rPr>
      </w:pPr>
      <w:r w:rsidRPr="005270ED">
        <w:rPr>
          <w:lang w:val="en-US"/>
        </w:rPr>
        <w:t>12.</w:t>
      </w:r>
      <w:r w:rsidRPr="005270ED">
        <w:rPr>
          <w:lang w:val="en-US"/>
        </w:rPr>
        <w:tab/>
        <w:t xml:space="preserve">Martin, F. N., Bensasson, D., Tyler, B. M. &amp; Boore, J. L. Mitochondrial genome sequences and comparative genomics of </w:t>
      </w:r>
      <w:r w:rsidRPr="005270ED">
        <w:rPr>
          <w:i/>
          <w:iCs/>
          <w:lang w:val="en-US"/>
        </w:rPr>
        <w:t>Phytophthora ramorum</w:t>
      </w:r>
      <w:r w:rsidRPr="005270ED">
        <w:rPr>
          <w:lang w:val="en-US"/>
        </w:rPr>
        <w:t xml:space="preserve"> and </w:t>
      </w:r>
      <w:r w:rsidRPr="005270ED">
        <w:rPr>
          <w:i/>
          <w:iCs/>
          <w:lang w:val="en-US"/>
        </w:rPr>
        <w:t>P. sojae</w:t>
      </w:r>
      <w:r w:rsidRPr="005270ED">
        <w:rPr>
          <w:lang w:val="en-US"/>
        </w:rPr>
        <w:t xml:space="preserve">. </w:t>
      </w:r>
      <w:r w:rsidRPr="005270ED">
        <w:rPr>
          <w:i/>
          <w:iCs/>
          <w:lang w:val="en-US"/>
        </w:rPr>
        <w:t>Current Genetics</w:t>
      </w:r>
      <w:r w:rsidRPr="005270ED">
        <w:rPr>
          <w:lang w:val="en-US"/>
        </w:rPr>
        <w:t xml:space="preserve"> </w:t>
      </w:r>
      <w:r w:rsidRPr="005270ED">
        <w:rPr>
          <w:b/>
          <w:bCs/>
          <w:lang w:val="en-US"/>
        </w:rPr>
        <w:t>51</w:t>
      </w:r>
      <w:r w:rsidRPr="005270ED">
        <w:rPr>
          <w:lang w:val="en-US"/>
        </w:rPr>
        <w:t>, 285–296 (2007).</w:t>
      </w:r>
    </w:p>
    <w:p w14:paraId="121D92C5" w14:textId="77777777" w:rsidR="005270ED" w:rsidRPr="005270ED" w:rsidRDefault="005270ED" w:rsidP="007F21C6">
      <w:pPr>
        <w:pStyle w:val="Bibliography"/>
        <w:spacing w:line="276" w:lineRule="auto"/>
        <w:rPr>
          <w:lang w:val="en-US"/>
        </w:rPr>
      </w:pPr>
      <w:r w:rsidRPr="005270ED">
        <w:rPr>
          <w:lang w:val="en-US"/>
        </w:rPr>
        <w:t>13.</w:t>
      </w:r>
      <w:r w:rsidRPr="005270ED">
        <w:rPr>
          <w:lang w:val="en-US"/>
        </w:rPr>
        <w:tab/>
        <w:t xml:space="preserve">Cingolani, P. </w:t>
      </w:r>
      <w:r w:rsidRPr="005270ED">
        <w:rPr>
          <w:i/>
          <w:iCs/>
          <w:lang w:val="en-US"/>
        </w:rPr>
        <w:t>et al.</w:t>
      </w:r>
      <w:r w:rsidRPr="005270ED">
        <w:rPr>
          <w:lang w:val="en-US"/>
        </w:rPr>
        <w:t xml:space="preserve"> A program for annotating and predicting the effects of single nucleotide polymorphisms, SnpEff: SNPs in the genome of </w:t>
      </w:r>
      <w:r w:rsidRPr="005270ED">
        <w:rPr>
          <w:i/>
          <w:iCs/>
          <w:lang w:val="en-US"/>
        </w:rPr>
        <w:t>Drosophila melanogaster</w:t>
      </w:r>
      <w:r w:rsidRPr="005270ED">
        <w:rPr>
          <w:lang w:val="en-US"/>
        </w:rPr>
        <w:t xml:space="preserve"> strain w1118; iso-2; iso-3. </w:t>
      </w:r>
      <w:r w:rsidRPr="005270ED">
        <w:rPr>
          <w:i/>
          <w:iCs/>
          <w:lang w:val="en-US"/>
        </w:rPr>
        <w:t>Fly</w:t>
      </w:r>
      <w:r w:rsidRPr="005270ED">
        <w:rPr>
          <w:lang w:val="en-US"/>
        </w:rPr>
        <w:t xml:space="preserve"> </w:t>
      </w:r>
      <w:r w:rsidRPr="005270ED">
        <w:rPr>
          <w:b/>
          <w:bCs/>
          <w:lang w:val="en-US"/>
        </w:rPr>
        <w:t>6</w:t>
      </w:r>
      <w:r w:rsidRPr="005270ED">
        <w:rPr>
          <w:lang w:val="en-US"/>
        </w:rPr>
        <w:t>, 80–92 (2012).</w:t>
      </w:r>
    </w:p>
    <w:p w14:paraId="22F8A80A" w14:textId="50BD310F" w:rsidR="00067AD2" w:rsidRDefault="00001258" w:rsidP="007F21C6">
      <w:pPr>
        <w:widowControl w:val="0"/>
        <w:pBdr>
          <w:top w:val="nil"/>
          <w:left w:val="nil"/>
          <w:bottom w:val="nil"/>
          <w:right w:val="nil"/>
          <w:between w:val="nil"/>
        </w:pBdr>
        <w:ind w:left="264" w:hanging="264"/>
      </w:pPr>
      <w:r>
        <w:fldChar w:fldCharType="end"/>
      </w:r>
    </w:p>
    <w:p w14:paraId="22F8A80B" w14:textId="204646DC" w:rsidR="00067AD2" w:rsidRDefault="00067AD2">
      <w:pPr>
        <w:widowControl w:val="0"/>
        <w:pBdr>
          <w:top w:val="nil"/>
          <w:left w:val="nil"/>
          <w:bottom w:val="nil"/>
          <w:right w:val="nil"/>
          <w:between w:val="nil"/>
        </w:pBdr>
      </w:pPr>
    </w:p>
    <w:sectPr w:rsidR="00067AD2">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1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AD2"/>
    <w:rsid w:val="00001258"/>
    <w:rsid w:val="00067AD2"/>
    <w:rsid w:val="00130B0A"/>
    <w:rsid w:val="001515FF"/>
    <w:rsid w:val="004D3E34"/>
    <w:rsid w:val="005270ED"/>
    <w:rsid w:val="006766D7"/>
    <w:rsid w:val="007C0648"/>
    <w:rsid w:val="007D4D8E"/>
    <w:rsid w:val="007F21C6"/>
    <w:rsid w:val="00892867"/>
    <w:rsid w:val="00A37E4A"/>
    <w:rsid w:val="00A4581D"/>
    <w:rsid w:val="00BD1828"/>
    <w:rsid w:val="00CB1973"/>
    <w:rsid w:val="00D60068"/>
    <w:rsid w:val="00E82A0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2F8A60C"/>
  <w15:docId w15:val="{1CDFC339-8885-DC40-8307-7807DC82A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left w:w="70" w:type="dxa"/>
        <w:right w:w="70" w:type="dxa"/>
      </w:tblCellMar>
    </w:tblPr>
  </w:style>
  <w:style w:type="paragraph" w:styleId="Bibliography">
    <w:name w:val="Bibliography"/>
    <w:basedOn w:val="Normal"/>
    <w:next w:val="Normal"/>
    <w:uiPriority w:val="37"/>
    <w:unhideWhenUsed/>
    <w:rsid w:val="00892867"/>
    <w:pPr>
      <w:tabs>
        <w:tab w:val="left" w:pos="380"/>
      </w:tabs>
      <w:spacing w:line="48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6497001">
      <w:bodyDiv w:val="1"/>
      <w:marLeft w:val="0"/>
      <w:marRight w:val="0"/>
      <w:marTop w:val="0"/>
      <w:marBottom w:val="0"/>
      <w:divBdr>
        <w:top w:val="none" w:sz="0" w:space="0" w:color="auto"/>
        <w:left w:val="none" w:sz="0" w:space="0" w:color="auto"/>
        <w:bottom w:val="none" w:sz="0" w:space="0" w:color="auto"/>
        <w:right w:val="none" w:sz="0" w:space="0" w:color="auto"/>
      </w:divBdr>
      <w:divsChild>
        <w:div w:id="1956710688">
          <w:marLeft w:val="480"/>
          <w:marRight w:val="0"/>
          <w:marTop w:val="0"/>
          <w:marBottom w:val="0"/>
          <w:divBdr>
            <w:top w:val="none" w:sz="0" w:space="0" w:color="auto"/>
            <w:left w:val="none" w:sz="0" w:space="0" w:color="auto"/>
            <w:bottom w:val="none" w:sz="0" w:space="0" w:color="auto"/>
            <w:right w:val="none" w:sz="0" w:space="0" w:color="auto"/>
          </w:divBdr>
          <w:divsChild>
            <w:div w:id="162595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504351">
      <w:bodyDiv w:val="1"/>
      <w:marLeft w:val="0"/>
      <w:marRight w:val="0"/>
      <w:marTop w:val="0"/>
      <w:marBottom w:val="0"/>
      <w:divBdr>
        <w:top w:val="none" w:sz="0" w:space="0" w:color="auto"/>
        <w:left w:val="none" w:sz="0" w:space="0" w:color="auto"/>
        <w:bottom w:val="none" w:sz="0" w:space="0" w:color="auto"/>
        <w:right w:val="none" w:sz="0" w:space="0" w:color="auto"/>
      </w:divBdr>
      <w:divsChild>
        <w:div w:id="87780008">
          <w:marLeft w:val="480"/>
          <w:marRight w:val="0"/>
          <w:marTop w:val="0"/>
          <w:marBottom w:val="0"/>
          <w:divBdr>
            <w:top w:val="none" w:sz="0" w:space="0" w:color="auto"/>
            <w:left w:val="none" w:sz="0" w:space="0" w:color="auto"/>
            <w:bottom w:val="none" w:sz="0" w:space="0" w:color="auto"/>
            <w:right w:val="none" w:sz="0" w:space="0" w:color="auto"/>
          </w:divBdr>
          <w:divsChild>
            <w:div w:id="219095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s://www.zotero.org/google-docs/?broken=Vlf8aU" TargetMode="External"/><Relationship Id="rId10" Type="http://schemas.openxmlformats.org/officeDocument/2006/relationships/theme" Target="theme/theme1.xml"/><Relationship Id="rId4" Type="http://schemas.openxmlformats.org/officeDocument/2006/relationships/hyperlink" Target="https://www.zotero.org/google-docs/?broken=GIYpOB"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14</Pages>
  <Words>6311</Words>
  <Characters>35976</Characters>
  <Application>Microsoft Office Word</Application>
  <DocSecurity>0</DocSecurity>
  <Lines>299</Lines>
  <Paragraphs>84</Paragraphs>
  <ScaleCrop>false</ScaleCrop>
  <Company>UBC</Company>
  <LinksUpToDate>false</LinksUpToDate>
  <CharactersWithSpaces>42203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Richard Hamelin</cp:lastModifiedBy>
  <cp:revision>17</cp:revision>
  <dcterms:created xsi:type="dcterms:W3CDTF">2021-07-06T19:02:00Z</dcterms:created>
  <dcterms:modified xsi:type="dcterms:W3CDTF">2021-07-06T23:16:00Z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{"style":{"styleID":"http://www.zotero.org/styles/nature","hasBibliography":true,"bibliographyStyleHasBeenSet":true},"prefs":{"fieldType":"Field","automaticJournalAbbreviations":false,"delayCitationUpdates":true,"noteType":0,"dontAskDelayCitationUpdates":</vt:lpwstr>
  </property>
  <property fmtid="{D5CDD505-2E9C-101B-9397-08002B2CF9AE}" pid="3" name="ZOTERO_PREF_2">
    <vt:lpwstr>true},"sessionID":"88hmFsAx","zoteroVersion":"5.0.96.2","dataVersion":4}</vt:lpwstr>
  </property>
</Properties>
</file>