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06B076" w14:textId="77777777" w:rsidR="00B8190B" w:rsidRDefault="00B8190B" w:rsidP="00B8190B">
      <w:pPr>
        <w:spacing w:line="480" w:lineRule="auto"/>
        <w:rPr>
          <w:rFonts w:ascii="Times New Roman" w:hAnsi="Times New Roman" w:cs="Times New Roman"/>
          <w:noProof/>
          <w:sz w:val="24"/>
          <w:szCs w:val="24"/>
        </w:rPr>
      </w:pPr>
    </w:p>
    <w:p w14:paraId="5E4445F8" w14:textId="1A1E9FF4" w:rsidR="003C520C" w:rsidRPr="00B8190B" w:rsidRDefault="00B8190B" w:rsidP="00B8190B">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t>Composition of h</w:t>
      </w:r>
      <w:r w:rsidR="00533115" w:rsidRPr="00B8190B">
        <w:rPr>
          <w:rFonts w:ascii="Times New Roman" w:hAnsi="Times New Roman" w:cs="Times New Roman"/>
          <w:b/>
          <w:bCs/>
          <w:noProof/>
          <w:sz w:val="24"/>
          <w:szCs w:val="24"/>
        </w:rPr>
        <w:t xml:space="preserve">igh </w:t>
      </w:r>
      <w:r>
        <w:rPr>
          <w:rFonts w:ascii="Times New Roman" w:hAnsi="Times New Roman" w:cs="Times New Roman"/>
          <w:b/>
          <w:bCs/>
          <w:noProof/>
          <w:sz w:val="24"/>
          <w:szCs w:val="24"/>
        </w:rPr>
        <w:t>s</w:t>
      </w:r>
      <w:r w:rsidR="00533115" w:rsidRPr="00B8190B">
        <w:rPr>
          <w:rFonts w:ascii="Times New Roman" w:hAnsi="Times New Roman" w:cs="Times New Roman"/>
          <w:b/>
          <w:bCs/>
          <w:noProof/>
          <w:sz w:val="24"/>
          <w:szCs w:val="24"/>
        </w:rPr>
        <w:t xml:space="preserve">ucrose diet for induction of type 2 diabetes animal model </w:t>
      </w:r>
    </w:p>
    <w:tbl>
      <w:tblPr>
        <w:tblStyle w:val="TableGrid"/>
        <w:tblW w:w="0" w:type="auto"/>
        <w:tblLook w:val="04A0" w:firstRow="1" w:lastRow="0" w:firstColumn="1" w:lastColumn="0" w:noHBand="0" w:noVBand="1"/>
      </w:tblPr>
      <w:tblGrid>
        <w:gridCol w:w="523"/>
        <w:gridCol w:w="5520"/>
        <w:gridCol w:w="2973"/>
      </w:tblGrid>
      <w:tr w:rsidR="00533115" w:rsidRPr="00B8190B" w14:paraId="1C880425" w14:textId="77777777" w:rsidTr="00B8190B">
        <w:tc>
          <w:tcPr>
            <w:tcW w:w="523" w:type="dxa"/>
          </w:tcPr>
          <w:p w14:paraId="029D98DB" w14:textId="07C82BAC" w:rsidR="00533115" w:rsidRPr="00CE165C" w:rsidRDefault="00533115" w:rsidP="00B8190B">
            <w:pPr>
              <w:spacing w:line="480" w:lineRule="auto"/>
              <w:rPr>
                <w:rFonts w:ascii="Times New Roman" w:hAnsi="Times New Roman" w:cs="Times New Roman"/>
                <w:b/>
                <w:bCs/>
                <w:sz w:val="24"/>
                <w:szCs w:val="24"/>
              </w:rPr>
            </w:pPr>
            <w:r w:rsidRPr="00CE165C">
              <w:rPr>
                <w:rFonts w:ascii="Times New Roman" w:hAnsi="Times New Roman" w:cs="Times New Roman"/>
                <w:b/>
                <w:bCs/>
                <w:sz w:val="24"/>
                <w:szCs w:val="24"/>
              </w:rPr>
              <w:t>SN</w:t>
            </w:r>
          </w:p>
        </w:tc>
        <w:tc>
          <w:tcPr>
            <w:tcW w:w="5520" w:type="dxa"/>
          </w:tcPr>
          <w:p w14:paraId="72FDBDA2" w14:textId="2FB363AB" w:rsidR="00533115" w:rsidRPr="00CE165C" w:rsidRDefault="00533115" w:rsidP="00B8190B">
            <w:pPr>
              <w:spacing w:line="480" w:lineRule="auto"/>
              <w:rPr>
                <w:rFonts w:ascii="Times New Roman" w:hAnsi="Times New Roman" w:cs="Times New Roman"/>
                <w:b/>
                <w:bCs/>
                <w:sz w:val="24"/>
                <w:szCs w:val="24"/>
              </w:rPr>
            </w:pPr>
            <w:r w:rsidRPr="00CE165C">
              <w:rPr>
                <w:rFonts w:ascii="Times New Roman" w:hAnsi="Times New Roman" w:cs="Times New Roman"/>
                <w:b/>
                <w:bCs/>
                <w:sz w:val="24"/>
                <w:szCs w:val="24"/>
              </w:rPr>
              <w:t>Ingredients</w:t>
            </w:r>
          </w:p>
        </w:tc>
        <w:tc>
          <w:tcPr>
            <w:tcW w:w="2973" w:type="dxa"/>
          </w:tcPr>
          <w:p w14:paraId="0B60D2EA" w14:textId="0D5CB5F3" w:rsidR="00533115" w:rsidRPr="00CE165C" w:rsidRDefault="00533115" w:rsidP="00B8190B">
            <w:pPr>
              <w:spacing w:line="480" w:lineRule="auto"/>
              <w:rPr>
                <w:rFonts w:ascii="Times New Roman" w:hAnsi="Times New Roman" w:cs="Times New Roman"/>
                <w:b/>
                <w:bCs/>
                <w:sz w:val="24"/>
                <w:szCs w:val="24"/>
              </w:rPr>
            </w:pPr>
            <w:r w:rsidRPr="00CE165C">
              <w:rPr>
                <w:rFonts w:ascii="Times New Roman" w:hAnsi="Times New Roman" w:cs="Times New Roman"/>
                <w:b/>
                <w:bCs/>
                <w:sz w:val="24"/>
                <w:szCs w:val="24"/>
              </w:rPr>
              <w:t>Quantity (g/kg)</w:t>
            </w:r>
          </w:p>
        </w:tc>
      </w:tr>
      <w:tr w:rsidR="00B8190B" w:rsidRPr="00B8190B" w14:paraId="7994CC3B" w14:textId="77777777" w:rsidTr="00B8190B">
        <w:tc>
          <w:tcPr>
            <w:tcW w:w="523" w:type="dxa"/>
          </w:tcPr>
          <w:p w14:paraId="2EA34F1D" w14:textId="5C6BE4A6"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1</w:t>
            </w:r>
          </w:p>
        </w:tc>
        <w:tc>
          <w:tcPr>
            <w:tcW w:w="5520" w:type="dxa"/>
          </w:tcPr>
          <w:p w14:paraId="4A1EE4B3" w14:textId="7963485A" w:rsidR="00B8190B"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Casein </w:t>
            </w:r>
          </w:p>
        </w:tc>
        <w:tc>
          <w:tcPr>
            <w:tcW w:w="2973" w:type="dxa"/>
          </w:tcPr>
          <w:p w14:paraId="1E3886B7" w14:textId="400ADD48" w:rsidR="00B8190B"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200</w:t>
            </w:r>
          </w:p>
        </w:tc>
      </w:tr>
      <w:tr w:rsidR="00533115" w:rsidRPr="00B8190B" w14:paraId="204AFF1A" w14:textId="77777777" w:rsidTr="00B8190B">
        <w:tc>
          <w:tcPr>
            <w:tcW w:w="523" w:type="dxa"/>
          </w:tcPr>
          <w:p w14:paraId="5CB26029" w14:textId="17227141"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2.</w:t>
            </w:r>
          </w:p>
        </w:tc>
        <w:tc>
          <w:tcPr>
            <w:tcW w:w="5520" w:type="dxa"/>
          </w:tcPr>
          <w:p w14:paraId="421FEAA6" w14:textId="498983E7" w:rsidR="00533115" w:rsidRPr="00B8190B" w:rsidRDefault="00533115" w:rsidP="00B8190B">
            <w:pPr>
              <w:spacing w:line="480" w:lineRule="auto"/>
              <w:rPr>
                <w:rFonts w:ascii="Times New Roman" w:hAnsi="Times New Roman" w:cs="Times New Roman"/>
                <w:sz w:val="24"/>
                <w:szCs w:val="24"/>
              </w:rPr>
            </w:pPr>
            <w:r w:rsidRPr="00B8190B">
              <w:rPr>
                <w:rFonts w:ascii="Times New Roman" w:hAnsi="Times New Roman" w:cs="Times New Roman"/>
                <w:sz w:val="24"/>
                <w:szCs w:val="24"/>
              </w:rPr>
              <w:t>DL methionine</w:t>
            </w:r>
          </w:p>
        </w:tc>
        <w:tc>
          <w:tcPr>
            <w:tcW w:w="2973" w:type="dxa"/>
          </w:tcPr>
          <w:p w14:paraId="5D79AF68" w14:textId="665A2329" w:rsidR="00533115" w:rsidRPr="00B8190B" w:rsidRDefault="00533115" w:rsidP="00B8190B">
            <w:pPr>
              <w:spacing w:line="480" w:lineRule="auto"/>
              <w:rPr>
                <w:rFonts w:ascii="Times New Roman" w:hAnsi="Times New Roman" w:cs="Times New Roman"/>
                <w:sz w:val="24"/>
                <w:szCs w:val="24"/>
              </w:rPr>
            </w:pPr>
            <w:r w:rsidRPr="00B8190B">
              <w:rPr>
                <w:rFonts w:ascii="Times New Roman" w:hAnsi="Times New Roman" w:cs="Times New Roman"/>
                <w:sz w:val="24"/>
                <w:szCs w:val="24"/>
              </w:rPr>
              <w:t>3</w:t>
            </w:r>
          </w:p>
        </w:tc>
      </w:tr>
      <w:tr w:rsidR="00533115" w:rsidRPr="00B8190B" w14:paraId="620B4B71" w14:textId="77777777" w:rsidTr="00B8190B">
        <w:tc>
          <w:tcPr>
            <w:tcW w:w="523" w:type="dxa"/>
          </w:tcPr>
          <w:p w14:paraId="58013358" w14:textId="2EAB7C10"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3.</w:t>
            </w:r>
          </w:p>
        </w:tc>
        <w:tc>
          <w:tcPr>
            <w:tcW w:w="5520" w:type="dxa"/>
          </w:tcPr>
          <w:p w14:paraId="411B893E" w14:textId="42045E16"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Corn Starch </w:t>
            </w:r>
          </w:p>
        </w:tc>
        <w:tc>
          <w:tcPr>
            <w:tcW w:w="2973" w:type="dxa"/>
          </w:tcPr>
          <w:p w14:paraId="586CD3EF" w14:textId="08D45F9A"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0</w:t>
            </w:r>
          </w:p>
        </w:tc>
      </w:tr>
      <w:tr w:rsidR="00533115" w:rsidRPr="00B8190B" w14:paraId="4E03D0EA" w14:textId="77777777" w:rsidTr="00B8190B">
        <w:tc>
          <w:tcPr>
            <w:tcW w:w="523" w:type="dxa"/>
          </w:tcPr>
          <w:p w14:paraId="468545A8" w14:textId="72B37FF2"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4.</w:t>
            </w:r>
          </w:p>
        </w:tc>
        <w:tc>
          <w:tcPr>
            <w:tcW w:w="5520" w:type="dxa"/>
          </w:tcPr>
          <w:p w14:paraId="01CE0C43" w14:textId="29EB3C4B"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Maltodextrin </w:t>
            </w:r>
          </w:p>
        </w:tc>
        <w:tc>
          <w:tcPr>
            <w:tcW w:w="2973" w:type="dxa"/>
          </w:tcPr>
          <w:p w14:paraId="58B90BBA" w14:textId="5A226F3F"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0</w:t>
            </w:r>
          </w:p>
        </w:tc>
      </w:tr>
      <w:tr w:rsidR="00533115" w:rsidRPr="00B8190B" w14:paraId="0A43758C" w14:textId="77777777" w:rsidTr="00B8190B">
        <w:tc>
          <w:tcPr>
            <w:tcW w:w="523" w:type="dxa"/>
          </w:tcPr>
          <w:p w14:paraId="04BA7FDE" w14:textId="1F22CE45"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5.</w:t>
            </w:r>
          </w:p>
        </w:tc>
        <w:tc>
          <w:tcPr>
            <w:tcW w:w="5520" w:type="dxa"/>
          </w:tcPr>
          <w:p w14:paraId="01C8112A" w14:textId="3A2A65CA"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Sucrose </w:t>
            </w:r>
          </w:p>
        </w:tc>
        <w:tc>
          <w:tcPr>
            <w:tcW w:w="2973" w:type="dxa"/>
          </w:tcPr>
          <w:p w14:paraId="73471D7F" w14:textId="25BB957D"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650</w:t>
            </w:r>
          </w:p>
        </w:tc>
      </w:tr>
      <w:tr w:rsidR="00533115" w:rsidRPr="00B8190B" w14:paraId="6B717D67" w14:textId="77777777" w:rsidTr="00B8190B">
        <w:tc>
          <w:tcPr>
            <w:tcW w:w="523" w:type="dxa"/>
          </w:tcPr>
          <w:p w14:paraId="5DA42921" w14:textId="3814DBC0"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6.</w:t>
            </w:r>
          </w:p>
        </w:tc>
        <w:tc>
          <w:tcPr>
            <w:tcW w:w="5520" w:type="dxa"/>
          </w:tcPr>
          <w:p w14:paraId="7DCAD1B8" w14:textId="58F50EF4"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Cellulose </w:t>
            </w:r>
          </w:p>
        </w:tc>
        <w:tc>
          <w:tcPr>
            <w:tcW w:w="2973" w:type="dxa"/>
          </w:tcPr>
          <w:p w14:paraId="68DC6DE9" w14:textId="2B6714CE"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50</w:t>
            </w:r>
          </w:p>
        </w:tc>
      </w:tr>
      <w:tr w:rsidR="00B8190B" w:rsidRPr="00B8190B" w14:paraId="24DB422D" w14:textId="77777777" w:rsidTr="00B8190B">
        <w:tc>
          <w:tcPr>
            <w:tcW w:w="523" w:type="dxa"/>
          </w:tcPr>
          <w:p w14:paraId="62A476A0" w14:textId="105BF269"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7.</w:t>
            </w:r>
          </w:p>
        </w:tc>
        <w:tc>
          <w:tcPr>
            <w:tcW w:w="5520" w:type="dxa"/>
          </w:tcPr>
          <w:p w14:paraId="5A67C179" w14:textId="59D003B2" w:rsidR="00B8190B"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Corn Oil </w:t>
            </w:r>
          </w:p>
        </w:tc>
        <w:tc>
          <w:tcPr>
            <w:tcW w:w="2973" w:type="dxa"/>
          </w:tcPr>
          <w:p w14:paraId="597627A1" w14:textId="2E9AB97A" w:rsidR="00B8190B"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50</w:t>
            </w:r>
          </w:p>
        </w:tc>
      </w:tr>
      <w:tr w:rsidR="00533115" w:rsidRPr="00B8190B" w14:paraId="700BC326" w14:textId="77777777" w:rsidTr="00B8190B">
        <w:tc>
          <w:tcPr>
            <w:tcW w:w="523" w:type="dxa"/>
          </w:tcPr>
          <w:p w14:paraId="3EFE8B2C" w14:textId="7F0BB4D1"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8.</w:t>
            </w:r>
          </w:p>
        </w:tc>
        <w:tc>
          <w:tcPr>
            <w:tcW w:w="5520" w:type="dxa"/>
          </w:tcPr>
          <w:p w14:paraId="462DEE5A" w14:textId="3D974FB5"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Salt Mix.</w:t>
            </w:r>
          </w:p>
        </w:tc>
        <w:tc>
          <w:tcPr>
            <w:tcW w:w="2973" w:type="dxa"/>
          </w:tcPr>
          <w:p w14:paraId="6B1DC497" w14:textId="12034D19" w:rsidR="00533115" w:rsidRP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35</w:t>
            </w:r>
          </w:p>
        </w:tc>
      </w:tr>
      <w:tr w:rsidR="00B8190B" w:rsidRPr="00B8190B" w14:paraId="03B12A7C" w14:textId="77777777" w:rsidTr="00B8190B">
        <w:tc>
          <w:tcPr>
            <w:tcW w:w="523" w:type="dxa"/>
          </w:tcPr>
          <w:p w14:paraId="1BA0FE14" w14:textId="24D96ADE"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9.</w:t>
            </w:r>
          </w:p>
        </w:tc>
        <w:tc>
          <w:tcPr>
            <w:tcW w:w="5520" w:type="dxa"/>
          </w:tcPr>
          <w:p w14:paraId="0A400628" w14:textId="4E2A0890"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Vitamin Mix.</w:t>
            </w:r>
          </w:p>
        </w:tc>
        <w:tc>
          <w:tcPr>
            <w:tcW w:w="2973" w:type="dxa"/>
          </w:tcPr>
          <w:p w14:paraId="5538EB8C" w14:textId="6AB369E5"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10</w:t>
            </w:r>
          </w:p>
        </w:tc>
      </w:tr>
      <w:tr w:rsidR="00B8190B" w:rsidRPr="00B8190B" w14:paraId="18974BBB" w14:textId="77777777" w:rsidTr="00B8190B">
        <w:tc>
          <w:tcPr>
            <w:tcW w:w="523" w:type="dxa"/>
          </w:tcPr>
          <w:p w14:paraId="2636A4B8" w14:textId="7D32F3AE"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10.</w:t>
            </w:r>
          </w:p>
        </w:tc>
        <w:tc>
          <w:tcPr>
            <w:tcW w:w="5520" w:type="dxa"/>
          </w:tcPr>
          <w:p w14:paraId="1959DB5F" w14:textId="3ADA0CE9" w:rsidR="00B8190B" w:rsidRDefault="00B8190B" w:rsidP="00B8190B">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Cholin</w:t>
            </w:r>
            <w:proofErr w:type="spellEnd"/>
            <w:r>
              <w:rPr>
                <w:rFonts w:ascii="Times New Roman" w:hAnsi="Times New Roman" w:cs="Times New Roman"/>
                <w:sz w:val="24"/>
                <w:szCs w:val="24"/>
              </w:rPr>
              <w:t xml:space="preserve"> bitartrate </w:t>
            </w:r>
          </w:p>
        </w:tc>
        <w:tc>
          <w:tcPr>
            <w:tcW w:w="2973" w:type="dxa"/>
          </w:tcPr>
          <w:p w14:paraId="27418BA7" w14:textId="5A2E1086"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2</w:t>
            </w:r>
          </w:p>
        </w:tc>
      </w:tr>
      <w:tr w:rsidR="00B8190B" w:rsidRPr="00B8190B" w14:paraId="7E410EBC" w14:textId="77777777" w:rsidTr="00A46033">
        <w:tc>
          <w:tcPr>
            <w:tcW w:w="9016" w:type="dxa"/>
            <w:gridSpan w:val="3"/>
          </w:tcPr>
          <w:p w14:paraId="3CE6D333" w14:textId="6C96ABCA"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 of energy </w:t>
            </w:r>
          </w:p>
        </w:tc>
      </w:tr>
      <w:tr w:rsidR="00B8190B" w:rsidRPr="00B8190B" w14:paraId="03C4B9CA" w14:textId="77777777" w:rsidTr="00B8190B">
        <w:tc>
          <w:tcPr>
            <w:tcW w:w="523" w:type="dxa"/>
          </w:tcPr>
          <w:p w14:paraId="428E9101" w14:textId="1095681F"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11.</w:t>
            </w:r>
          </w:p>
        </w:tc>
        <w:tc>
          <w:tcPr>
            <w:tcW w:w="5520" w:type="dxa"/>
          </w:tcPr>
          <w:p w14:paraId="725DA748" w14:textId="4AB5C60E"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Protein </w:t>
            </w:r>
          </w:p>
        </w:tc>
        <w:tc>
          <w:tcPr>
            <w:tcW w:w="2973" w:type="dxa"/>
          </w:tcPr>
          <w:p w14:paraId="0DE776C9" w14:textId="76A9BAA1" w:rsidR="00B8190B" w:rsidRDefault="00310204" w:rsidP="00B8190B">
            <w:pPr>
              <w:spacing w:line="480" w:lineRule="auto"/>
              <w:rPr>
                <w:rFonts w:ascii="Times New Roman" w:hAnsi="Times New Roman" w:cs="Times New Roman"/>
                <w:sz w:val="24"/>
                <w:szCs w:val="24"/>
              </w:rPr>
            </w:pPr>
            <w:r>
              <w:rPr>
                <w:rFonts w:ascii="Times New Roman" w:hAnsi="Times New Roman" w:cs="Times New Roman"/>
                <w:sz w:val="24"/>
                <w:szCs w:val="24"/>
              </w:rPr>
              <w:t>20</w:t>
            </w:r>
          </w:p>
        </w:tc>
      </w:tr>
      <w:tr w:rsidR="00B8190B" w:rsidRPr="00B8190B" w14:paraId="4DA19B4A" w14:textId="77777777" w:rsidTr="00B8190B">
        <w:tc>
          <w:tcPr>
            <w:tcW w:w="523" w:type="dxa"/>
          </w:tcPr>
          <w:p w14:paraId="4433D123" w14:textId="4BCAA37F"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12.</w:t>
            </w:r>
          </w:p>
        </w:tc>
        <w:tc>
          <w:tcPr>
            <w:tcW w:w="5520" w:type="dxa"/>
          </w:tcPr>
          <w:p w14:paraId="12EB06FB" w14:textId="529DBFD8"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Fat</w:t>
            </w:r>
          </w:p>
        </w:tc>
        <w:tc>
          <w:tcPr>
            <w:tcW w:w="2973" w:type="dxa"/>
          </w:tcPr>
          <w:p w14:paraId="5D7787CD" w14:textId="1B6D37DC" w:rsidR="00B8190B" w:rsidRDefault="00310204" w:rsidP="00B8190B">
            <w:pPr>
              <w:spacing w:line="480" w:lineRule="auto"/>
              <w:rPr>
                <w:rFonts w:ascii="Times New Roman" w:hAnsi="Times New Roman" w:cs="Times New Roman"/>
                <w:sz w:val="24"/>
                <w:szCs w:val="24"/>
              </w:rPr>
            </w:pPr>
            <w:r>
              <w:rPr>
                <w:rFonts w:ascii="Times New Roman" w:hAnsi="Times New Roman" w:cs="Times New Roman"/>
                <w:sz w:val="24"/>
                <w:szCs w:val="24"/>
              </w:rPr>
              <w:t>12</w:t>
            </w:r>
          </w:p>
        </w:tc>
      </w:tr>
      <w:tr w:rsidR="00B8190B" w:rsidRPr="00B8190B" w14:paraId="2516880C" w14:textId="77777777" w:rsidTr="00B8190B">
        <w:tc>
          <w:tcPr>
            <w:tcW w:w="523" w:type="dxa"/>
          </w:tcPr>
          <w:p w14:paraId="269A360D" w14:textId="61A35B4D"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13.</w:t>
            </w:r>
          </w:p>
        </w:tc>
        <w:tc>
          <w:tcPr>
            <w:tcW w:w="5520" w:type="dxa"/>
          </w:tcPr>
          <w:p w14:paraId="05184999" w14:textId="7DE6254D" w:rsidR="00B8190B" w:rsidRDefault="00B8190B" w:rsidP="00B8190B">
            <w:pPr>
              <w:spacing w:line="480" w:lineRule="auto"/>
              <w:rPr>
                <w:rFonts w:ascii="Times New Roman" w:hAnsi="Times New Roman" w:cs="Times New Roman"/>
                <w:sz w:val="24"/>
                <w:szCs w:val="24"/>
              </w:rPr>
            </w:pPr>
            <w:r>
              <w:rPr>
                <w:rFonts w:ascii="Times New Roman" w:hAnsi="Times New Roman" w:cs="Times New Roman"/>
                <w:sz w:val="24"/>
                <w:szCs w:val="24"/>
              </w:rPr>
              <w:t xml:space="preserve">Carbohydrate </w:t>
            </w:r>
          </w:p>
        </w:tc>
        <w:tc>
          <w:tcPr>
            <w:tcW w:w="2973" w:type="dxa"/>
          </w:tcPr>
          <w:p w14:paraId="0FCC20E4" w14:textId="014A8B71" w:rsidR="00B8190B" w:rsidRDefault="00310204" w:rsidP="00B8190B">
            <w:pPr>
              <w:spacing w:line="480" w:lineRule="auto"/>
              <w:rPr>
                <w:rFonts w:ascii="Times New Roman" w:hAnsi="Times New Roman" w:cs="Times New Roman"/>
                <w:sz w:val="24"/>
                <w:szCs w:val="24"/>
              </w:rPr>
            </w:pPr>
            <w:r>
              <w:rPr>
                <w:rFonts w:ascii="Times New Roman" w:hAnsi="Times New Roman" w:cs="Times New Roman"/>
                <w:sz w:val="24"/>
                <w:szCs w:val="24"/>
              </w:rPr>
              <w:t>68</w:t>
            </w:r>
          </w:p>
        </w:tc>
      </w:tr>
    </w:tbl>
    <w:p w14:paraId="52D44892" w14:textId="6869970A" w:rsidR="00533115" w:rsidRDefault="00533115" w:rsidP="00B8190B">
      <w:pPr>
        <w:spacing w:line="480" w:lineRule="auto"/>
        <w:rPr>
          <w:rFonts w:ascii="Times New Roman" w:hAnsi="Times New Roman" w:cs="Times New Roman"/>
          <w:sz w:val="24"/>
          <w:szCs w:val="24"/>
        </w:rPr>
      </w:pPr>
    </w:p>
    <w:p w14:paraId="35D451D8" w14:textId="59A32365" w:rsidR="00310204" w:rsidRPr="00B8190B" w:rsidRDefault="00310204" w:rsidP="00B8190B">
      <w:pPr>
        <w:spacing w:line="480" w:lineRule="auto"/>
        <w:rPr>
          <w:rFonts w:ascii="Times New Roman" w:hAnsi="Times New Roman" w:cs="Times New Roman"/>
          <w:sz w:val="24"/>
          <w:szCs w:val="24"/>
        </w:rPr>
      </w:pPr>
      <w:r>
        <w:rPr>
          <w:rFonts w:ascii="Times New Roman" w:hAnsi="Times New Roman" w:cs="Times New Roman"/>
          <w:sz w:val="24"/>
          <w:szCs w:val="24"/>
        </w:rPr>
        <w:t>As per following the previous studies</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{"citationItems":[{"id":"ITEM-1","itemData":{"DOI":"10.21776/ub.rjls.2017.004.01.10","ISSN":"2355-9926","abstract":"The study was designed to establish an experimental models of metabolic syndrome that adequately mimic metabolic syndrome criteria as determined by NCEP ATP III.  Eighteen Male Sprague dawley rats, 2 - 3 months old were used in the study. Combination of high fat and high sucrose (HFHS) diet for eight weeks and streptozotocin (STZ) injection in the second week was administered to induce metabolic syndrome. The body   weight and biochemical parameters (blood glucose, triglyceride, HDL-cholesterol) were measured every 2 weeks. The rats with blood glucose (&amp;gt;126mg/dL), triglyceride (TG) (&amp;gt;150mg/dL), high systolic blood pressure (≥140 mmHg), and reduced HDL levels (&amp;lt;40 mg/dL) confirmed presence NCEP-ATP III criteria of metabolic syndrome. The adiponectin level was analyzed by ELISA methods.  Fasting blood glucose, triglyceride, and systolic blood pressure increased significantly (p&amp;lt;0.05) in HFHS group compared to that of NC group. Moreover, after 8 week a significant lower HDL level was observed in HFHS group compared to that of NC group. In addition, HFHS group showed a significantly lower adiponectin level compared to that of NC group.  The combination of low doses of STZ (30mg/kg) and HFHS administration for 8 weeks could induce metabolic syndrome mimicking human criteria of metabolic syndrome.","author":[{"dropping-particle":"","family":"Saifur Rohman","given":"Mohammad","non-dropping-particle":"","parse-names":false,"suffix":""},{"dropping-particle":"","family":"Lukitasari","given":"Mifetika","non-dropping-particle":"","parse-names":false,"suffix":""},{"dropping-particle":"","family":"Adi Nugroho","given":"Dwi","non-dropping-particle":"","parse-names":false,"suffix":""},{"dropping-particle":"","family":"Nashi","given":"Widodo","non-dropping-particle":"","parse-names":false,"suffix":""},{"dropping-particle":"","family":"Ida Panca Nugraheini","given":"Nur","non-dropping-particle":"","parse-names":false,"suffix":""},{"dropping-particle":"","family":"Wahyu Sardjono","given":"eguh","non-dropping-particle":"","parse-names":false,"suffix":""}],"container-title":"Research Journal of Life Science","id":"ITEM-1","issue":"1","issued":{"date-parts":[["2017"]]},"page":"76-86","title":"Development of an Experimental Model of Metabolic Syndrome in Sprague Dawley Rat","type":"article-journal","volume":"4"},"uris":["http://www.mendeley.com/documents/?uuid=9f706d8a-c614-4692-983e-01a0ae2bd870"]},{"id":"ITEM-2","itemData":{"DOI":"10.1152/ajpendo.00120.2002","ISSN":"01931849","PMID":"12169448","abstract":"High-fat (HFD) and high-sucrose diets (HSD) reduce insulin suppression of glucose production in vivo, increase the capacity for gluconeogenesis in vitro, and increase glucose-6-phosphatase (G-6-Pase) activity in whole cell homogenates. The present study examined the effects of HSD and HFD on in vivo gluconeogenesis, the catalytic and glucose-6-phosphate translocase subunits of G-6-Pase, glucokinase (GK) translocation, and glucose cycling. Rats were fed a high-starch control diet (STD; 68% cornstarch), HSD (68% sucrose), or HFD (45% fat) for 7-13 days. The ratio of 3H in C6:C2 of glucose after 3H2O injection into 6- to 8-h-fasted rats was significantly increased in HSD (0.68 ± 0.07) and HFD (0.71 ± 0.08) vs. STD (0.40 ± 0.10). G-6-Pase activity was significantly higher in HSD and HFD vs. STD in both intact and disrupted liver microsomes. HSD and HFD significantly increased the amount of the p36 catalytic subunit protein, whereas the p46 glucose-6-phosphate translocase protein was increased in HSD only. Despite increased nonglycerol gluconeogenesis and increased G-6-Pase, basal glucose and insulin levels as well as glucose production were not significantly different among groups. Hepatocyte cell suspensions were used to ascertain whether diet-induced adaptations in glucose phosphorylation and GK might serve to compensate for upregulation of G-6-Pase. Tracer-estimated glucose phosphorylation and glucose cycling (glucose ↔ glucose 6-phosphate) were significantly higher in cells isolated from HSD only. After incubation with either 5 or 20 mM glucose and no insulin, GK activity (nmol·mg protein -1·min-1) in digitonin-treated eluates (translocated GK) was significantly higher in HSD (32 ± 4 and 146 ± 6) vs. HFD (4 ± 1 and 83 ± 10) and STD (9 ± 2 and 87 ± 9). Thus short-term, chronic exposure to HSD and HFD increase in vivo gluconeogenesis and the G-6-Pase catalytic subunit. Exposure to HSD diet also leads to adaptations in glucose phosphorylation and GK translocation.","author":[{"dropping-particle":"","family":"Renee Commerford","given":"S.","non-dropping-particle":"","parse-names":false,"suffix":""},{"dropping-particle":"","family":"Ferniza","given":"Jennifer B.","non-dropping-particle":"","parse-names":false,"suffix":""},{"dropping-particle":"","family":"Bizeau","given":"Michael E.","non-dropping-particle":"","parse-names":false,"suffix":""},{"dropping-particle":"","family":"Thresher","given":"Jeffrey S.","non-dropping-particle":"","parse-names":false,"suffix":""},{"dropping-particle":"","family":"Willis","given":"Wayne T.","non-dropping-particle":"","parse-names":false,"suffix":""},{"dropping-particle":"","family":"Pagliassotti","given":"Michael J.","non-dropping-particle":"","parse-names":false,"suffix":""}],"container-title":"American Journal of Physiology - Endocrinology and Metabolism","id":"ITEM-2","issue":"3 46-3","issued":{"date-parts":[["2002"]]},"page":"545-555","title":"Diets enriched in sucrose or fat increase gluconeogenesis and G-6-Pase but not basal glucose production in rats","type":"article-journal","volume":"283"},"uris":["http://www.mendeley.com/documents/?uuid=346ac8bf-50ea-4d8d-9c25-c4b3d611b623"]}],"mendeley":{"formattedCitation":"[1,2]","plainTextFormattedCitation":"[1,2]","previouslyFormattedCitation":"[1]"},"properties":{"noteIndex":0},"schema":"https://github.com/citation-style-language/schema/raw/master/csl-citation.json"}</w:instrText>
      </w:r>
      <w:r>
        <w:rPr>
          <w:rFonts w:ascii="Times New Roman" w:hAnsi="Times New Roman" w:cs="Times New Roman"/>
          <w:sz w:val="24"/>
          <w:szCs w:val="24"/>
        </w:rPr>
        <w:fldChar w:fldCharType="separate"/>
      </w:r>
      <w:r w:rsidRPr="00310204">
        <w:rPr>
          <w:rFonts w:ascii="Times New Roman" w:hAnsi="Times New Roman" w:cs="Times New Roman"/>
          <w:noProof/>
          <w:sz w:val="24"/>
          <w:szCs w:val="24"/>
        </w:rPr>
        <w:t>[1,2]</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sectPr w:rsidR="00310204" w:rsidRPr="00B819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20C"/>
    <w:rsid w:val="00310204"/>
    <w:rsid w:val="003C520C"/>
    <w:rsid w:val="00533115"/>
    <w:rsid w:val="00B8190B"/>
    <w:rsid w:val="00CE16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32133"/>
  <w15:chartTrackingRefBased/>
  <w15:docId w15:val="{18B12575-5959-4DF0-98C9-BDC4572BB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31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F5F0B8-5A06-4FC7-AA94-F5BC33324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970</Words>
  <Characters>5530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H Barad</dc:creator>
  <cp:keywords/>
  <dc:description/>
  <cp:lastModifiedBy>Dr. H Barad</cp:lastModifiedBy>
  <cp:revision>3</cp:revision>
  <dcterms:created xsi:type="dcterms:W3CDTF">2020-12-15T10:53:00Z</dcterms:created>
  <dcterms:modified xsi:type="dcterms:W3CDTF">2020-12-15T11:20:00Z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http://www.zotero.org/styles/frontiers-in-pharmacology</vt:lpwstr>
  </property>
  <property fmtid="{D5CDD505-2E9C-101B-9397-08002B2CF9AE}" pid="3" name="Mendeley Recent Style Name 0_1">
    <vt:lpwstr>Frontiers in Pharmacology</vt:lpwstr>
  </property>
  <property fmtid="{D5CDD505-2E9C-101B-9397-08002B2CF9AE}" pid="4" name="Mendeley Recent Style Id 1_1">
    <vt:lpwstr>http://www.zotero.org/styles/national-library-of-medicine</vt:lpwstr>
  </property>
  <property fmtid="{D5CDD505-2E9C-101B-9397-08002B2CF9AE}" pid="5" name="Mendeley Recent Style Name 1_1">
    <vt:lpwstr>National Library of Medicine</vt:lpwstr>
  </property>
  <property fmtid="{D5CDD505-2E9C-101B-9397-08002B2CF9AE}" pid="6" name="Mendeley Recent Style Id 2_1">
    <vt:lpwstr>http://www.zotero.org/styles/nature-cell-biology</vt:lpwstr>
  </property>
  <property fmtid="{D5CDD505-2E9C-101B-9397-08002B2CF9AE}" pid="7" name="Mendeley Recent Style Name 2_1">
    <vt:lpwstr>Nature Cell Biology</vt:lpwstr>
  </property>
  <property fmtid="{D5CDD505-2E9C-101B-9397-08002B2CF9AE}" pid="8" name="Mendeley Recent Style Id 3_1">
    <vt:lpwstr>http://www.zotero.org/styles/nature-immunology</vt:lpwstr>
  </property>
  <property fmtid="{D5CDD505-2E9C-101B-9397-08002B2CF9AE}" pid="9" name="Mendeley Recent Style Name 3_1">
    <vt:lpwstr>Nature Immunology</vt:lpwstr>
  </property>
  <property fmtid="{D5CDD505-2E9C-101B-9397-08002B2CF9AE}" pid="10" name="Mendeley Recent Style Id 4_1">
    <vt:lpwstr>http://www.zotero.org/styles/nature-methods</vt:lpwstr>
  </property>
  <property fmtid="{D5CDD505-2E9C-101B-9397-08002B2CF9AE}" pid="11" name="Mendeley Recent Style Name 4_1">
    <vt:lpwstr>Nature Methods</vt:lpwstr>
  </property>
  <property fmtid="{D5CDD505-2E9C-101B-9397-08002B2CF9AE}" pid="12" name="Mendeley Recent Style Id 5_1">
    <vt:lpwstr>http://www.zotero.org/styles/nature-reviews-cancer</vt:lpwstr>
  </property>
  <property fmtid="{D5CDD505-2E9C-101B-9397-08002B2CF9AE}" pid="13" name="Mendeley Recent Style Name 5_1">
    <vt:lpwstr>Nature Reviews Cancer</vt:lpwstr>
  </property>
  <property fmtid="{D5CDD505-2E9C-101B-9397-08002B2CF9AE}" pid="14" name="Mendeley Recent Style Id 6_1">
    <vt:lpwstr>http://www.zotero.org/styles/nature-reviews-genetics</vt:lpwstr>
  </property>
  <property fmtid="{D5CDD505-2E9C-101B-9397-08002B2CF9AE}" pid="15" name="Mendeley Recent Style Name 6_1">
    <vt:lpwstr>Nature Reviews Genetics</vt:lpwstr>
  </property>
  <property fmtid="{D5CDD505-2E9C-101B-9397-08002B2CF9AE}" pid="16" name="Mendeley Recent Style Id 7_1">
    <vt:lpwstr>http://www.zotero.org/styles/nutrition-and-metabolism</vt:lpwstr>
  </property>
  <property fmtid="{D5CDD505-2E9C-101B-9397-08002B2CF9AE}" pid="17" name="Mendeley Recent Style Name 7_1">
    <vt:lpwstr>Nutrition &amp; Metabolism</vt:lpwstr>
  </property>
  <property fmtid="{D5CDD505-2E9C-101B-9397-08002B2CF9AE}" pid="18" name="Mendeley Recent Style Id 8_1">
    <vt:lpwstr>http://www.zotero.org/styles/pharmacognosy-magazine</vt:lpwstr>
  </property>
  <property fmtid="{D5CDD505-2E9C-101B-9397-08002B2CF9AE}" pid="19" name="Mendeley Recent Style Name 8_1">
    <vt:lpwstr>Pharmacognosy Magazine</vt:lpwstr>
  </property>
  <property fmtid="{D5CDD505-2E9C-101B-9397-08002B2CF9AE}" pid="20" name="Mendeley Recent Style Id 9_1">
    <vt:lpwstr>http://www.zotero.org/styles/planta-medica</vt:lpwstr>
  </property>
  <property fmtid="{D5CDD505-2E9C-101B-9397-08002B2CF9AE}" pid="21" name="Mendeley Recent Style Name 9_1">
    <vt:lpwstr>Planta Medica</vt:lpwstr>
  </property>
  <property fmtid="{D5CDD505-2E9C-101B-9397-08002B2CF9AE}" pid="22" name="Mendeley Document_1">
    <vt:lpwstr>True</vt:lpwstr>
  </property>
  <property fmtid="{D5CDD505-2E9C-101B-9397-08002B2CF9AE}" pid="23" name="Mendeley Unique User Id_1">
    <vt:lpwstr>aef9c2b0-486d-3160-ab75-152d90548a74</vt:lpwstr>
  </property>
  <property fmtid="{D5CDD505-2E9C-101B-9397-08002B2CF9AE}" pid="24" name="Mendeley Citation Style_1">
    <vt:lpwstr>http://www.zotero.org/styles/nutrition-and-metabolism</vt:lpwstr>
  </property>
</Properties>
</file>