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FB4A91" w14:textId="57ADBE22" w:rsidR="0090565B" w:rsidRPr="007E0429" w:rsidRDefault="00B331E0" w:rsidP="00AE37FF">
      <w:pPr>
        <w:spacing w:line="480" w:lineRule="auto"/>
        <w:jc w:val="both"/>
        <w:rPr>
          <w:i/>
          <w:iCs/>
          <w:sz w:val="24"/>
          <w:szCs w:val="24"/>
        </w:rPr>
      </w:pPr>
      <w:r w:rsidRPr="007E0429">
        <w:rPr>
          <w:i/>
          <w:iCs/>
          <w:sz w:val="24"/>
          <w:szCs w:val="24"/>
        </w:rPr>
        <w:t xml:space="preserve">1.0 </w:t>
      </w:r>
      <w:r w:rsidR="005A4429" w:rsidRPr="007E0429">
        <w:rPr>
          <w:i/>
          <w:iCs/>
          <w:sz w:val="24"/>
          <w:szCs w:val="24"/>
        </w:rPr>
        <w:t>Catalyst Characterization</w:t>
      </w:r>
    </w:p>
    <w:p w14:paraId="528C2F6F" w14:textId="2553C057" w:rsidR="00CE16FC" w:rsidRPr="00CE16FC" w:rsidRDefault="00CE16FC" w:rsidP="00AE37FF">
      <w:pPr>
        <w:spacing w:line="480" w:lineRule="auto"/>
        <w:jc w:val="both"/>
        <w:rPr>
          <w:sz w:val="24"/>
          <w:szCs w:val="24"/>
          <w:lang w:val="en-MY"/>
        </w:rPr>
      </w:pPr>
      <w:r w:rsidRPr="00CE16FC">
        <w:rPr>
          <w:sz w:val="24"/>
          <w:szCs w:val="24"/>
          <w:lang w:val="en-MY"/>
        </w:rPr>
        <w:t>The detailed analysis of the catalyst was conducted through a combination of sophisticated analytical methods to thoroughly assess its structural, thermal, surface, and chemical properties. The analysis involved X-ray diffraction (XRD) using a Shimadzu XRD-6000 diffractometer, which scanned at a rate of 4°/min across a 2θ range from 5° to 80°. The resulting diffractograms were then compared with files from the International Centre for Diffraction Data (ICDD) to determine the crystalline phases present in the synthesi</w:t>
      </w:r>
      <w:r w:rsidR="0070165B">
        <w:rPr>
          <w:sz w:val="24"/>
          <w:szCs w:val="24"/>
          <w:lang w:val="en-MY"/>
        </w:rPr>
        <w:t>z</w:t>
      </w:r>
      <w:r w:rsidRPr="00CE16FC">
        <w:rPr>
          <w:sz w:val="24"/>
          <w:szCs w:val="24"/>
          <w:lang w:val="en-MY"/>
        </w:rPr>
        <w:t>ed catalyst</w:t>
      </w:r>
      <w:r w:rsidR="00B278F6">
        <w:rPr>
          <w:sz w:val="24"/>
          <w:szCs w:val="24"/>
          <w:lang w:val="en-MY"/>
        </w:rPr>
        <w:t xml:space="preserve"> </w:t>
      </w:r>
      <w:r w:rsidR="00B278F6">
        <w:rPr>
          <w:sz w:val="24"/>
          <w:szCs w:val="24"/>
          <w:lang w:val="en-MY"/>
        </w:rPr>
        <w:fldChar w:fldCharType="begin" w:fldLock="1"/>
      </w:r>
      <w:r w:rsidR="00B278F6">
        <w:rPr>
          <w:sz w:val="24"/>
          <w:szCs w:val="24"/>
          <w:lang w:val="en-MY"/>
        </w:rPr>
        <w:instrText>ADDIN CSL_CITATION {"citationItems":[{"id":"ITEM-1","itemData":{"DOI":"10.1039/d2ra00853j","ISSN":"20462069","abstract":"Concerns over global greenhouse gas emissions such as COx and NOx as well as the depletion of petroleum fossil resources have motivated humankind to seek an alternative energy source known as green diesel. In this study, green diesel was produced via a deoxygenation (DO) reaction of ceiba oil under a H2-free atmosphere over Ni modified red mud-based catalysts, which have been synthesized via a precipitation - deep-deposition assisted autoclave method. The obtained catalyst was further characterized by XRF, XRD, BET, FTIR, TPD-NH3, FESEM, and TGA. Based on the catalytic activity test, all Ni/RMOx catalysts facilitated greater DO activity by yielding 83-86% hydrocarbon yield and 70-85% saturated diesel n-(C15 + C17) selectivity. Ni/RMO3 was the best catalyst for deoxygenizing the ceiba oil owing to the existence of a high acidic strength (12717.3 μmol g−1) and synergistic interaction between Fe-O and Ni-O species, thereby producing the highest hydrocarbon yield (86%) and n-(C15 + C17) selectivity (85%). According to the reusability study, the Ni/RMO3 could be reused for up to six consecutive runs with hydrocarbon yields ranging from 53% to 83% and n-(C15 + C17) selectivity ranging from 62% to 83%.","author":[{"dropping-particle":"","family":"Adzahar","given":"Nur Athirah","non-dropping-particle":"","parse-names":false,"suffix":""},{"dropping-particle":"","family":"Asikin-Mijan","given":"N.","non-dropping-particle":"","parse-names":false,"suffix":""},{"dropping-particle":"","family":"Saiman","given":"Mohd Izham","non-dropping-particle":"","parse-names":false,"suffix":""},{"dropping-particle":"","family":"Alsultan","given":"G. Abdulkareem","non-dropping-particle":"","parse-names":false,"suffix":""},{"dropping-particle":"","family":"Mastuli","given":"M. S.","non-dropping-particle":"","parse-names":false,"suffix":""},{"dropping-particle":"","family":"Shamsuddin","given":"Mohd Razali","non-dropping-particle":"","parse-names":false,"suffix":""},{"dropping-particle":"","family":"Taufiq-Yap","given":"Y. H.","non-dropping-particle":"","parse-names":false,"suffix":""}],"container-title":"RSC Advances","id":"ITEM-1","issue":"26","issued":{"date-parts":[["2022"]]},"page":"16903-16917","title":"Chemoselective decarboxylation of ceiba oil to diesel-range alkanes over a red mud based catalyst under H2-free conditions","type":"article-journal","volume":"12"},"uris":["http://www.mendeley.com/documents/?uuid=f0b6b2f9-088d-400e-b2b2-1859372aa36e"]}],"mendeley":{"formattedCitation":"(Adzahar et al., 2022)","plainTextFormattedCitation":"(Adzahar et al., 2022)","previouslyFormattedCitation":"(Adzahar et al., 2022)"},"properties":{"noteIndex":0},"schema":"https://github.com/citation-style-language/schema/raw/master/csl-citation.json"}</w:instrText>
      </w:r>
      <w:r w:rsidR="00B278F6">
        <w:rPr>
          <w:sz w:val="24"/>
          <w:szCs w:val="24"/>
          <w:lang w:val="en-MY"/>
        </w:rPr>
        <w:fldChar w:fldCharType="separate"/>
      </w:r>
      <w:r w:rsidR="00B278F6" w:rsidRPr="00B278F6">
        <w:rPr>
          <w:noProof/>
          <w:sz w:val="24"/>
          <w:szCs w:val="24"/>
          <w:lang w:val="en-MY"/>
        </w:rPr>
        <w:t>(Adzahar et al., 2022)</w:t>
      </w:r>
      <w:r w:rsidR="00B278F6">
        <w:rPr>
          <w:sz w:val="24"/>
          <w:szCs w:val="24"/>
          <w:lang w:val="en-MY"/>
        </w:rPr>
        <w:fldChar w:fldCharType="end"/>
      </w:r>
      <w:r w:rsidRPr="00CE16FC">
        <w:rPr>
          <w:sz w:val="24"/>
          <w:szCs w:val="24"/>
          <w:lang w:val="en-MY"/>
        </w:rPr>
        <w:t>. Thermogravimetric analysis (TGA) was performed utili</w:t>
      </w:r>
      <w:r w:rsidR="0070165B">
        <w:rPr>
          <w:sz w:val="24"/>
          <w:szCs w:val="24"/>
          <w:lang w:val="en-MY"/>
        </w:rPr>
        <w:t>z</w:t>
      </w:r>
      <w:r w:rsidRPr="00CE16FC">
        <w:rPr>
          <w:sz w:val="24"/>
          <w:szCs w:val="24"/>
          <w:lang w:val="en-MY"/>
        </w:rPr>
        <w:t>ing a TGA 1000i instrument in an inert nitrogen atmosphere, with the catalyst being heated from 25</w:t>
      </w:r>
      <w:r w:rsidR="008C6580">
        <w:rPr>
          <w:sz w:val="24"/>
          <w:szCs w:val="24"/>
          <w:lang w:val="en-MY"/>
        </w:rPr>
        <w:t xml:space="preserve"> </w:t>
      </w:r>
      <w:r w:rsidRPr="00CE16FC">
        <w:rPr>
          <w:sz w:val="24"/>
          <w:szCs w:val="24"/>
          <w:lang w:val="en-MY"/>
        </w:rPr>
        <w:t>°C to 900</w:t>
      </w:r>
      <w:r w:rsidR="008C6580">
        <w:rPr>
          <w:sz w:val="24"/>
          <w:szCs w:val="24"/>
          <w:lang w:val="en-MY"/>
        </w:rPr>
        <w:t xml:space="preserve"> </w:t>
      </w:r>
      <w:r w:rsidRPr="00CE16FC">
        <w:rPr>
          <w:sz w:val="24"/>
          <w:szCs w:val="24"/>
          <w:lang w:val="en-MY"/>
        </w:rPr>
        <w:t>°C at a rate of 30</w:t>
      </w:r>
      <w:r w:rsidR="008C6580">
        <w:rPr>
          <w:sz w:val="24"/>
          <w:szCs w:val="24"/>
          <w:lang w:val="en-MY"/>
        </w:rPr>
        <w:t xml:space="preserve"> </w:t>
      </w:r>
      <w:r w:rsidRPr="00CE16FC">
        <w:rPr>
          <w:sz w:val="24"/>
          <w:szCs w:val="24"/>
          <w:lang w:val="en-MY"/>
        </w:rPr>
        <w:t>°C/min to evaluate its thermal stability and decomposition characteristics</w:t>
      </w:r>
      <w:r w:rsidR="00B278F6">
        <w:rPr>
          <w:sz w:val="24"/>
          <w:szCs w:val="24"/>
          <w:lang w:val="en-MY"/>
        </w:rPr>
        <w:t xml:space="preserve"> </w:t>
      </w:r>
      <w:r w:rsidR="00B278F6">
        <w:rPr>
          <w:sz w:val="24"/>
          <w:szCs w:val="24"/>
          <w:lang w:val="en-MY"/>
        </w:rPr>
        <w:fldChar w:fldCharType="begin" w:fldLock="1"/>
      </w:r>
      <w:r w:rsidR="00B278F6">
        <w:rPr>
          <w:sz w:val="24"/>
          <w:szCs w:val="24"/>
          <w:lang w:val="en-MY"/>
        </w:rPr>
        <w:instrText>ADDIN CSL_CITATION {"citationItems":[{"id":"ITEM-1","itemData":{"DOI":"10.1039/d2ra00853j","ISSN":"20462069","abstract":"Concerns over global greenhouse gas emissions such as COx and NOx as well as the depletion of petroleum fossil resources have motivated humankind to seek an alternative energy source known as green diesel. In this study, green diesel was produced via a deoxygenation (DO) reaction of ceiba oil under a H2-free atmosphere over Ni modified red mud-based catalysts, which have been synthesized via a precipitation - deep-deposition assisted autoclave method. The obtained catalyst was further characterized by XRF, XRD, BET, FTIR, TPD-NH3, FESEM, and TGA. Based on the catalytic activity test, all Ni/RMOx catalysts facilitated greater DO activity by yielding 83-86% hydrocarbon yield and 70-85% saturated diesel n-(C15 + C17) selectivity. Ni/RMO3 was the best catalyst for deoxygenizing the ceiba oil owing to the existence of a high acidic strength (12717.3 μmol g−1) and synergistic interaction between Fe-O and Ni-O species, thereby producing the highest hydrocarbon yield (86%) and n-(C15 + C17) selectivity (85%). According to the reusability study, the Ni/RMO3 could be reused for up to six consecutive runs with hydrocarbon yields ranging from 53% to 83% and n-(C15 + C17) selectivity ranging from 62% to 83%.","author":[{"dropping-particle":"","family":"Adzahar","given":"Nur Athirah","non-dropping-particle":"","parse-names":false,"suffix":""},{"dropping-particle":"","family":"Asikin-Mijan","given":"N.","non-dropping-particle":"","parse-names":false,"suffix":""},{"dropping-particle":"","family":"Saiman","given":"Mohd Izham","non-dropping-particle":"","parse-names":false,"suffix":""},{"dropping-particle":"","family":"Alsultan","given":"G. Abdulkareem","non-dropping-particle":"","parse-names":false,"suffix":""},{"dropping-particle":"","family":"Mastuli","given":"M. S.","non-dropping-particle":"","parse-names":false,"suffix":""},{"dropping-particle":"","family":"Shamsuddin","given":"Mohd Razali","non-dropping-particle":"","parse-names":false,"suffix":""},{"dropping-particle":"","family":"Taufiq-Yap","given":"Y. H.","non-dropping-particle":"","parse-names":false,"suffix":""}],"container-title":"RSC Advances","id":"ITEM-1","issue":"26","issued":{"date-parts":[["2022"]]},"page":"16903-16917","title":"Chemoselective decarboxylation of ceiba oil to diesel-range alkanes over a red mud based catalyst under H2-free conditions","type":"article-journal","volume":"12"},"uris":["http://www.mendeley.com/documents/?uuid=f0b6b2f9-088d-400e-b2b2-1859372aa36e"]}],"mendeley":{"formattedCitation":"(Adzahar et al., 2022)","plainTextFormattedCitation":"(Adzahar et al., 2022)","previouslyFormattedCitation":"(Adzahar et al., 2022)"},"properties":{"noteIndex":0},"schema":"https://github.com/citation-style-language/schema/raw/master/csl-citation.json"}</w:instrText>
      </w:r>
      <w:r w:rsidR="00B278F6">
        <w:rPr>
          <w:sz w:val="24"/>
          <w:szCs w:val="24"/>
          <w:lang w:val="en-MY"/>
        </w:rPr>
        <w:fldChar w:fldCharType="separate"/>
      </w:r>
      <w:r w:rsidR="00B278F6" w:rsidRPr="00B278F6">
        <w:rPr>
          <w:noProof/>
          <w:sz w:val="24"/>
          <w:szCs w:val="24"/>
          <w:lang w:val="en-MY"/>
        </w:rPr>
        <w:t>(Adzahar et al., 2022)</w:t>
      </w:r>
      <w:r w:rsidR="00B278F6">
        <w:rPr>
          <w:sz w:val="24"/>
          <w:szCs w:val="24"/>
          <w:lang w:val="en-MY"/>
        </w:rPr>
        <w:fldChar w:fldCharType="end"/>
      </w:r>
      <w:r w:rsidRPr="00CE16FC">
        <w:rPr>
          <w:sz w:val="24"/>
          <w:szCs w:val="24"/>
          <w:lang w:val="en-MY"/>
        </w:rPr>
        <w:t xml:space="preserve">. The catalyst's specific surface area and porosity were assessed through </w:t>
      </w:r>
      <w:proofErr w:type="spellStart"/>
      <w:r w:rsidRPr="00CE16FC">
        <w:rPr>
          <w:sz w:val="24"/>
          <w:szCs w:val="24"/>
          <w:lang w:val="en-MY"/>
        </w:rPr>
        <w:t>Brunauer</w:t>
      </w:r>
      <w:proofErr w:type="spellEnd"/>
      <w:r w:rsidRPr="00CE16FC">
        <w:rPr>
          <w:sz w:val="24"/>
          <w:szCs w:val="24"/>
          <w:lang w:val="en-MY"/>
        </w:rPr>
        <w:t>-Emmett-Teller (BET) and Barrett-Joyner-</w:t>
      </w:r>
      <w:proofErr w:type="spellStart"/>
      <w:r w:rsidRPr="00CE16FC">
        <w:rPr>
          <w:sz w:val="24"/>
          <w:szCs w:val="24"/>
          <w:lang w:val="en-MY"/>
        </w:rPr>
        <w:t>Halenda</w:t>
      </w:r>
      <w:proofErr w:type="spellEnd"/>
      <w:r w:rsidRPr="00CE16FC">
        <w:rPr>
          <w:sz w:val="24"/>
          <w:szCs w:val="24"/>
          <w:lang w:val="en-MY"/>
        </w:rPr>
        <w:t xml:space="preserve"> (BJH) methods utili</w:t>
      </w:r>
      <w:r w:rsidR="0070165B">
        <w:rPr>
          <w:sz w:val="24"/>
          <w:szCs w:val="24"/>
          <w:lang w:val="en-MY"/>
        </w:rPr>
        <w:t>z</w:t>
      </w:r>
      <w:r w:rsidRPr="00CE16FC">
        <w:rPr>
          <w:sz w:val="24"/>
          <w:szCs w:val="24"/>
          <w:lang w:val="en-MY"/>
        </w:rPr>
        <w:t xml:space="preserve">ing a Thermo-Finnigan </w:t>
      </w:r>
      <w:proofErr w:type="spellStart"/>
      <w:r w:rsidRPr="00CE16FC">
        <w:rPr>
          <w:sz w:val="24"/>
          <w:szCs w:val="24"/>
          <w:lang w:val="en-MY"/>
        </w:rPr>
        <w:t>Shopmatic</w:t>
      </w:r>
      <w:proofErr w:type="spellEnd"/>
      <w:r w:rsidRPr="00CE16FC">
        <w:rPr>
          <w:sz w:val="24"/>
          <w:szCs w:val="24"/>
          <w:lang w:val="en-MY"/>
        </w:rPr>
        <w:t xml:space="preserve"> 1990 N</w:t>
      </w:r>
      <w:r w:rsidRPr="00CE16FC">
        <w:rPr>
          <w:sz w:val="24"/>
          <w:szCs w:val="24"/>
          <w:vertAlign w:val="subscript"/>
          <w:lang w:val="en-MY"/>
        </w:rPr>
        <w:t>2</w:t>
      </w:r>
      <w:r w:rsidRPr="00CE16FC">
        <w:rPr>
          <w:sz w:val="24"/>
          <w:szCs w:val="24"/>
          <w:lang w:val="en-MY"/>
        </w:rPr>
        <w:t xml:space="preserve"> sorption </w:t>
      </w:r>
      <w:proofErr w:type="spellStart"/>
      <w:r w:rsidRPr="00CE16FC">
        <w:rPr>
          <w:sz w:val="24"/>
          <w:szCs w:val="24"/>
          <w:lang w:val="en-MY"/>
        </w:rPr>
        <w:t>analy</w:t>
      </w:r>
      <w:r w:rsidR="00CA4154">
        <w:rPr>
          <w:sz w:val="24"/>
          <w:szCs w:val="24"/>
          <w:lang w:val="en-MY"/>
        </w:rPr>
        <w:t>z</w:t>
      </w:r>
      <w:r w:rsidRPr="00CE16FC">
        <w:rPr>
          <w:sz w:val="24"/>
          <w:szCs w:val="24"/>
          <w:lang w:val="en-MY"/>
        </w:rPr>
        <w:t>er</w:t>
      </w:r>
      <w:proofErr w:type="spellEnd"/>
      <w:r w:rsidRPr="00CE16FC">
        <w:rPr>
          <w:sz w:val="24"/>
          <w:szCs w:val="24"/>
          <w:lang w:val="en-MY"/>
        </w:rPr>
        <w:t>. Before analysis, samples underwent degassing at 150</w:t>
      </w:r>
      <w:r w:rsidR="008C6580">
        <w:rPr>
          <w:sz w:val="24"/>
          <w:szCs w:val="24"/>
          <w:lang w:val="en-MY"/>
        </w:rPr>
        <w:t xml:space="preserve"> </w:t>
      </w:r>
      <w:r w:rsidRPr="00CE16FC">
        <w:rPr>
          <w:sz w:val="24"/>
          <w:szCs w:val="24"/>
          <w:lang w:val="en-MY"/>
        </w:rPr>
        <w:t>°C for 12 hours to eliminate moisture and contaminants, followed by nitrogen adsorption-desorption at</w:t>
      </w:r>
      <w:r w:rsidR="00B278F6">
        <w:rPr>
          <w:sz w:val="24"/>
          <w:szCs w:val="24"/>
          <w:lang w:val="en-MY"/>
        </w:rPr>
        <w:t xml:space="preserve"> </w:t>
      </w:r>
      <w:r w:rsidRPr="00CE16FC">
        <w:rPr>
          <w:sz w:val="24"/>
          <w:szCs w:val="24"/>
          <w:lang w:val="en-MY"/>
        </w:rPr>
        <w:t>−196</w:t>
      </w:r>
      <w:r w:rsidR="008C6580">
        <w:rPr>
          <w:sz w:val="24"/>
          <w:szCs w:val="24"/>
          <w:lang w:val="en-MY"/>
        </w:rPr>
        <w:t xml:space="preserve"> </w:t>
      </w:r>
      <w:r w:rsidRPr="00CE16FC">
        <w:rPr>
          <w:sz w:val="24"/>
          <w:szCs w:val="24"/>
          <w:lang w:val="en-MY"/>
        </w:rPr>
        <w:t>°C to evaluate surface characteristics essential for catalytic activity</w:t>
      </w:r>
      <w:r w:rsidR="00B278F6">
        <w:rPr>
          <w:sz w:val="24"/>
          <w:szCs w:val="24"/>
          <w:lang w:val="en-MY"/>
        </w:rPr>
        <w:t xml:space="preserve"> </w:t>
      </w:r>
      <w:r w:rsidR="00B278F6">
        <w:rPr>
          <w:sz w:val="24"/>
          <w:szCs w:val="24"/>
          <w:lang w:val="en-MY"/>
        </w:rPr>
        <w:fldChar w:fldCharType="begin" w:fldLock="1"/>
      </w:r>
      <w:r w:rsidR="00B278F6">
        <w:rPr>
          <w:sz w:val="24"/>
          <w:szCs w:val="24"/>
          <w:lang w:val="en-MY"/>
        </w:rPr>
        <w:instrText>ADDIN CSL_CITATION {"citationItems":[{"id":"ITEM-1","itemData":{"DOI":"10.1016/j.energy.2024.133957","ISSN":"18736785","abstract":"Bimetallic nickel-cobalt supported magnetite catalyst has been synthesized using varies techniques such as hydrothermal reactor (R), wet-impregnation (W) and co-precipitation (C) approaches in order to study the effect of preparation methods on the catalytic efficiency of NiCo/Fe3O4 catalyst in transforming the PKO into bio-jet fuel via deoxygenation (DO) reaction. Noted, co-precipitation method rendered greater changes on textural morphological changes, with NiCo/Fe3O4 (C) specific surface area were 157 m2/g followed by Fe3O4 (25 m2/g), NiCo/Fe3O4 (W) (7 m2/g) and NiCo/Fe3O4 (R) (2 m2/g), respectively. Indeed, NiCo/Fe3O4 (C) showed highest weak + strong acidic sites (15,038.1 μmol/g). The efficiency of the DO followed NiCo/Fe3O4 (C) &gt; NiCo/Fe3O4 (W) &gt; NiCo/Fe3O4 (R) &gt; Fe3O4, whereby the highest hydrocarbon yield was 90 % and 21 % is the lowest. Noteworthy to mention, all of the liquid product exhibited selectivity of over 90 % towards the kerosene range. The deoxygenation reaction was optimized using the most effective catalyst, NiCo/Fe3O4 (C) catalyst, through the OVAT technique. The results showed that the optimal conditions were achieved at a temperature of 350 °C within 3 h by using 5 wt% of catalyst loading. The reusability and stability of the NiCo/Fe3O4 (C) catalyst were examined, revealing that the catalyst may be reused for up to 8 runs. During these runs, the catalyst achieved a hydrocarbon yield of up to 55 % and a BJF selectivity of over 95 %. The decrease in the yield and selectivity was attributed to coking, specifically in the form of graphitic carbon.","author":[{"dropping-particle":"","family":"Adzahar","given":"Nur Athirah","non-dropping-particle":"","parse-names":false,"suffix":""},{"dropping-particle":"","family":"AbdulKareem-Alsultan","given":"G.","non-dropping-particle":"","parse-names":false,"suffix":""},{"dropping-particle":"","family":"Mijan","given":"N. Asikin","non-dropping-particle":"","parse-names":false,"suffix":""},{"dropping-particle":"","family":"Mastuli","given":"M. S.","non-dropping-particle":"","parse-names":false,"suffix":""},{"dropping-particle":"V.","family":"Lee","given":"H.","non-dropping-particle":"","parse-names":false,"suffix":""},{"dropping-particle":"","family":"Taufiq-Yap","given":"Y. H.","non-dropping-particle":"","parse-names":false,"suffix":""}],"container-title":"Energy","id":"ITEM-1","issue":"June 2024","issued":{"date-parts":[["2025"]]},"page":"133957","publisher":"Elsevier Ltd","title":"Effect of catalyst synthesis of bimetallic nickel-cobalt supported iron-based catalysts on converting palm kernel oil into bio-jet fuel via deoxygenation reaction","type":"article-journal","volume":"314"},"uris":["http://www.mendeley.com/documents/?uuid=b223f411-b1b3-4bbd-be97-6269ccf582ff"]}],"mendeley":{"formattedCitation":"(Adzahar et al., 2025)","plainTextFormattedCitation":"(Adzahar et al., 2025)","previouslyFormattedCitation":"(Adzahar et al., 2025)"},"properties":{"noteIndex":0},"schema":"https://github.com/citation-style-language/schema/raw/master/csl-citation.json"}</w:instrText>
      </w:r>
      <w:r w:rsidR="00B278F6">
        <w:rPr>
          <w:sz w:val="24"/>
          <w:szCs w:val="24"/>
          <w:lang w:val="en-MY"/>
        </w:rPr>
        <w:fldChar w:fldCharType="separate"/>
      </w:r>
      <w:r w:rsidR="00B278F6" w:rsidRPr="00B278F6">
        <w:rPr>
          <w:noProof/>
          <w:sz w:val="24"/>
          <w:szCs w:val="24"/>
          <w:lang w:val="en-MY"/>
        </w:rPr>
        <w:t>(Adzahar et al., 2025)</w:t>
      </w:r>
      <w:r w:rsidR="00B278F6">
        <w:rPr>
          <w:sz w:val="24"/>
          <w:szCs w:val="24"/>
          <w:lang w:val="en-MY"/>
        </w:rPr>
        <w:fldChar w:fldCharType="end"/>
      </w:r>
      <w:r w:rsidRPr="00CE16FC">
        <w:rPr>
          <w:sz w:val="24"/>
          <w:szCs w:val="24"/>
          <w:lang w:val="en-MY"/>
        </w:rPr>
        <w:t>. Furthermore, the acidity of the catalyst were examined through temperature-programmed desorption of ammonia (TPD-NH</w:t>
      </w:r>
      <w:r w:rsidRPr="00CE16FC">
        <w:rPr>
          <w:sz w:val="24"/>
          <w:szCs w:val="24"/>
          <w:vertAlign w:val="subscript"/>
          <w:lang w:val="en-MY"/>
        </w:rPr>
        <w:t>3</w:t>
      </w:r>
      <w:r w:rsidRPr="00CE16FC">
        <w:rPr>
          <w:sz w:val="24"/>
          <w:szCs w:val="24"/>
          <w:lang w:val="en-MY"/>
        </w:rPr>
        <w:t>) utili</w:t>
      </w:r>
      <w:r w:rsidR="00CA4154">
        <w:rPr>
          <w:sz w:val="24"/>
          <w:szCs w:val="24"/>
          <w:lang w:val="en-MY"/>
        </w:rPr>
        <w:t>z</w:t>
      </w:r>
      <w:r w:rsidRPr="00CE16FC">
        <w:rPr>
          <w:sz w:val="24"/>
          <w:szCs w:val="24"/>
          <w:lang w:val="en-MY"/>
        </w:rPr>
        <w:t xml:space="preserve">ing a Thermo-Finnigan TPDRO </w:t>
      </w:r>
      <w:proofErr w:type="spellStart"/>
      <w:r w:rsidRPr="00CE16FC">
        <w:rPr>
          <w:sz w:val="24"/>
          <w:szCs w:val="24"/>
          <w:lang w:val="en-MY"/>
        </w:rPr>
        <w:t>analy</w:t>
      </w:r>
      <w:r w:rsidR="00CA4154">
        <w:rPr>
          <w:sz w:val="24"/>
          <w:szCs w:val="24"/>
          <w:lang w:val="en-MY"/>
        </w:rPr>
        <w:t>z</w:t>
      </w:r>
      <w:r w:rsidRPr="00CE16FC">
        <w:rPr>
          <w:sz w:val="24"/>
          <w:szCs w:val="24"/>
          <w:lang w:val="en-MY"/>
        </w:rPr>
        <w:t>er</w:t>
      </w:r>
      <w:proofErr w:type="spellEnd"/>
      <w:r w:rsidRPr="00CE16FC">
        <w:rPr>
          <w:sz w:val="24"/>
          <w:szCs w:val="24"/>
          <w:lang w:val="en-MY"/>
        </w:rPr>
        <w:t xml:space="preserve"> that is outfitted with a thermal conductivity detector (TCD). About 0.05 g of catalyst underwent a pre-treatment at 150°C in a nitrogen atmosphere to remove moisture. It was then exposed to NH</w:t>
      </w:r>
      <w:r w:rsidRPr="00CE16FC">
        <w:rPr>
          <w:sz w:val="24"/>
          <w:szCs w:val="24"/>
          <w:vertAlign w:val="subscript"/>
          <w:lang w:val="en-MY"/>
        </w:rPr>
        <w:t>3</w:t>
      </w:r>
      <w:r w:rsidRPr="00CE16FC">
        <w:rPr>
          <w:sz w:val="24"/>
          <w:szCs w:val="24"/>
          <w:lang w:val="en-MY"/>
        </w:rPr>
        <w:t xml:space="preserve"> for one hour at room temperature, followed by a nitrogen purge</w:t>
      </w:r>
      <w:r w:rsidR="00B278F6">
        <w:rPr>
          <w:sz w:val="24"/>
          <w:szCs w:val="24"/>
          <w:lang w:val="en-MY"/>
        </w:rPr>
        <w:t xml:space="preserve"> </w:t>
      </w:r>
      <w:r w:rsidR="00B278F6">
        <w:rPr>
          <w:sz w:val="24"/>
          <w:szCs w:val="24"/>
          <w:lang w:val="en-MY"/>
        </w:rPr>
        <w:fldChar w:fldCharType="begin" w:fldLock="1"/>
      </w:r>
      <w:r w:rsidR="007A2C84">
        <w:rPr>
          <w:sz w:val="24"/>
          <w:szCs w:val="24"/>
          <w:lang w:val="en-MY"/>
        </w:rPr>
        <w:instrText>ADDIN CSL_CITATION {"citationItems":[{"id":"ITEM-1","itemData":{"DOI":"10.1016/j.energy.2024.133957","ISSN":"18736785","abstract":"Bimetallic nickel-cobalt supported magnetite catalyst has been synthesized using varies techniques such as hydrothermal reactor (R), wet-impregnation (W) and co-precipitation (C) approaches in order to study the effect of preparation methods on the catalytic efficiency of NiCo/Fe3O4 catalyst in transforming the PKO into bio-jet fuel via deoxygenation (DO) reaction. Noted, co-precipitation method rendered greater changes on textural morphological changes, with NiCo/Fe3O4 (C) specific surface area were 157 m2/g followed by Fe3O4 (25 m2/g), NiCo/Fe3O4 (W) (7 m2/g) and NiCo/Fe3O4 (R) (2 m2/g), respectively. Indeed, NiCo/Fe3O4 (C) showed highest weak + strong acidic sites (15,038.1 μmol/g). The efficiency of the DO followed NiCo/Fe3O4 (C) &gt; NiCo/Fe3O4 (W) &gt; NiCo/Fe3O4 (R) &gt; Fe3O4, whereby the highest hydrocarbon yield was 90 % and 21 % is the lowest. Noteworthy to mention, all of the liquid product exhibited selectivity of over 90 % towards the kerosene range. The deoxygenation reaction was optimized using the most effective catalyst, NiCo/Fe3O4 (C) catalyst, through the OVAT technique. The results showed that the optimal conditions were achieved at a temperature of 350 °C within 3 h by using 5 wt% of catalyst loading. The reusability and stability of the NiCo/Fe3O4 (C) catalyst were examined, revealing that the catalyst may be reused for up to 8 runs. During these runs, the catalyst achieved a hydrocarbon yield of up to 55 % and a BJF selectivity of over 95 %. The decrease in the yield and selectivity was attributed to coking, specifically in the form of graphitic carbon.","author":[{"dropping-particle":"","family":"Adzahar","given":"Nur Athirah","non-dropping-particle":"","parse-names":false,"suffix":""},{"dropping-particle":"","family":"AbdulKareem-Alsultan","given":"G.","non-dropping-particle":"","parse-names":false,"suffix":""},{"dropping-particle":"","family":"Mijan","given":"N. Asikin","non-dropping-particle":"","parse-names":false,"suffix":""},{"dropping-particle":"","family":"Mastuli","given":"M. S.","non-dropping-particle":"","parse-names":false,"suffix":""},{"dropping-particle":"V.","family":"Lee","given":"H.","non-dropping-particle":"","parse-names":false,"suffix":""},{"dropping-particle":"","family":"Taufiq-Yap","given":"Y. H.","non-dropping-particle":"","parse-names":false,"suffix":""}],"container-title":"Energy","id":"ITEM-1","issue":"June 2024","issued":{"date-parts":[["2025"]]},"page":"133957","publisher":"Elsevier Ltd","title":"Effect of catalyst synthesis of bimetallic nickel-cobalt supported iron-based catalysts on converting palm kernel oil into bio-jet fuel via deoxygenation reaction","type":"article-journal","volume":"314"},"uris":["http://www.mendeley.com/documents/?uuid=b223f411-b1b3-4bbd-be97-6269ccf582ff"]}],"mendeley":{"formattedCitation":"(Adzahar et al., 2025)","plainTextFormattedCitation":"(Adzahar et al., 2025)","previouslyFormattedCitation":"(Adzahar et al., 2025)"},"properties":{"noteIndex":0},"schema":"https://github.com/citation-style-language/schema/raw/master/csl-citation.json"}</w:instrText>
      </w:r>
      <w:r w:rsidR="00B278F6">
        <w:rPr>
          <w:sz w:val="24"/>
          <w:szCs w:val="24"/>
          <w:lang w:val="en-MY"/>
        </w:rPr>
        <w:fldChar w:fldCharType="separate"/>
      </w:r>
      <w:r w:rsidR="00B278F6" w:rsidRPr="00B278F6">
        <w:rPr>
          <w:noProof/>
          <w:sz w:val="24"/>
          <w:szCs w:val="24"/>
          <w:lang w:val="en-MY"/>
        </w:rPr>
        <w:t>(Adzahar et al., 2025)</w:t>
      </w:r>
      <w:r w:rsidR="00B278F6">
        <w:rPr>
          <w:sz w:val="24"/>
          <w:szCs w:val="24"/>
          <w:lang w:val="en-MY"/>
        </w:rPr>
        <w:fldChar w:fldCharType="end"/>
      </w:r>
      <w:r w:rsidRPr="00CE16FC">
        <w:rPr>
          <w:sz w:val="24"/>
          <w:szCs w:val="24"/>
          <w:lang w:val="en-MY"/>
        </w:rPr>
        <w:t>. Subsequently, the temperature was increased from 50°C to 900°C under helium flow to observe NH</w:t>
      </w:r>
      <w:r w:rsidRPr="00CE16FC">
        <w:rPr>
          <w:sz w:val="24"/>
          <w:szCs w:val="24"/>
          <w:vertAlign w:val="subscript"/>
          <w:lang w:val="en-MY"/>
        </w:rPr>
        <w:t>3</w:t>
      </w:r>
      <w:r w:rsidRPr="00CE16FC">
        <w:rPr>
          <w:sz w:val="24"/>
          <w:szCs w:val="24"/>
          <w:lang w:val="en-MY"/>
        </w:rPr>
        <w:t xml:space="preserve"> desorption, indicating the strength and quantity of acidic sites present on the catalyst surface. The combination of these characterisation techniques </w:t>
      </w:r>
      <w:r w:rsidRPr="00CE16FC">
        <w:rPr>
          <w:sz w:val="24"/>
          <w:szCs w:val="24"/>
          <w:lang w:val="en-MY"/>
        </w:rPr>
        <w:lastRenderedPageBreak/>
        <w:t>offers a comprehensive insight into the catalyst’s crystalline structure, thermal stability, surface morphology, and acid characteristics, all of which are crucial for enhancing its efficacy in catalytic applications.</w:t>
      </w:r>
    </w:p>
    <w:p w14:paraId="1037A513" w14:textId="3080A6CF" w:rsidR="009D1DC5" w:rsidRDefault="009D1DC5" w:rsidP="00AE37FF">
      <w:pPr>
        <w:spacing w:line="480" w:lineRule="auto"/>
        <w:jc w:val="both"/>
        <w:rPr>
          <w:sz w:val="24"/>
          <w:szCs w:val="24"/>
        </w:rPr>
      </w:pPr>
      <w:r w:rsidRPr="009D1DC5">
        <w:rPr>
          <w:sz w:val="24"/>
          <w:szCs w:val="24"/>
        </w:rPr>
        <w:t> </w:t>
      </w:r>
    </w:p>
    <w:p w14:paraId="5D32BFD3" w14:textId="269BDC94" w:rsidR="001975AD" w:rsidRPr="001975AD" w:rsidRDefault="001975AD" w:rsidP="00AE37FF">
      <w:pPr>
        <w:spacing w:line="480" w:lineRule="auto"/>
        <w:jc w:val="both"/>
        <w:rPr>
          <w:i/>
          <w:iCs/>
          <w:sz w:val="24"/>
          <w:szCs w:val="24"/>
        </w:rPr>
      </w:pPr>
      <w:r w:rsidRPr="001975AD">
        <w:rPr>
          <w:i/>
          <w:iCs/>
          <w:sz w:val="24"/>
          <w:szCs w:val="24"/>
        </w:rPr>
        <w:t>2.</w:t>
      </w:r>
      <w:r w:rsidR="005E2F60">
        <w:rPr>
          <w:i/>
          <w:iCs/>
          <w:sz w:val="24"/>
          <w:szCs w:val="24"/>
        </w:rPr>
        <w:t>0</w:t>
      </w:r>
      <w:r w:rsidRPr="001975AD">
        <w:rPr>
          <w:i/>
          <w:iCs/>
          <w:sz w:val="24"/>
          <w:szCs w:val="24"/>
        </w:rPr>
        <w:t xml:space="preserve"> Feedstock Saponification</w:t>
      </w:r>
    </w:p>
    <w:p w14:paraId="7F27BBFF" w14:textId="30EF395A" w:rsidR="000C525C" w:rsidRDefault="000F1B33" w:rsidP="00AE37FF">
      <w:pPr>
        <w:spacing w:line="480" w:lineRule="auto"/>
        <w:jc w:val="both"/>
        <w:rPr>
          <w:sz w:val="24"/>
          <w:szCs w:val="24"/>
        </w:rPr>
      </w:pPr>
      <w:r w:rsidRPr="000F1B33">
        <w:rPr>
          <w:sz w:val="24"/>
          <w:szCs w:val="24"/>
        </w:rPr>
        <w:t>This study involved the precise weighing of 2.0 g of Palm Fatty Acid Distillate (PFAD), which was then placed in a round-bottom flask to ascertain its saponification value and molecular weight,</w:t>
      </w:r>
      <w:r w:rsidR="008354C9">
        <w:rPr>
          <w:sz w:val="24"/>
          <w:szCs w:val="24"/>
        </w:rPr>
        <w:t xml:space="preserve"> </w:t>
      </w:r>
      <w:r w:rsidRPr="000F1B33">
        <w:rPr>
          <w:sz w:val="24"/>
          <w:szCs w:val="24"/>
        </w:rPr>
        <w:t xml:space="preserve">essential parameters for evaluating feedstock quality and its appropriateness for biodiesel production. To commence the saponification process, 25 mL of 0.5 M ethanolic potassium hydroxide (KOH) solution was introduced into the flask. The mixture was refluxed at 65°C with continuous stirring for one hour to ensure complete reaction between the alkali and the triglycerides or free fatty acids in the PFAD. The controlled temperature during refluxing enhances the hydrolysis of ester bonds, transforming oil components into glycerol and soap, which is crucial for precise saponification measurement. Following the reflux period, the reaction mixture was allowed to cool to room temperature, and 10 drops of phenolphthalein indicator were introduced. Phenolphthalein functions as a pH indicator, exhibiting a pink </w:t>
      </w:r>
      <w:r w:rsidR="002D0D79" w:rsidRPr="000F1B33">
        <w:rPr>
          <w:sz w:val="24"/>
          <w:szCs w:val="24"/>
        </w:rPr>
        <w:t>color</w:t>
      </w:r>
      <w:r w:rsidRPr="000F1B33">
        <w:rPr>
          <w:sz w:val="24"/>
          <w:szCs w:val="24"/>
        </w:rPr>
        <w:t xml:space="preserve"> in basic solutions and remaining </w:t>
      </w:r>
      <w:r w:rsidR="002D0D79" w:rsidRPr="000F1B33">
        <w:rPr>
          <w:sz w:val="24"/>
          <w:szCs w:val="24"/>
        </w:rPr>
        <w:t>colorless</w:t>
      </w:r>
      <w:r w:rsidRPr="000F1B33">
        <w:rPr>
          <w:sz w:val="24"/>
          <w:szCs w:val="24"/>
        </w:rPr>
        <w:t xml:space="preserve"> in acidic environments, thereby facilitating accurate endpoint determination in titration processes.</w:t>
      </w:r>
      <w:r>
        <w:rPr>
          <w:sz w:val="24"/>
          <w:szCs w:val="24"/>
        </w:rPr>
        <w:t xml:space="preserve"> </w:t>
      </w:r>
      <w:r w:rsidRPr="000F1B33">
        <w:rPr>
          <w:sz w:val="24"/>
          <w:szCs w:val="24"/>
        </w:rPr>
        <w:t xml:space="preserve">The mixture was titrated with 0.5 M hydrochloric acid (HCl) until the disappearance of the pink </w:t>
      </w:r>
      <w:r w:rsidR="002D0D79" w:rsidRPr="000F1B33">
        <w:rPr>
          <w:sz w:val="24"/>
          <w:szCs w:val="24"/>
        </w:rPr>
        <w:t>color</w:t>
      </w:r>
      <w:r w:rsidRPr="000F1B33">
        <w:rPr>
          <w:sz w:val="24"/>
          <w:szCs w:val="24"/>
        </w:rPr>
        <w:t xml:space="preserve">, signifying the </w:t>
      </w:r>
      <w:r w:rsidR="002D0D79" w:rsidRPr="000F1B33">
        <w:rPr>
          <w:sz w:val="24"/>
          <w:szCs w:val="24"/>
        </w:rPr>
        <w:t>neutralization</w:t>
      </w:r>
      <w:r w:rsidRPr="000F1B33">
        <w:rPr>
          <w:sz w:val="24"/>
          <w:szCs w:val="24"/>
        </w:rPr>
        <w:t xml:space="preserve"> of the excess alkali</w:t>
      </w:r>
      <w:r w:rsidR="007A2C84">
        <w:rPr>
          <w:sz w:val="24"/>
          <w:szCs w:val="24"/>
        </w:rPr>
        <w:t xml:space="preserve"> </w:t>
      </w:r>
      <w:r w:rsidR="007A2C84">
        <w:rPr>
          <w:sz w:val="24"/>
          <w:szCs w:val="24"/>
        </w:rPr>
        <w:fldChar w:fldCharType="begin" w:fldLock="1"/>
      </w:r>
      <w:r w:rsidR="007A2C84">
        <w:rPr>
          <w:sz w:val="24"/>
          <w:szCs w:val="24"/>
        </w:rPr>
        <w:instrText>ADDIN CSL_CITATION {"citationItems":[{"id":"ITEM-1","itemData":{"DOI":"https://doi.org/10.1016/j.eti.2020.101296","ISSN":"2352-1864","abstract":"In this work, bifunctional magnetic nano-catalyst was successfully derived from rice husk char doped with potassium oxide and nickel oxide by impregnation techniques, and their catalytic ability was tested via transesterification of used cooking oil (UCO). The catalyst was characterized by thermogravimetric analyzer (TGA), X-ray diffraction spectroscopy (XRD), Fourier-transform infrared spectroscopy (FTIR), Temperature programmed desorption (TPD), Brunauer–Emmett–Teller (BET), Scanning electron microscopy equipped with energy dispersive x-ray analyzer (FESEM-EDX), and Vibrating sampling magnetometer (VSM) for magnetic properties. The optimized nanomagnetic bifunctional catalyst (RHC/K2O-20%/Ni-5%) had 3.014 mmol g−1&amp; 4.485 mmol g−1 of acidity and basicity, respectively, with the magnetic strength was recorded at 2.312 emu g−1. For the catalytic evaluation, a maximum biodiesel yield of 98.2% was accomplished with 4 wt% of catalyst loading, 12:1 methanol to UCO molar ratio at 65 °C within 2 h of reaction time. The catalyst was reused for up to 5 reaction cycles and producing 70% of biodiesel at the last cycles. The fuel properties of optimized biodiesel were measured using Biodiesel - American Standard Testing Method (ASTM) D6751. Due to the magnetic properties of the catalyst, it was easily recovered by an external magnetic device and has the potential to improve the separation and purification processes.","author":[{"dropping-particle":"","family":"Hazmi","given":"Balkis","non-dropping-particle":"","parse-names":false,"suffix":""},{"dropping-particle":"","family":"Rashid","given":"Umer","non-dropping-particle":"","parse-names":false,"suffix":""},{"dropping-particle":"","family":"Ibrahim","given":"Mohd Lokman","non-dropping-particle":"","parse-names":false,"suffix":""},{"dropping-particle":"","family":"Nehdi","given":"Imededdine Arbi","non-dropping-particle":"","parse-names":false,"suffix":""},{"dropping-particle":"","family":"Azam","given":"Mohammad","non-dropping-particle":"","parse-names":false,"suffix":""},{"dropping-particle":"","family":"Al-Resayes","given":"Saud Ibrahim","non-dropping-particle":"","parse-names":false,"suffix":""}],"container-title":"Environmental Technology &amp; Innovation","id":"ITEM-1","issued":{"date-parts":[["2021"]]},"page":"101296","title":"Synthesis and characterization of bifunctional magnetic nano-catalyst from rice husk for production of biodiesel","type":"article-journal","volume":"21"},"uris":["http://www.mendeley.com/documents/?uuid=827b6443-4f66-4faa-9142-ec612d3c73d2"]}],"mendeley":{"formattedCitation":"(Hazmi et al., 2021)","plainTextFormattedCitation":"(Hazmi et al., 2021)","previouslyFormattedCitation":"(Hazmi et al., 2021)"},"properties":{"noteIndex":0},"schema":"https://github.com/citation-style-language/schema/raw/master/csl-citation.json"}</w:instrText>
      </w:r>
      <w:r w:rsidR="007A2C84">
        <w:rPr>
          <w:sz w:val="24"/>
          <w:szCs w:val="24"/>
        </w:rPr>
        <w:fldChar w:fldCharType="separate"/>
      </w:r>
      <w:r w:rsidR="007A2C84" w:rsidRPr="007A2C84">
        <w:rPr>
          <w:noProof/>
          <w:sz w:val="24"/>
          <w:szCs w:val="24"/>
        </w:rPr>
        <w:t>(Hazmi et al., 2021)</w:t>
      </w:r>
      <w:r w:rsidR="007A2C84">
        <w:rPr>
          <w:sz w:val="24"/>
          <w:szCs w:val="24"/>
        </w:rPr>
        <w:fldChar w:fldCharType="end"/>
      </w:r>
      <w:r w:rsidRPr="000F1B33">
        <w:rPr>
          <w:sz w:val="24"/>
          <w:szCs w:val="24"/>
        </w:rPr>
        <w:t xml:space="preserve">. This titration step measures the quantity of KOH </w:t>
      </w:r>
      <w:r w:rsidR="002D0D79" w:rsidRPr="000F1B33">
        <w:rPr>
          <w:sz w:val="24"/>
          <w:szCs w:val="24"/>
        </w:rPr>
        <w:t>utilized</w:t>
      </w:r>
      <w:r w:rsidRPr="000F1B33">
        <w:rPr>
          <w:sz w:val="24"/>
          <w:szCs w:val="24"/>
        </w:rPr>
        <w:t xml:space="preserve"> in the saponification of the PFAD sample. The saponification value (SV) of PFAD was determined using the volume of HCl consumed during titration, as outlined in </w:t>
      </w:r>
      <w:r w:rsidRPr="000F1B33">
        <w:rPr>
          <w:b/>
          <w:bCs/>
          <w:sz w:val="24"/>
          <w:szCs w:val="24"/>
        </w:rPr>
        <w:t>equation (1)</w:t>
      </w:r>
      <w:r w:rsidRPr="000F1B33">
        <w:rPr>
          <w:sz w:val="24"/>
          <w:szCs w:val="24"/>
        </w:rPr>
        <w:t>.</w:t>
      </w:r>
      <w:r>
        <w:rPr>
          <w:sz w:val="24"/>
          <w:szCs w:val="24"/>
        </w:rPr>
        <w:t xml:space="preserve"> </w:t>
      </w:r>
      <w:r w:rsidRPr="000F1B33">
        <w:rPr>
          <w:sz w:val="24"/>
          <w:szCs w:val="24"/>
        </w:rPr>
        <w:t xml:space="preserve">The saponification value indicates the </w:t>
      </w:r>
      <w:r w:rsidR="00E24080">
        <w:rPr>
          <w:sz w:val="24"/>
          <w:szCs w:val="24"/>
        </w:rPr>
        <w:t>mg</w:t>
      </w:r>
      <w:r w:rsidRPr="000F1B33">
        <w:rPr>
          <w:sz w:val="24"/>
          <w:szCs w:val="24"/>
        </w:rPr>
        <w:t xml:space="preserve"> of KOH needed to saponify one gramme of oil, offering insights into the average molecular </w:t>
      </w:r>
      <w:r w:rsidRPr="000F1B33">
        <w:rPr>
          <w:sz w:val="24"/>
          <w:szCs w:val="24"/>
        </w:rPr>
        <w:lastRenderedPageBreak/>
        <w:t>weight of the fatty acids involved.</w:t>
      </w:r>
      <w:r>
        <w:rPr>
          <w:sz w:val="24"/>
          <w:szCs w:val="24"/>
        </w:rPr>
        <w:t xml:space="preserve"> </w:t>
      </w:r>
      <w:r w:rsidRPr="000F1B33">
        <w:rPr>
          <w:sz w:val="24"/>
          <w:szCs w:val="24"/>
        </w:rPr>
        <w:t xml:space="preserve">The molecular weight (MW) of PFAD was subsequently calculated from the saponification value using </w:t>
      </w:r>
      <w:r w:rsidRPr="000F1B33">
        <w:rPr>
          <w:b/>
          <w:bCs/>
          <w:sz w:val="24"/>
          <w:szCs w:val="24"/>
        </w:rPr>
        <w:t>equation (2)</w:t>
      </w:r>
      <w:r w:rsidRPr="000F1B33">
        <w:rPr>
          <w:sz w:val="24"/>
          <w:szCs w:val="24"/>
        </w:rPr>
        <w:t>, which establishes an inverse relationship between the saponification value and the average molecular weight of the oil components.</w:t>
      </w:r>
    </w:p>
    <w:p w14:paraId="27A8AF29" w14:textId="77777777" w:rsidR="000F1B33" w:rsidRDefault="000F1B33" w:rsidP="00AE37FF">
      <w:pPr>
        <w:spacing w:line="480" w:lineRule="auto"/>
        <w:jc w:val="both"/>
        <w:rPr>
          <w:sz w:val="24"/>
          <w:szCs w:val="24"/>
        </w:rPr>
      </w:pPr>
    </w:p>
    <w:p w14:paraId="38526067" w14:textId="77777777" w:rsidR="000C525C" w:rsidRDefault="000C525C" w:rsidP="00AE37FF">
      <w:pPr>
        <w:spacing w:line="480" w:lineRule="auto"/>
        <w:jc w:val="both"/>
        <w:rPr>
          <w:sz w:val="24"/>
          <w:szCs w:val="24"/>
        </w:rPr>
      </w:pPr>
      <w:r w:rsidRPr="00712294">
        <w:rPr>
          <w:sz w:val="24"/>
          <w:szCs w:val="24"/>
        </w:rPr>
        <w:t xml:space="preserve">Saponification value, </w:t>
      </w:r>
      <w:r w:rsidRPr="00712294">
        <w:rPr>
          <w:rFonts w:ascii="Cambria Math" w:hAnsi="Cambria Math" w:cs="Cambria Math"/>
          <w:sz w:val="24"/>
          <w:szCs w:val="24"/>
        </w:rPr>
        <w:t>𝑆𝑉</w:t>
      </w:r>
      <w:r w:rsidRPr="00712294">
        <w:rPr>
          <w:sz w:val="24"/>
          <w:szCs w:val="24"/>
        </w:rPr>
        <w:t xml:space="preserve"> = </w:t>
      </w:r>
      <m:oMath>
        <m:f>
          <m:fPr>
            <m:ctrlPr>
              <w:rPr>
                <w:rFonts w:ascii="Cambria Math" w:hAnsi="Cambria Math"/>
                <w:i/>
                <w:sz w:val="24"/>
                <w:szCs w:val="24"/>
              </w:rPr>
            </m:ctrlPr>
          </m:fPr>
          <m:num>
            <m:d>
              <m:dPr>
                <m:ctrlPr>
                  <w:rPr>
                    <w:rFonts w:ascii="Cambria Math" w:hAnsi="Cambria Math"/>
                    <w:i/>
                    <w:sz w:val="24"/>
                    <w:szCs w:val="24"/>
                  </w:rPr>
                </m:ctrlPr>
              </m:dPr>
              <m:e>
                <m:r>
                  <w:rPr>
                    <w:rFonts w:ascii="Cambria Math" w:hAnsi="Cambria Math"/>
                    <w:sz w:val="24"/>
                    <w:szCs w:val="24"/>
                  </w:rPr>
                  <m:t>Blank -Volume HCl used</m:t>
                </m:r>
              </m:e>
            </m:d>
            <m:r>
              <w:rPr>
                <w:rFonts w:ascii="Cambria Math" w:hAnsi="Cambria Math"/>
                <w:sz w:val="24"/>
                <w:szCs w:val="24"/>
              </w:rPr>
              <m:t xml:space="preserve"> ×Molarity of KOH × MW of KOH</m:t>
            </m:r>
          </m:num>
          <m:den>
            <m:r>
              <w:rPr>
                <w:rFonts w:ascii="Cambria Math" w:hAnsi="Cambria Math"/>
                <w:sz w:val="24"/>
                <w:szCs w:val="24"/>
              </w:rPr>
              <m:t>W</m:t>
            </m:r>
          </m:den>
        </m:f>
      </m:oMath>
      <w:r w:rsidRPr="00712294">
        <w:rPr>
          <w:sz w:val="24"/>
          <w:szCs w:val="24"/>
        </w:rPr>
        <w:t xml:space="preserve">    </w:t>
      </w:r>
      <w:r>
        <w:rPr>
          <w:sz w:val="24"/>
          <w:szCs w:val="24"/>
        </w:rPr>
        <w:t xml:space="preserve">    </w:t>
      </w:r>
      <w:r w:rsidRPr="00712294">
        <w:rPr>
          <w:sz w:val="24"/>
          <w:szCs w:val="24"/>
        </w:rPr>
        <w:t xml:space="preserve"> (1)</w:t>
      </w:r>
    </w:p>
    <w:p w14:paraId="4B4923A3" w14:textId="77777777" w:rsidR="000C525C" w:rsidRPr="00712294" w:rsidRDefault="000C525C" w:rsidP="00AE37FF">
      <w:pPr>
        <w:spacing w:line="480" w:lineRule="auto"/>
        <w:jc w:val="both"/>
        <w:rPr>
          <w:sz w:val="24"/>
          <w:szCs w:val="24"/>
        </w:rPr>
      </w:pPr>
    </w:p>
    <w:p w14:paraId="4FE90459" w14:textId="77777777" w:rsidR="000C525C" w:rsidRPr="00712294" w:rsidRDefault="000C525C" w:rsidP="00AE37FF">
      <w:pPr>
        <w:spacing w:line="480" w:lineRule="auto"/>
        <w:jc w:val="both"/>
        <w:rPr>
          <w:sz w:val="24"/>
          <w:szCs w:val="24"/>
        </w:rPr>
      </w:pPr>
      <w:r w:rsidRPr="00712294">
        <w:rPr>
          <w:sz w:val="24"/>
          <w:szCs w:val="24"/>
        </w:rPr>
        <w:t xml:space="preserve">Molecular weight of oil, MW = </w:t>
      </w:r>
      <m:oMath>
        <m:f>
          <m:fPr>
            <m:ctrlPr>
              <w:rPr>
                <w:rFonts w:ascii="Cambria Math" w:hAnsi="Cambria Math"/>
                <w:i/>
                <w:sz w:val="24"/>
                <w:szCs w:val="24"/>
              </w:rPr>
            </m:ctrlPr>
          </m:fPr>
          <m:num>
            <m:r>
              <w:rPr>
                <w:rFonts w:ascii="Cambria Math" w:hAnsi="Cambria Math"/>
                <w:sz w:val="24"/>
                <w:szCs w:val="24"/>
              </w:rPr>
              <m:t>56.11 ×1000</m:t>
            </m:r>
          </m:num>
          <m:den>
            <m:r>
              <w:rPr>
                <w:rFonts w:ascii="Cambria Math" w:hAnsi="Cambria Math"/>
                <w:sz w:val="24"/>
                <w:szCs w:val="24"/>
              </w:rPr>
              <m:t>SV</m:t>
            </m:r>
          </m:den>
        </m:f>
      </m:oMath>
      <w:r w:rsidRPr="00712294">
        <w:rPr>
          <w:sz w:val="24"/>
          <w:szCs w:val="24"/>
        </w:rPr>
        <w:t xml:space="preserve">             (2)</w:t>
      </w:r>
    </w:p>
    <w:p w14:paraId="3958A5E5" w14:textId="77777777" w:rsidR="000C525C" w:rsidRPr="00712294" w:rsidRDefault="000C525C" w:rsidP="00AE37FF">
      <w:pPr>
        <w:spacing w:line="480" w:lineRule="auto"/>
        <w:jc w:val="both"/>
        <w:rPr>
          <w:sz w:val="24"/>
          <w:szCs w:val="24"/>
        </w:rPr>
      </w:pPr>
    </w:p>
    <w:p w14:paraId="0EC972E9" w14:textId="0843B380" w:rsidR="000C525C" w:rsidRDefault="004A0FA7" w:rsidP="00AE37FF">
      <w:pPr>
        <w:spacing w:line="480" w:lineRule="auto"/>
        <w:jc w:val="both"/>
        <w:rPr>
          <w:sz w:val="24"/>
          <w:szCs w:val="24"/>
        </w:rPr>
      </w:pPr>
      <w:r w:rsidRPr="004A0FA7">
        <w:rPr>
          <w:sz w:val="24"/>
          <w:szCs w:val="24"/>
        </w:rPr>
        <w:t xml:space="preserve">In this case, W represents the weight of the oil used for saponification, while MW represents the molecular weight of KOH.  The saponification value of PFAD employed in this study has been estimated and determined using </w:t>
      </w:r>
      <w:r w:rsidRPr="00E271A5">
        <w:rPr>
          <w:b/>
          <w:bCs/>
          <w:sz w:val="24"/>
          <w:szCs w:val="24"/>
        </w:rPr>
        <w:t>equations (1)</w:t>
      </w:r>
      <w:r w:rsidRPr="004A0FA7">
        <w:rPr>
          <w:sz w:val="24"/>
          <w:szCs w:val="24"/>
        </w:rPr>
        <w:t xml:space="preserve"> and </w:t>
      </w:r>
      <w:r w:rsidRPr="00E271A5">
        <w:rPr>
          <w:b/>
          <w:bCs/>
          <w:sz w:val="24"/>
          <w:szCs w:val="24"/>
        </w:rPr>
        <w:t>(2)</w:t>
      </w:r>
      <w:r w:rsidRPr="004A0FA7">
        <w:rPr>
          <w:sz w:val="24"/>
          <w:szCs w:val="24"/>
        </w:rPr>
        <w:t xml:space="preserve"> as follows:</w:t>
      </w:r>
    </w:p>
    <w:p w14:paraId="36E5EBB5" w14:textId="77777777" w:rsidR="004A0FA7" w:rsidRPr="00712294" w:rsidRDefault="004A0FA7" w:rsidP="00AE37FF">
      <w:pPr>
        <w:spacing w:line="480" w:lineRule="auto"/>
        <w:jc w:val="both"/>
        <w:rPr>
          <w:sz w:val="24"/>
          <w:szCs w:val="24"/>
        </w:rPr>
      </w:pPr>
    </w:p>
    <w:p w14:paraId="614A051F" w14:textId="77777777" w:rsidR="000C525C" w:rsidRPr="00712294" w:rsidRDefault="000C525C" w:rsidP="00AE37FF">
      <w:pPr>
        <w:spacing w:line="480" w:lineRule="auto"/>
        <w:jc w:val="both"/>
        <w:rPr>
          <w:sz w:val="24"/>
          <w:szCs w:val="24"/>
          <w:vertAlign w:val="subscript"/>
        </w:rPr>
      </w:pPr>
      <w:r w:rsidRPr="00712294">
        <w:rPr>
          <w:sz w:val="24"/>
          <w:szCs w:val="24"/>
        </w:rPr>
        <w:t>Saponification value of PFAD, SV</w:t>
      </w:r>
      <w:r w:rsidRPr="00712294">
        <w:rPr>
          <w:sz w:val="24"/>
          <w:szCs w:val="24"/>
          <w:vertAlign w:val="subscript"/>
        </w:rPr>
        <w:t xml:space="preserve">PFAD </w:t>
      </w:r>
    </w:p>
    <w:p w14:paraId="6FB3641B" w14:textId="77777777" w:rsidR="000C525C" w:rsidRPr="00712294" w:rsidRDefault="000C525C" w:rsidP="00AE37FF">
      <w:pPr>
        <w:spacing w:line="480" w:lineRule="auto"/>
        <w:jc w:val="both"/>
        <w:rPr>
          <w:sz w:val="24"/>
          <w:szCs w:val="24"/>
        </w:rPr>
      </w:pPr>
      <w:r w:rsidRPr="00712294">
        <w:rPr>
          <w:sz w:val="24"/>
          <w:szCs w:val="24"/>
          <w:vertAlign w:val="subscript"/>
        </w:rPr>
        <w:t xml:space="preserve">  </w:t>
      </w:r>
      <w:r w:rsidRPr="00712294">
        <w:rPr>
          <w:sz w:val="24"/>
          <w:szCs w:val="24"/>
        </w:rPr>
        <w:t xml:space="preserve">= </w:t>
      </w:r>
      <m:oMath>
        <m:f>
          <m:fPr>
            <m:ctrlPr>
              <w:rPr>
                <w:rFonts w:ascii="Cambria Math" w:hAnsi="Cambria Math"/>
                <w:i/>
                <w:sz w:val="24"/>
                <w:szCs w:val="24"/>
              </w:rPr>
            </m:ctrlPr>
          </m:fPr>
          <m:num>
            <m:d>
              <m:dPr>
                <m:ctrlPr>
                  <w:rPr>
                    <w:rFonts w:ascii="Cambria Math" w:hAnsi="Cambria Math"/>
                    <w:i/>
                    <w:sz w:val="24"/>
                    <w:szCs w:val="24"/>
                  </w:rPr>
                </m:ctrlPr>
              </m:dPr>
              <m:e>
                <m:r>
                  <w:rPr>
                    <w:rFonts w:ascii="Cambria Math" w:hAnsi="Cambria Math"/>
                    <w:sz w:val="24"/>
                    <w:szCs w:val="24"/>
                  </w:rPr>
                  <m:t>Blank -Volume HCl used</m:t>
                </m:r>
              </m:e>
            </m:d>
            <m:r>
              <w:rPr>
                <w:rFonts w:ascii="Cambria Math" w:hAnsi="Cambria Math"/>
                <w:sz w:val="24"/>
                <w:szCs w:val="24"/>
              </w:rPr>
              <m:t xml:space="preserve"> ×Molarity of KOH × MW of KOH</m:t>
            </m:r>
          </m:num>
          <m:den>
            <m:r>
              <w:rPr>
                <w:rFonts w:ascii="Cambria Math" w:hAnsi="Cambria Math"/>
                <w:sz w:val="24"/>
                <w:szCs w:val="24"/>
              </w:rPr>
              <m:t>W</m:t>
            </m:r>
          </m:den>
        </m:f>
      </m:oMath>
      <w:r w:rsidRPr="00712294">
        <w:rPr>
          <w:sz w:val="24"/>
          <w:szCs w:val="24"/>
        </w:rPr>
        <w:t xml:space="preserve">    </w:t>
      </w:r>
      <w:r>
        <w:rPr>
          <w:sz w:val="24"/>
          <w:szCs w:val="24"/>
        </w:rPr>
        <w:t xml:space="preserve">    </w:t>
      </w:r>
      <w:r w:rsidRPr="00712294">
        <w:rPr>
          <w:sz w:val="24"/>
          <w:szCs w:val="24"/>
        </w:rPr>
        <w:t xml:space="preserve"> </w:t>
      </w:r>
    </w:p>
    <w:p w14:paraId="50144496" w14:textId="77777777" w:rsidR="000C525C" w:rsidRPr="00712294" w:rsidRDefault="000C525C" w:rsidP="00AE37FF">
      <w:pPr>
        <w:spacing w:line="480" w:lineRule="auto"/>
        <w:jc w:val="both"/>
        <w:rPr>
          <w:sz w:val="24"/>
          <w:szCs w:val="24"/>
        </w:rPr>
      </w:pPr>
      <w:r w:rsidRPr="00712294">
        <w:rPr>
          <w:sz w:val="24"/>
          <w:szCs w:val="24"/>
        </w:rPr>
        <w:t xml:space="preserve"> = </w:t>
      </w:r>
      <m:oMath>
        <m:f>
          <m:fPr>
            <m:ctrlPr>
              <w:rPr>
                <w:rFonts w:ascii="Cambria Math" w:hAnsi="Cambria Math"/>
                <w:i/>
                <w:sz w:val="24"/>
                <w:szCs w:val="24"/>
              </w:rPr>
            </m:ctrlPr>
          </m:fPr>
          <m:num>
            <m:d>
              <m:dPr>
                <m:ctrlPr>
                  <w:rPr>
                    <w:rFonts w:ascii="Cambria Math" w:hAnsi="Cambria Math"/>
                    <w:i/>
                    <w:sz w:val="24"/>
                    <w:szCs w:val="24"/>
                  </w:rPr>
                </m:ctrlPr>
              </m:dPr>
              <m:e>
                <m:r>
                  <w:rPr>
                    <w:rFonts w:ascii="Cambria Math" w:hAnsi="Cambria Math"/>
                    <w:sz w:val="24"/>
                    <w:szCs w:val="24"/>
                  </w:rPr>
                  <m:t>25-8.6</m:t>
                </m:r>
              </m:e>
            </m:d>
            <m:r>
              <w:rPr>
                <w:rFonts w:ascii="Cambria Math" w:hAnsi="Cambria Math"/>
                <w:sz w:val="24"/>
                <w:szCs w:val="24"/>
              </w:rPr>
              <m:t xml:space="preserve"> ×0.5M ×56.11</m:t>
            </m:r>
          </m:num>
          <m:den>
            <m:r>
              <w:rPr>
                <w:rFonts w:ascii="Cambria Math" w:hAnsi="Cambria Math"/>
                <w:sz w:val="24"/>
                <w:szCs w:val="24"/>
              </w:rPr>
              <m:t>2.0166g</m:t>
            </m:r>
          </m:den>
        </m:f>
      </m:oMath>
      <w:r w:rsidRPr="00712294">
        <w:rPr>
          <w:sz w:val="24"/>
          <w:szCs w:val="24"/>
        </w:rPr>
        <w:t xml:space="preserve">                                                         </w:t>
      </w:r>
    </w:p>
    <w:p w14:paraId="3498142C" w14:textId="77777777" w:rsidR="000C525C" w:rsidRDefault="000C525C" w:rsidP="00AE37FF">
      <w:pPr>
        <w:spacing w:line="480" w:lineRule="auto"/>
        <w:jc w:val="both"/>
        <w:rPr>
          <w:sz w:val="24"/>
          <w:szCs w:val="24"/>
        </w:rPr>
      </w:pPr>
      <w:r w:rsidRPr="00712294">
        <w:rPr>
          <w:sz w:val="24"/>
          <w:szCs w:val="24"/>
        </w:rPr>
        <w:t>= 228.16 mg KOH/g</w:t>
      </w:r>
    </w:p>
    <w:p w14:paraId="494AA21E" w14:textId="77777777" w:rsidR="000C525C" w:rsidRPr="00712294" w:rsidRDefault="000C525C" w:rsidP="00AE37FF">
      <w:pPr>
        <w:spacing w:line="480" w:lineRule="auto"/>
        <w:jc w:val="both"/>
        <w:rPr>
          <w:sz w:val="24"/>
          <w:szCs w:val="24"/>
        </w:rPr>
      </w:pPr>
    </w:p>
    <w:p w14:paraId="4F3A3356" w14:textId="77777777" w:rsidR="000C525C" w:rsidRPr="00712294" w:rsidRDefault="000C525C" w:rsidP="00AE37FF">
      <w:pPr>
        <w:spacing w:line="480" w:lineRule="auto"/>
        <w:jc w:val="both"/>
        <w:rPr>
          <w:sz w:val="24"/>
          <w:szCs w:val="24"/>
          <w:vertAlign w:val="subscript"/>
        </w:rPr>
      </w:pPr>
      <w:r w:rsidRPr="00712294">
        <w:rPr>
          <w:sz w:val="24"/>
          <w:szCs w:val="24"/>
        </w:rPr>
        <w:t>Average molecular weight of PFAD in this study, MW</w:t>
      </w:r>
      <w:r w:rsidRPr="00712294">
        <w:rPr>
          <w:sz w:val="24"/>
          <w:szCs w:val="24"/>
          <w:vertAlign w:val="subscript"/>
        </w:rPr>
        <w:t>PFAD</w:t>
      </w:r>
    </w:p>
    <w:p w14:paraId="06D04D4D" w14:textId="77777777" w:rsidR="000C525C" w:rsidRPr="00712294" w:rsidRDefault="000C525C" w:rsidP="00AE37FF">
      <w:pPr>
        <w:spacing w:line="480" w:lineRule="auto"/>
        <w:jc w:val="both"/>
        <w:rPr>
          <w:sz w:val="24"/>
          <w:szCs w:val="24"/>
        </w:rPr>
      </w:pPr>
      <w:r w:rsidRPr="00712294">
        <w:rPr>
          <w:sz w:val="24"/>
          <w:szCs w:val="24"/>
        </w:rPr>
        <w:t xml:space="preserve">= </w:t>
      </w:r>
      <m:oMath>
        <m:f>
          <m:fPr>
            <m:ctrlPr>
              <w:rPr>
                <w:rFonts w:ascii="Cambria Math" w:hAnsi="Cambria Math"/>
                <w:i/>
                <w:sz w:val="24"/>
                <w:szCs w:val="24"/>
              </w:rPr>
            </m:ctrlPr>
          </m:fPr>
          <m:num>
            <m:r>
              <w:rPr>
                <w:rFonts w:ascii="Cambria Math" w:hAnsi="Cambria Math"/>
                <w:sz w:val="24"/>
                <w:szCs w:val="24"/>
              </w:rPr>
              <m:t>56.11 ×1000</m:t>
            </m:r>
          </m:num>
          <m:den>
            <m:r>
              <w:rPr>
                <w:rFonts w:ascii="Cambria Math" w:hAnsi="Cambria Math"/>
                <w:sz w:val="24"/>
                <w:szCs w:val="24"/>
              </w:rPr>
              <m:t>SV</m:t>
            </m:r>
          </m:den>
        </m:f>
      </m:oMath>
      <w:r w:rsidRPr="00712294">
        <w:rPr>
          <w:sz w:val="24"/>
          <w:szCs w:val="24"/>
        </w:rPr>
        <w:t xml:space="preserve">             </w:t>
      </w:r>
    </w:p>
    <w:p w14:paraId="00323B66" w14:textId="77777777" w:rsidR="000C525C" w:rsidRPr="00712294" w:rsidRDefault="000C525C" w:rsidP="00AE37FF">
      <w:pPr>
        <w:spacing w:line="480" w:lineRule="auto"/>
        <w:jc w:val="both"/>
        <w:rPr>
          <w:sz w:val="24"/>
          <w:szCs w:val="24"/>
        </w:rPr>
      </w:pPr>
      <w:r w:rsidRPr="00712294">
        <w:rPr>
          <w:sz w:val="24"/>
          <w:szCs w:val="24"/>
        </w:rPr>
        <w:t xml:space="preserve">= </w:t>
      </w:r>
      <m:oMath>
        <m:f>
          <m:fPr>
            <m:ctrlPr>
              <w:rPr>
                <w:rFonts w:ascii="Cambria Math" w:hAnsi="Cambria Math"/>
                <w:i/>
                <w:sz w:val="24"/>
                <w:szCs w:val="24"/>
              </w:rPr>
            </m:ctrlPr>
          </m:fPr>
          <m:num>
            <m:r>
              <w:rPr>
                <w:rFonts w:ascii="Cambria Math" w:hAnsi="Cambria Math"/>
                <w:sz w:val="24"/>
                <w:szCs w:val="24"/>
              </w:rPr>
              <m:t>56.11 ×1000</m:t>
            </m:r>
          </m:num>
          <m:den>
            <m:r>
              <w:rPr>
                <w:rFonts w:ascii="Cambria Math" w:hAnsi="Cambria Math"/>
                <w:sz w:val="24"/>
                <w:szCs w:val="24"/>
              </w:rPr>
              <m:t>228.16</m:t>
            </m:r>
          </m:den>
        </m:f>
      </m:oMath>
    </w:p>
    <w:p w14:paraId="221D62EA" w14:textId="77777777" w:rsidR="000C525C" w:rsidRPr="00712294" w:rsidRDefault="000C525C" w:rsidP="00AE37FF">
      <w:pPr>
        <w:spacing w:line="480" w:lineRule="auto"/>
        <w:jc w:val="both"/>
        <w:rPr>
          <w:sz w:val="24"/>
          <w:szCs w:val="24"/>
        </w:rPr>
      </w:pPr>
      <w:r w:rsidRPr="00712294">
        <w:rPr>
          <w:sz w:val="24"/>
          <w:szCs w:val="24"/>
        </w:rPr>
        <w:t>= 245.9 g/mol</w:t>
      </w:r>
    </w:p>
    <w:p w14:paraId="430D9ADC" w14:textId="77777777" w:rsidR="000C525C" w:rsidRDefault="000C525C" w:rsidP="00AE37FF">
      <w:pPr>
        <w:spacing w:line="480" w:lineRule="auto"/>
        <w:jc w:val="both"/>
        <w:rPr>
          <w:sz w:val="24"/>
          <w:szCs w:val="24"/>
        </w:rPr>
      </w:pPr>
    </w:p>
    <w:p w14:paraId="39C13922" w14:textId="013D1C84" w:rsidR="001975AD" w:rsidRDefault="00002783" w:rsidP="00AE37FF">
      <w:pPr>
        <w:spacing w:line="480" w:lineRule="auto"/>
        <w:jc w:val="both"/>
        <w:rPr>
          <w:sz w:val="24"/>
          <w:szCs w:val="24"/>
        </w:rPr>
      </w:pPr>
      <w:r w:rsidRPr="00002783">
        <w:rPr>
          <w:sz w:val="24"/>
          <w:szCs w:val="24"/>
        </w:rPr>
        <w:lastRenderedPageBreak/>
        <w:t xml:space="preserve">Since the saponification value represents the fatty acid chain length and composition, which affect the feedstock's reactivity and quality during the biodiesel synthesis process, figuring out these factors is essential. Fuel characteristics like viscosity and cold flow can be impacted by shorter fatty acid chains, which are associated with lower molecular weights. As a result, this systematic method of determining the molecular weight and saponification value guarantees a thorough comprehension of PFAD's chemical properties, allowing for the </w:t>
      </w:r>
      <w:r w:rsidR="00B87A9D" w:rsidRPr="00002783">
        <w:rPr>
          <w:sz w:val="24"/>
          <w:szCs w:val="24"/>
        </w:rPr>
        <w:t>optimization</w:t>
      </w:r>
      <w:r w:rsidRPr="00002783">
        <w:rPr>
          <w:sz w:val="24"/>
          <w:szCs w:val="24"/>
        </w:rPr>
        <w:t xml:space="preserve"> of subsequent biodiesel manufacturing procedures</w:t>
      </w:r>
      <w:r w:rsidR="007A2C84">
        <w:rPr>
          <w:sz w:val="24"/>
          <w:szCs w:val="24"/>
        </w:rPr>
        <w:t xml:space="preserve"> </w:t>
      </w:r>
      <w:r w:rsidR="007A2C84">
        <w:rPr>
          <w:sz w:val="24"/>
          <w:szCs w:val="24"/>
        </w:rPr>
        <w:fldChar w:fldCharType="begin" w:fldLock="1"/>
      </w:r>
      <w:r w:rsidR="007A2C84">
        <w:rPr>
          <w:sz w:val="24"/>
          <w:szCs w:val="24"/>
        </w:rPr>
        <w:instrText>ADDIN CSL_CITATION {"citationItems":[{"id":"ITEM-1","itemData":{"DOI":"10.3390/molecules27207142","ISSN":"14203049","PMID":"36296735","abstract":"The by-product of the previous transesterification, glycerol was utilised as an acid catalyst precursor for biodiesel production. The crude glycerol was treated through the sulfonation method with sulfuric acid and chlorosulfonic acid in a reflux batch reactor giving solid glycerol-SO3H and glycerol-ClSO3H, respectively. The synthesised acidic glycerol catalysts were characterised by various analytical techniques such as thermalgravimetric analyser (TGA), infrared spectroscopy, surface properties adsorption-desorption by nitrogen gas, ammonia-temperature programmed desorption (NH3-TPD), X-ray diffraction spectroscopy (XRD), elemental composition analysis by energy dispersive spectrometer (EDX) and surface micrographic morphologies by field emission electron microscope (FESEM). Both glycerol-SO3H and glycerol-ClSO3H samples exhibited mesoporous structures with a low surface area of 8.85 mm2/g and 4.71 mm2/g, respectively, supported by the microscopic image of blockage pores. However, the acidity strength for both catalysts was recorded at 3.43 mmol/g and 3.96 mmol/g, which is sufficient for catalysing PFAD biodiesel at the highest yield. The catalytic esterification was optimised at 96.7% and 98.2% with 3 wt.% of catalyst loading, 18:1 of methanol-PFAD molar ratio, 120 °C, and 4 h of reaction. Catalyst reusability was sustained up to 3 reaction cycles due to catalyst deactivation, and the insight investigation of spent catalysts was also performed.","author":[{"dropping-particle":"","family":"Hazmi","given":"Balkis","non-dropping-particle":"","parse-names":false,"suffix":""},{"dropping-particle":"","family":"Beygisangchin","given":"Mahnoush","non-dropping-particle":"","parse-names":false,"suffix":""},{"dropping-particle":"","family":"Rashid","given":"Umer","non-dropping-particle":"","parse-names":false,"suffix":""},{"dropping-particle":"","family":"Mokhtar","given":"Wan Nur Aini Wan","non-dropping-particle":"","parse-names":false,"suffix":""},{"dropping-particle":"","family":"Tsubota","given":"Toshiki","non-dropping-particle":"","parse-names":false,"suffix":""},{"dropping-particle":"","family":"Alsalme","given":"Ali","non-dropping-particle":"","parse-names":false,"suffix":""},{"dropping-particle":"","family":"Ngamcharussrivichai","given":"Chawalit","non-dropping-particle":"","parse-names":false,"suffix":""}],"container-title":"Molecules","id":"ITEM-1","issue":"20","issued":{"date-parts":[["2022"]]},"title":"Glycerol-Based Retrievable Heterogeneous Catalysts for Single-Pot Esterification of Palm Fatty Acid Distillate to Biodiesel","type":"article-journal","volume":"27"},"uris":["http://www.mendeley.com/documents/?uuid=05055645-fcb4-4249-b08a-088a43f259a5"]}],"mendeley":{"formattedCitation":"(Hazmi et al., 2022)","plainTextFormattedCitation":"(Hazmi et al., 2022)","previouslyFormattedCitation":"(Hazmi et al., 2022)"},"properties":{"noteIndex":0},"schema":"https://github.com/citation-style-language/schema/raw/master/csl-citation.json"}</w:instrText>
      </w:r>
      <w:r w:rsidR="007A2C84">
        <w:rPr>
          <w:sz w:val="24"/>
          <w:szCs w:val="24"/>
        </w:rPr>
        <w:fldChar w:fldCharType="separate"/>
      </w:r>
      <w:r w:rsidR="007A2C84" w:rsidRPr="007A2C84">
        <w:rPr>
          <w:noProof/>
          <w:sz w:val="24"/>
          <w:szCs w:val="24"/>
        </w:rPr>
        <w:t>(Hazmi et al., 2022)</w:t>
      </w:r>
      <w:r w:rsidR="007A2C84">
        <w:rPr>
          <w:sz w:val="24"/>
          <w:szCs w:val="24"/>
        </w:rPr>
        <w:fldChar w:fldCharType="end"/>
      </w:r>
      <w:r w:rsidRPr="00002783">
        <w:rPr>
          <w:sz w:val="24"/>
          <w:szCs w:val="24"/>
        </w:rPr>
        <w:t>.</w:t>
      </w:r>
    </w:p>
    <w:p w14:paraId="5901F36E" w14:textId="77777777" w:rsidR="001975AD" w:rsidRPr="00712294" w:rsidRDefault="001975AD" w:rsidP="00AE37FF">
      <w:pPr>
        <w:spacing w:line="480" w:lineRule="auto"/>
        <w:jc w:val="both"/>
        <w:rPr>
          <w:sz w:val="24"/>
          <w:szCs w:val="24"/>
        </w:rPr>
      </w:pPr>
    </w:p>
    <w:p w14:paraId="3AE49F46" w14:textId="6F6C40E3" w:rsidR="001975AD" w:rsidRPr="00AC031D" w:rsidRDefault="009D2A11" w:rsidP="00AE37FF">
      <w:pPr>
        <w:spacing w:line="480" w:lineRule="auto"/>
        <w:jc w:val="both"/>
        <w:rPr>
          <w:i/>
          <w:iCs/>
          <w:sz w:val="24"/>
          <w:szCs w:val="24"/>
        </w:rPr>
      </w:pPr>
      <w:r>
        <w:rPr>
          <w:i/>
          <w:iCs/>
          <w:sz w:val="24"/>
          <w:szCs w:val="24"/>
        </w:rPr>
        <w:t>3.0</w:t>
      </w:r>
      <w:r w:rsidR="001975AD" w:rsidRPr="00AC031D">
        <w:rPr>
          <w:i/>
          <w:iCs/>
          <w:sz w:val="24"/>
          <w:szCs w:val="24"/>
        </w:rPr>
        <w:t xml:space="preserve"> Acid Value Calculation</w:t>
      </w:r>
    </w:p>
    <w:p w14:paraId="101DA93A" w14:textId="2AA071C1" w:rsidR="001975AD" w:rsidRDefault="008E219A" w:rsidP="00AE37FF">
      <w:pPr>
        <w:spacing w:line="480" w:lineRule="auto"/>
        <w:jc w:val="both"/>
        <w:rPr>
          <w:sz w:val="24"/>
          <w:szCs w:val="24"/>
        </w:rPr>
      </w:pPr>
      <w:r w:rsidRPr="008E219A">
        <w:rPr>
          <w:sz w:val="24"/>
          <w:szCs w:val="24"/>
        </w:rPr>
        <w:t xml:space="preserve">To evaluate the quality and concentration of free fatty acids in the PFAD, 2.0 g of PFAD was precisely measured into a conical flask. Subsequently, 25 mL of ethanol was introduced, and the mixture was rapidly boiled to ensure the complete solubility of the oil and to promote the acid-base interaction. Subsequent to boiling, the solution was allowed to cool to ambient temperature, and 5 to 7 drops of phenolphthalein indicator were added. Phenolphthalein, which transitions from </w:t>
      </w:r>
      <w:r w:rsidR="00131BAD" w:rsidRPr="008E219A">
        <w:rPr>
          <w:sz w:val="24"/>
          <w:szCs w:val="24"/>
        </w:rPr>
        <w:t>colorless</w:t>
      </w:r>
      <w:r w:rsidRPr="008E219A">
        <w:rPr>
          <w:sz w:val="24"/>
          <w:szCs w:val="24"/>
        </w:rPr>
        <w:t xml:space="preserve"> to pink under alkaline circumstances, was </w:t>
      </w:r>
      <w:r w:rsidR="00131BAD" w:rsidRPr="008E219A">
        <w:rPr>
          <w:sz w:val="24"/>
          <w:szCs w:val="24"/>
        </w:rPr>
        <w:t>utilized</w:t>
      </w:r>
      <w:r w:rsidRPr="008E219A">
        <w:rPr>
          <w:sz w:val="24"/>
          <w:szCs w:val="24"/>
        </w:rPr>
        <w:t xml:space="preserve"> to visually identify the endpoint during titration.</w:t>
      </w:r>
      <w:r w:rsidR="00131BAD">
        <w:rPr>
          <w:sz w:val="24"/>
          <w:szCs w:val="24"/>
        </w:rPr>
        <w:t xml:space="preserve"> </w:t>
      </w:r>
      <w:r w:rsidRPr="008E219A">
        <w:rPr>
          <w:sz w:val="24"/>
          <w:szCs w:val="24"/>
        </w:rPr>
        <w:t xml:space="preserve">The titration was conducted using 0.5 M potassium hydroxide (KOH) until the solution transitioned from </w:t>
      </w:r>
      <w:r w:rsidR="00131BAD" w:rsidRPr="008E219A">
        <w:rPr>
          <w:sz w:val="24"/>
          <w:szCs w:val="24"/>
        </w:rPr>
        <w:t>colorless</w:t>
      </w:r>
      <w:r w:rsidRPr="008E219A">
        <w:rPr>
          <w:sz w:val="24"/>
          <w:szCs w:val="24"/>
        </w:rPr>
        <w:t xml:space="preserve"> to a pale pink, signifying the </w:t>
      </w:r>
      <w:r w:rsidR="00131BAD" w:rsidRPr="008E219A">
        <w:rPr>
          <w:sz w:val="24"/>
          <w:szCs w:val="24"/>
        </w:rPr>
        <w:t>neutralization</w:t>
      </w:r>
      <w:r w:rsidRPr="008E219A">
        <w:rPr>
          <w:sz w:val="24"/>
          <w:szCs w:val="24"/>
        </w:rPr>
        <w:t xml:space="preserve"> of free fatty acids by the base</w:t>
      </w:r>
      <w:r w:rsidR="007A2C84">
        <w:rPr>
          <w:sz w:val="24"/>
          <w:szCs w:val="24"/>
        </w:rPr>
        <w:t xml:space="preserve"> </w:t>
      </w:r>
      <w:r w:rsidR="007A2C84">
        <w:rPr>
          <w:sz w:val="24"/>
          <w:szCs w:val="24"/>
        </w:rPr>
        <w:fldChar w:fldCharType="begin" w:fldLock="1"/>
      </w:r>
      <w:r w:rsidR="007A2C84">
        <w:rPr>
          <w:sz w:val="24"/>
          <w:szCs w:val="24"/>
        </w:rPr>
        <w:instrText>ADDIN CSL_CITATION {"citationItems":[{"id":"ITEM-1","itemData":{"DOI":"https://doi.org/10.1016/j.biombioe.2025.107607","ISSN":"0961-9534","abstract":"The current study focuses on examining the effectiveness of a palm fatty acid distillate and an acidic sulfonated char catalyst derived from lignocellulosic biomass (rambutan seed waste) in the production of biodiesel via esterification. The carbonaceous solid derived from lignocellulosic rambutan seed (RS) was prepared by carbonisation known as rambutan seed char (RSC), followed by sulfonation for acidic catalyst functionalization (RSC‒SO3H). The RS, RSC and RSC-SO3H were physically and chemically characterized using a surface area analyser, ammonia absorption measurement, infrared spectroscopy, X-ray diffraction spectrometry, thermogravimetric analysis, and morphology analysis by field emission scanning microscopy. The acid density of RSC-SO3H measured by TPD-NH3 was recorded at 5.62 mmol/g which is higher than that of the raw and charred samples, indicating the success of ‒SO3H impregnation on the RSC porous structure. This acidic catalyst efficacy was tested with a waste feedstock with a high FFA content, PFAD, for the esterification of biodiesel in a closed-system reactor. Response surface methodology was applied to PFAD esterification to study four main reaction variables: catalyst loading (1-5 wt %), reaction temperature (55–95 °C), methanol-PFAD molar ratio (9:1–21:1) and reaction time (1–5 h) by generating 31 experiments. The regression model's coefficient of determination, R2, and R2-adj were statistically measured and recognized as well-fitted at 0.994 and 0.988, respectively. The yield of 93.7 % was optimized under a fitted regression model that was esterified under these conditions; 2.2 wt % of catalyst loading, 83.7 °C, 19:1, 1.16 h. RS-SO3H catalyst reusability test, heterogeneity performance, and regeneration analysis were performed. Important biodiesel characteristics were evaluated and their adherence to international standards was analyzed.","author":[{"dropping-particle":"","family":"Hazmi","given":"Balkis","non-dropping-particle":"","parse-names":false,"suffix":""},{"dropping-particle":"","family":"Rashid","given":"Umer","non-dropping-particle":"","parse-names":false,"suffix":""},{"dropping-particle":"","family":"Akhlisah","given":"Zulkipli Nor","non-dropping-particle":"","parse-names":false,"suffix":""},{"dropping-particle":"","family":"Chaowamalee","given":"Supphathee","non-dropping-particle":"","parse-names":false,"suffix":""},{"dropping-particle":"","family":"Ngamcharussrivichai","given":"Chawalit","non-dropping-particle":"","parse-names":false,"suffix":""},{"dropping-particle":"","family":"Sabater","given":"Maria J","non-dropping-particle":"","parse-names":false,"suffix":""}],"container-title":"Biomass and Bioenergy","id":"ITEM-1","issued":{"date-parts":[["2025"]]},"page":"107607","title":"Productive esterification of palm fatty acid distillate under lignocellulosic biomass char of rambutan seeds waste-supported sulfonated catalyst","type":"article-journal","volume":"194"},"uris":["http://www.mendeley.com/documents/?uuid=18a33976-fba6-4e3a-9ec6-ae54a7b55f83"]}],"mendeley":{"formattedCitation":"(Hazmi et al., 2025)","plainTextFormattedCitation":"(Hazmi et al., 2025)","previouslyFormattedCitation":"(Hazmi et al., 2025)"},"properties":{"noteIndex":0},"schema":"https://github.com/citation-style-language/schema/raw/master/csl-citation.json"}</w:instrText>
      </w:r>
      <w:r w:rsidR="007A2C84">
        <w:rPr>
          <w:sz w:val="24"/>
          <w:szCs w:val="24"/>
        </w:rPr>
        <w:fldChar w:fldCharType="separate"/>
      </w:r>
      <w:r w:rsidR="007A2C84" w:rsidRPr="007A2C84">
        <w:rPr>
          <w:noProof/>
          <w:sz w:val="24"/>
          <w:szCs w:val="24"/>
        </w:rPr>
        <w:t>(Hazmi et al., 2025)</w:t>
      </w:r>
      <w:r w:rsidR="007A2C84">
        <w:rPr>
          <w:sz w:val="24"/>
          <w:szCs w:val="24"/>
        </w:rPr>
        <w:fldChar w:fldCharType="end"/>
      </w:r>
      <w:r w:rsidRPr="008E219A">
        <w:rPr>
          <w:sz w:val="24"/>
          <w:szCs w:val="24"/>
        </w:rPr>
        <w:t xml:space="preserve">. The volume of KOH </w:t>
      </w:r>
      <w:r w:rsidR="00131BAD" w:rsidRPr="008E219A">
        <w:rPr>
          <w:sz w:val="24"/>
          <w:szCs w:val="24"/>
        </w:rPr>
        <w:t>utilized</w:t>
      </w:r>
      <w:r w:rsidRPr="008E219A">
        <w:rPr>
          <w:sz w:val="24"/>
          <w:szCs w:val="24"/>
        </w:rPr>
        <w:t xml:space="preserve"> in the titration was documented, and the acid value (AV) was computed using </w:t>
      </w:r>
      <w:r w:rsidRPr="00B20987">
        <w:rPr>
          <w:b/>
          <w:bCs/>
          <w:sz w:val="24"/>
          <w:szCs w:val="24"/>
        </w:rPr>
        <w:t>equation (3)</w:t>
      </w:r>
      <w:r w:rsidR="00B20987">
        <w:rPr>
          <w:sz w:val="24"/>
          <w:szCs w:val="24"/>
        </w:rPr>
        <w:t xml:space="preserve"> and FFA was measure using </w:t>
      </w:r>
      <w:r w:rsidR="00B20987" w:rsidRPr="00B20987">
        <w:rPr>
          <w:b/>
          <w:bCs/>
          <w:sz w:val="24"/>
          <w:szCs w:val="24"/>
        </w:rPr>
        <w:t>equation (4)</w:t>
      </w:r>
      <w:r w:rsidRPr="00B20987">
        <w:rPr>
          <w:sz w:val="24"/>
          <w:szCs w:val="24"/>
        </w:rPr>
        <w:t>:</w:t>
      </w:r>
    </w:p>
    <w:p w14:paraId="1299CFF8" w14:textId="77777777" w:rsidR="00B20987" w:rsidRDefault="00B20987" w:rsidP="00AE37FF">
      <w:pPr>
        <w:spacing w:line="480" w:lineRule="auto"/>
        <w:jc w:val="both"/>
        <w:rPr>
          <w:sz w:val="24"/>
          <w:szCs w:val="24"/>
        </w:rPr>
      </w:pPr>
    </w:p>
    <w:p w14:paraId="5CF1CA72" w14:textId="0B4943A0" w:rsidR="001975AD" w:rsidRDefault="001975AD" w:rsidP="00AE37FF">
      <w:pPr>
        <w:spacing w:line="480" w:lineRule="auto"/>
        <w:jc w:val="both"/>
        <w:rPr>
          <w:sz w:val="24"/>
          <w:szCs w:val="24"/>
        </w:rPr>
      </w:pPr>
      <w:r>
        <w:rPr>
          <w:sz w:val="24"/>
          <w:szCs w:val="24"/>
        </w:rPr>
        <w:t xml:space="preserve">AV = </w:t>
      </w:r>
      <m:oMath>
        <m:f>
          <m:fPr>
            <m:ctrlPr>
              <w:rPr>
                <w:rFonts w:ascii="Cambria Math" w:hAnsi="Cambria Math"/>
                <w:i/>
                <w:sz w:val="24"/>
                <w:szCs w:val="24"/>
              </w:rPr>
            </m:ctrlPr>
          </m:fPr>
          <m:num>
            <m:d>
              <m:dPr>
                <m:ctrlPr>
                  <w:rPr>
                    <w:rFonts w:ascii="Cambria Math" w:hAnsi="Cambria Math"/>
                    <w:i/>
                    <w:sz w:val="24"/>
                    <w:szCs w:val="24"/>
                  </w:rPr>
                </m:ctrlPr>
              </m:dPr>
              <m:e>
                <m:r>
                  <w:rPr>
                    <w:rFonts w:ascii="Cambria Math" w:hAnsi="Cambria Math"/>
                    <w:sz w:val="24"/>
                    <w:szCs w:val="24"/>
                  </w:rPr>
                  <m:t>Volume KOH used-Blank</m:t>
                </m:r>
              </m:e>
            </m:d>
            <m:r>
              <w:rPr>
                <w:rFonts w:ascii="Cambria Math" w:hAnsi="Cambria Math"/>
                <w:sz w:val="24"/>
                <w:szCs w:val="24"/>
              </w:rPr>
              <m:t xml:space="preserve"> ×  Normality of KOH ×MW of KOH</m:t>
            </m:r>
          </m:num>
          <m:den>
            <m:r>
              <w:rPr>
                <w:rFonts w:ascii="Cambria Math" w:hAnsi="Cambria Math"/>
                <w:sz w:val="24"/>
                <w:szCs w:val="24"/>
              </w:rPr>
              <m:t>W</m:t>
            </m:r>
            <m:r>
              <w:rPr>
                <w:rFonts w:ascii="Cambria Math" w:hAnsi="Cambria Math"/>
                <w:sz w:val="24"/>
                <w:szCs w:val="24"/>
              </w:rPr>
              <m:t>eight of the oil used</m:t>
            </m:r>
          </m:den>
        </m:f>
      </m:oMath>
      <w:r>
        <w:rPr>
          <w:sz w:val="24"/>
          <w:szCs w:val="24"/>
        </w:rPr>
        <w:t xml:space="preserve">        (3)</w:t>
      </w:r>
    </w:p>
    <w:p w14:paraId="42F04FFB" w14:textId="77777777" w:rsidR="001975AD" w:rsidRDefault="001975AD" w:rsidP="00AE37FF">
      <w:pPr>
        <w:spacing w:line="480" w:lineRule="auto"/>
        <w:jc w:val="both"/>
        <w:rPr>
          <w:sz w:val="24"/>
          <w:szCs w:val="24"/>
        </w:rPr>
      </w:pPr>
      <w:r>
        <w:rPr>
          <w:sz w:val="24"/>
          <w:szCs w:val="24"/>
        </w:rPr>
        <w:t xml:space="preserve">FFA = </w:t>
      </w:r>
      <m:oMath>
        <m:f>
          <m:fPr>
            <m:ctrlPr>
              <w:rPr>
                <w:rFonts w:ascii="Cambria Math" w:hAnsi="Cambria Math"/>
                <w:i/>
                <w:sz w:val="24"/>
                <w:szCs w:val="24"/>
              </w:rPr>
            </m:ctrlPr>
          </m:fPr>
          <m:num>
            <m:r>
              <w:rPr>
                <w:rFonts w:ascii="Cambria Math" w:hAnsi="Cambria Math"/>
                <w:sz w:val="24"/>
                <w:szCs w:val="24"/>
              </w:rPr>
              <m:t>AV</m:t>
            </m:r>
          </m:num>
          <m:den>
            <m:r>
              <w:rPr>
                <w:rFonts w:ascii="Cambria Math" w:hAnsi="Cambria Math"/>
                <w:sz w:val="24"/>
                <w:szCs w:val="24"/>
              </w:rPr>
              <m:t>2</m:t>
            </m:r>
          </m:den>
        </m:f>
        <m:r>
          <w:rPr>
            <w:rFonts w:ascii="Cambria Math" w:hAnsi="Cambria Math"/>
            <w:sz w:val="24"/>
            <w:szCs w:val="24"/>
          </w:rPr>
          <m:t xml:space="preserve">  </m:t>
        </m:r>
      </m:oMath>
      <w:r>
        <w:rPr>
          <w:sz w:val="24"/>
          <w:szCs w:val="24"/>
        </w:rPr>
        <w:t xml:space="preserve">    (4)</w:t>
      </w:r>
    </w:p>
    <w:p w14:paraId="18391E7D" w14:textId="77777777" w:rsidR="001975AD" w:rsidRDefault="001975AD" w:rsidP="00AE37FF">
      <w:pPr>
        <w:spacing w:line="480" w:lineRule="auto"/>
        <w:jc w:val="both"/>
        <w:rPr>
          <w:sz w:val="24"/>
          <w:szCs w:val="24"/>
        </w:rPr>
      </w:pPr>
      <w:r>
        <w:rPr>
          <w:sz w:val="24"/>
          <w:szCs w:val="24"/>
        </w:rPr>
        <w:lastRenderedPageBreak/>
        <w:t xml:space="preserve">FFA Conversion (%) = </w:t>
      </w:r>
      <m:oMath>
        <m:f>
          <m:fPr>
            <m:ctrlPr>
              <w:rPr>
                <w:rFonts w:ascii="Cambria Math" w:hAnsi="Cambria Math"/>
                <w:i/>
                <w:sz w:val="24"/>
                <w:szCs w:val="24"/>
              </w:rPr>
            </m:ctrlPr>
          </m:fPr>
          <m:num>
            <m:sSub>
              <m:sSubPr>
                <m:ctrlPr>
                  <w:rPr>
                    <w:rFonts w:ascii="Cambria Math" w:hAnsi="Cambria Math"/>
                    <w:i/>
                    <w:sz w:val="24"/>
                    <w:szCs w:val="24"/>
                  </w:rPr>
                </m:ctrlPr>
              </m:sSubPr>
              <m:e>
                <m:r>
                  <w:rPr>
                    <w:rFonts w:ascii="Cambria Math" w:hAnsi="Cambria Math"/>
                    <w:sz w:val="24"/>
                    <w:szCs w:val="24"/>
                  </w:rPr>
                  <m:t>AV</m:t>
                </m:r>
              </m:e>
              <m:sub>
                <m:r>
                  <w:rPr>
                    <w:rFonts w:ascii="Cambria Math" w:hAnsi="Cambria Math"/>
                    <w:sz w:val="24"/>
                    <w:szCs w:val="24"/>
                  </w:rPr>
                  <m:t>i</m:t>
                </m:r>
              </m:sub>
            </m:sSub>
            <m:r>
              <w:rPr>
                <w:rFonts w:ascii="Cambria Math" w:hAnsi="Cambria Math"/>
                <w:sz w:val="24"/>
                <w:szCs w:val="24"/>
              </w:rPr>
              <m:t xml:space="preserve">- </m:t>
            </m:r>
            <m:sSub>
              <m:sSubPr>
                <m:ctrlPr>
                  <w:rPr>
                    <w:rFonts w:ascii="Cambria Math" w:hAnsi="Cambria Math"/>
                    <w:i/>
                    <w:sz w:val="24"/>
                    <w:szCs w:val="24"/>
                  </w:rPr>
                </m:ctrlPr>
              </m:sSubPr>
              <m:e>
                <m:r>
                  <w:rPr>
                    <w:rFonts w:ascii="Cambria Math" w:hAnsi="Cambria Math"/>
                    <w:sz w:val="24"/>
                    <w:szCs w:val="24"/>
                  </w:rPr>
                  <m:t>AV</m:t>
                </m:r>
              </m:e>
              <m:sub>
                <m:r>
                  <w:rPr>
                    <w:rFonts w:ascii="Cambria Math" w:hAnsi="Cambria Math"/>
                    <w:sz w:val="24"/>
                    <w:szCs w:val="24"/>
                  </w:rPr>
                  <m:t>f</m:t>
                </m:r>
              </m:sub>
            </m:sSub>
          </m:num>
          <m:den>
            <m:sSub>
              <m:sSubPr>
                <m:ctrlPr>
                  <w:rPr>
                    <w:rFonts w:ascii="Cambria Math" w:hAnsi="Cambria Math"/>
                    <w:i/>
                    <w:sz w:val="24"/>
                    <w:szCs w:val="24"/>
                  </w:rPr>
                </m:ctrlPr>
              </m:sSubPr>
              <m:e>
                <m:r>
                  <w:rPr>
                    <w:rFonts w:ascii="Cambria Math" w:hAnsi="Cambria Math"/>
                    <w:sz w:val="24"/>
                    <w:szCs w:val="24"/>
                  </w:rPr>
                  <m:t>AV</m:t>
                </m:r>
              </m:e>
              <m:sub>
                <m:r>
                  <w:rPr>
                    <w:rFonts w:ascii="Cambria Math" w:hAnsi="Cambria Math"/>
                    <w:sz w:val="24"/>
                    <w:szCs w:val="24"/>
                  </w:rPr>
                  <m:t>i</m:t>
                </m:r>
              </m:sub>
            </m:sSub>
          </m:den>
        </m:f>
        <m:r>
          <w:rPr>
            <w:rFonts w:ascii="Cambria Math" w:hAnsi="Cambria Math"/>
            <w:sz w:val="24"/>
            <w:szCs w:val="24"/>
          </w:rPr>
          <m:t xml:space="preserve">   ×100%</m:t>
        </m:r>
      </m:oMath>
      <w:r>
        <w:rPr>
          <w:sz w:val="24"/>
          <w:szCs w:val="24"/>
        </w:rPr>
        <w:t xml:space="preserve">     (5)</w:t>
      </w:r>
    </w:p>
    <w:p w14:paraId="62534DC4" w14:textId="77777777" w:rsidR="001975AD" w:rsidRDefault="001975AD" w:rsidP="00AE37FF">
      <w:pPr>
        <w:spacing w:line="480" w:lineRule="auto"/>
        <w:jc w:val="both"/>
        <w:rPr>
          <w:sz w:val="24"/>
          <w:szCs w:val="24"/>
        </w:rPr>
      </w:pPr>
      <w:r>
        <w:rPr>
          <w:sz w:val="24"/>
          <w:szCs w:val="24"/>
        </w:rPr>
        <w:t xml:space="preserve">Where </w:t>
      </w:r>
      <w:proofErr w:type="spellStart"/>
      <w:r>
        <w:rPr>
          <w:sz w:val="24"/>
          <w:szCs w:val="24"/>
        </w:rPr>
        <w:t>AV</w:t>
      </w:r>
      <w:r w:rsidRPr="006D309E">
        <w:rPr>
          <w:sz w:val="24"/>
          <w:szCs w:val="24"/>
          <w:vertAlign w:val="subscript"/>
        </w:rPr>
        <w:t>i</w:t>
      </w:r>
      <w:proofErr w:type="spellEnd"/>
      <w:r>
        <w:rPr>
          <w:sz w:val="24"/>
          <w:szCs w:val="24"/>
        </w:rPr>
        <w:t xml:space="preserve"> is the acid value initial and </w:t>
      </w:r>
      <w:proofErr w:type="spellStart"/>
      <w:r>
        <w:rPr>
          <w:sz w:val="24"/>
          <w:szCs w:val="24"/>
        </w:rPr>
        <w:t>AV</w:t>
      </w:r>
      <w:r w:rsidRPr="006D309E">
        <w:rPr>
          <w:sz w:val="24"/>
          <w:szCs w:val="24"/>
          <w:vertAlign w:val="subscript"/>
        </w:rPr>
        <w:t>f</w:t>
      </w:r>
      <w:proofErr w:type="spellEnd"/>
      <w:r>
        <w:rPr>
          <w:sz w:val="24"/>
          <w:szCs w:val="24"/>
        </w:rPr>
        <w:t xml:space="preserve"> is the final acid value, hence the calculation for acid value and FFA for PFAD used in this study is calculated as below using </w:t>
      </w:r>
      <w:r w:rsidRPr="002527F8">
        <w:rPr>
          <w:b/>
          <w:bCs/>
          <w:sz w:val="24"/>
          <w:szCs w:val="24"/>
        </w:rPr>
        <w:t>equation (3)</w:t>
      </w:r>
      <w:r w:rsidRPr="002527F8">
        <w:rPr>
          <w:sz w:val="24"/>
          <w:szCs w:val="24"/>
        </w:rPr>
        <w:t xml:space="preserve"> and</w:t>
      </w:r>
      <w:r w:rsidRPr="002527F8">
        <w:rPr>
          <w:b/>
          <w:bCs/>
          <w:sz w:val="24"/>
          <w:szCs w:val="24"/>
        </w:rPr>
        <w:t xml:space="preserve"> (4)</w:t>
      </w:r>
      <w:r>
        <w:rPr>
          <w:sz w:val="24"/>
          <w:szCs w:val="24"/>
        </w:rPr>
        <w:t xml:space="preserve"> :</w:t>
      </w:r>
    </w:p>
    <w:p w14:paraId="30DB466D" w14:textId="77777777" w:rsidR="001975AD" w:rsidRDefault="001975AD" w:rsidP="00AE37FF">
      <w:pPr>
        <w:spacing w:line="480" w:lineRule="auto"/>
        <w:jc w:val="both"/>
        <w:rPr>
          <w:sz w:val="24"/>
          <w:szCs w:val="24"/>
        </w:rPr>
      </w:pPr>
    </w:p>
    <w:p w14:paraId="67297E7D" w14:textId="77777777" w:rsidR="001975AD" w:rsidRPr="006D309E" w:rsidRDefault="001975AD" w:rsidP="00AE37FF">
      <w:pPr>
        <w:spacing w:line="480" w:lineRule="auto"/>
        <w:jc w:val="both"/>
        <w:rPr>
          <w:sz w:val="24"/>
          <w:szCs w:val="24"/>
        </w:rPr>
      </w:pPr>
      <w:r>
        <w:rPr>
          <w:sz w:val="24"/>
          <w:szCs w:val="24"/>
        </w:rPr>
        <w:t>AV</w:t>
      </w:r>
      <w:r w:rsidRPr="006D309E">
        <w:rPr>
          <w:sz w:val="24"/>
          <w:szCs w:val="24"/>
          <w:vertAlign w:val="subscript"/>
        </w:rPr>
        <w:t>PFAD</w:t>
      </w:r>
      <w:r>
        <w:rPr>
          <w:sz w:val="24"/>
          <w:szCs w:val="24"/>
        </w:rPr>
        <w:t xml:space="preserve"> = </w:t>
      </w:r>
      <m:oMath>
        <m:f>
          <m:fPr>
            <m:ctrlPr>
              <w:rPr>
                <w:rFonts w:ascii="Cambria Math" w:hAnsi="Cambria Math"/>
                <w:i/>
                <w:sz w:val="24"/>
                <w:szCs w:val="24"/>
              </w:rPr>
            </m:ctrlPr>
          </m:fPr>
          <m:num>
            <m:d>
              <m:dPr>
                <m:ctrlPr>
                  <w:rPr>
                    <w:rFonts w:ascii="Cambria Math" w:hAnsi="Cambria Math"/>
                    <w:i/>
                    <w:sz w:val="24"/>
                    <w:szCs w:val="24"/>
                  </w:rPr>
                </m:ctrlPr>
              </m:dPr>
              <m:e>
                <m:r>
                  <w:rPr>
                    <w:rFonts w:ascii="Cambria Math" w:hAnsi="Cambria Math"/>
                    <w:sz w:val="24"/>
                    <w:szCs w:val="24"/>
                  </w:rPr>
                  <m:t>25.1-12</m:t>
                </m:r>
              </m:e>
            </m:d>
            <m:r>
              <w:rPr>
                <w:rFonts w:ascii="Cambria Math" w:hAnsi="Cambria Math"/>
                <w:sz w:val="24"/>
                <w:szCs w:val="24"/>
              </w:rPr>
              <m:t xml:space="preserve"> ×0.5N ×56.11</m:t>
            </m:r>
          </m:num>
          <m:den>
            <m:r>
              <w:rPr>
                <w:rFonts w:ascii="Cambria Math" w:hAnsi="Cambria Math"/>
                <w:sz w:val="24"/>
                <w:szCs w:val="24"/>
              </w:rPr>
              <m:t>2.0079g</m:t>
            </m:r>
          </m:den>
        </m:f>
      </m:oMath>
    </w:p>
    <w:p w14:paraId="3DE678C5" w14:textId="77777777" w:rsidR="001975AD" w:rsidRDefault="001975AD" w:rsidP="00AE37FF">
      <w:pPr>
        <w:spacing w:line="480" w:lineRule="auto"/>
        <w:jc w:val="both"/>
        <w:rPr>
          <w:sz w:val="24"/>
          <w:szCs w:val="24"/>
        </w:rPr>
      </w:pPr>
      <w:r>
        <w:rPr>
          <w:sz w:val="24"/>
          <w:szCs w:val="24"/>
        </w:rPr>
        <w:t xml:space="preserve">             = 183.04</w:t>
      </w:r>
    </w:p>
    <w:p w14:paraId="4DB404F8" w14:textId="77777777" w:rsidR="001975AD" w:rsidRDefault="001975AD" w:rsidP="00AE37FF">
      <w:pPr>
        <w:spacing w:line="480" w:lineRule="auto"/>
        <w:jc w:val="both"/>
        <w:rPr>
          <w:sz w:val="24"/>
          <w:szCs w:val="24"/>
        </w:rPr>
      </w:pPr>
      <w:r>
        <w:rPr>
          <w:sz w:val="24"/>
          <w:szCs w:val="24"/>
        </w:rPr>
        <w:t xml:space="preserve">FFA = </w:t>
      </w:r>
      <m:oMath>
        <m:f>
          <m:fPr>
            <m:ctrlPr>
              <w:rPr>
                <w:rFonts w:ascii="Cambria Math" w:hAnsi="Cambria Math"/>
                <w:i/>
                <w:sz w:val="24"/>
                <w:szCs w:val="24"/>
              </w:rPr>
            </m:ctrlPr>
          </m:fPr>
          <m:num>
            <m:r>
              <w:rPr>
                <w:rFonts w:ascii="Cambria Math" w:hAnsi="Cambria Math"/>
                <w:sz w:val="24"/>
                <w:szCs w:val="24"/>
              </w:rPr>
              <m:t>183.04</m:t>
            </m:r>
          </m:num>
          <m:den>
            <m:r>
              <w:rPr>
                <w:rFonts w:ascii="Cambria Math" w:hAnsi="Cambria Math"/>
                <w:sz w:val="24"/>
                <w:szCs w:val="24"/>
              </w:rPr>
              <m:t>2</m:t>
            </m:r>
          </m:den>
        </m:f>
      </m:oMath>
    </w:p>
    <w:p w14:paraId="0E2F6B0C" w14:textId="77777777" w:rsidR="001975AD" w:rsidRDefault="001975AD" w:rsidP="00AE37FF">
      <w:pPr>
        <w:spacing w:line="480" w:lineRule="auto"/>
        <w:jc w:val="both"/>
        <w:rPr>
          <w:sz w:val="24"/>
          <w:szCs w:val="24"/>
        </w:rPr>
      </w:pPr>
      <w:r>
        <w:rPr>
          <w:sz w:val="24"/>
          <w:szCs w:val="24"/>
        </w:rPr>
        <w:t xml:space="preserve">        = 91.52</w:t>
      </w:r>
    </w:p>
    <w:p w14:paraId="5A47F13F" w14:textId="0E3EC393" w:rsidR="001975AD" w:rsidRPr="00AC031D" w:rsidRDefault="001975AD" w:rsidP="00AE37FF">
      <w:pPr>
        <w:spacing w:line="480" w:lineRule="auto"/>
        <w:jc w:val="both"/>
        <w:rPr>
          <w:sz w:val="24"/>
          <w:szCs w:val="24"/>
        </w:rPr>
      </w:pPr>
    </w:p>
    <w:p w14:paraId="2CB42BF8" w14:textId="4EF34C00" w:rsidR="005E2F60" w:rsidRDefault="00E30D86" w:rsidP="00AE37FF">
      <w:pPr>
        <w:spacing w:line="480" w:lineRule="auto"/>
        <w:jc w:val="both"/>
        <w:rPr>
          <w:i/>
          <w:iCs/>
          <w:sz w:val="24"/>
          <w:szCs w:val="24"/>
          <w:lang w:val="en-MY"/>
        </w:rPr>
      </w:pPr>
      <w:r>
        <w:rPr>
          <w:i/>
          <w:iCs/>
          <w:sz w:val="24"/>
          <w:szCs w:val="24"/>
        </w:rPr>
        <w:t>4.0</w:t>
      </w:r>
      <w:r w:rsidR="00FC3DDF" w:rsidRPr="00FC3DDF">
        <w:rPr>
          <w:i/>
          <w:iCs/>
          <w:sz w:val="24"/>
          <w:szCs w:val="24"/>
        </w:rPr>
        <w:t xml:space="preserve">  </w:t>
      </w:r>
      <w:r w:rsidR="005E2F60" w:rsidRPr="005E2F60">
        <w:rPr>
          <w:i/>
          <w:iCs/>
          <w:sz w:val="24"/>
          <w:szCs w:val="24"/>
          <w:lang w:val="en-MY"/>
        </w:rPr>
        <w:t>Biodiesel confirmation analysis</w:t>
      </w:r>
    </w:p>
    <w:p w14:paraId="272C4B75" w14:textId="1C476048" w:rsidR="0090565B" w:rsidRDefault="00757494" w:rsidP="00AE37FF">
      <w:pPr>
        <w:spacing w:line="480" w:lineRule="auto"/>
        <w:jc w:val="both"/>
        <w:rPr>
          <w:sz w:val="24"/>
          <w:szCs w:val="24"/>
          <w:lang w:val="en-MY"/>
        </w:rPr>
      </w:pPr>
      <w:r w:rsidRPr="00757494">
        <w:rPr>
          <w:sz w:val="24"/>
          <w:szCs w:val="24"/>
          <w:lang w:val="en-MY"/>
        </w:rPr>
        <w:t>The ester compositions of biodiesel were assessed using gas chromatography with a flame ioni</w:t>
      </w:r>
      <w:r w:rsidR="00EC0423">
        <w:rPr>
          <w:sz w:val="24"/>
          <w:szCs w:val="24"/>
          <w:lang w:val="en-MY"/>
        </w:rPr>
        <w:t>z</w:t>
      </w:r>
      <w:r w:rsidRPr="00757494">
        <w:rPr>
          <w:sz w:val="24"/>
          <w:szCs w:val="24"/>
          <w:lang w:val="en-MY"/>
        </w:rPr>
        <w:t>ation detector (GC-FID, Agilent 7890-A) equipped with a pre-installed BPX-70 capillary column (60 m 0.25 mm 0.25 m), in accordance with the EN14103 standard procedure. The eluted esters from the synthesi</w:t>
      </w:r>
      <w:r>
        <w:rPr>
          <w:sz w:val="24"/>
          <w:szCs w:val="24"/>
          <w:lang w:val="en-MY"/>
        </w:rPr>
        <w:t>z</w:t>
      </w:r>
      <w:r w:rsidRPr="00757494">
        <w:rPr>
          <w:sz w:val="24"/>
          <w:szCs w:val="24"/>
          <w:lang w:val="en-MY"/>
        </w:rPr>
        <w:t>ed biodiesel were compared with reference standards of known concentrations (</w:t>
      </w:r>
      <w:r w:rsidR="00A97900" w:rsidRPr="00A97900">
        <w:rPr>
          <w:sz w:val="24"/>
          <w:szCs w:val="24"/>
        </w:rPr>
        <w:t>C</w:t>
      </w:r>
      <w:r w:rsidR="00A97900" w:rsidRPr="00A97900">
        <w:rPr>
          <w:sz w:val="24"/>
          <w:szCs w:val="24"/>
          <w:vertAlign w:val="subscript"/>
        </w:rPr>
        <w:t>12:0</w:t>
      </w:r>
      <w:r w:rsidR="00A97900" w:rsidRPr="00A97900">
        <w:rPr>
          <w:sz w:val="24"/>
          <w:szCs w:val="24"/>
        </w:rPr>
        <w:t>, C</w:t>
      </w:r>
      <w:r w:rsidR="00A97900" w:rsidRPr="00A97900">
        <w:rPr>
          <w:sz w:val="24"/>
          <w:szCs w:val="24"/>
          <w:vertAlign w:val="subscript"/>
        </w:rPr>
        <w:t>14:0</w:t>
      </w:r>
      <w:r w:rsidR="00A97900" w:rsidRPr="00A97900">
        <w:rPr>
          <w:sz w:val="24"/>
          <w:szCs w:val="24"/>
        </w:rPr>
        <w:t>, C</w:t>
      </w:r>
      <w:r w:rsidR="00A97900" w:rsidRPr="00A97900">
        <w:rPr>
          <w:sz w:val="24"/>
          <w:szCs w:val="24"/>
          <w:vertAlign w:val="subscript"/>
        </w:rPr>
        <w:t>16:0</w:t>
      </w:r>
      <w:r w:rsidR="00A97900" w:rsidRPr="00A97900">
        <w:rPr>
          <w:sz w:val="24"/>
          <w:szCs w:val="24"/>
        </w:rPr>
        <w:t>, C</w:t>
      </w:r>
      <w:r w:rsidR="00A97900" w:rsidRPr="00A97900">
        <w:rPr>
          <w:sz w:val="24"/>
          <w:szCs w:val="24"/>
          <w:vertAlign w:val="subscript"/>
        </w:rPr>
        <w:t>18:0</w:t>
      </w:r>
      <w:r w:rsidR="00A97900" w:rsidRPr="00A97900">
        <w:rPr>
          <w:sz w:val="24"/>
          <w:szCs w:val="24"/>
        </w:rPr>
        <w:t> and C</w:t>
      </w:r>
      <w:r w:rsidR="00A97900" w:rsidRPr="00A97900">
        <w:rPr>
          <w:sz w:val="24"/>
          <w:szCs w:val="24"/>
          <w:vertAlign w:val="subscript"/>
        </w:rPr>
        <w:t>18:2</w:t>
      </w:r>
      <w:r w:rsidRPr="00757494">
        <w:rPr>
          <w:sz w:val="24"/>
          <w:szCs w:val="24"/>
          <w:lang w:val="en-MY"/>
        </w:rPr>
        <w:t xml:space="preserve">). A volume of approximately 20μL–40μL of the biodiesel sample was diluted with a gas chromatography solvent consisting of 1000 ppm methyl heptadecanoate (internal standard) dissolved in hexane. 1 </w:t>
      </w:r>
      <w:proofErr w:type="spellStart"/>
      <w:r w:rsidRPr="00757494">
        <w:rPr>
          <w:sz w:val="24"/>
          <w:szCs w:val="24"/>
          <w:lang w:val="en-MY"/>
        </w:rPr>
        <w:t>μL</w:t>
      </w:r>
      <w:proofErr w:type="spellEnd"/>
      <w:r w:rsidRPr="00757494">
        <w:rPr>
          <w:sz w:val="24"/>
          <w:szCs w:val="24"/>
          <w:lang w:val="en-MY"/>
        </w:rPr>
        <w:t xml:space="preserve"> of diluted biodiesel was injected into the injector port at 250 °C. The gas chromatography oven temperature was originally established at 100 °C and incrementally increased to 250 °C at a rate of 10 °C/min, while the detector temperature was maintained at 270 °C</w:t>
      </w:r>
      <w:r w:rsidR="007A2C84">
        <w:rPr>
          <w:sz w:val="24"/>
          <w:szCs w:val="24"/>
          <w:lang w:val="en-MY"/>
        </w:rPr>
        <w:t xml:space="preserve"> </w:t>
      </w:r>
      <w:r w:rsidR="007A2C84">
        <w:rPr>
          <w:sz w:val="24"/>
          <w:szCs w:val="24"/>
          <w:lang w:val="en-MY"/>
        </w:rPr>
        <w:fldChar w:fldCharType="begin" w:fldLock="1"/>
      </w:r>
      <w:r w:rsidR="007A2C84">
        <w:rPr>
          <w:sz w:val="24"/>
          <w:szCs w:val="24"/>
          <w:lang w:val="en-MY"/>
        </w:rPr>
        <w:instrText>ADDIN CSL_CITATION {"citationItems":[{"id":"ITEM-1","itemData":{"DOI":"https://doi.org/10.1016/j.biombioe.2025.107607","ISSN":"0961-9534","abstract":"The current study focuses on examining the effectiveness of a palm fatty acid distillate and an acidic sulfonated char catalyst derived from lignocellulosic biomass (rambutan seed waste) in the production of biodiesel via esterification. The carbonaceous solid derived from lignocellulosic rambutan seed (RS) was prepared by carbonisation known as rambutan seed char (RSC), followed by sulfonation for acidic catalyst functionalization (RSC‒SO3H). The RS, RSC and RSC-SO3H were physically and chemically characterized using a surface area analyser, ammonia absorption measurement, infrared spectroscopy, X-ray diffraction spectrometry, thermogravimetric analysis, and morphology analysis by field emission scanning microscopy. The acid density of RSC-SO3H measured by TPD-NH3 was recorded at 5.62 mmol/g which is higher than that of the raw and charred samples, indicating the success of ‒SO3H impregnation on the RSC porous structure. This acidic catalyst efficacy was tested with a waste feedstock with a high FFA content, PFAD, for the esterification of biodiesel in a closed-system reactor. Response surface methodology was applied to PFAD esterification to study four main reaction variables: catalyst loading (1-5 wt %), reaction temperature (55–95 °C), methanol-PFAD molar ratio (9:1–21:1) and reaction time (1–5 h) by generating 31 experiments. The regression model's coefficient of determination, R2, and R2-adj were statistically measured and recognized as well-fitted at 0.994 and 0.988, respectively. The yield of 93.7 % was optimized under a fitted regression model that was esterified under these conditions; 2.2 wt % of catalyst loading, 83.7 °C, 19:1, 1.16 h. RS-SO3H catalyst reusability test, heterogeneity performance, and regeneration analysis were performed. Important biodiesel characteristics were evaluated and their adherence to international standards was analyzed.","author":[{"dropping-particle":"","family":"Hazmi","given":"Balkis","non-dropping-particle":"","parse-names":false,"suffix":""},{"dropping-particle":"","family":"Rashid","given":"Umer","non-dropping-particle":"","parse-names":false,"suffix":""},{"dropping-particle":"","family":"Akhlisah","given":"Zulkipli Nor","non-dropping-particle":"","parse-names":false,"suffix":""},{"dropping-particle":"","family":"Chaowamalee","given":"Supphathee","non-dropping-particle":"","parse-names":false,"suffix":""},{"dropping-particle":"","family":"Ngamcharussrivichai","given":"Chawalit","non-dropping-particle":"","parse-names":false,"suffix":""},{"dropping-particle":"","family":"Sabater","given":"Maria J","non-dropping-particle":"","parse-names":false,"suffix":""}],"container-title":"Biomass and Bioenergy","id":"ITEM-1","issued":{"date-parts":[["2025"]]},"page":"107607","title":"Productive esterification of palm fatty acid distillate under lignocellulosic biomass char of rambutan seeds waste-supported sulfonated catalyst","type":"article-journal","volume":"194"},"uris":["http://www.mendeley.com/documents/?uuid=fd1dac9b-d428-4b5c-a911-747b65384c70"]}],"mendeley":{"formattedCitation":"(Hazmi et al., 2025)","plainTextFormattedCitation":"(Hazmi et al., 2025)","previouslyFormattedCitation":"(Hazmi et al., 2025)"},"properties":{"noteIndex":0},"schema":"https://github.com/citation-style-language/schema/raw/master/csl-citation.json"}</w:instrText>
      </w:r>
      <w:r w:rsidR="007A2C84">
        <w:rPr>
          <w:sz w:val="24"/>
          <w:szCs w:val="24"/>
          <w:lang w:val="en-MY"/>
        </w:rPr>
        <w:fldChar w:fldCharType="separate"/>
      </w:r>
      <w:r w:rsidR="007A2C84" w:rsidRPr="007A2C84">
        <w:rPr>
          <w:noProof/>
          <w:sz w:val="24"/>
          <w:szCs w:val="24"/>
          <w:lang w:val="en-MY"/>
        </w:rPr>
        <w:t>(Hazmi et al., 2025)</w:t>
      </w:r>
      <w:r w:rsidR="007A2C84">
        <w:rPr>
          <w:sz w:val="24"/>
          <w:szCs w:val="24"/>
          <w:lang w:val="en-MY"/>
        </w:rPr>
        <w:fldChar w:fldCharType="end"/>
      </w:r>
      <w:r w:rsidRPr="00757494">
        <w:rPr>
          <w:sz w:val="24"/>
          <w:szCs w:val="24"/>
          <w:lang w:val="en-MY"/>
        </w:rPr>
        <w:t>. The PerkinElmer (PC) Spectrum 100 FTIR, with a resolution of 4 cm</w:t>
      </w:r>
      <w:r w:rsidRPr="00757494">
        <w:rPr>
          <w:sz w:val="24"/>
          <w:szCs w:val="24"/>
          <w:vertAlign w:val="superscript"/>
          <w:lang w:val="en-MY"/>
        </w:rPr>
        <w:t>−1</w:t>
      </w:r>
      <w:r w:rsidRPr="00757494">
        <w:rPr>
          <w:sz w:val="24"/>
          <w:szCs w:val="24"/>
          <w:lang w:val="en-MY"/>
        </w:rPr>
        <w:t xml:space="preserve"> (300–4000 cm</w:t>
      </w:r>
      <w:r w:rsidRPr="00757494">
        <w:rPr>
          <w:sz w:val="24"/>
          <w:szCs w:val="24"/>
          <w:vertAlign w:val="superscript"/>
          <w:lang w:val="en-MY"/>
        </w:rPr>
        <w:t>−1</w:t>
      </w:r>
      <w:r w:rsidRPr="00757494">
        <w:rPr>
          <w:sz w:val="24"/>
          <w:szCs w:val="24"/>
          <w:lang w:val="en-MY"/>
        </w:rPr>
        <w:t>), was employed to validate the identified organic functional compounds</w:t>
      </w:r>
      <w:r w:rsidR="007A2C84">
        <w:rPr>
          <w:sz w:val="24"/>
          <w:szCs w:val="24"/>
          <w:lang w:val="en-MY"/>
        </w:rPr>
        <w:t xml:space="preserve"> </w:t>
      </w:r>
      <w:r w:rsidR="007A2C84">
        <w:rPr>
          <w:sz w:val="24"/>
          <w:szCs w:val="24"/>
          <w:lang w:val="en-MY"/>
        </w:rPr>
        <w:fldChar w:fldCharType="begin" w:fldLock="1"/>
      </w:r>
      <w:r w:rsidR="00AE37FF">
        <w:rPr>
          <w:sz w:val="24"/>
          <w:szCs w:val="24"/>
          <w:lang w:val="en-MY"/>
        </w:rPr>
        <w:instrText>ADDIN CSL_CITATION {"citationItems":[{"id":"ITEM-1","itemData":{"DOI":"10.1039/d2ra00853j","ISSN":"20462069","abstract":"Concerns over global greenhouse gas emissions such as COx and NOx as well as the depletion of petroleum fossil resources have motivated humankind to seek an alternative energy source known as green diesel. In this study, green diesel was produced via a deoxygenation (DO) reaction of ceiba oil under a H2-free atmosphere over Ni modified red mud-based catalysts, which have been synthesized via a precipitation - deep-deposition assisted autoclave method. The obtained catalyst was further characterized by XRF, XRD, BET, FTIR, TPD-NH3, FESEM, and TGA. Based on the catalytic activity test, all Ni/RMOx catalysts facilitated greater DO activity by yielding 83-86% hydrocarbon yield and 70-85% saturated diesel n-(C15 + C17) selectivity. Ni/RMO3 was the best catalyst for deoxygenizing the ceiba oil owing to the existence of a high acidic strength (12717.3 μmol g−1) and synergistic interaction between Fe-O and Ni-O species, thereby producing the highest hydrocarbon yield (86%) and n-(C15 + C17) selectivity (85%). According to the reusability study, the Ni/RMO3 could be reused for up to six consecutive runs with hydrocarbon yields ranging from 53% to 83% and n-(C15 + C17) selectivity ranging from 62% to 83%.","author":[{"dropping-particle":"","family":"Adzahar","given":"Nur Athirah","non-dropping-particle":"","parse-names":false,"suffix":""},{"dropping-particle":"","family":"Asikin-Mijan","given":"N.","non-dropping-particle":"","parse-names":false,"suffix":""},{"dropping-particle":"","family":"Saiman","given":"Mohd Izham","non-dropping-particle":"","parse-names":false,"suffix":""},{"dropping-particle":"","family":"Alsultan","given":"G. Abdulkareem","non-dropping-particle":"","parse-names":false,"suffix":""},{"dropping-particle":"","family":"Mastuli","given":"M. S.","non-dropping-particle":"","parse-names":false,"suffix":""},{"dropping-particle":"","family":"Shamsuddin","given":"Mohd Razali","non-dropping-particle":"","parse-names":false,"suffix":""},{"dropping-particle":"","family":"Taufiq-Yap","given":"Y. H.","non-dropping-particle":"","parse-names":false,"suffix":""}],"container-title":"RSC Advances","id":"ITEM-1","issue":"26","issued":{"date-parts":[["2022"]]},"page":"16903-16917","title":"Chemoselective decarboxylation of ceiba oil to diesel-range alkanes over a red mud based catalyst under H2-free conditions","type":"article-journal","volume":"12"},"uris":["http://www.mendeley.com/documents/?uuid=f0b6b2f9-088d-400e-b2b2-1859372aa36e"]}],"mendeley":{"formattedCitation":"(Adzahar et al., 2022)","plainTextFormattedCitation":"(Adzahar et al., 2022)","previouslyFormattedCitation":"(Adzahar et al., 2022)"},"properties":{"noteIndex":0},"schema":"https://github.com/citation-style-language/schema/raw/master/csl-citation.json"}</w:instrText>
      </w:r>
      <w:r w:rsidR="007A2C84">
        <w:rPr>
          <w:sz w:val="24"/>
          <w:szCs w:val="24"/>
          <w:lang w:val="en-MY"/>
        </w:rPr>
        <w:fldChar w:fldCharType="separate"/>
      </w:r>
      <w:r w:rsidR="007A2C84" w:rsidRPr="007A2C84">
        <w:rPr>
          <w:noProof/>
          <w:sz w:val="24"/>
          <w:szCs w:val="24"/>
          <w:lang w:val="en-MY"/>
        </w:rPr>
        <w:t>(Adzahar et al., 2022)</w:t>
      </w:r>
      <w:r w:rsidR="007A2C84">
        <w:rPr>
          <w:sz w:val="24"/>
          <w:szCs w:val="24"/>
          <w:lang w:val="en-MY"/>
        </w:rPr>
        <w:fldChar w:fldCharType="end"/>
      </w:r>
      <w:r w:rsidRPr="00757494">
        <w:rPr>
          <w:sz w:val="24"/>
          <w:szCs w:val="24"/>
          <w:lang w:val="en-MY"/>
        </w:rPr>
        <w:t>.</w:t>
      </w:r>
    </w:p>
    <w:p w14:paraId="1AB7A5CD" w14:textId="64B40C0A" w:rsidR="00AE37FF" w:rsidRDefault="00AE37FF" w:rsidP="00AE37FF">
      <w:pPr>
        <w:spacing w:line="480" w:lineRule="auto"/>
        <w:jc w:val="both"/>
        <w:rPr>
          <w:b/>
          <w:bCs/>
          <w:sz w:val="24"/>
          <w:szCs w:val="24"/>
          <w:lang w:val="en-MY"/>
        </w:rPr>
      </w:pPr>
      <w:r w:rsidRPr="00AE37FF">
        <w:rPr>
          <w:b/>
          <w:bCs/>
          <w:sz w:val="24"/>
          <w:szCs w:val="24"/>
          <w:lang w:val="en-MY"/>
        </w:rPr>
        <w:lastRenderedPageBreak/>
        <w:t>References</w:t>
      </w:r>
    </w:p>
    <w:p w14:paraId="4E13FF5C" w14:textId="77777777" w:rsidR="00AE37FF" w:rsidRDefault="00AE37FF" w:rsidP="00AE37FF">
      <w:pPr>
        <w:spacing w:line="480" w:lineRule="auto"/>
        <w:jc w:val="both"/>
        <w:rPr>
          <w:b/>
          <w:bCs/>
          <w:sz w:val="24"/>
          <w:szCs w:val="24"/>
          <w:lang w:val="en-MY"/>
        </w:rPr>
      </w:pPr>
    </w:p>
    <w:p w14:paraId="0D36BA00" w14:textId="3B3652BA" w:rsidR="00AE37FF" w:rsidRPr="00AE37FF" w:rsidRDefault="00AE37FF" w:rsidP="00AE37FF">
      <w:pPr>
        <w:widowControl w:val="0"/>
        <w:autoSpaceDE w:val="0"/>
        <w:autoSpaceDN w:val="0"/>
        <w:adjustRightInd w:val="0"/>
        <w:ind w:left="480" w:hanging="480"/>
        <w:jc w:val="both"/>
        <w:rPr>
          <w:noProof/>
          <w:sz w:val="24"/>
        </w:rPr>
      </w:pPr>
      <w:r>
        <w:rPr>
          <w:b/>
          <w:bCs/>
          <w:sz w:val="24"/>
          <w:szCs w:val="24"/>
          <w:lang w:val="en-MY"/>
        </w:rPr>
        <w:fldChar w:fldCharType="begin" w:fldLock="1"/>
      </w:r>
      <w:r>
        <w:rPr>
          <w:b/>
          <w:bCs/>
          <w:sz w:val="24"/>
          <w:szCs w:val="24"/>
          <w:lang w:val="en-MY"/>
        </w:rPr>
        <w:instrText xml:space="preserve">ADDIN Mendeley Bibliography CSL_BIBLIOGRAPHY </w:instrText>
      </w:r>
      <w:r>
        <w:rPr>
          <w:b/>
          <w:bCs/>
          <w:sz w:val="24"/>
          <w:szCs w:val="24"/>
          <w:lang w:val="en-MY"/>
        </w:rPr>
        <w:fldChar w:fldCharType="separate"/>
      </w:r>
      <w:r w:rsidRPr="00AE37FF">
        <w:rPr>
          <w:noProof/>
          <w:sz w:val="24"/>
        </w:rPr>
        <w:t xml:space="preserve">Adzahar, N. A., AbdulKareem-Alsultan, G., Mijan, N. A., Mastuli, M. S., Lee, H. V., &amp; Taufiq-Yap, Y. H. (2025). Effect of catalyst synthesis of bimetallic nickel-cobalt supported iron-based catalysts on converting palm kernel oil into bio-jet fuel via deoxygenation reaction. </w:t>
      </w:r>
      <w:r w:rsidRPr="00AE37FF">
        <w:rPr>
          <w:i/>
          <w:iCs/>
          <w:noProof/>
          <w:sz w:val="24"/>
        </w:rPr>
        <w:t>Energy</w:t>
      </w:r>
      <w:r w:rsidRPr="00AE37FF">
        <w:rPr>
          <w:noProof/>
          <w:sz w:val="24"/>
        </w:rPr>
        <w:t xml:space="preserve">, </w:t>
      </w:r>
      <w:r w:rsidRPr="00AE37FF">
        <w:rPr>
          <w:i/>
          <w:iCs/>
          <w:noProof/>
          <w:sz w:val="24"/>
        </w:rPr>
        <w:t>314</w:t>
      </w:r>
      <w:r w:rsidRPr="00AE37FF">
        <w:rPr>
          <w:noProof/>
          <w:sz w:val="24"/>
        </w:rPr>
        <w:t>(June 2024), 133957. https://doi.org/10.1016/j.energy.2024.133957</w:t>
      </w:r>
    </w:p>
    <w:p w14:paraId="078A54C4" w14:textId="77777777" w:rsidR="00AE37FF" w:rsidRPr="00AE37FF" w:rsidRDefault="00AE37FF" w:rsidP="00AE37FF">
      <w:pPr>
        <w:widowControl w:val="0"/>
        <w:autoSpaceDE w:val="0"/>
        <w:autoSpaceDN w:val="0"/>
        <w:adjustRightInd w:val="0"/>
        <w:ind w:left="480" w:hanging="480"/>
        <w:jc w:val="both"/>
        <w:rPr>
          <w:noProof/>
          <w:sz w:val="24"/>
        </w:rPr>
      </w:pPr>
      <w:r w:rsidRPr="00AE37FF">
        <w:rPr>
          <w:noProof/>
          <w:sz w:val="24"/>
        </w:rPr>
        <w:t xml:space="preserve">Adzahar, N. A., Asikin-Mijan, N., Saiman, M. I., Alsultan, G. A., Mastuli, M. S., Shamsuddin, M. R., &amp; Taufiq-Yap, Y. H. (2022). Chemoselective decarboxylation of ceiba oil to diesel-range alkanes over a red mud based catalyst under H2-free conditions. </w:t>
      </w:r>
      <w:r w:rsidRPr="00AE37FF">
        <w:rPr>
          <w:i/>
          <w:iCs/>
          <w:noProof/>
          <w:sz w:val="24"/>
        </w:rPr>
        <w:t>RSC Advances</w:t>
      </w:r>
      <w:r w:rsidRPr="00AE37FF">
        <w:rPr>
          <w:noProof/>
          <w:sz w:val="24"/>
        </w:rPr>
        <w:t xml:space="preserve">, </w:t>
      </w:r>
      <w:r w:rsidRPr="00AE37FF">
        <w:rPr>
          <w:i/>
          <w:iCs/>
          <w:noProof/>
          <w:sz w:val="24"/>
        </w:rPr>
        <w:t>12</w:t>
      </w:r>
      <w:r w:rsidRPr="00AE37FF">
        <w:rPr>
          <w:noProof/>
          <w:sz w:val="24"/>
        </w:rPr>
        <w:t>(26), 16903–16917. https://doi.org/10.1039/d2ra00853j</w:t>
      </w:r>
    </w:p>
    <w:p w14:paraId="60E2909C" w14:textId="77777777" w:rsidR="00AE37FF" w:rsidRPr="00AE37FF" w:rsidRDefault="00AE37FF" w:rsidP="00AE37FF">
      <w:pPr>
        <w:widowControl w:val="0"/>
        <w:autoSpaceDE w:val="0"/>
        <w:autoSpaceDN w:val="0"/>
        <w:adjustRightInd w:val="0"/>
        <w:ind w:left="480" w:hanging="480"/>
        <w:jc w:val="both"/>
        <w:rPr>
          <w:noProof/>
          <w:sz w:val="24"/>
        </w:rPr>
      </w:pPr>
      <w:r w:rsidRPr="00AE37FF">
        <w:rPr>
          <w:noProof/>
          <w:sz w:val="24"/>
        </w:rPr>
        <w:t xml:space="preserve">Hazmi, B., Beygisangchin, M., Rashid, U., Mokhtar, W. N. A. W., Tsubota, T., Alsalme, A., &amp; Ngamcharussrivichai, C. (2022). Glycerol-Based Retrievable Heterogeneous Catalysts for Single-Pot Esterification of Palm Fatty Acid Distillate to Biodiesel. </w:t>
      </w:r>
      <w:r w:rsidRPr="00AE37FF">
        <w:rPr>
          <w:i/>
          <w:iCs/>
          <w:noProof/>
          <w:sz w:val="24"/>
        </w:rPr>
        <w:t>Molecules</w:t>
      </w:r>
      <w:r w:rsidRPr="00AE37FF">
        <w:rPr>
          <w:noProof/>
          <w:sz w:val="24"/>
        </w:rPr>
        <w:t xml:space="preserve">, </w:t>
      </w:r>
      <w:r w:rsidRPr="00AE37FF">
        <w:rPr>
          <w:i/>
          <w:iCs/>
          <w:noProof/>
          <w:sz w:val="24"/>
        </w:rPr>
        <w:t>27</w:t>
      </w:r>
      <w:r w:rsidRPr="00AE37FF">
        <w:rPr>
          <w:noProof/>
          <w:sz w:val="24"/>
        </w:rPr>
        <w:t>(20). https://doi.org/10.3390/molecules27207142</w:t>
      </w:r>
    </w:p>
    <w:p w14:paraId="6ED28D5B" w14:textId="77777777" w:rsidR="00AE37FF" w:rsidRPr="00AE37FF" w:rsidRDefault="00AE37FF" w:rsidP="00AE37FF">
      <w:pPr>
        <w:widowControl w:val="0"/>
        <w:autoSpaceDE w:val="0"/>
        <w:autoSpaceDN w:val="0"/>
        <w:adjustRightInd w:val="0"/>
        <w:ind w:left="480" w:hanging="480"/>
        <w:jc w:val="both"/>
        <w:rPr>
          <w:noProof/>
          <w:sz w:val="24"/>
        </w:rPr>
      </w:pPr>
      <w:r w:rsidRPr="00AE37FF">
        <w:rPr>
          <w:noProof/>
          <w:sz w:val="24"/>
        </w:rPr>
        <w:t xml:space="preserve">Hazmi, B., Rashid, U., Akhlisah, Z. N., Chaowamalee, S., Ngamcharussrivichai, C., &amp; Sabater, M. J. (2025). Productive esterification of palm fatty acid distillate under lignocellulosic biomass char of rambutan seeds waste-supported sulfonated catalyst. </w:t>
      </w:r>
      <w:r w:rsidRPr="00AE37FF">
        <w:rPr>
          <w:i/>
          <w:iCs/>
          <w:noProof/>
          <w:sz w:val="24"/>
        </w:rPr>
        <w:t>Biomass and Bioenergy</w:t>
      </w:r>
      <w:r w:rsidRPr="00AE37FF">
        <w:rPr>
          <w:noProof/>
          <w:sz w:val="24"/>
        </w:rPr>
        <w:t xml:space="preserve">, </w:t>
      </w:r>
      <w:r w:rsidRPr="00AE37FF">
        <w:rPr>
          <w:i/>
          <w:iCs/>
          <w:noProof/>
          <w:sz w:val="24"/>
        </w:rPr>
        <w:t>194</w:t>
      </w:r>
      <w:r w:rsidRPr="00AE37FF">
        <w:rPr>
          <w:noProof/>
          <w:sz w:val="24"/>
        </w:rPr>
        <w:t>, 107607. https://doi.org/https://doi.org/10.1016/j.biombioe.2025.107607</w:t>
      </w:r>
    </w:p>
    <w:p w14:paraId="1E85D05A" w14:textId="77777777" w:rsidR="00AE37FF" w:rsidRPr="00AE37FF" w:rsidRDefault="00AE37FF" w:rsidP="00AE37FF">
      <w:pPr>
        <w:widowControl w:val="0"/>
        <w:autoSpaceDE w:val="0"/>
        <w:autoSpaceDN w:val="0"/>
        <w:adjustRightInd w:val="0"/>
        <w:ind w:left="480" w:hanging="480"/>
        <w:jc w:val="both"/>
        <w:rPr>
          <w:noProof/>
          <w:sz w:val="24"/>
        </w:rPr>
      </w:pPr>
      <w:r w:rsidRPr="00AE37FF">
        <w:rPr>
          <w:noProof/>
          <w:sz w:val="24"/>
        </w:rPr>
        <w:t xml:space="preserve">Hazmi, B., Rashid, U., Ibrahim, M. L., Nehdi, I. A., Azam, M., &amp; Al-Resayes, S. I. (2021). Synthesis and characterization of bifunctional magnetic nano-catalyst from rice husk for production of biodiesel. </w:t>
      </w:r>
      <w:r w:rsidRPr="00AE37FF">
        <w:rPr>
          <w:i/>
          <w:iCs/>
          <w:noProof/>
          <w:sz w:val="24"/>
        </w:rPr>
        <w:t>Environmental Technology &amp; Innovation</w:t>
      </w:r>
      <w:r w:rsidRPr="00AE37FF">
        <w:rPr>
          <w:noProof/>
          <w:sz w:val="24"/>
        </w:rPr>
        <w:t xml:space="preserve">, </w:t>
      </w:r>
      <w:r w:rsidRPr="00AE37FF">
        <w:rPr>
          <w:i/>
          <w:iCs/>
          <w:noProof/>
          <w:sz w:val="24"/>
        </w:rPr>
        <w:t>21</w:t>
      </w:r>
      <w:r w:rsidRPr="00AE37FF">
        <w:rPr>
          <w:noProof/>
          <w:sz w:val="24"/>
        </w:rPr>
        <w:t>, 101296. https://doi.org/https://doi.org/10.1016/j.eti.2020.101296</w:t>
      </w:r>
    </w:p>
    <w:p w14:paraId="3C816C44" w14:textId="25B210AC" w:rsidR="00AE37FF" w:rsidRPr="00AE37FF" w:rsidRDefault="00AE37FF" w:rsidP="00AE37FF">
      <w:pPr>
        <w:jc w:val="both"/>
        <w:rPr>
          <w:b/>
          <w:bCs/>
          <w:sz w:val="24"/>
          <w:szCs w:val="24"/>
          <w:lang w:val="en-MY"/>
        </w:rPr>
      </w:pPr>
      <w:r>
        <w:rPr>
          <w:b/>
          <w:bCs/>
          <w:sz w:val="24"/>
          <w:szCs w:val="24"/>
          <w:lang w:val="en-MY"/>
        </w:rPr>
        <w:fldChar w:fldCharType="end"/>
      </w:r>
    </w:p>
    <w:sectPr w:rsidR="00AE37FF" w:rsidRPr="00AE37FF" w:rsidSect="0090565B">
      <w:footerReference w:type="default" r:id="rId7"/>
      <w:pgSz w:w="11906" w:h="16838"/>
      <w:pgMar w:top="1440" w:right="1800" w:bottom="1440" w:left="180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A7642E" w14:textId="77777777" w:rsidR="00123239" w:rsidRDefault="00123239">
      <w:r>
        <w:separator/>
      </w:r>
    </w:p>
  </w:endnote>
  <w:endnote w:type="continuationSeparator" w:id="0">
    <w:p w14:paraId="311704A8" w14:textId="77777777" w:rsidR="00123239" w:rsidRDefault="001232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8E7A00" w14:textId="77777777" w:rsidR="0090565B" w:rsidRDefault="0090565B">
    <w:pPr>
      <w:spacing w:line="200" w:lineRule="exact"/>
    </w:pPr>
    <w:r>
      <w:rPr>
        <w:noProof/>
      </w:rPr>
      <mc:AlternateContent>
        <mc:Choice Requires="wps">
          <w:drawing>
            <wp:anchor distT="0" distB="0" distL="114300" distR="114300" simplePos="0" relativeHeight="251659264" behindDoc="1" locked="0" layoutInCell="1" allowOverlap="1" wp14:anchorId="16362135" wp14:editId="35A4BAFB">
              <wp:simplePos x="0" y="0"/>
              <wp:positionH relativeFrom="page">
                <wp:posOffset>3946525</wp:posOffset>
              </wp:positionH>
              <wp:positionV relativeFrom="page">
                <wp:posOffset>9918065</wp:posOffset>
              </wp:positionV>
              <wp:extent cx="206375" cy="165735"/>
              <wp:effectExtent l="3175" t="2540" r="0" b="3175"/>
              <wp:wrapNone/>
              <wp:docPr id="1673456256"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375"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715C95" w14:textId="77777777" w:rsidR="0090565B" w:rsidRDefault="0090565B">
                          <w:pPr>
                            <w:spacing w:line="240" w:lineRule="exact"/>
                            <w:ind w:left="40"/>
                            <w:rPr>
                              <w:rFonts w:ascii="Arial" w:eastAsia="Arial" w:hAnsi="Arial" w:cs="Arial"/>
                              <w:sz w:val="22"/>
                              <w:szCs w:val="22"/>
                            </w:rPr>
                          </w:pPr>
                          <w:r>
                            <w:fldChar w:fldCharType="begin"/>
                          </w:r>
                          <w:r>
                            <w:rPr>
                              <w:rFonts w:ascii="Arial" w:eastAsia="Arial" w:hAnsi="Arial" w:cs="Arial"/>
                              <w:sz w:val="22"/>
                              <w:szCs w:val="22"/>
                            </w:rPr>
                            <w:instrText xml:space="preserve"> PAGE </w:instrText>
                          </w:r>
                          <w:r>
                            <w:fldChar w:fldCharType="separate"/>
                          </w:r>
                          <w:r>
                            <w:t>10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362135" id="_x0000_t202" coordsize="21600,21600" o:spt="202" path="m,l,21600r21600,l21600,xe">
              <v:stroke joinstyle="miter"/>
              <v:path gradientshapeok="t" o:connecttype="rect"/>
            </v:shapetype>
            <v:shape id="Text Box 1" o:spid="_x0000_s1026" type="#_x0000_t202" style="position:absolute;margin-left:310.75pt;margin-top:780.95pt;width:16.25pt;height:13.0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" filled="f" stroked="f">
              <v:textbox inset="0,0,0,0">
                <w:txbxContent>
                  <w:p w14:paraId="3C715C95" w14:textId="77777777" w:rsidR="0090565B" w:rsidRDefault="0090565B">
                    <w:pPr>
                      <w:spacing w:line="240" w:lineRule="exact"/>
                      <w:ind w:left="40"/>
                      <w:rPr>
                        <w:rFonts w:ascii="Arial" w:eastAsia="Arial" w:hAnsi="Arial" w:cs="Arial"/>
                        <w:sz w:val="22"/>
                        <w:szCs w:val="22"/>
                      </w:rPr>
                    </w:pPr>
                    <w:r>
                      <w:fldChar w:fldCharType="begin"/>
                    </w:r>
                    <w:r>
                      <w:rPr>
                        <w:rFonts w:ascii="Arial" w:eastAsia="Arial" w:hAnsi="Arial" w:cs="Arial"/>
                        <w:sz w:val="22"/>
                        <w:szCs w:val="22"/>
                      </w:rPr>
                      <w:instrText xml:space="preserve"> PAGE </w:instrText>
                    </w:r>
                    <w:r>
                      <w:fldChar w:fldCharType="separate"/>
                    </w:r>
                    <w:r>
                      <w:t>10</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E2538C" w14:textId="77777777" w:rsidR="00123239" w:rsidRDefault="00123239">
      <w:r>
        <w:separator/>
      </w:r>
    </w:p>
  </w:footnote>
  <w:footnote w:type="continuationSeparator" w:id="0">
    <w:p w14:paraId="363A0FD2" w14:textId="77777777" w:rsidR="00123239" w:rsidRDefault="0012323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565B"/>
    <w:rsid w:val="00002783"/>
    <w:rsid w:val="0000370F"/>
    <w:rsid w:val="00006B23"/>
    <w:rsid w:val="00026AC3"/>
    <w:rsid w:val="000C525C"/>
    <w:rsid w:val="000D2AE8"/>
    <w:rsid w:val="000F1B33"/>
    <w:rsid w:val="0011047C"/>
    <w:rsid w:val="00116BC2"/>
    <w:rsid w:val="00123239"/>
    <w:rsid w:val="00131BAD"/>
    <w:rsid w:val="001975AD"/>
    <w:rsid w:val="00245440"/>
    <w:rsid w:val="002527F8"/>
    <w:rsid w:val="00282C69"/>
    <w:rsid w:val="00295DF6"/>
    <w:rsid w:val="002D0D79"/>
    <w:rsid w:val="002E4AE9"/>
    <w:rsid w:val="00316541"/>
    <w:rsid w:val="003828D7"/>
    <w:rsid w:val="00396032"/>
    <w:rsid w:val="003A67F1"/>
    <w:rsid w:val="003E019E"/>
    <w:rsid w:val="003E3B21"/>
    <w:rsid w:val="004A0FA7"/>
    <w:rsid w:val="004C09E9"/>
    <w:rsid w:val="004F6C08"/>
    <w:rsid w:val="0055426F"/>
    <w:rsid w:val="00555262"/>
    <w:rsid w:val="005650A1"/>
    <w:rsid w:val="005A4429"/>
    <w:rsid w:val="005E2F60"/>
    <w:rsid w:val="006032CE"/>
    <w:rsid w:val="0065074A"/>
    <w:rsid w:val="00653FD3"/>
    <w:rsid w:val="006A1537"/>
    <w:rsid w:val="006D309E"/>
    <w:rsid w:val="006F30E9"/>
    <w:rsid w:val="0070165B"/>
    <w:rsid w:val="00712294"/>
    <w:rsid w:val="00713898"/>
    <w:rsid w:val="00757494"/>
    <w:rsid w:val="00782A70"/>
    <w:rsid w:val="00793EA1"/>
    <w:rsid w:val="007A2C84"/>
    <w:rsid w:val="007E0429"/>
    <w:rsid w:val="007E732C"/>
    <w:rsid w:val="0080125D"/>
    <w:rsid w:val="0083179A"/>
    <w:rsid w:val="008354C9"/>
    <w:rsid w:val="00883F85"/>
    <w:rsid w:val="008B1CD4"/>
    <w:rsid w:val="008C6580"/>
    <w:rsid w:val="008E219A"/>
    <w:rsid w:val="0090426C"/>
    <w:rsid w:val="0090565B"/>
    <w:rsid w:val="009261EF"/>
    <w:rsid w:val="0094447E"/>
    <w:rsid w:val="00947B8A"/>
    <w:rsid w:val="00996E91"/>
    <w:rsid w:val="009A0E25"/>
    <w:rsid w:val="009B2CD6"/>
    <w:rsid w:val="009D1DC5"/>
    <w:rsid w:val="009D2A11"/>
    <w:rsid w:val="009F1522"/>
    <w:rsid w:val="00A01F0A"/>
    <w:rsid w:val="00A97900"/>
    <w:rsid w:val="00AC031D"/>
    <w:rsid w:val="00AE37FF"/>
    <w:rsid w:val="00B04C47"/>
    <w:rsid w:val="00B20987"/>
    <w:rsid w:val="00B26B4D"/>
    <w:rsid w:val="00B278F6"/>
    <w:rsid w:val="00B331E0"/>
    <w:rsid w:val="00B87A9D"/>
    <w:rsid w:val="00BA0769"/>
    <w:rsid w:val="00C25AF7"/>
    <w:rsid w:val="00C630B4"/>
    <w:rsid w:val="00C91C1F"/>
    <w:rsid w:val="00CA4154"/>
    <w:rsid w:val="00CA746A"/>
    <w:rsid w:val="00CE16FC"/>
    <w:rsid w:val="00D63ED8"/>
    <w:rsid w:val="00DB1988"/>
    <w:rsid w:val="00DB26B9"/>
    <w:rsid w:val="00DF5D66"/>
    <w:rsid w:val="00E24080"/>
    <w:rsid w:val="00E271A5"/>
    <w:rsid w:val="00E305FF"/>
    <w:rsid w:val="00E30D86"/>
    <w:rsid w:val="00E3663A"/>
    <w:rsid w:val="00EC0423"/>
    <w:rsid w:val="00ED05CA"/>
    <w:rsid w:val="00F1055A"/>
    <w:rsid w:val="00F779F2"/>
    <w:rsid w:val="00FC3DDF"/>
    <w:rsid w:val="00FF2B82"/>
  </w:rsids>
  <m:mathPr>
    <m:mathFont m:val="Cambria Math"/>
    <m:brkBin m:val="before"/>
    <m:brkBinSub m:val="--"/>
    <m:smallFrac m:val="0"/>
    <m:dispDef/>
    <m:lMargin m:val="0"/>
    <m:rMargin m:val="0"/>
    <m:defJc m:val="centerGroup"/>
    <m:wrapIndent m:val="1440"/>
    <m:intLim m:val="subSup"/>
    <m:naryLim m:val="undOvr"/>
  </m:mathPr>
  <w:themeFontLang w:val="en-MY"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3C4939"/>
  <w15:chartTrackingRefBased/>
  <w15:docId w15:val="{B6983522-3A58-4BD9-A542-DC963667A4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MY"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565B"/>
    <w:pPr>
      <w:spacing w:after="0" w:line="240" w:lineRule="auto"/>
    </w:pPr>
    <w:rPr>
      <w:rFonts w:ascii="Times New Roman" w:eastAsia="Times New Roman" w:hAnsi="Times New Roman" w:cs="Times New Roman"/>
      <w:kern w:val="0"/>
      <w:sz w:val="20"/>
      <w:szCs w:val="20"/>
      <w:lang w:val="en-US"/>
      <w14:ligatures w14:val="none"/>
    </w:rPr>
  </w:style>
  <w:style w:type="paragraph" w:styleId="Heading1">
    <w:name w:val="heading 1"/>
    <w:basedOn w:val="Normal"/>
    <w:next w:val="Normal"/>
    <w:link w:val="Heading1Char"/>
    <w:uiPriority w:val="9"/>
    <w:qFormat/>
    <w:rsid w:val="0090565B"/>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val="en-MY"/>
      <w14:ligatures w14:val="standardContextual"/>
    </w:rPr>
  </w:style>
  <w:style w:type="paragraph" w:styleId="Heading2">
    <w:name w:val="heading 2"/>
    <w:basedOn w:val="Normal"/>
    <w:next w:val="Normal"/>
    <w:link w:val="Heading2Char"/>
    <w:uiPriority w:val="9"/>
    <w:semiHidden/>
    <w:unhideWhenUsed/>
    <w:qFormat/>
    <w:rsid w:val="0090565B"/>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val="en-MY"/>
      <w14:ligatures w14:val="standardContextual"/>
    </w:rPr>
  </w:style>
  <w:style w:type="paragraph" w:styleId="Heading3">
    <w:name w:val="heading 3"/>
    <w:basedOn w:val="Normal"/>
    <w:next w:val="Normal"/>
    <w:link w:val="Heading3Char"/>
    <w:uiPriority w:val="9"/>
    <w:unhideWhenUsed/>
    <w:qFormat/>
    <w:rsid w:val="0090565B"/>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lang w:val="en-MY"/>
      <w14:ligatures w14:val="standardContextual"/>
    </w:rPr>
  </w:style>
  <w:style w:type="paragraph" w:styleId="Heading4">
    <w:name w:val="heading 4"/>
    <w:basedOn w:val="Normal"/>
    <w:next w:val="Normal"/>
    <w:link w:val="Heading4Char"/>
    <w:uiPriority w:val="9"/>
    <w:semiHidden/>
    <w:unhideWhenUsed/>
    <w:qFormat/>
    <w:rsid w:val="0090565B"/>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lang w:val="en-MY"/>
      <w14:ligatures w14:val="standardContextual"/>
    </w:rPr>
  </w:style>
  <w:style w:type="paragraph" w:styleId="Heading5">
    <w:name w:val="heading 5"/>
    <w:basedOn w:val="Normal"/>
    <w:next w:val="Normal"/>
    <w:link w:val="Heading5Char"/>
    <w:uiPriority w:val="9"/>
    <w:semiHidden/>
    <w:unhideWhenUsed/>
    <w:qFormat/>
    <w:rsid w:val="0090565B"/>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lang w:val="en-MY"/>
      <w14:ligatures w14:val="standardContextual"/>
    </w:rPr>
  </w:style>
  <w:style w:type="paragraph" w:styleId="Heading6">
    <w:name w:val="heading 6"/>
    <w:basedOn w:val="Normal"/>
    <w:next w:val="Normal"/>
    <w:link w:val="Heading6Char"/>
    <w:uiPriority w:val="9"/>
    <w:semiHidden/>
    <w:unhideWhenUsed/>
    <w:qFormat/>
    <w:rsid w:val="0090565B"/>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lang w:val="en-MY"/>
      <w14:ligatures w14:val="standardContextual"/>
    </w:rPr>
  </w:style>
  <w:style w:type="paragraph" w:styleId="Heading7">
    <w:name w:val="heading 7"/>
    <w:basedOn w:val="Normal"/>
    <w:next w:val="Normal"/>
    <w:link w:val="Heading7Char"/>
    <w:uiPriority w:val="9"/>
    <w:semiHidden/>
    <w:unhideWhenUsed/>
    <w:qFormat/>
    <w:rsid w:val="0090565B"/>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lang w:val="en-MY"/>
      <w14:ligatures w14:val="standardContextual"/>
    </w:rPr>
  </w:style>
  <w:style w:type="paragraph" w:styleId="Heading8">
    <w:name w:val="heading 8"/>
    <w:basedOn w:val="Normal"/>
    <w:next w:val="Normal"/>
    <w:link w:val="Heading8Char"/>
    <w:uiPriority w:val="9"/>
    <w:semiHidden/>
    <w:unhideWhenUsed/>
    <w:qFormat/>
    <w:rsid w:val="0090565B"/>
    <w:pPr>
      <w:keepNext/>
      <w:keepLines/>
      <w:spacing w:line="259" w:lineRule="auto"/>
      <w:outlineLvl w:val="7"/>
    </w:pPr>
    <w:rPr>
      <w:rFonts w:asciiTheme="minorHAnsi" w:eastAsiaTheme="majorEastAsia" w:hAnsiTheme="minorHAnsi" w:cstheme="majorBidi"/>
      <w:i/>
      <w:iCs/>
      <w:color w:val="272727" w:themeColor="text1" w:themeTint="D8"/>
      <w:kern w:val="2"/>
      <w:sz w:val="22"/>
      <w:szCs w:val="22"/>
      <w:lang w:val="en-MY"/>
      <w14:ligatures w14:val="standardContextual"/>
    </w:rPr>
  </w:style>
  <w:style w:type="paragraph" w:styleId="Heading9">
    <w:name w:val="heading 9"/>
    <w:basedOn w:val="Normal"/>
    <w:next w:val="Normal"/>
    <w:link w:val="Heading9Char"/>
    <w:uiPriority w:val="9"/>
    <w:semiHidden/>
    <w:unhideWhenUsed/>
    <w:qFormat/>
    <w:rsid w:val="0090565B"/>
    <w:pPr>
      <w:keepNext/>
      <w:keepLines/>
      <w:spacing w:line="259" w:lineRule="auto"/>
      <w:outlineLvl w:val="8"/>
    </w:pPr>
    <w:rPr>
      <w:rFonts w:asciiTheme="minorHAnsi" w:eastAsiaTheme="majorEastAsia" w:hAnsiTheme="minorHAnsi" w:cstheme="majorBidi"/>
      <w:color w:val="272727" w:themeColor="text1" w:themeTint="D8"/>
      <w:kern w:val="2"/>
      <w:sz w:val="22"/>
      <w:szCs w:val="22"/>
      <w:lang w:val="en-MY"/>
      <w14:ligatures w14:val="standardContextua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565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0565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90565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0565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0565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0565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0565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0565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0565B"/>
    <w:rPr>
      <w:rFonts w:eastAsiaTheme="majorEastAsia" w:cstheme="majorBidi"/>
      <w:color w:val="272727" w:themeColor="text1" w:themeTint="D8"/>
    </w:rPr>
  </w:style>
  <w:style w:type="paragraph" w:styleId="Title">
    <w:name w:val="Title"/>
    <w:basedOn w:val="Normal"/>
    <w:next w:val="Normal"/>
    <w:link w:val="TitleChar"/>
    <w:uiPriority w:val="10"/>
    <w:qFormat/>
    <w:rsid w:val="0090565B"/>
    <w:pPr>
      <w:spacing w:after="80"/>
      <w:contextualSpacing/>
    </w:pPr>
    <w:rPr>
      <w:rFonts w:asciiTheme="majorHAnsi" w:eastAsiaTheme="majorEastAsia" w:hAnsiTheme="majorHAnsi" w:cstheme="majorBidi"/>
      <w:spacing w:val="-10"/>
      <w:kern w:val="28"/>
      <w:sz w:val="56"/>
      <w:szCs w:val="56"/>
      <w:lang w:val="en-MY"/>
      <w14:ligatures w14:val="standardContextual"/>
    </w:rPr>
  </w:style>
  <w:style w:type="character" w:customStyle="1" w:styleId="TitleChar">
    <w:name w:val="Title Char"/>
    <w:basedOn w:val="DefaultParagraphFont"/>
    <w:link w:val="Title"/>
    <w:uiPriority w:val="10"/>
    <w:rsid w:val="0090565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0565B"/>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val="en-MY"/>
      <w14:ligatures w14:val="standardContextual"/>
    </w:rPr>
  </w:style>
  <w:style w:type="character" w:customStyle="1" w:styleId="SubtitleChar">
    <w:name w:val="Subtitle Char"/>
    <w:basedOn w:val="DefaultParagraphFont"/>
    <w:link w:val="Subtitle"/>
    <w:uiPriority w:val="11"/>
    <w:rsid w:val="0090565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0565B"/>
    <w:pPr>
      <w:spacing w:before="160" w:after="160" w:line="259" w:lineRule="auto"/>
      <w:jc w:val="center"/>
    </w:pPr>
    <w:rPr>
      <w:rFonts w:asciiTheme="minorHAnsi" w:eastAsiaTheme="minorHAnsi" w:hAnsiTheme="minorHAnsi" w:cstheme="minorBidi"/>
      <w:i/>
      <w:iCs/>
      <w:color w:val="404040" w:themeColor="text1" w:themeTint="BF"/>
      <w:kern w:val="2"/>
      <w:sz w:val="22"/>
      <w:szCs w:val="22"/>
      <w:lang w:val="en-MY"/>
      <w14:ligatures w14:val="standardContextual"/>
    </w:rPr>
  </w:style>
  <w:style w:type="character" w:customStyle="1" w:styleId="QuoteChar">
    <w:name w:val="Quote Char"/>
    <w:basedOn w:val="DefaultParagraphFont"/>
    <w:link w:val="Quote"/>
    <w:uiPriority w:val="29"/>
    <w:rsid w:val="0090565B"/>
    <w:rPr>
      <w:i/>
      <w:iCs/>
      <w:color w:val="404040" w:themeColor="text1" w:themeTint="BF"/>
    </w:rPr>
  </w:style>
  <w:style w:type="paragraph" w:styleId="ListParagraph">
    <w:name w:val="List Paragraph"/>
    <w:basedOn w:val="Normal"/>
    <w:uiPriority w:val="34"/>
    <w:qFormat/>
    <w:rsid w:val="0090565B"/>
    <w:pPr>
      <w:spacing w:after="160" w:line="259" w:lineRule="auto"/>
      <w:ind w:left="720"/>
      <w:contextualSpacing/>
    </w:pPr>
    <w:rPr>
      <w:rFonts w:asciiTheme="minorHAnsi" w:eastAsiaTheme="minorHAnsi" w:hAnsiTheme="minorHAnsi" w:cstheme="minorBidi"/>
      <w:kern w:val="2"/>
      <w:sz w:val="22"/>
      <w:szCs w:val="22"/>
      <w:lang w:val="en-MY"/>
      <w14:ligatures w14:val="standardContextual"/>
    </w:rPr>
  </w:style>
  <w:style w:type="character" w:styleId="IntenseEmphasis">
    <w:name w:val="Intense Emphasis"/>
    <w:basedOn w:val="DefaultParagraphFont"/>
    <w:uiPriority w:val="21"/>
    <w:qFormat/>
    <w:rsid w:val="0090565B"/>
    <w:rPr>
      <w:i/>
      <w:iCs/>
      <w:color w:val="0F4761" w:themeColor="accent1" w:themeShade="BF"/>
    </w:rPr>
  </w:style>
  <w:style w:type="paragraph" w:styleId="IntenseQuote">
    <w:name w:val="Intense Quote"/>
    <w:basedOn w:val="Normal"/>
    <w:next w:val="Normal"/>
    <w:link w:val="IntenseQuoteChar"/>
    <w:uiPriority w:val="30"/>
    <w:qFormat/>
    <w:rsid w:val="0090565B"/>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lang w:val="en-MY"/>
      <w14:ligatures w14:val="standardContextual"/>
    </w:rPr>
  </w:style>
  <w:style w:type="character" w:customStyle="1" w:styleId="IntenseQuoteChar">
    <w:name w:val="Intense Quote Char"/>
    <w:basedOn w:val="DefaultParagraphFont"/>
    <w:link w:val="IntenseQuote"/>
    <w:uiPriority w:val="30"/>
    <w:rsid w:val="0090565B"/>
    <w:rPr>
      <w:i/>
      <w:iCs/>
      <w:color w:val="0F4761" w:themeColor="accent1" w:themeShade="BF"/>
    </w:rPr>
  </w:style>
  <w:style w:type="character" w:styleId="IntenseReference">
    <w:name w:val="Intense Reference"/>
    <w:basedOn w:val="DefaultParagraphFont"/>
    <w:uiPriority w:val="32"/>
    <w:qFormat/>
    <w:rsid w:val="0090565B"/>
    <w:rPr>
      <w:b/>
      <w:bCs/>
      <w:smallCaps/>
      <w:color w:val="0F4761" w:themeColor="accent1" w:themeShade="BF"/>
      <w:spacing w:val="5"/>
    </w:rPr>
  </w:style>
  <w:style w:type="character" w:styleId="PlaceholderText">
    <w:name w:val="Placeholder Text"/>
    <w:basedOn w:val="DefaultParagraphFont"/>
    <w:uiPriority w:val="99"/>
    <w:semiHidden/>
    <w:rsid w:val="00ED05CA"/>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5305987">
      <w:bodyDiv w:val="1"/>
      <w:marLeft w:val="0"/>
      <w:marRight w:val="0"/>
      <w:marTop w:val="0"/>
      <w:marBottom w:val="0"/>
      <w:divBdr>
        <w:top w:val="none" w:sz="0" w:space="0" w:color="auto"/>
        <w:left w:val="none" w:sz="0" w:space="0" w:color="auto"/>
        <w:bottom w:val="none" w:sz="0" w:space="0" w:color="auto"/>
        <w:right w:val="none" w:sz="0" w:space="0" w:color="auto"/>
      </w:divBdr>
    </w:div>
    <w:div w:id="501242269">
      <w:bodyDiv w:val="1"/>
      <w:marLeft w:val="0"/>
      <w:marRight w:val="0"/>
      <w:marTop w:val="0"/>
      <w:marBottom w:val="0"/>
      <w:divBdr>
        <w:top w:val="none" w:sz="0" w:space="0" w:color="auto"/>
        <w:left w:val="none" w:sz="0" w:space="0" w:color="auto"/>
        <w:bottom w:val="none" w:sz="0" w:space="0" w:color="auto"/>
        <w:right w:val="none" w:sz="0" w:space="0" w:color="auto"/>
      </w:divBdr>
    </w:div>
    <w:div w:id="804929343">
      <w:bodyDiv w:val="1"/>
      <w:marLeft w:val="0"/>
      <w:marRight w:val="0"/>
      <w:marTop w:val="0"/>
      <w:marBottom w:val="0"/>
      <w:divBdr>
        <w:top w:val="none" w:sz="0" w:space="0" w:color="auto"/>
        <w:left w:val="none" w:sz="0" w:space="0" w:color="auto"/>
        <w:bottom w:val="none" w:sz="0" w:space="0" w:color="auto"/>
        <w:right w:val="none" w:sz="0" w:space="0" w:color="auto"/>
      </w:divBdr>
    </w:div>
    <w:div w:id="941650928">
      <w:bodyDiv w:val="1"/>
      <w:marLeft w:val="0"/>
      <w:marRight w:val="0"/>
      <w:marTop w:val="0"/>
      <w:marBottom w:val="0"/>
      <w:divBdr>
        <w:top w:val="none" w:sz="0" w:space="0" w:color="auto"/>
        <w:left w:val="none" w:sz="0" w:space="0" w:color="auto"/>
        <w:bottom w:val="none" w:sz="0" w:space="0" w:color="auto"/>
        <w:right w:val="none" w:sz="0" w:space="0" w:color="auto"/>
      </w:divBdr>
    </w:div>
    <w:div w:id="1574705361">
      <w:bodyDiv w:val="1"/>
      <w:marLeft w:val="0"/>
      <w:marRight w:val="0"/>
      <w:marTop w:val="0"/>
      <w:marBottom w:val="0"/>
      <w:divBdr>
        <w:top w:val="none" w:sz="0" w:space="0" w:color="auto"/>
        <w:left w:val="none" w:sz="0" w:space="0" w:color="auto"/>
        <w:bottom w:val="none" w:sz="0" w:space="0" w:color="auto"/>
        <w:right w:val="none" w:sz="0" w:space="0" w:color="auto"/>
      </w:divBdr>
    </w:div>
    <w:div w:id="21366814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1">
          <a:schemeClr val="accent1"/>
        </a:lnRef>
        <a:fillRef idx="0">
          <a:schemeClr val="accent1"/>
        </a:fillRef>
        <a:effectRef idx="0">
          <a:schemeClr val="accent1"/>
        </a:effectRef>
        <a:fontRef idx="minor">
          <a:schemeClr val="tx1"/>
        </a:fontRef>
      </a: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CA0120-84E9-4740-9E33-65A9269A3B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TotalTime>
  <Pages>6</Pages>
  <Words>5700</Words>
  <Characters>32495</Characters>
  <Application>Microsoft Office Word</Application>
  <DocSecurity>0</DocSecurity>
  <Lines>270</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 ATHIRAH BINTI ADZAHAR</dc:creator>
  <cp:keywords/>
  <dc:description/>
  <cp:lastModifiedBy>NUR ATHIRAH BINTI ADZAHAR</cp:lastModifiedBy>
  <cp:revision>190</cp:revision>
  <dcterms:created xsi:type="dcterms:W3CDTF">2025-06-18T05:57:00Z</dcterms:created>
  <dcterms:modified xsi:type="dcterms:W3CDTF">2025-06-25T12:45:00Z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6th/7th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12th edition - Harvard</vt:lpwstr>
  </property>
  <property fmtid="{D5CDD505-2E9C-101B-9397-08002B2CF9AE}" pid="12" name="Mendeley Recent Style Id 5_1">
    <vt:lpwstr>http://www.zotero.org/styles/fuel</vt:lpwstr>
  </property>
  <property fmtid="{D5CDD505-2E9C-101B-9397-08002B2CF9AE}" pid="13" name="Mendeley Recent Style Name 5_1">
    <vt:lpwstr>Fuel</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4th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9th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http://www.zotero.org/styles/rsc-advances</vt:lpwstr>
  </property>
  <property fmtid="{D5CDD505-2E9C-101B-9397-08002B2CF9AE}" pid="21" name="Mendeley Recent Style Name 9_1">
    <vt:lpwstr>RSC Advances</vt:lpwstr>
  </property>
  <property fmtid="{D5CDD505-2E9C-101B-9397-08002B2CF9AE}" pid="22" name="Mendeley Document_1">
    <vt:lpwstr>True</vt:lpwstr>
  </property>
  <property fmtid="{D5CDD505-2E9C-101B-9397-08002B2CF9AE}" pid="23" name="Mendeley Unique User Id_1">
    <vt:lpwstr>be0efa23-5952-38e5-b8e5-d7850ae6dfc6</vt:lpwstr>
  </property>
  <property fmtid="{D5CDD505-2E9C-101B-9397-08002B2CF9AE}" pid="24" name="Mendeley Citation Style_1">
    <vt:lpwstr>http://www.zotero.org/styles/apa</vt:lpwstr>
  </property>
</Properties>
</file>