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EAF41" w14:textId="1C81CF3A" w:rsidR="00E37C7C" w:rsidRDefault="005D40CD">
      <w:r>
        <w:rPr>
          <w:rStyle w:val="Heading5Char"/>
          <w:rFonts w:ascii="Helvetica" w:eastAsia="Helvetica" w:hAnsi="Helvetica" w:cs="Helvetica"/>
          <w:noProof/>
        </w:rPr>
        <w:drawing>
          <wp:inline distT="0" distB="0" distL="0" distR="0" wp14:anchorId="3AF7ABC7" wp14:editId="199FEAEA">
            <wp:extent cx="4991100" cy="3866642"/>
            <wp:effectExtent l="0" t="0" r="0" b="0"/>
            <wp:docPr id="1073741827" name="officeArt object" descr="A screenshot of a graph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A screenshot of a graphDescription automatically generated" descr="A screenshot of a graph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t="70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357" cy="3866841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AF6D7C" w14:textId="386C537A" w:rsidR="005D40CD" w:rsidRDefault="005D40CD" w:rsidP="005D40CD">
      <w:pPr>
        <w:pStyle w:val="Text"/>
        <w:spacing w:line="360" w:lineRule="auto"/>
        <w:jc w:val="both"/>
        <w:rPr>
          <w:rStyle w:val="Ohne"/>
          <w:rFonts w:ascii="Helvetica" w:eastAsia="Helvetica" w:hAnsi="Helvetica" w:cs="Helvetica"/>
          <w:sz w:val="24"/>
          <w:szCs w:val="24"/>
        </w:rPr>
      </w:pPr>
      <w:r>
        <w:rPr>
          <w:rStyle w:val="Ohne"/>
          <w:rFonts w:ascii="Helvetica" w:hAnsi="Helvetica"/>
          <w:b/>
          <w:bCs/>
          <w:sz w:val="24"/>
          <w:szCs w:val="24"/>
        </w:rPr>
        <w:t xml:space="preserve">Supplementary Figure </w:t>
      </w:r>
      <w:r w:rsidR="00F46241">
        <w:rPr>
          <w:rStyle w:val="Ohne"/>
          <w:rFonts w:ascii="Helvetica" w:hAnsi="Helvetica"/>
          <w:b/>
          <w:bCs/>
          <w:sz w:val="24"/>
          <w:szCs w:val="24"/>
        </w:rPr>
        <w:t>1:</w:t>
      </w:r>
      <w:r>
        <w:rPr>
          <w:rStyle w:val="Ohne"/>
          <w:rFonts w:ascii="Helvetica" w:hAnsi="Helvetica"/>
          <w:sz w:val="24"/>
          <w:szCs w:val="24"/>
        </w:rPr>
        <w:t xml:space="preserve"> </w:t>
      </w:r>
      <w:r>
        <w:rPr>
          <w:rStyle w:val="Ohne"/>
          <w:rFonts w:ascii="Helvetica" w:hAnsi="Helvetica"/>
          <w:b/>
          <w:bCs/>
          <w:sz w:val="24"/>
          <w:szCs w:val="24"/>
        </w:rPr>
        <w:t>a)</w:t>
      </w:r>
      <w:r>
        <w:rPr>
          <w:rStyle w:val="Ohne"/>
          <w:rFonts w:ascii="Helvetica" w:hAnsi="Helvetica"/>
          <w:sz w:val="24"/>
          <w:szCs w:val="24"/>
        </w:rPr>
        <w:t xml:space="preserve"> Autoencoder design representation. N represents the number of nodes per layer. In the first hidden layer in the encoder batch normalization is applied, the second and third hidden layers were trained with 5% dropout to avoid overfitting. Exponential linear unit was used as activation function in all nodes. </w:t>
      </w:r>
      <w:r>
        <w:rPr>
          <w:rStyle w:val="Ohne"/>
          <w:rFonts w:ascii="Helvetica" w:hAnsi="Helvetica"/>
          <w:b/>
          <w:bCs/>
          <w:sz w:val="24"/>
          <w:szCs w:val="24"/>
        </w:rPr>
        <w:t>b)</w:t>
      </w:r>
      <w:r>
        <w:rPr>
          <w:rStyle w:val="Ohne"/>
          <w:rFonts w:ascii="Helvetica" w:hAnsi="Helvetica"/>
          <w:sz w:val="24"/>
          <w:szCs w:val="24"/>
        </w:rPr>
        <w:t xml:space="preserve"> Training curve displaying loss (mean squared error) across training iterations (epochs) for training and validation sets. </w:t>
      </w:r>
      <w:r>
        <w:rPr>
          <w:rStyle w:val="Ohne"/>
          <w:rFonts w:ascii="Helvetica" w:hAnsi="Helvetica"/>
          <w:b/>
          <w:bCs/>
          <w:sz w:val="24"/>
          <w:szCs w:val="24"/>
        </w:rPr>
        <w:t>c)</w:t>
      </w:r>
      <w:r>
        <w:rPr>
          <w:rStyle w:val="Ohne"/>
          <w:rFonts w:ascii="Helvetica" w:hAnsi="Helvetica"/>
          <w:sz w:val="24"/>
          <w:szCs w:val="24"/>
        </w:rPr>
        <w:t xml:space="preserve"> Plot showing model loss for training and test set (80/20) with increasing number of training samples, using epochs = 100. Because of 5% dropout rate in 2</w:t>
      </w:r>
      <w:r>
        <w:rPr>
          <w:rStyle w:val="Ohne"/>
          <w:rFonts w:ascii="Helvetica" w:hAnsi="Helvetica"/>
          <w:sz w:val="24"/>
          <w:szCs w:val="24"/>
          <w:vertAlign w:val="superscript"/>
        </w:rPr>
        <w:t>nd</w:t>
      </w:r>
      <w:r>
        <w:rPr>
          <w:rStyle w:val="Ohne"/>
          <w:rFonts w:ascii="Helvetica" w:hAnsi="Helvetica"/>
          <w:sz w:val="24"/>
          <w:szCs w:val="24"/>
        </w:rPr>
        <w:t xml:space="preserve"> and 3</w:t>
      </w:r>
      <w:r>
        <w:rPr>
          <w:rStyle w:val="Ohne"/>
          <w:rFonts w:ascii="Helvetica" w:hAnsi="Helvetica"/>
          <w:sz w:val="24"/>
          <w:szCs w:val="24"/>
          <w:vertAlign w:val="superscript"/>
        </w:rPr>
        <w:t>rd</w:t>
      </w:r>
      <w:r>
        <w:rPr>
          <w:rStyle w:val="Ohne"/>
          <w:rFonts w:ascii="Helvetica" w:hAnsi="Helvetica"/>
          <w:sz w:val="24"/>
          <w:szCs w:val="24"/>
        </w:rPr>
        <w:t xml:space="preserve"> hidden layers during training, test loss is lower than training loss at the highest number of training samples.</w:t>
      </w:r>
    </w:p>
    <w:p w14:paraId="2E07313F" w14:textId="77777777" w:rsidR="005D40CD" w:rsidRDefault="005D40CD"/>
    <w:p w14:paraId="3646BA72" w14:textId="3D601028" w:rsidR="005D40CD" w:rsidRDefault="005D40CD">
      <w:r>
        <w:rPr>
          <w:rStyle w:val="Heading5Char"/>
          <w:rFonts w:ascii="Helvetica" w:eastAsia="Helvetica" w:hAnsi="Helvetica" w:cs="Helvetica"/>
          <w:noProof/>
        </w:rPr>
        <w:lastRenderedPageBreak/>
        <w:drawing>
          <wp:inline distT="0" distB="0" distL="0" distR="0" wp14:anchorId="28342AAD" wp14:editId="4A3B3FFB">
            <wp:extent cx="5943600" cy="4750562"/>
            <wp:effectExtent l="0" t="0" r="0" b="0"/>
            <wp:docPr id="1073741830" name="officeArt object" descr="A comparison of a graph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A comparison of a graphDescription automatically generated with medium confidence" descr="A comparison of a graphDescription automatically generated with medium confidence"/>
                    <pic:cNvPicPr>
                      <a:picLocks noChangeAspect="1"/>
                    </pic:cNvPicPr>
                  </pic:nvPicPr>
                  <pic:blipFill rotWithShape="1">
                    <a:blip r:embed="rId5"/>
                    <a:srcRect t="46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50562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A7E693" w14:textId="3B72A68D" w:rsidR="005D40CD" w:rsidRDefault="005D40CD" w:rsidP="005D40CD">
      <w:pPr>
        <w:pStyle w:val="NoSpacing"/>
        <w:spacing w:line="360" w:lineRule="auto"/>
        <w:jc w:val="both"/>
        <w:rPr>
          <w:rStyle w:val="Ohne"/>
          <w:rFonts w:ascii="Helvetica" w:eastAsia="Helvetica" w:hAnsi="Helvetica" w:cs="Helvetica"/>
          <w:sz w:val="24"/>
          <w:szCs w:val="24"/>
        </w:rPr>
      </w:pPr>
      <w:r>
        <w:rPr>
          <w:rStyle w:val="Heading5Char"/>
          <w:rFonts w:ascii="Helvetica" w:eastAsia="Helvetica" w:hAnsi="Helvetica" w:cs="Helvetica"/>
          <w:noProof/>
          <w:sz w:val="24"/>
          <w:szCs w:val="24"/>
        </w:rPr>
        <w:lastRenderedPageBreak/>
        <w:drawing>
          <wp:inline distT="0" distB="0" distL="0" distR="0" wp14:anchorId="25DA2282" wp14:editId="3C7EB2E5">
            <wp:extent cx="5669280" cy="4597813"/>
            <wp:effectExtent l="0" t="0" r="0" b="0"/>
            <wp:docPr id="1073741831" name="officeArt object" descr="A comparison of a graph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A comparison of a graphDescription automatically generated with medium confidence" descr="A comparison of a graph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88399" cy="461331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Ohne"/>
          <w:rFonts w:ascii="Helvetica" w:hAnsi="Helvetica"/>
          <w:b/>
          <w:bCs/>
          <w:sz w:val="24"/>
          <w:szCs w:val="24"/>
        </w:rPr>
        <w:t xml:space="preserve">Supplementary Figure </w:t>
      </w:r>
      <w:r w:rsidR="00F46241">
        <w:rPr>
          <w:rStyle w:val="Ohne"/>
          <w:rFonts w:ascii="Helvetica" w:hAnsi="Helvetica"/>
          <w:b/>
          <w:bCs/>
          <w:sz w:val="24"/>
          <w:szCs w:val="24"/>
        </w:rPr>
        <w:t xml:space="preserve">2: </w:t>
      </w:r>
      <w:r>
        <w:rPr>
          <w:rStyle w:val="Ohne"/>
          <w:rFonts w:ascii="Helvetica" w:hAnsi="Helvetica"/>
          <w:b/>
          <w:bCs/>
          <w:sz w:val="24"/>
          <w:szCs w:val="24"/>
        </w:rPr>
        <w:t>a)</w:t>
      </w:r>
      <w:r>
        <w:rPr>
          <w:rStyle w:val="Ohne"/>
          <w:rFonts w:ascii="Helvetica" w:hAnsi="Helvetica"/>
          <w:sz w:val="24"/>
          <w:szCs w:val="24"/>
        </w:rPr>
        <w:t xml:space="preserve"> Boxplots of human disease complementarity with MRL/</w:t>
      </w:r>
      <w:proofErr w:type="spellStart"/>
      <w:r>
        <w:rPr>
          <w:rStyle w:val="Ohne"/>
          <w:rFonts w:ascii="Helvetica" w:hAnsi="Helvetica"/>
          <w:sz w:val="24"/>
          <w:szCs w:val="24"/>
        </w:rPr>
        <w:t>lpr</w:t>
      </w:r>
      <w:proofErr w:type="spellEnd"/>
      <w:r>
        <w:rPr>
          <w:rStyle w:val="Ohne"/>
          <w:rFonts w:ascii="Helvetica" w:hAnsi="Helvetica"/>
          <w:sz w:val="24"/>
          <w:szCs w:val="24"/>
        </w:rPr>
        <w:t xml:space="preserve"> SLE mouse model with </w:t>
      </w:r>
      <w:proofErr w:type="spellStart"/>
      <w:r>
        <w:rPr>
          <w:rStyle w:val="Ohne"/>
          <w:rFonts w:ascii="Helvetica" w:hAnsi="Helvetica"/>
          <w:sz w:val="24"/>
          <w:szCs w:val="24"/>
        </w:rPr>
        <w:t>cenerimod</w:t>
      </w:r>
      <w:proofErr w:type="spellEnd"/>
      <w:r>
        <w:rPr>
          <w:rStyle w:val="Ohne"/>
          <w:rFonts w:ascii="Helvetica" w:hAnsi="Helvetica"/>
          <w:sz w:val="24"/>
          <w:szCs w:val="24"/>
        </w:rPr>
        <w:t xml:space="preserve"> in kidney (disease-level analysis). </w:t>
      </w:r>
      <w:r>
        <w:rPr>
          <w:rStyle w:val="Ohne"/>
          <w:rFonts w:ascii="Helvetica" w:hAnsi="Helvetica"/>
          <w:b/>
          <w:bCs/>
          <w:sz w:val="24"/>
          <w:szCs w:val="24"/>
        </w:rPr>
        <w:t>b)</w:t>
      </w:r>
      <w:r>
        <w:rPr>
          <w:rStyle w:val="Ohne"/>
          <w:rFonts w:ascii="Helvetica" w:hAnsi="Helvetica"/>
          <w:sz w:val="24"/>
          <w:szCs w:val="24"/>
        </w:rPr>
        <w:t xml:space="preserve"> Boxplots of human disease complementarity with </w:t>
      </w:r>
      <w:proofErr w:type="spellStart"/>
      <w:r>
        <w:rPr>
          <w:rStyle w:val="Ohne"/>
          <w:rFonts w:ascii="Helvetica" w:hAnsi="Helvetica"/>
          <w:sz w:val="24"/>
          <w:szCs w:val="24"/>
        </w:rPr>
        <w:t>Scl-cGVHD</w:t>
      </w:r>
      <w:proofErr w:type="spellEnd"/>
      <w:r>
        <w:rPr>
          <w:rStyle w:val="Ohne"/>
          <w:rFonts w:ascii="Helvetica" w:hAnsi="Helvetica"/>
          <w:sz w:val="24"/>
          <w:szCs w:val="24"/>
        </w:rPr>
        <w:t xml:space="preserve"> mouse model with </w:t>
      </w:r>
      <w:proofErr w:type="spellStart"/>
      <w:r>
        <w:rPr>
          <w:rStyle w:val="Ohne"/>
          <w:rFonts w:ascii="Helvetica" w:hAnsi="Helvetica"/>
          <w:sz w:val="24"/>
          <w:szCs w:val="24"/>
        </w:rPr>
        <w:t>cenerimod</w:t>
      </w:r>
      <w:proofErr w:type="spellEnd"/>
      <w:r>
        <w:rPr>
          <w:rStyle w:val="Ohne"/>
          <w:rFonts w:ascii="Helvetica" w:hAnsi="Helvetica"/>
          <w:sz w:val="24"/>
          <w:szCs w:val="24"/>
        </w:rPr>
        <w:t xml:space="preserve"> in skin (disease-level analysis). </w:t>
      </w:r>
      <w:r>
        <w:rPr>
          <w:rStyle w:val="Ohne"/>
          <w:rFonts w:ascii="Helvetica" w:hAnsi="Helvetica"/>
          <w:b/>
          <w:bCs/>
          <w:sz w:val="24"/>
          <w:szCs w:val="24"/>
        </w:rPr>
        <w:t>c)</w:t>
      </w:r>
      <w:r>
        <w:rPr>
          <w:rStyle w:val="Ohne"/>
          <w:rFonts w:ascii="Helvetica" w:hAnsi="Helvetica"/>
          <w:sz w:val="24"/>
          <w:szCs w:val="24"/>
        </w:rPr>
        <w:t xml:space="preserve"> Boxplots of human patient samples complementarity with </w:t>
      </w:r>
      <w:proofErr w:type="spellStart"/>
      <w:r>
        <w:rPr>
          <w:rStyle w:val="Ohne"/>
          <w:rFonts w:ascii="Helvetica" w:hAnsi="Helvetica"/>
          <w:sz w:val="24"/>
          <w:szCs w:val="24"/>
        </w:rPr>
        <w:t>Scl-cGVHD</w:t>
      </w:r>
      <w:proofErr w:type="spellEnd"/>
      <w:r>
        <w:rPr>
          <w:rStyle w:val="Ohne"/>
          <w:rFonts w:ascii="Helvetica" w:hAnsi="Helvetica"/>
          <w:sz w:val="24"/>
          <w:szCs w:val="24"/>
        </w:rPr>
        <w:t xml:space="preserve"> mouse model with </w:t>
      </w:r>
      <w:proofErr w:type="spellStart"/>
      <w:r>
        <w:rPr>
          <w:rStyle w:val="Ohne"/>
          <w:rFonts w:ascii="Helvetica" w:hAnsi="Helvetica"/>
          <w:sz w:val="24"/>
          <w:szCs w:val="24"/>
        </w:rPr>
        <w:t>cenerimod</w:t>
      </w:r>
      <w:proofErr w:type="spellEnd"/>
      <w:r>
        <w:rPr>
          <w:rStyle w:val="Ohne"/>
          <w:rFonts w:ascii="Helvetica" w:hAnsi="Helvetica"/>
          <w:sz w:val="24"/>
          <w:szCs w:val="24"/>
        </w:rPr>
        <w:t xml:space="preserve"> in skin before autoencoder processing. </w:t>
      </w:r>
      <w:r>
        <w:rPr>
          <w:rStyle w:val="Ohne"/>
          <w:rFonts w:ascii="Helvetica" w:hAnsi="Helvetica"/>
          <w:b/>
          <w:bCs/>
          <w:sz w:val="24"/>
          <w:szCs w:val="24"/>
        </w:rPr>
        <w:t>a)</w:t>
      </w:r>
      <w:r>
        <w:rPr>
          <w:rStyle w:val="Ohne"/>
          <w:rFonts w:ascii="Helvetica" w:hAnsi="Helvetica"/>
          <w:sz w:val="24"/>
          <w:szCs w:val="24"/>
        </w:rPr>
        <w:t xml:space="preserve"> Boxplots of human disease complementarity with both mouse models with </w:t>
      </w:r>
      <w:proofErr w:type="spellStart"/>
      <w:r>
        <w:rPr>
          <w:rStyle w:val="Ohne"/>
          <w:rFonts w:ascii="Helvetica" w:hAnsi="Helvetica"/>
          <w:sz w:val="24"/>
          <w:szCs w:val="24"/>
        </w:rPr>
        <w:t>cenerimod</w:t>
      </w:r>
      <w:proofErr w:type="spellEnd"/>
      <w:r>
        <w:rPr>
          <w:rStyle w:val="Ohne"/>
          <w:rFonts w:ascii="Helvetica" w:hAnsi="Helvetica"/>
          <w:sz w:val="24"/>
          <w:szCs w:val="24"/>
        </w:rPr>
        <w:t xml:space="preserve"> in all tissues (disease-level analysis).</w:t>
      </w:r>
    </w:p>
    <w:p w14:paraId="3FFC6FAE" w14:textId="616389EB" w:rsidR="005D40CD" w:rsidRDefault="005D40CD"/>
    <w:sectPr w:rsidR="005D40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4E"/>
    <w:rsid w:val="00114D6C"/>
    <w:rsid w:val="002A5D0A"/>
    <w:rsid w:val="005A1E4E"/>
    <w:rsid w:val="005D40CD"/>
    <w:rsid w:val="007469D6"/>
    <w:rsid w:val="00AF79ED"/>
    <w:rsid w:val="00E37C7C"/>
    <w:rsid w:val="00F4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9A89EA"/>
  <w15:chartTrackingRefBased/>
  <w15:docId w15:val="{3A96C582-DEF9-D540-9731-88603B236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E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E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4E"/>
    <w:rPr>
      <w:b/>
      <w:bCs/>
      <w:smallCaps/>
      <w:color w:val="0F4761" w:themeColor="accent1" w:themeShade="BF"/>
      <w:spacing w:val="5"/>
    </w:rPr>
  </w:style>
  <w:style w:type="paragraph" w:customStyle="1" w:styleId="Text">
    <w:name w:val="Text"/>
    <w:rsid w:val="005D40CD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Calibri" w:eastAsia="Arial Unicode MS" w:hAnsi="Calibri" w:cs="Arial Unicode MS"/>
      <w:color w:val="000000"/>
      <w:kern w:val="0"/>
      <w:sz w:val="22"/>
      <w:szCs w:val="22"/>
      <w:u w:color="00000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Ohne">
    <w:name w:val="Ohne"/>
    <w:rsid w:val="005D40CD"/>
  </w:style>
  <w:style w:type="paragraph" w:styleId="NoSpacing">
    <w:name w:val="No Spacing"/>
    <w:rsid w:val="005D40C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kern w:val="0"/>
      <w:sz w:val="22"/>
      <w:szCs w:val="22"/>
      <w:u w:color="000000"/>
      <w:bdr w:val="n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Hartl</dc:creator>
  <cp:keywords/>
  <dc:description/>
  <cp:lastModifiedBy>Dominik Hartl</cp:lastModifiedBy>
  <cp:revision>3</cp:revision>
  <dcterms:created xsi:type="dcterms:W3CDTF">2025-07-23T17:40:00Z</dcterms:created>
  <dcterms:modified xsi:type="dcterms:W3CDTF">2025-07-30T17:29:00Z</dcterms:modified>
</cp:coreProperties>
</file>