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92DCC" w14:textId="77777777" w:rsidR="00D645B2" w:rsidRPr="00D645B2" w:rsidRDefault="00D645B2" w:rsidP="00D645B2">
      <w:pPr>
        <w:jc w:val="center"/>
        <w:rPr>
          <w:b/>
          <w:bCs/>
          <w:sz w:val="28"/>
          <w:szCs w:val="22"/>
        </w:rPr>
      </w:pPr>
      <w:r w:rsidRPr="00D645B2">
        <w:rPr>
          <w:b/>
          <w:bCs/>
          <w:sz w:val="28"/>
          <w:szCs w:val="22"/>
        </w:rPr>
        <w:t>Live Imaging and Interactome Analysis of Zika and Chikungunya Viral RNAs Via Dual-Action Aptamer Tag</w:t>
      </w:r>
    </w:p>
    <w:p w14:paraId="41586027" w14:textId="77777777" w:rsidR="00D645B2" w:rsidRDefault="00D645B2" w:rsidP="00546606">
      <w:pPr>
        <w:jc w:val="center"/>
        <w:rPr>
          <w:b/>
          <w:bCs/>
          <w:sz w:val="28"/>
          <w:szCs w:val="22"/>
        </w:rPr>
      </w:pPr>
    </w:p>
    <w:p w14:paraId="4C295C41" w14:textId="77777777" w:rsidR="00D645B2" w:rsidRDefault="00D645B2" w:rsidP="00546606">
      <w:pPr>
        <w:jc w:val="center"/>
        <w:rPr>
          <w:b/>
          <w:bCs/>
          <w:sz w:val="28"/>
          <w:szCs w:val="22"/>
        </w:rPr>
      </w:pPr>
    </w:p>
    <w:p w14:paraId="17739C16" w14:textId="794E4E93" w:rsidR="00546606" w:rsidRPr="008F6B63" w:rsidRDefault="00546606" w:rsidP="00D645B2">
      <w:pPr>
        <w:rPr>
          <w:b/>
          <w:bCs/>
        </w:rPr>
      </w:pPr>
      <w:r w:rsidRPr="00546606">
        <w:rPr>
          <w:b/>
          <w:bCs/>
          <w:sz w:val="28"/>
          <w:szCs w:val="22"/>
        </w:rPr>
        <w:t>Supplemental information index </w:t>
      </w:r>
      <w:r w:rsidRPr="008F6B63">
        <w:rPr>
          <w:b/>
          <w:bCs/>
        </w:rPr>
        <w:br/>
      </w:r>
    </w:p>
    <w:p w14:paraId="4937C8A7" w14:textId="77777777" w:rsidR="00546606" w:rsidRPr="008F6B63" w:rsidRDefault="00546606" w:rsidP="00546606">
      <w:pPr>
        <w:rPr>
          <w:b/>
        </w:rPr>
      </w:pPr>
      <w:r w:rsidRPr="008F6B63">
        <w:t>Figure S1 Viral RNA colocalizes with lysosomes in infected cells, related to Figure 4 </w:t>
      </w:r>
    </w:p>
    <w:p w14:paraId="7C1989E4" w14:textId="77777777" w:rsidR="00546606" w:rsidRPr="008F6B63" w:rsidRDefault="00546606" w:rsidP="00546606">
      <w:pPr>
        <w:rPr>
          <w:b/>
        </w:rPr>
      </w:pPr>
      <w:r w:rsidRPr="008F6B63">
        <w:t xml:space="preserve">Figure S2. Top 200 hits identified from the </w:t>
      </w:r>
      <w:proofErr w:type="spellStart"/>
      <w:r w:rsidRPr="008F6B63">
        <w:t>vgRNA</w:t>
      </w:r>
      <w:proofErr w:type="spellEnd"/>
      <w:r w:rsidRPr="008F6B63">
        <w:t xml:space="preserve"> pulldown results, related to Figure 5 </w:t>
      </w:r>
    </w:p>
    <w:p w14:paraId="7ACBE277" w14:textId="77777777" w:rsidR="00546606" w:rsidRPr="008F6B63" w:rsidRDefault="00546606" w:rsidP="00546606">
      <w:pPr>
        <w:rPr>
          <w:b/>
        </w:rPr>
      </w:pPr>
      <w:r w:rsidRPr="008F6B63">
        <w:t>Figure S3. The impact of SFPQ knockdown in JEG-3 cells, related to Figure 7 </w:t>
      </w:r>
    </w:p>
    <w:p w14:paraId="7ABBEC22" w14:textId="77777777" w:rsidR="00546606" w:rsidRPr="008F6B63" w:rsidRDefault="00546606" w:rsidP="00546606">
      <w:pPr>
        <w:rPr>
          <w:b/>
        </w:rPr>
      </w:pPr>
      <w:r w:rsidRPr="008F6B63">
        <w:t xml:space="preserve">Video S1. ZIKV-MFP infection in a live JEG-3 </w:t>
      </w:r>
      <w:proofErr w:type="gramStart"/>
      <w:r w:rsidRPr="008F6B63">
        <w:t>cell</w:t>
      </w:r>
      <w:proofErr w:type="gramEnd"/>
      <w:r w:rsidRPr="008F6B63">
        <w:t>, related to Figure 4A </w:t>
      </w:r>
    </w:p>
    <w:p w14:paraId="165ECCC4" w14:textId="77777777" w:rsidR="00546606" w:rsidRPr="008F6B63" w:rsidRDefault="00546606" w:rsidP="00546606">
      <w:pPr>
        <w:rPr>
          <w:b/>
        </w:rPr>
      </w:pPr>
      <w:r w:rsidRPr="008F6B63">
        <w:t xml:space="preserve">Video S2. ZIKV-MFP infection in a live JEG-3 </w:t>
      </w:r>
      <w:proofErr w:type="gramStart"/>
      <w:r w:rsidRPr="008F6B63">
        <w:t>cell</w:t>
      </w:r>
      <w:proofErr w:type="gramEnd"/>
      <w:r w:rsidRPr="008F6B63">
        <w:t>, related to Figure 4B </w:t>
      </w:r>
    </w:p>
    <w:p w14:paraId="4DE22AC8" w14:textId="77777777" w:rsidR="00546606" w:rsidRPr="008F6B63" w:rsidRDefault="00546606" w:rsidP="00546606">
      <w:pPr>
        <w:rPr>
          <w:b/>
        </w:rPr>
      </w:pPr>
      <w:r w:rsidRPr="008F6B63">
        <w:t>Video S3. CHIKV-MFP infection in a live U2OS cell, related to Figure 4C </w:t>
      </w:r>
    </w:p>
    <w:p w14:paraId="7890219B" w14:textId="77777777" w:rsidR="00546606" w:rsidRPr="008F6B63" w:rsidRDefault="00546606" w:rsidP="00546606">
      <w:pPr>
        <w:rPr>
          <w:b/>
        </w:rPr>
      </w:pPr>
      <w:r w:rsidRPr="008F6B63">
        <w:t>Video S4. CHIKV-MFP infection in a live U2OS cell, related to Figure 4D </w:t>
      </w:r>
    </w:p>
    <w:p w14:paraId="4C66272D" w14:textId="77777777" w:rsidR="00546606" w:rsidRPr="008F6B63" w:rsidRDefault="00546606" w:rsidP="00546606">
      <w:pPr>
        <w:rPr>
          <w:b/>
        </w:rPr>
      </w:pPr>
      <w:r w:rsidRPr="008F6B63">
        <w:t>Table S1. Primers and sequences, related to Figures 1 and 7 </w:t>
      </w:r>
    </w:p>
    <w:p w14:paraId="05F9CA89" w14:textId="77777777" w:rsidR="00546606" w:rsidRPr="008F6B63" w:rsidRDefault="00546606" w:rsidP="00546606">
      <w:pPr>
        <w:rPr>
          <w:b/>
        </w:rPr>
      </w:pPr>
      <w:r w:rsidRPr="008F6B63">
        <w:t>Table S2. Excel file containing Mass Spectrometry data, related to Figure</w:t>
      </w:r>
      <w:r>
        <w:t>s</w:t>
      </w:r>
      <w:r w:rsidRPr="008F6B63">
        <w:t xml:space="preserve"> 5 and 6 </w:t>
      </w:r>
    </w:p>
    <w:p w14:paraId="5ADB8D6F" w14:textId="77777777" w:rsidR="00546606" w:rsidRDefault="00546606" w:rsidP="00546606">
      <w:r w:rsidRPr="008F6B63">
        <w:t>Table S3. Comparison of Mass Spectrometry data to literature, related to Figure</w:t>
      </w:r>
      <w:r>
        <w:t>s</w:t>
      </w:r>
      <w:r w:rsidRPr="008F6B63">
        <w:t xml:space="preserve"> 5 and 6 </w:t>
      </w:r>
    </w:p>
    <w:p w14:paraId="33CDC6D9" w14:textId="77777777" w:rsidR="00546606" w:rsidRDefault="00546606" w:rsidP="00546606"/>
    <w:p w14:paraId="78523F68" w14:textId="77777777" w:rsidR="00546606" w:rsidRDefault="00546606" w:rsidP="00546606"/>
    <w:p w14:paraId="06576B0D" w14:textId="77777777" w:rsidR="00546606" w:rsidRDefault="00546606" w:rsidP="00546606"/>
    <w:p w14:paraId="62B28559" w14:textId="77777777" w:rsidR="00546606" w:rsidRDefault="00546606" w:rsidP="00546606"/>
    <w:p w14:paraId="75B286F0" w14:textId="77777777" w:rsidR="00546606" w:rsidRPr="008F6B63" w:rsidRDefault="00546606" w:rsidP="00546606">
      <w:pPr>
        <w:rPr>
          <w:b/>
        </w:rPr>
      </w:pPr>
    </w:p>
    <w:p w14:paraId="5CEF9CB2" w14:textId="77777777" w:rsidR="00546606" w:rsidRDefault="00546606" w:rsidP="00546606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6C7DF1E" wp14:editId="750C0425">
            <wp:extent cx="5935345" cy="5545455"/>
            <wp:effectExtent l="0" t="0" r="8255" b="0"/>
            <wp:docPr id="166997435" name="Picture 5" descr="A collage of images of lysico-vir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7435" name="Picture 5" descr="A collage of images of lysico-vir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4E13" w14:textId="77777777" w:rsidR="00546606" w:rsidRDefault="00546606" w:rsidP="00546606">
      <w:pPr>
        <w:spacing w:line="276" w:lineRule="auto"/>
        <w:rPr>
          <w:b/>
          <w:bCs/>
        </w:rPr>
      </w:pPr>
      <w:r w:rsidRPr="005B6A3E">
        <w:rPr>
          <w:b/>
          <w:bCs/>
        </w:rPr>
        <w:t xml:space="preserve">Figure </w:t>
      </w:r>
      <w:r>
        <w:rPr>
          <w:b/>
          <w:bCs/>
        </w:rPr>
        <w:t>S1</w:t>
      </w:r>
      <w:r w:rsidRPr="005B6A3E">
        <w:rPr>
          <w:b/>
          <w:bCs/>
        </w:rPr>
        <w:t>.</w:t>
      </w:r>
      <w:r w:rsidRPr="005B6A3E">
        <w:t> </w:t>
      </w:r>
      <w:r w:rsidRPr="005B6A3E">
        <w:rPr>
          <w:b/>
          <w:bCs/>
        </w:rPr>
        <w:t xml:space="preserve">Viral RNA colocalizes with lysosomes in infected cells. </w:t>
      </w:r>
    </w:p>
    <w:p w14:paraId="1CCF20F2" w14:textId="77777777" w:rsidR="00546606" w:rsidRDefault="00546606" w:rsidP="00546606">
      <w:pPr>
        <w:spacing w:line="276" w:lineRule="auto"/>
      </w:pPr>
      <w:r w:rsidRPr="002A0A50">
        <w:t>(</w:t>
      </w:r>
      <w:r w:rsidRPr="00303EAF">
        <w:t>A</w:t>
      </w:r>
      <w:r>
        <w:t>-B)</w:t>
      </w:r>
      <w:r w:rsidRPr="00303EAF">
        <w:t xml:space="preserve"> Fluorescent micrograph of live ZIKV-MFP infected JEG-3 cells</w:t>
      </w:r>
      <w:r>
        <w:t xml:space="preserve"> (A) </w:t>
      </w:r>
      <w:proofErr w:type="gramStart"/>
      <w:r>
        <w:t xml:space="preserve">or </w:t>
      </w:r>
      <w:r w:rsidRPr="00303EAF">
        <w:t xml:space="preserve"> CHIKV</w:t>
      </w:r>
      <w:proofErr w:type="gramEnd"/>
      <w:r w:rsidRPr="00303EAF">
        <w:t xml:space="preserve">-MFP infected U2OS cells </w:t>
      </w:r>
      <w:r>
        <w:t xml:space="preserve">(B) </w:t>
      </w:r>
      <w:r w:rsidRPr="00303EAF">
        <w:t xml:space="preserve">treated with </w:t>
      </w:r>
      <w:proofErr w:type="spellStart"/>
      <w:r w:rsidRPr="00303EAF">
        <w:t>LysoTracker</w:t>
      </w:r>
      <w:proofErr w:type="spellEnd"/>
      <w:r w:rsidRPr="00303EAF">
        <w:t xml:space="preserve"> (blue, </w:t>
      </w:r>
      <w:proofErr w:type="spellStart"/>
      <w:r w:rsidRPr="00303EAF">
        <w:t>pseudocolored</w:t>
      </w:r>
      <w:proofErr w:type="spellEnd"/>
      <w:r w:rsidRPr="00303EAF">
        <w:t xml:space="preserve"> white). Expanded ROI corresponding to cyan square for merge and individual blue, green, and red channels shown below. </w:t>
      </w:r>
    </w:p>
    <w:p w14:paraId="512FA912" w14:textId="77777777" w:rsidR="00546606" w:rsidRPr="005B6A3E" w:rsidRDefault="00546606" w:rsidP="00546606">
      <w:pPr>
        <w:spacing w:line="276" w:lineRule="auto"/>
      </w:pPr>
      <w:r>
        <w:t>(</w:t>
      </w:r>
      <w:r w:rsidRPr="00303EAF">
        <w:t>C-D</w:t>
      </w:r>
      <w:r>
        <w:t>)</w:t>
      </w:r>
      <w:r w:rsidRPr="00303EAF">
        <w:t xml:space="preserve"> Colocalization of green (535 nm) and blue (460 nm) channels for </w:t>
      </w:r>
      <w:r>
        <w:t>A and B,</w:t>
      </w:r>
      <w:r w:rsidRPr="00303EAF">
        <w:t xml:space="preserve"> respectively</w:t>
      </w:r>
      <w:r>
        <w:t>,</w:t>
      </w:r>
      <w:r w:rsidRPr="00303EAF">
        <w:t xml:space="preserve"> measured by Pearson's correlation (</w:t>
      </w:r>
      <w:r>
        <w:t>n = 10;</w:t>
      </w:r>
      <w:r w:rsidRPr="00303EAF">
        <w:t xml:space="preserve"> error bars represent mean ± SEM).  </w:t>
      </w:r>
      <w:r w:rsidRPr="00560EAF">
        <w:rPr>
          <w:color w:val="000000"/>
          <w:szCs w:val="22"/>
          <w:shd w:val="clear" w:color="auto" w:fill="FFFFFF"/>
        </w:rPr>
        <w:t xml:space="preserve"> </w:t>
      </w:r>
      <w:r w:rsidRPr="00560EAF">
        <w:t xml:space="preserve">Significance </w:t>
      </w:r>
      <w:r>
        <w:t xml:space="preserve">was </w:t>
      </w:r>
      <w:r w:rsidRPr="00560EAF">
        <w:t>calculated by One-way ANOVA using Prism software. </w:t>
      </w:r>
      <w:proofErr w:type="spellStart"/>
      <w:r w:rsidRPr="00560EAF">
        <w:t>n.s</w:t>
      </w:r>
      <w:proofErr w:type="spellEnd"/>
      <w:r w:rsidRPr="00560EAF">
        <w:t>. </w:t>
      </w:r>
      <w:r w:rsidRPr="00560EAF">
        <w:rPr>
          <w:i/>
          <w:iCs/>
        </w:rPr>
        <w:t>p</w:t>
      </w:r>
      <w:r w:rsidRPr="00560EAF">
        <w:t xml:space="preserve"> &gt; 0.05, </w:t>
      </w:r>
      <w:r w:rsidRPr="00560EAF">
        <w:rPr>
          <w:rFonts w:ascii="Cambria Math" w:hAnsi="Cambria Math" w:cs="Cambria Math"/>
        </w:rPr>
        <w:t>∗∗∗∗</w:t>
      </w:r>
      <w:r w:rsidRPr="00560EAF">
        <w:rPr>
          <w:i/>
          <w:iCs/>
        </w:rPr>
        <w:t>p</w:t>
      </w:r>
      <w:r w:rsidRPr="00560EAF">
        <w:t> &lt; 0.0001</w:t>
      </w:r>
    </w:p>
    <w:p w14:paraId="2C760A7B" w14:textId="77777777" w:rsidR="00546606" w:rsidRDefault="00546606" w:rsidP="0054660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5099BE15" wp14:editId="61A62E38">
            <wp:extent cx="5943600" cy="6477000"/>
            <wp:effectExtent l="0" t="0" r="0" b="0"/>
            <wp:docPr id="595797038" name="Picture 3" descr="A diagram of different types of ur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97038" name="Picture 3" descr="A diagram of different types of ur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DC96" w14:textId="77777777" w:rsidR="00546606" w:rsidRDefault="00546606" w:rsidP="00546606">
      <w:pPr>
        <w:spacing w:line="276" w:lineRule="auto"/>
        <w:rPr>
          <w:b/>
          <w:bCs/>
        </w:rPr>
      </w:pPr>
      <w:r w:rsidRPr="0039680C">
        <w:rPr>
          <w:b/>
          <w:bCs/>
        </w:rPr>
        <w:t xml:space="preserve">Figure </w:t>
      </w:r>
      <w:r>
        <w:rPr>
          <w:b/>
          <w:bCs/>
        </w:rPr>
        <w:t>S2</w:t>
      </w:r>
      <w:r w:rsidRPr="0039680C">
        <w:rPr>
          <w:b/>
          <w:bCs/>
        </w:rPr>
        <w:t>.</w:t>
      </w:r>
      <w:r>
        <w:rPr>
          <w:b/>
          <w:bCs/>
        </w:rPr>
        <w:t xml:space="preserve"> The highest fold change</w:t>
      </w:r>
      <w:r w:rsidRPr="00A634DD">
        <w:rPr>
          <w:b/>
          <w:bCs/>
        </w:rPr>
        <w:t xml:space="preserve"> </w:t>
      </w:r>
      <w:r>
        <w:rPr>
          <w:b/>
          <w:bCs/>
        </w:rPr>
        <w:t xml:space="preserve">of the top 200 hits was identified </w:t>
      </w:r>
      <w:r w:rsidRPr="00A634DD">
        <w:rPr>
          <w:b/>
          <w:bCs/>
        </w:rPr>
        <w:t xml:space="preserve">from </w:t>
      </w:r>
      <w:r>
        <w:rPr>
          <w:b/>
          <w:bCs/>
        </w:rPr>
        <w:t xml:space="preserve">the </w:t>
      </w:r>
      <w:proofErr w:type="spellStart"/>
      <w:r w:rsidRPr="00A634DD">
        <w:rPr>
          <w:b/>
          <w:bCs/>
        </w:rPr>
        <w:t>vgRNA</w:t>
      </w:r>
      <w:proofErr w:type="spellEnd"/>
      <w:r w:rsidRPr="00A634DD">
        <w:rPr>
          <w:b/>
          <w:bCs/>
        </w:rPr>
        <w:t xml:space="preserve"> pulldown results. </w:t>
      </w:r>
      <w:r w:rsidRPr="0039680C">
        <w:rPr>
          <w:b/>
          <w:bCs/>
        </w:rPr>
        <w:t xml:space="preserve"> </w:t>
      </w:r>
    </w:p>
    <w:p w14:paraId="1C274069" w14:textId="77777777" w:rsidR="00546606" w:rsidRDefault="00546606" w:rsidP="00546606">
      <w:pPr>
        <w:spacing w:line="276" w:lineRule="auto"/>
      </w:pPr>
      <w:r w:rsidRPr="00560EAF">
        <w:t>(</w:t>
      </w:r>
      <w:r w:rsidRPr="0039680C">
        <w:t>A</w:t>
      </w:r>
      <w:r>
        <w:t>)</w:t>
      </w:r>
      <w:r w:rsidRPr="0039680C">
        <w:t xml:space="preserve"> Interactome map of ZIKV </w:t>
      </w:r>
      <w:proofErr w:type="spellStart"/>
      <w:r w:rsidRPr="0039680C">
        <w:t>vgRNA</w:t>
      </w:r>
      <w:proofErr w:type="spellEnd"/>
      <w:r w:rsidRPr="0039680C">
        <w:t xml:space="preserve"> with the top 200 </w:t>
      </w:r>
      <w:r>
        <w:t>high-confidence</w:t>
      </w:r>
      <w:r w:rsidRPr="0039680C">
        <w:t xml:space="preserve"> hits. Color is mapped to the relative log</w:t>
      </w:r>
      <w:r w:rsidRPr="0039680C">
        <w:rPr>
          <w:vertAlign w:val="subscript"/>
        </w:rPr>
        <w:t>2</w:t>
      </w:r>
      <w:r w:rsidRPr="0039680C">
        <w:t xml:space="preserve"> of the fold change value</w:t>
      </w:r>
      <w:r>
        <w:t>,</w:t>
      </w:r>
      <w:r w:rsidRPr="0039680C">
        <w:t xml:space="preserve"> </w:t>
      </w:r>
      <w:r>
        <w:t>as indicated in</w:t>
      </w:r>
      <w:r w:rsidRPr="0039680C">
        <w:t xml:space="preserve"> the legend </w:t>
      </w:r>
      <w:r>
        <w:t>at</w:t>
      </w:r>
      <w:r w:rsidRPr="0039680C">
        <w:t xml:space="preserve"> the top left. </w:t>
      </w:r>
    </w:p>
    <w:p w14:paraId="28DEAE6C" w14:textId="77777777" w:rsidR="00546606" w:rsidRDefault="00546606" w:rsidP="00546606">
      <w:pPr>
        <w:spacing w:line="276" w:lineRule="auto"/>
      </w:pPr>
      <w:r>
        <w:t>(</w:t>
      </w:r>
      <w:r w:rsidRPr="0039680C">
        <w:t>B</w:t>
      </w:r>
      <w:r>
        <w:t>)</w:t>
      </w:r>
      <w:r w:rsidRPr="0039680C">
        <w:t xml:space="preserve"> Interactome map of CHIKV </w:t>
      </w:r>
      <w:proofErr w:type="spellStart"/>
      <w:r w:rsidRPr="0039680C">
        <w:t>vgRNA</w:t>
      </w:r>
      <w:proofErr w:type="spellEnd"/>
      <w:r w:rsidRPr="0039680C">
        <w:t xml:space="preserve"> interactions with the top 200 </w:t>
      </w:r>
      <w:r>
        <w:t>high-confidence</w:t>
      </w:r>
      <w:r w:rsidRPr="0039680C">
        <w:t xml:space="preserve"> hits. Color is mapped to the relative log</w:t>
      </w:r>
      <w:r w:rsidRPr="0039680C">
        <w:rPr>
          <w:vertAlign w:val="subscript"/>
        </w:rPr>
        <w:t>2</w:t>
      </w:r>
      <w:r w:rsidRPr="0039680C">
        <w:t xml:space="preserve"> of the fold change value</w:t>
      </w:r>
      <w:r>
        <w:t>,</w:t>
      </w:r>
      <w:r w:rsidRPr="0039680C">
        <w:t xml:space="preserve"> </w:t>
      </w:r>
      <w:r>
        <w:t>as indicated in</w:t>
      </w:r>
      <w:r w:rsidRPr="0039680C">
        <w:t xml:space="preserve"> the legend </w:t>
      </w:r>
      <w:r>
        <w:t>at</w:t>
      </w:r>
      <w:r w:rsidRPr="0039680C">
        <w:t xml:space="preserve"> the top left.  </w:t>
      </w:r>
    </w:p>
    <w:p w14:paraId="01D63A82" w14:textId="77777777" w:rsidR="00546606" w:rsidRDefault="00546606" w:rsidP="00546606">
      <w:pPr>
        <w:spacing w:line="276" w:lineRule="auto"/>
      </w:pPr>
      <w:r>
        <w:t>The b</w:t>
      </w:r>
      <w:r w:rsidRPr="0039680C">
        <w:t xml:space="preserve">lack border indicates </w:t>
      </w:r>
      <w:r>
        <w:t>RNA-binding</w:t>
      </w:r>
      <w:r w:rsidRPr="0039680C">
        <w:t xml:space="preserve"> proteins. Ovals indicate common hits identified in both ZIKV and CHIKV </w:t>
      </w:r>
      <w:proofErr w:type="spellStart"/>
      <w:r w:rsidRPr="0039680C">
        <w:t>vgRNA</w:t>
      </w:r>
      <w:proofErr w:type="spellEnd"/>
      <w:r w:rsidRPr="0039680C">
        <w:t xml:space="preserve"> pulldowns. Protein clusters were determined by STRING enrichment in Cytoscape. </w:t>
      </w:r>
    </w:p>
    <w:p w14:paraId="128F3577" w14:textId="77777777" w:rsidR="00546606" w:rsidRPr="008F6B63" w:rsidRDefault="00546606" w:rsidP="0054660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5C379917" wp14:editId="3F4810A8">
            <wp:extent cx="5943600" cy="5681345"/>
            <wp:effectExtent l="0" t="0" r="0" b="0"/>
            <wp:docPr id="985057860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57860" name="Picture 1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DE77" w14:textId="77777777" w:rsidR="00546606" w:rsidRDefault="00546606" w:rsidP="00546606">
      <w:pPr>
        <w:spacing w:line="276" w:lineRule="auto"/>
        <w:jc w:val="both"/>
        <w:rPr>
          <w:rFonts w:cs="Times New Roman"/>
          <w:b/>
          <w:bCs/>
          <w:szCs w:val="22"/>
        </w:rPr>
      </w:pPr>
      <w:r w:rsidRPr="003128C7">
        <w:rPr>
          <w:rFonts w:cs="Times New Roman"/>
          <w:b/>
          <w:bCs/>
          <w:szCs w:val="22"/>
        </w:rPr>
        <w:t xml:space="preserve">Figure </w:t>
      </w:r>
      <w:r>
        <w:rPr>
          <w:rFonts w:cs="Times New Roman"/>
          <w:b/>
          <w:bCs/>
          <w:szCs w:val="22"/>
        </w:rPr>
        <w:t>S3</w:t>
      </w:r>
      <w:r w:rsidRPr="003128C7">
        <w:rPr>
          <w:rFonts w:cs="Times New Roman"/>
          <w:b/>
          <w:bCs/>
          <w:szCs w:val="22"/>
        </w:rPr>
        <w:t xml:space="preserve">. The impact of SFPQ knockdown in JEG-3 cells. </w:t>
      </w:r>
    </w:p>
    <w:p w14:paraId="581D499B" w14:textId="77777777" w:rsidR="00546606" w:rsidRDefault="00546606" w:rsidP="00546606">
      <w:pPr>
        <w:spacing w:line="276" w:lineRule="auto"/>
        <w:jc w:val="both"/>
        <w:rPr>
          <w:rFonts w:cs="Times New Roman"/>
          <w:szCs w:val="22"/>
        </w:rPr>
      </w:pPr>
      <w:r>
        <w:rPr>
          <w:rFonts w:cs="Times New Roman"/>
          <w:b/>
          <w:bCs/>
          <w:szCs w:val="22"/>
        </w:rPr>
        <w:t>(</w:t>
      </w:r>
      <w:r w:rsidRPr="003128C7">
        <w:rPr>
          <w:rFonts w:cs="Times New Roman"/>
          <w:szCs w:val="22"/>
        </w:rPr>
        <w:t>A</w:t>
      </w:r>
      <w:r>
        <w:rPr>
          <w:rFonts w:cs="Times New Roman"/>
          <w:szCs w:val="22"/>
        </w:rPr>
        <w:t>)</w:t>
      </w:r>
      <w:r w:rsidRPr="003128C7">
        <w:rPr>
          <w:rFonts w:cs="Times New Roman"/>
          <w:szCs w:val="22"/>
        </w:rPr>
        <w:t xml:space="preserve"> Confocal micrographs of JEG-3, JEG-3 SCR, and </w:t>
      </w:r>
      <w:r>
        <w:rPr>
          <w:rFonts w:cs="Times New Roman"/>
          <w:szCs w:val="22"/>
        </w:rPr>
        <w:t>JEG-3-SFPQ</w:t>
      </w:r>
      <w:r w:rsidRPr="003128C7">
        <w:rPr>
          <w:rFonts w:cs="Times New Roman"/>
          <w:szCs w:val="22"/>
        </w:rPr>
        <w:t xml:space="preserve"> knockdown uninfected cells fixed and treated with </w:t>
      </w:r>
      <w:r>
        <w:rPr>
          <w:rFonts w:cs="Times New Roman"/>
          <w:szCs w:val="22"/>
        </w:rPr>
        <w:t xml:space="preserve">an </w:t>
      </w:r>
      <w:r w:rsidRPr="003128C7">
        <w:rPr>
          <w:rFonts w:cs="Times New Roman"/>
          <w:szCs w:val="22"/>
        </w:rPr>
        <w:t xml:space="preserve">antibody targeting SFPQ (far red, pseudo-colored white) and Hoechst nuclear stain. </w:t>
      </w:r>
    </w:p>
    <w:p w14:paraId="769D98FF" w14:textId="77777777" w:rsidR="00546606" w:rsidRDefault="00546606" w:rsidP="00546606">
      <w:pPr>
        <w:spacing w:line="276" w:lineRule="auto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(</w:t>
      </w:r>
      <w:r w:rsidRPr="003128C7">
        <w:rPr>
          <w:rFonts w:cs="Times New Roman"/>
          <w:szCs w:val="22"/>
        </w:rPr>
        <w:t>B</w:t>
      </w:r>
      <w:r>
        <w:rPr>
          <w:rFonts w:cs="Times New Roman"/>
          <w:szCs w:val="22"/>
        </w:rPr>
        <w:t>)</w:t>
      </w:r>
      <w:r w:rsidRPr="003128C7">
        <w:rPr>
          <w:rFonts w:cs="Times New Roman"/>
          <w:szCs w:val="22"/>
        </w:rPr>
        <w:t xml:space="preserve"> Intensity measurements from </w:t>
      </w:r>
      <w:r>
        <w:rPr>
          <w:rFonts w:cs="Times New Roman"/>
          <w:szCs w:val="22"/>
        </w:rPr>
        <w:t xml:space="preserve">the </w:t>
      </w:r>
      <w:r w:rsidRPr="003128C7">
        <w:rPr>
          <w:rFonts w:cs="Times New Roman"/>
          <w:szCs w:val="22"/>
        </w:rPr>
        <w:t xml:space="preserve">far-red channel in </w:t>
      </w:r>
      <w:r>
        <w:rPr>
          <w:rFonts w:cs="Times New Roman"/>
          <w:szCs w:val="22"/>
        </w:rPr>
        <w:t>(</w:t>
      </w:r>
      <w:r w:rsidRPr="003128C7">
        <w:rPr>
          <w:rFonts w:cs="Times New Roman"/>
          <w:szCs w:val="22"/>
        </w:rPr>
        <w:t>A</w:t>
      </w:r>
      <w:r>
        <w:rPr>
          <w:rFonts w:cs="Times New Roman"/>
          <w:szCs w:val="22"/>
        </w:rPr>
        <w:t>)</w:t>
      </w:r>
      <w:r w:rsidRPr="003128C7">
        <w:rPr>
          <w:rFonts w:cs="Times New Roman"/>
          <w:szCs w:val="22"/>
        </w:rPr>
        <w:t>.</w:t>
      </w:r>
      <w:r>
        <w:rPr>
          <w:rFonts w:cs="Times New Roman"/>
          <w:szCs w:val="22"/>
        </w:rPr>
        <w:t xml:space="preserve"> </w:t>
      </w:r>
      <w:r w:rsidRPr="003128C7">
        <w:rPr>
          <w:rFonts w:cs="Times New Roman"/>
          <w:szCs w:val="22"/>
        </w:rPr>
        <w:t>(n=10</w:t>
      </w:r>
      <w:r>
        <w:rPr>
          <w:rFonts w:cs="Times New Roman"/>
          <w:szCs w:val="22"/>
        </w:rPr>
        <w:t>;</w:t>
      </w:r>
      <w:r w:rsidRPr="003128C7">
        <w:rPr>
          <w:rFonts w:cs="Times New Roman"/>
          <w:szCs w:val="22"/>
        </w:rPr>
        <w:t xml:space="preserve"> Error bars represent the mean and SEM. Significance determined by </w:t>
      </w:r>
      <w:r>
        <w:rPr>
          <w:rFonts w:cs="Times New Roman"/>
          <w:szCs w:val="22"/>
        </w:rPr>
        <w:t>One-way</w:t>
      </w:r>
      <w:r w:rsidRPr="003128C7">
        <w:rPr>
          <w:rFonts w:cs="Times New Roman"/>
          <w:szCs w:val="22"/>
        </w:rPr>
        <w:t xml:space="preserve"> ANOVA.) </w:t>
      </w:r>
    </w:p>
    <w:p w14:paraId="170358BD" w14:textId="77777777" w:rsidR="00546606" w:rsidRDefault="00546606" w:rsidP="00546606">
      <w:pPr>
        <w:spacing w:line="276" w:lineRule="auto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(C)</w:t>
      </w:r>
      <w:r w:rsidRPr="003128C7">
        <w:rPr>
          <w:rFonts w:cs="Times New Roman"/>
          <w:szCs w:val="22"/>
        </w:rPr>
        <w:t xml:space="preserve"> Western blot of cell lysate from JEG-3 SCR, JEG-3, and JEG-3 SFPQ knockdown cells treated with antibody targeting SPFQ (green) and </w:t>
      </w:r>
      <w:r w:rsidRPr="003128C7">
        <w:rPr>
          <w:rFonts w:cs="Times New Roman"/>
          <w:szCs w:val="22"/>
          <w:lang w:val="el-GR"/>
        </w:rPr>
        <w:t>β</w:t>
      </w:r>
      <w:r w:rsidRPr="003128C7">
        <w:rPr>
          <w:rFonts w:cs="Times New Roman"/>
          <w:szCs w:val="22"/>
        </w:rPr>
        <w:t xml:space="preserve">-actin (red). SFPQ antibody </w:t>
      </w:r>
      <w:r>
        <w:rPr>
          <w:rFonts w:cs="Times New Roman"/>
          <w:szCs w:val="22"/>
        </w:rPr>
        <w:t>(Cell Signaling, #</w:t>
      </w:r>
      <w:r w:rsidRPr="004D1CE2">
        <w:rPr>
          <w:rFonts w:cs="Times New Roman"/>
          <w:szCs w:val="22"/>
        </w:rPr>
        <w:t>23020</w:t>
      </w:r>
      <w:r>
        <w:rPr>
          <w:rFonts w:cs="Times New Roman"/>
          <w:szCs w:val="22"/>
        </w:rPr>
        <w:t>)</w:t>
      </w:r>
      <w:r w:rsidRPr="004D1CE2">
        <w:rPr>
          <w:rFonts w:cs="Times New Roman"/>
          <w:szCs w:val="22"/>
        </w:rPr>
        <w:t xml:space="preserve"> </w:t>
      </w:r>
      <w:r w:rsidRPr="003128C7">
        <w:rPr>
          <w:rFonts w:cs="Times New Roman"/>
          <w:szCs w:val="22"/>
        </w:rPr>
        <w:t xml:space="preserve">is known to detect </w:t>
      </w:r>
      <w:r>
        <w:rPr>
          <w:rFonts w:cs="Times New Roman"/>
          <w:szCs w:val="22"/>
        </w:rPr>
        <w:t xml:space="preserve">a </w:t>
      </w:r>
      <w:r w:rsidRPr="003128C7">
        <w:rPr>
          <w:rFonts w:cs="Times New Roman"/>
          <w:szCs w:val="22"/>
        </w:rPr>
        <w:t>~3</w:t>
      </w:r>
      <w:r>
        <w:rPr>
          <w:rFonts w:cs="Times New Roman"/>
          <w:szCs w:val="22"/>
        </w:rPr>
        <w:t>2</w:t>
      </w:r>
      <w:r w:rsidRPr="003128C7">
        <w:rPr>
          <w:rFonts w:cs="Times New Roman"/>
          <w:szCs w:val="22"/>
        </w:rPr>
        <w:t xml:space="preserve"> kDa band of unknown origin. </w:t>
      </w:r>
    </w:p>
    <w:p w14:paraId="767005ED" w14:textId="77777777" w:rsidR="00546606" w:rsidRDefault="00546606" w:rsidP="00546606">
      <w:pPr>
        <w:spacing w:line="276" w:lineRule="auto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(</w:t>
      </w:r>
      <w:r w:rsidRPr="003128C7">
        <w:rPr>
          <w:rFonts w:cs="Times New Roman"/>
          <w:szCs w:val="22"/>
        </w:rPr>
        <w:t>D</w:t>
      </w:r>
      <w:r>
        <w:rPr>
          <w:rFonts w:cs="Times New Roman"/>
          <w:szCs w:val="22"/>
        </w:rPr>
        <w:t>)</w:t>
      </w:r>
      <w:r w:rsidRPr="003128C7">
        <w:rPr>
          <w:rFonts w:cs="Times New Roman"/>
          <w:szCs w:val="22"/>
        </w:rPr>
        <w:t xml:space="preserve"> Confocal micrographs of immunofluorescence assay of ZIKV-MFP infected JEG-3 SCR or JEG-3 SFPQ knockdown cells using antibody targeting SFPQ (far red, pseudo-colored white). </w:t>
      </w:r>
      <w:r>
        <w:rPr>
          <w:rFonts w:cs="Times New Roman"/>
          <w:szCs w:val="22"/>
        </w:rPr>
        <w:t>The expanded</w:t>
      </w:r>
      <w:r w:rsidRPr="003128C7">
        <w:rPr>
          <w:rFonts w:cs="Times New Roman"/>
          <w:szCs w:val="22"/>
        </w:rPr>
        <w:t xml:space="preserve"> region of interest for individual far red, green, and red channels </w:t>
      </w:r>
      <w:r>
        <w:rPr>
          <w:rFonts w:cs="Times New Roman"/>
          <w:szCs w:val="22"/>
        </w:rPr>
        <w:t xml:space="preserve">is </w:t>
      </w:r>
      <w:r w:rsidRPr="003128C7">
        <w:rPr>
          <w:rFonts w:cs="Times New Roman"/>
          <w:szCs w:val="22"/>
        </w:rPr>
        <w:t xml:space="preserve">shown below. </w:t>
      </w:r>
    </w:p>
    <w:p w14:paraId="6B310451" w14:textId="65D9CEE3" w:rsidR="00AA410C" w:rsidRPr="000D3444" w:rsidRDefault="00546606" w:rsidP="000D3444">
      <w:pPr>
        <w:spacing w:line="276" w:lineRule="auto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(</w:t>
      </w:r>
      <w:r w:rsidRPr="003128C7">
        <w:rPr>
          <w:rFonts w:cs="Times New Roman"/>
          <w:szCs w:val="22"/>
        </w:rPr>
        <w:t>E-H</w:t>
      </w:r>
      <w:r>
        <w:rPr>
          <w:rFonts w:cs="Times New Roman"/>
          <w:szCs w:val="22"/>
        </w:rPr>
        <w:t>)</w:t>
      </w:r>
      <w:r w:rsidRPr="003128C7">
        <w:rPr>
          <w:rFonts w:cs="Times New Roman"/>
          <w:szCs w:val="22"/>
        </w:rPr>
        <w:t xml:space="preserve"> Growth kinetic analysis of virus infection in JEG-3 SCR compared to JEG-3 SFPQ knockdown cells for ZIKV (E), YFV (F), CHIKV (G), and SINV (H). </w:t>
      </w:r>
    </w:p>
    <w:sectPr w:rsidR="00AA410C" w:rsidRPr="000D3444" w:rsidSect="00546606">
      <w:pgSz w:w="12240" w:h="15840"/>
      <w:pgMar w:top="1440" w:right="1440" w:bottom="1440" w:left="1440" w:header="720" w:footer="720" w:gutter="0"/>
      <w:lnNumType w:countBy="1" w:restart="newSection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606"/>
    <w:rsid w:val="000A21CA"/>
    <w:rsid w:val="000D3444"/>
    <w:rsid w:val="00312E8A"/>
    <w:rsid w:val="003572BE"/>
    <w:rsid w:val="004D4547"/>
    <w:rsid w:val="00546606"/>
    <w:rsid w:val="006F3B5F"/>
    <w:rsid w:val="00944BF8"/>
    <w:rsid w:val="00A4766E"/>
    <w:rsid w:val="00AA410C"/>
    <w:rsid w:val="00D6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D1DE"/>
  <w15:chartTrackingRefBased/>
  <w15:docId w15:val="{D72A8002-6D72-4AF7-BA8E-6B8E4B90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06"/>
    <w:rPr>
      <w:rFonts w:ascii="Times New Roman" w:eastAsia="Calibri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6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6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60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60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60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60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60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60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60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6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6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60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60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60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60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60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60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60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6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60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60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6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6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6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66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6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6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606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46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d7d5f6-6f14-4832-ad1b-0d7e48c34b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0A8A944A5AF49A0804B23E8F53807" ma:contentTypeVersion="18" ma:contentTypeDescription="Create a new document." ma:contentTypeScope="" ma:versionID="06ca0cb868a85f3920492c7264e065a9">
  <xsd:schema xmlns:xsd="http://www.w3.org/2001/XMLSchema" xmlns:xs="http://www.w3.org/2001/XMLSchema" xmlns:p="http://schemas.microsoft.com/office/2006/metadata/properties" xmlns:ns3="a4d7d5f6-6f14-4832-ad1b-0d7e48c34bf0" xmlns:ns4="bbba37f2-fa51-4464-bf9f-aed86aa1bd99" targetNamespace="http://schemas.microsoft.com/office/2006/metadata/properties" ma:root="true" ma:fieldsID="e33b451bbad7fc2ddac1e0e0d8d59705" ns3:_="" ns4:_="">
    <xsd:import namespace="a4d7d5f6-6f14-4832-ad1b-0d7e48c34bf0"/>
    <xsd:import namespace="bbba37f2-fa51-4464-bf9f-aed86aa1bd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7d5f6-6f14-4832-ad1b-0d7e48c34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a37f2-fa51-4464-bf9f-aed86aa1b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3E837F-C707-44BF-B87C-A5C9CC1C071A}">
  <ds:schemaRefs>
    <ds:schemaRef ds:uri="http://schemas.microsoft.com/office/2006/metadata/properties"/>
    <ds:schemaRef ds:uri="http://schemas.microsoft.com/office/infopath/2007/PartnerControls"/>
    <ds:schemaRef ds:uri="a4d7d5f6-6f14-4832-ad1b-0d7e48c34bf0"/>
  </ds:schemaRefs>
</ds:datastoreItem>
</file>

<file path=customXml/itemProps2.xml><?xml version="1.0" encoding="utf-8"?>
<ds:datastoreItem xmlns:ds="http://schemas.openxmlformats.org/officeDocument/2006/customXml" ds:itemID="{E79D5EA1-D66F-41AD-941E-3486BCAB3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7d5f6-6f14-4832-ad1b-0d7e48c34bf0"/>
    <ds:schemaRef ds:uri="bbba37f2-fa51-4464-bf9f-aed86aa1b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996CA7-A352-4AE1-A40E-39D573066E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484</Words>
  <Characters>2804</Characters>
  <Application>Microsoft Office Word</Application>
  <DocSecurity>0</DocSecurity>
  <Lines>82</Lines>
  <Paragraphs>44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Jablunovsky, Anastazia Kyrie</dc:creator>
  <cp:keywords/>
  <dc:description/>
  <cp:lastModifiedBy>Jose, Joyce</cp:lastModifiedBy>
  <cp:revision>3</cp:revision>
  <dcterms:created xsi:type="dcterms:W3CDTF">2025-06-26T16:22:00Z</dcterms:created>
  <dcterms:modified xsi:type="dcterms:W3CDTF">2025-06-27T14:32:00Z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0x0101004E30A8A944A5AF49A0804B23E8F53807</vt:lpwstr>
  </property>
</Properties>
</file>