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0699" w:rsidRPr="00657B23" w:rsidRDefault="00640699" w:rsidP="00640699">
      <w:pPr>
        <w:pStyle w:val="Heading2"/>
        <w:rPr>
          <w:color w:val="auto"/>
        </w:rPr>
      </w:pPr>
      <w:r w:rsidRPr="00657B23">
        <w:rPr>
          <w:color w:val="auto"/>
        </w:rPr>
        <w:t>Appendix</w:t>
      </w:r>
    </w:p>
    <w:tbl>
      <w:tblPr>
        <w:tblStyle w:val="TableGrid"/>
        <w:tblW w:w="0" w:type="auto"/>
        <w:tblLook w:val="04A0" w:firstRow="1" w:lastRow="0" w:firstColumn="1" w:lastColumn="0" w:noHBand="0" w:noVBand="1"/>
      </w:tblPr>
      <w:tblGrid>
        <w:gridCol w:w="3360"/>
        <w:gridCol w:w="994"/>
        <w:gridCol w:w="960"/>
        <w:gridCol w:w="960"/>
        <w:gridCol w:w="960"/>
        <w:gridCol w:w="1059"/>
        <w:gridCol w:w="779"/>
      </w:tblGrid>
      <w:tr w:rsidR="00640699" w:rsidRPr="00657B23" w:rsidTr="00881C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7"/>
          </w:tcPr>
          <w:p w:rsidR="00640699" w:rsidRPr="00657B23" w:rsidRDefault="00640699" w:rsidP="00881C86">
            <w:pPr>
              <w:pStyle w:val="berschriftenTabellen"/>
              <w:spacing w:line="240" w:lineRule="auto"/>
              <w:rPr>
                <w:b/>
                <w:bCs w:val="0"/>
              </w:rPr>
            </w:pPr>
            <w:r w:rsidRPr="00657B23">
              <w:rPr>
                <w:b/>
                <w:bCs w:val="0"/>
              </w:rPr>
              <w:t xml:space="preserve">Table 6 - Characteristics of study participants based on Chronicity Classes </w:t>
            </w:r>
          </w:p>
        </w:tc>
      </w:tr>
      <w:tr w:rsidR="00640699" w:rsidRPr="00657B23" w:rsidTr="00881C86">
        <w:trPr>
          <w:trHeight w:val="340"/>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heme="minorHAnsi" w:hAnsiTheme="minorHAnsi" w:cstheme="minorHAnsi"/>
                <w:sz w:val="20"/>
                <w:szCs w:val="20"/>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b/>
                <w:bCs/>
                <w:sz w:val="18"/>
                <w:szCs w:val="18"/>
              </w:rPr>
            </w:pPr>
            <w:r w:rsidRPr="00657B23">
              <w:rPr>
                <w:b/>
                <w:bCs/>
                <w:sz w:val="18"/>
                <w:szCs w:val="18"/>
              </w:rPr>
              <w:t>Overall</w:t>
            </w:r>
          </w:p>
        </w:tc>
        <w:tc>
          <w:tcPr>
            <w:tcW w:w="0" w:type="auto"/>
          </w:tcPr>
          <w:p w:rsidR="00640699" w:rsidRPr="00657B23" w:rsidRDefault="00640699" w:rsidP="00881C86">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18"/>
                <w:lang w:val="en-GB"/>
              </w:rPr>
            </w:pPr>
            <w:r w:rsidRPr="00657B23">
              <w:rPr>
                <w:rFonts w:ascii="Times New Roman" w:hAnsi="Times New Roman" w:cs="Times New Roman"/>
                <w:b/>
                <w:bCs/>
                <w:i/>
                <w:iCs/>
                <w:szCs w:val="18"/>
              </w:rPr>
              <w:t>CC 1</w:t>
            </w:r>
          </w:p>
        </w:tc>
        <w:tc>
          <w:tcPr>
            <w:tcW w:w="0" w:type="auto"/>
          </w:tcPr>
          <w:p w:rsidR="00640699" w:rsidRPr="00657B23" w:rsidRDefault="00640699" w:rsidP="00881C86">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18"/>
                <w:lang w:val="en-GB"/>
              </w:rPr>
            </w:pPr>
            <w:r w:rsidRPr="00657B23">
              <w:rPr>
                <w:rFonts w:ascii="Times New Roman" w:hAnsi="Times New Roman" w:cs="Times New Roman"/>
                <w:b/>
                <w:bCs/>
                <w:szCs w:val="18"/>
                <w:lang w:val="en-GB"/>
              </w:rPr>
              <w:t>CC 2</w:t>
            </w:r>
          </w:p>
        </w:tc>
        <w:tc>
          <w:tcPr>
            <w:tcW w:w="0" w:type="auto"/>
          </w:tcPr>
          <w:p w:rsidR="00640699" w:rsidRPr="00657B23" w:rsidRDefault="00640699" w:rsidP="00881C86">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18"/>
                <w:lang w:val="en-GB"/>
              </w:rPr>
            </w:pPr>
            <w:r w:rsidRPr="00657B23">
              <w:rPr>
                <w:rFonts w:ascii="Times New Roman" w:hAnsi="Times New Roman" w:cs="Times New Roman"/>
                <w:b/>
                <w:bCs/>
                <w:i/>
                <w:iCs/>
                <w:szCs w:val="18"/>
              </w:rPr>
              <w:t>CC 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b/>
                <w:bCs/>
                <w:sz w:val="18"/>
                <w:szCs w:val="18"/>
              </w:rPr>
            </w:pPr>
            <w:r w:rsidRPr="00657B23">
              <w:rPr>
                <w:b/>
                <w:bCs/>
                <w:sz w:val="18"/>
                <w:szCs w:val="18"/>
              </w:rPr>
              <w:t>Self-selected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b/>
                <w:bCs/>
                <w:sz w:val="18"/>
                <w:szCs w:val="18"/>
              </w:rPr>
            </w:pPr>
            <w:r w:rsidRPr="00657B23">
              <w:rPr>
                <w:b/>
                <w:bCs/>
                <w:sz w:val="18"/>
                <w:szCs w:val="18"/>
              </w:rPr>
              <w:t>P</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rPr>
            </w:pPr>
            <w:r w:rsidRPr="00657B23">
              <w:rPr>
                <w:rFonts w:ascii="Times New Roman" w:hAnsi="Times New Roman" w:cs="Times New Roman"/>
                <w:szCs w:val="18"/>
              </w:rPr>
              <w:t>N</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3506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1756</w:t>
            </w:r>
          </w:p>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428</w:t>
            </w:r>
          </w:p>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(12.2)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519</w:t>
            </w:r>
          </w:p>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(14.8)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803</w:t>
            </w:r>
          </w:p>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(22.9)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rPr>
            </w:pPr>
            <w:r w:rsidRPr="00657B23">
              <w:rPr>
                <w:rFonts w:ascii="Times New Roman" w:hAnsi="Times New Roman" w:cs="Times New Roman"/>
                <w:szCs w:val="18"/>
              </w:rPr>
              <w:t>Sex = Female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1196 (34.1)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614 (34.9)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176 (41.1)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142 (27.4)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264 (32.9)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rPr>
            </w:pPr>
            <w:r w:rsidRPr="00657B23">
              <w:rPr>
                <w:rFonts w:ascii="Times New Roman" w:hAnsi="Times New Roman" w:cs="Times New Roman"/>
                <w:szCs w:val="18"/>
              </w:rPr>
              <w:t>Age (mean (SD))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54.73 (9.52)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55.12 (9.89)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53.04 (7.91)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54.09 (8.03)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55.22 (10.22)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i w:val="0"/>
                <w:iCs/>
                <w:szCs w:val="18"/>
              </w:rPr>
            </w:pPr>
            <w:r w:rsidRPr="00657B23">
              <w:rPr>
                <w:rFonts w:ascii="Times New Roman" w:hAnsi="Times New Roman" w:cs="Times New Roman"/>
                <w:szCs w:val="18"/>
              </w:rPr>
              <w:t>CCI – score (mean (SD))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0.80 (1.41)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0.64 (1.24)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0.83 (1.29)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1.08 (1.66)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0.95 (1.58)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lang w:val="en-GB"/>
              </w:rPr>
            </w:pPr>
            <w:r w:rsidRPr="00657B23">
              <w:rPr>
                <w:rFonts w:ascii="Times New Roman" w:hAnsi="Times New Roman" w:cs="Times New Roman"/>
                <w:szCs w:val="18"/>
                <w:lang w:val="en-GB"/>
              </w:rPr>
              <w:t>Overall health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jc w:val="right"/>
              <w:rPr>
                <w:rFonts w:ascii="Times New Roman" w:hAnsi="Times New Roman" w:cs="Times New Roman"/>
                <w:szCs w:val="18"/>
              </w:rPr>
            </w:pPr>
            <w:r w:rsidRPr="00657B23">
              <w:rPr>
                <w:rFonts w:ascii="Times New Roman" w:hAnsi="Times New Roman" w:cs="Times New Roman"/>
                <w:szCs w:val="18"/>
              </w:rPr>
              <w:t>very good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49 (1.4)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34 (1.9)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 (1.2)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 (1.0)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 (0.6)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jc w:val="right"/>
              <w:rPr>
                <w:rFonts w:ascii="Times New Roman" w:hAnsi="Times New Roman" w:cs="Times New Roman"/>
                <w:szCs w:val="18"/>
              </w:rPr>
            </w:pPr>
            <w:r w:rsidRPr="00657B23">
              <w:rPr>
                <w:rFonts w:ascii="Times New Roman" w:hAnsi="Times New Roman" w:cs="Times New Roman"/>
                <w:szCs w:val="18"/>
              </w:rPr>
              <w:t>good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505 (14.4)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360 (20.5)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41 (9.6)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39 (7.5)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65 (8.1)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jc w:val="right"/>
              <w:rPr>
                <w:rFonts w:ascii="Times New Roman" w:hAnsi="Times New Roman" w:cs="Times New Roman"/>
                <w:szCs w:val="18"/>
              </w:rPr>
            </w:pPr>
            <w:r w:rsidRPr="00657B23">
              <w:rPr>
                <w:rFonts w:ascii="Times New Roman" w:hAnsi="Times New Roman" w:cs="Times New Roman"/>
                <w:szCs w:val="18"/>
              </w:rPr>
              <w:t>moderate</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1832 (52.2)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962 (54.8)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204 (47.7)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242 (46.6)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424 (52.8)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jc w:val="right"/>
              <w:rPr>
                <w:rFonts w:ascii="Times New Roman" w:hAnsi="Times New Roman" w:cs="Times New Roman"/>
                <w:szCs w:val="18"/>
              </w:rPr>
            </w:pPr>
            <w:r w:rsidRPr="00657B23">
              <w:rPr>
                <w:rFonts w:ascii="Times New Roman" w:hAnsi="Times New Roman" w:cs="Times New Roman"/>
                <w:szCs w:val="18"/>
              </w:rPr>
              <w:t>bad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970 (27.7)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370 (21.1)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145 (33.9)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197 (38.0)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258 (32.1)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jc w:val="right"/>
              <w:rPr>
                <w:rFonts w:ascii="Times New Roman" w:hAnsi="Times New Roman" w:cs="Times New Roman"/>
                <w:szCs w:val="18"/>
              </w:rPr>
            </w:pPr>
            <w:r w:rsidRPr="00657B23">
              <w:rPr>
                <w:rFonts w:ascii="Times New Roman" w:hAnsi="Times New Roman" w:cs="Times New Roman"/>
                <w:szCs w:val="18"/>
              </w:rPr>
              <w:t>very bad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150 (4.3)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30 (1.7)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33 (7.7)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36 (6.9)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51 (6.4)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rPr>
            </w:pPr>
            <w:r w:rsidRPr="00657B23">
              <w:rPr>
                <w:rFonts w:ascii="Times New Roman" w:hAnsi="Times New Roman" w:cs="Times New Roman"/>
                <w:szCs w:val="18"/>
              </w:rPr>
              <w:t>PHQ-4 sum score (mean(SD))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2.82 (2.56)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2.38 (2.27)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b/>
                <w:bCs/>
                <w:sz w:val="18"/>
                <w:szCs w:val="18"/>
              </w:rPr>
              <w:t>3.78 (2.95</w:t>
            </w:r>
            <w:r w:rsidRPr="00657B23">
              <w:rPr>
                <w:sz w:val="18"/>
                <w:szCs w:val="18"/>
              </w:rPr>
              <w:t>)</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3.01 (2.70)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3.13 (2.64)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rPr>
            </w:pPr>
            <w:r w:rsidRPr="00657B23">
              <w:rPr>
                <w:rFonts w:ascii="Times New Roman" w:hAnsi="Times New Roman" w:cs="Times New Roman"/>
                <w:szCs w:val="18"/>
                <w:lang w:val="en-GB"/>
              </w:rPr>
              <w:t xml:space="preserve">                         PHQ-4 subscale depression</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1.56 (1.41)</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1.34 (1.29)</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rPr>
                <w:b/>
                <w:bCs/>
              </w:rPr>
            </w:pPr>
            <w:r w:rsidRPr="00657B23">
              <w:t>1.92 (1.54)</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1.67 (1.48)</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1.76 (1.46)</w:t>
            </w:r>
          </w:p>
        </w:tc>
        <w:tc>
          <w:tcPr>
            <w:tcW w:w="0" w:type="auto"/>
            <w:vAlign w:val="bottom"/>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&lt;0.001</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rPr>
            </w:pPr>
            <w:r w:rsidRPr="00657B23">
              <w:rPr>
                <w:rFonts w:ascii="Times New Roman" w:hAnsi="Times New Roman" w:cs="Times New Roman"/>
                <w:szCs w:val="18"/>
                <w:lang w:val="en-GB"/>
              </w:rPr>
              <w:t xml:space="preserve">                              PHQ-4 subscale anxiety</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1.26 (1.37)</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1.05 (1.21)</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rPr>
                <w:b/>
                <w:bCs/>
              </w:rPr>
            </w:pPr>
            <w:r w:rsidRPr="00657B23">
              <w:t>1.86 (1.62)</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1.33 (1.41)</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1.37 (1.42)</w:t>
            </w:r>
          </w:p>
        </w:tc>
        <w:tc>
          <w:tcPr>
            <w:tcW w:w="0" w:type="auto"/>
            <w:vAlign w:val="bottom"/>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&lt;0.001</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lang w:val="en-GB"/>
              </w:rPr>
            </w:pPr>
            <w:r w:rsidRPr="00657B23">
              <w:rPr>
                <w:rFonts w:ascii="Times New Roman" w:hAnsi="Times New Roman" w:cs="Times New Roman"/>
                <w:szCs w:val="18"/>
                <w:lang w:val="en-GB"/>
              </w:rPr>
              <w:t>Average pain intensity within the last six months (mean(SD))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4.48 (1.95)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4.27 (1.92)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4.35 (1.83)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4.84 (2.17)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4.78 (1.89)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lang w:val="en-GB"/>
              </w:rPr>
            </w:pPr>
            <w:r w:rsidRPr="00657B23">
              <w:rPr>
                <w:rFonts w:ascii="Times New Roman" w:hAnsi="Times New Roman" w:cs="Times New Roman"/>
                <w:szCs w:val="18"/>
                <w:lang w:val="en-GB"/>
              </w:rPr>
              <w:t>Average disability within the last six months (mean(SD))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3.99 (2.44)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3.48 (2.30)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3.90 (2.28)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4.98 (2.69)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4.49 (2.33)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lang w:val="en-GB"/>
              </w:rPr>
            </w:pPr>
            <w:r w:rsidRPr="00657B23">
              <w:rPr>
                <w:rFonts w:ascii="Times New Roman" w:hAnsi="Times New Roman" w:cs="Times New Roman"/>
                <w:szCs w:val="18"/>
                <w:lang w:val="en-GB"/>
              </w:rPr>
              <w:t>Days disabled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jc w:val="right"/>
              <w:rPr>
                <w:rFonts w:ascii="Times New Roman" w:hAnsi="Times New Roman" w:cs="Times New Roman"/>
                <w:szCs w:val="18"/>
                <w:lang w:val="en-GB"/>
              </w:rPr>
            </w:pPr>
            <w:r w:rsidRPr="00657B23">
              <w:rPr>
                <w:rFonts w:ascii="Times New Roman" w:hAnsi="Times New Roman" w:cs="Times New Roman"/>
                <w:szCs w:val="18"/>
                <w:lang w:val="en-GB"/>
              </w:rPr>
              <w:t>0 - 6 days</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2160 (61.6)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1305 (74.3)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223 (52.1)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168 (32.4)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464 (57.8)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jc w:val="right"/>
              <w:rPr>
                <w:rFonts w:ascii="Times New Roman" w:hAnsi="Times New Roman" w:cs="Times New Roman"/>
                <w:szCs w:val="18"/>
                <w:lang w:val="en-GB"/>
              </w:rPr>
            </w:pPr>
            <w:r w:rsidRPr="00657B23">
              <w:rPr>
                <w:rFonts w:ascii="Times New Roman" w:hAnsi="Times New Roman" w:cs="Times New Roman"/>
                <w:szCs w:val="18"/>
                <w:lang w:val="en-GB"/>
              </w:rPr>
              <w:t>07 - 14 days</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445 (12.7)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204 (11.6)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62 (14.5)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68 (13.1)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111 (13.8)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jc w:val="right"/>
              <w:rPr>
                <w:rFonts w:ascii="Times New Roman" w:hAnsi="Times New Roman" w:cs="Times New Roman"/>
                <w:szCs w:val="18"/>
                <w:lang w:val="en-GB"/>
              </w:rPr>
            </w:pPr>
            <w:r w:rsidRPr="00657B23">
              <w:rPr>
                <w:rFonts w:ascii="Times New Roman" w:hAnsi="Times New Roman" w:cs="Times New Roman"/>
                <w:szCs w:val="18"/>
                <w:lang w:val="en-GB"/>
              </w:rPr>
              <w:t>15 - 30 days</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398 (11.3)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140 (8.0)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71 (16.6)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82 (15.8)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105 (13.1)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227"/>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jc w:val="right"/>
              <w:rPr>
                <w:rFonts w:ascii="Times New Roman" w:hAnsi="Times New Roman" w:cs="Times New Roman"/>
                <w:szCs w:val="18"/>
                <w:lang w:val="en-GB"/>
              </w:rPr>
            </w:pPr>
            <w:r w:rsidRPr="00657B23">
              <w:rPr>
                <w:rFonts w:ascii="Times New Roman" w:hAnsi="Times New Roman" w:cs="Times New Roman"/>
                <w:szCs w:val="18"/>
                <w:lang w:val="en-GB"/>
              </w:rPr>
              <w:t>31 - 180 days</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503 (14.3)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107 (6.1)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72 (16.8)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201 (38.7)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123 (15.3)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340"/>
        </w:trPr>
        <w:tc>
          <w:tcPr>
            <w:cnfStyle w:val="001000000000" w:firstRow="0" w:lastRow="0" w:firstColumn="1" w:lastColumn="0" w:oddVBand="0" w:evenVBand="0" w:oddHBand="0" w:evenHBand="0" w:firstRowFirstColumn="0" w:firstRowLastColumn="0" w:lastRowFirstColumn="0" w:lastRowLastColumn="0"/>
            <w:tcW w:w="0" w:type="auto"/>
            <w:gridSpan w:val="7"/>
          </w:tcPr>
          <w:p w:rsidR="00640699" w:rsidRPr="00657B23" w:rsidRDefault="00640699" w:rsidP="00881C86">
            <w:pPr>
              <w:rPr>
                <w:sz w:val="18"/>
                <w:szCs w:val="18"/>
              </w:rPr>
            </w:pPr>
            <w:r w:rsidRPr="00657B23">
              <w:rPr>
                <w:sz w:val="18"/>
                <w:szCs w:val="18"/>
              </w:rPr>
              <w:t xml:space="preserve">Chronicity Classes = 1: </w:t>
            </w:r>
            <w:r w:rsidRPr="00657B23">
              <w:rPr>
                <w:i w:val="0"/>
                <w:sz w:val="18"/>
                <w:szCs w:val="18"/>
              </w:rPr>
              <w:t>Without evidence of chronicity; 2:  Evidence of risk of chronicity; 3: Evidence of chronicity</w:t>
            </w:r>
          </w:p>
        </w:tc>
      </w:tr>
    </w:tbl>
    <w:p w:rsidR="00640699" w:rsidRPr="00657B23" w:rsidRDefault="00640699" w:rsidP="00640699">
      <w:pPr>
        <w:pStyle w:val="AkademischerText"/>
      </w:pPr>
    </w:p>
    <w:tbl>
      <w:tblPr>
        <w:tblStyle w:val="TableGrid"/>
        <w:tblW w:w="0" w:type="auto"/>
        <w:tblLook w:val="04A0" w:firstRow="1" w:lastRow="0" w:firstColumn="1" w:lastColumn="0" w:noHBand="0" w:noVBand="1"/>
      </w:tblPr>
      <w:tblGrid>
        <w:gridCol w:w="2127"/>
        <w:gridCol w:w="1392"/>
        <w:gridCol w:w="2745"/>
        <w:gridCol w:w="2169"/>
        <w:gridCol w:w="639"/>
      </w:tblGrid>
      <w:tr w:rsidR="00640699" w:rsidRPr="00657B23" w:rsidTr="00881C86">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gridSpan w:val="5"/>
          </w:tcPr>
          <w:p w:rsidR="00640699" w:rsidRPr="00657B23" w:rsidRDefault="00640699" w:rsidP="00881C86">
            <w:pPr>
              <w:pStyle w:val="berschriftenTabellen"/>
              <w:spacing w:line="240" w:lineRule="auto"/>
              <w:rPr>
                <w:b/>
                <w:bCs w:val="0"/>
              </w:rPr>
            </w:pPr>
            <w:r w:rsidRPr="00657B23">
              <w:rPr>
                <w:b/>
                <w:bCs w:val="0"/>
              </w:rPr>
              <w:t>Table 7 - Evaluation of the predicted BP severity with self-reported GCPS grades</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vMerge w:val="restart"/>
          </w:tcPr>
          <w:p w:rsidR="00640699" w:rsidRPr="00657B23" w:rsidRDefault="00640699" w:rsidP="00881C86">
            <w:pPr>
              <w:pStyle w:val="AkademischerText"/>
              <w:spacing w:line="240" w:lineRule="auto"/>
            </w:pPr>
            <w:r w:rsidRPr="00657B23">
              <w:t>Predicted BP severity category</w:t>
            </w:r>
          </w:p>
        </w:tc>
        <w:tc>
          <w:tcPr>
            <w:tcW w:w="6945" w:type="dxa"/>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Observed BP severity category</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vMerge/>
          </w:tcPr>
          <w:p w:rsidR="00640699" w:rsidRPr="00657B23" w:rsidRDefault="00640699" w:rsidP="00881C86">
            <w:pPr>
              <w:pStyle w:val="AkademischerText"/>
              <w:spacing w:line="240" w:lineRule="auto"/>
            </w:pPr>
          </w:p>
        </w:tc>
        <w:tc>
          <w:tcPr>
            <w:tcW w:w="1392" w:type="dxa"/>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 xml:space="preserve">Severe </w:t>
            </w:r>
          </w:p>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(GCPS IV)</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Risk of chronification (GCPS III)</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Non-severe (GCPS I &amp; II)</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Total</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tcPr>
          <w:p w:rsidR="00640699" w:rsidRPr="00657B23" w:rsidRDefault="00640699" w:rsidP="00881C86">
            <w:pPr>
              <w:pStyle w:val="AkademischerText"/>
              <w:spacing w:line="240" w:lineRule="auto"/>
              <w:rPr>
                <w:iCs/>
              </w:rPr>
            </w:pPr>
            <w:r w:rsidRPr="00657B23">
              <w:t xml:space="preserve">Severe </w:t>
            </w:r>
          </w:p>
          <w:p w:rsidR="00640699" w:rsidRPr="00657B23" w:rsidRDefault="00640699" w:rsidP="00881C86">
            <w:pPr>
              <w:pStyle w:val="AkademischerText"/>
              <w:spacing w:line="240" w:lineRule="auto"/>
            </w:pPr>
            <w:r w:rsidRPr="00657B23">
              <w:t>(CC 3)</w:t>
            </w:r>
          </w:p>
        </w:tc>
        <w:tc>
          <w:tcPr>
            <w:tcW w:w="1392" w:type="dxa"/>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TP: 166</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FP: 102</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FP: 175</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443</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tcPr>
          <w:p w:rsidR="00640699" w:rsidRPr="00657B23" w:rsidRDefault="00640699" w:rsidP="00881C86">
            <w:pPr>
              <w:pStyle w:val="AkademischerText"/>
              <w:spacing w:line="240" w:lineRule="auto"/>
            </w:pPr>
            <w:r w:rsidRPr="00657B23">
              <w:t>Risk of chronification (CC 2)</w:t>
            </w:r>
          </w:p>
        </w:tc>
        <w:tc>
          <w:tcPr>
            <w:tcW w:w="1392" w:type="dxa"/>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FP: 53</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TP: 80</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FP: 217</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350</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tcPr>
          <w:p w:rsidR="00640699" w:rsidRPr="00657B23" w:rsidRDefault="00640699" w:rsidP="00881C86">
            <w:pPr>
              <w:pStyle w:val="AkademischerText"/>
              <w:spacing w:line="240" w:lineRule="auto"/>
            </w:pPr>
            <w:r w:rsidRPr="00657B23">
              <w:t>Non-severe (CC 1)</w:t>
            </w:r>
          </w:p>
        </w:tc>
        <w:tc>
          <w:tcPr>
            <w:tcW w:w="1392" w:type="dxa"/>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FN: 123</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FN: 210</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TN: 1270</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1604</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tcPr>
          <w:p w:rsidR="00640699" w:rsidRPr="00657B23" w:rsidRDefault="00640699" w:rsidP="00881C86">
            <w:pPr>
              <w:pStyle w:val="AkademischerText"/>
              <w:spacing w:line="240" w:lineRule="auto"/>
            </w:pPr>
            <w:r w:rsidRPr="00657B23">
              <w:t>Total</w:t>
            </w:r>
          </w:p>
        </w:tc>
        <w:tc>
          <w:tcPr>
            <w:tcW w:w="1392" w:type="dxa"/>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342</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392</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1662</w:t>
            </w:r>
          </w:p>
        </w:tc>
        <w:tc>
          <w:tcPr>
            <w:tcW w:w="0" w:type="auto"/>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2396</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tcPr>
          <w:p w:rsidR="00640699" w:rsidRPr="00657B23" w:rsidRDefault="00640699" w:rsidP="00881C86">
            <w:pPr>
              <w:pStyle w:val="AkademischerText"/>
              <w:spacing w:line="240" w:lineRule="auto"/>
            </w:pPr>
            <w:r w:rsidRPr="00657B23">
              <w:t>Sensitivity</w:t>
            </w:r>
          </w:p>
        </w:tc>
        <w:tc>
          <w:tcPr>
            <w:tcW w:w="6945" w:type="dxa"/>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48.5 %</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tcPr>
          <w:p w:rsidR="00640699" w:rsidRPr="00657B23" w:rsidRDefault="00640699" w:rsidP="00881C86">
            <w:pPr>
              <w:pStyle w:val="AkademischerText"/>
              <w:spacing w:line="240" w:lineRule="auto"/>
            </w:pPr>
            <w:r w:rsidRPr="00657B23">
              <w:t>Specificity</w:t>
            </w:r>
          </w:p>
        </w:tc>
        <w:tc>
          <w:tcPr>
            <w:tcW w:w="6945" w:type="dxa"/>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75.9 %</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tcPr>
          <w:p w:rsidR="00640699" w:rsidRPr="00657B23" w:rsidRDefault="00640699" w:rsidP="00881C86">
            <w:pPr>
              <w:pStyle w:val="AkademischerText"/>
              <w:spacing w:line="240" w:lineRule="auto"/>
            </w:pPr>
            <w:r w:rsidRPr="00657B23">
              <w:t>Correctly predicted</w:t>
            </w:r>
          </w:p>
        </w:tc>
        <w:tc>
          <w:tcPr>
            <w:tcW w:w="6945" w:type="dxa"/>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63.3 %</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tcPr>
          <w:p w:rsidR="00640699" w:rsidRPr="00657B23" w:rsidRDefault="00640699" w:rsidP="00881C86">
            <w:pPr>
              <w:pStyle w:val="AkademischerText"/>
              <w:spacing w:line="240" w:lineRule="auto"/>
            </w:pPr>
            <w:r w:rsidRPr="00657B23">
              <w:t>MCC</w:t>
            </w:r>
          </w:p>
        </w:tc>
        <w:tc>
          <w:tcPr>
            <w:tcW w:w="6945" w:type="dxa"/>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0.244</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tcPr>
          <w:p w:rsidR="00640699" w:rsidRPr="00657B23" w:rsidRDefault="00640699" w:rsidP="00881C86">
            <w:pPr>
              <w:pStyle w:val="AkademischerText"/>
              <w:spacing w:line="240" w:lineRule="auto"/>
            </w:pPr>
            <w:r w:rsidRPr="00657B23">
              <w:t>Spearman’s rho</w:t>
            </w:r>
          </w:p>
        </w:tc>
        <w:tc>
          <w:tcPr>
            <w:tcW w:w="6945" w:type="dxa"/>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0.343 (CI: 0.307 – 0.378), p&lt;0.001</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2127" w:type="dxa"/>
          </w:tcPr>
          <w:p w:rsidR="00640699" w:rsidRPr="00657B23" w:rsidRDefault="00640699" w:rsidP="00881C86">
            <w:pPr>
              <w:pStyle w:val="AkademischerText"/>
              <w:spacing w:line="240" w:lineRule="auto"/>
            </w:pPr>
            <w:r w:rsidRPr="00657B23">
              <w:t>Cohen’s weighted Kappa</w:t>
            </w:r>
          </w:p>
        </w:tc>
        <w:tc>
          <w:tcPr>
            <w:tcW w:w="6945" w:type="dxa"/>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0.307 (0.268 – 0.346)</w:t>
            </w:r>
          </w:p>
        </w:tc>
      </w:tr>
      <w:tr w:rsidR="00640699" w:rsidRPr="00657B23" w:rsidTr="00881C86">
        <w:trPr>
          <w:trHeight w:val="20"/>
        </w:trPr>
        <w:tc>
          <w:tcPr>
            <w:cnfStyle w:val="001000000000" w:firstRow="0" w:lastRow="0" w:firstColumn="1" w:lastColumn="0" w:oddVBand="0" w:evenVBand="0" w:oddHBand="0" w:evenHBand="0" w:firstRowFirstColumn="0" w:firstRowLastColumn="0" w:lastRowFirstColumn="0" w:lastRowLastColumn="0"/>
            <w:tcW w:w="0" w:type="auto"/>
            <w:gridSpan w:val="5"/>
          </w:tcPr>
          <w:p w:rsidR="00640699" w:rsidRPr="00657B23" w:rsidRDefault="00640699" w:rsidP="00881C86">
            <w:pPr>
              <w:pStyle w:val="AkademischerText"/>
              <w:spacing w:line="240" w:lineRule="auto"/>
            </w:pPr>
            <w:r w:rsidRPr="00657B23">
              <w:t xml:space="preserve">GCPS = Graded Chronic Pain Grade </w:t>
            </w:r>
            <w:r w:rsidRPr="00657B23">
              <w:fldChar w:fldCharType="begin" w:fldLock="1"/>
            </w:r>
            <w:r w:rsidRPr="00657B23">
              <w:instrText>ADDIN CSL_CITATION {"citationItems":[{"id":"ITEM-1","itemData":{"DOI":"10.1016/0304-3959(92)90154-4","ISSN":"03043959","PMID":"1408309","abstract":"This research develops and evaluates a simple method of grading the severity of chronic pain for use in general population surveys and studies of primary care pain patients. Measures of pain intensity, disability, persistence and recency of onset were tested for their ability to grade chronic pain severity in a longitudinal study of primary care back pain (n = 1213), headache (n = 779) and temporomandibular disorder pain (n = 397) patients. A Guttman scale analysis showed that pain intensity and disability measures formed a reliable hierarchical scale. Pain intensity measures appeared to scale the lower range of global severity while disability measures appeared to scale the upper range of global severity. Recency of onset and days in pain in the prior 6 months did not scale with pain intensity or disability. Using simple scoring rules, pain severity was graded into 4 hierarchical classes: Grade I, low disability-low intensity; Grade II, low disability-high intensity; Grade III, high disability-moderately limiting; and Grade IV, high disability-severely limiting. For each pain site, Chronic Pain Grade measured at baseline showed a highly statistically significant and monotonically increasing relationship with unemployment rate, pain-related functional limitations, depression, fair to poor self-rated health, frequent use of opioid analgesics, and frequent pain-related doctor visits both at baseline and at 1-year follow-up. Days in Pain was related to these variables, but not as strongly as Chronic Pain Grade. Recent onset cases (first onset within the prior 3 months) did not show differences in psychological and behavioral dysfunction when compared to persons with less recent onset. Using longitudinal data from a population-based study (n = 803), Chronic Pain Grade at baseline predicted the presence of pain in the prior 2 weeks, Chronic Pain Grade and pain-related functional limitations at 3-year follow-up. Grading chronic pain as a function of pain intensity and pain-related disability may be useful when a brief ordinal measure of global pain severity is required. Pain persistence, measured by days in pain in a fixed time period, provides useful additional information. © 1992.","author":[{"dropping-particle":"","family":"Korff","given":"Michael","non-dropping-particle":"Von","parse-names":false,"suffix":""},{"dropping-particle":"","family":"Ormel","given":"Johan","non-dropping-particle":"","parse-names":false,"suffix":""},{"dropping-particle":"","family":"Keefe","given":"Francis J.","non-dropping-particle":"","parse-names":false,"suffix":""},{"dropping-particle":"","family":"Dworkin","given":"Samuel F.","non-dropping-particle":"","parse-names":false,"suffix":""}],"container-title":"Pain","id":"ITEM-1","issue":"2","issued":{"date-parts":[["1992","8","1"]]},"page":"133-149","publisher":"No longer published by Elsevier","title":"Grading the severity of chronic pain","type":"article-journal","volume":"50"},"uris":["http://www.mendeley.com/documents/?uuid=ef4380b9-e9ac-3a66-8c7a-6b2167604cfc"]}],"mendeley":{"formattedCitation":"[10]","plainTextFormattedCitation":"[10]","previouslyFormattedCitation":"[10]"},"properties":{"noteIndex":0},"schema":"https://github.com/citation-style-language/schema/raw/master/csl-citation.json"}</w:instrText>
            </w:r>
            <w:r w:rsidRPr="00657B23">
              <w:fldChar w:fldCharType="separate"/>
            </w:r>
            <w:r w:rsidRPr="00657B23">
              <w:rPr>
                <w:noProof/>
              </w:rPr>
              <w:t>[10]</w:t>
            </w:r>
            <w:r w:rsidRPr="00657B23">
              <w:fldChar w:fldCharType="end"/>
            </w:r>
            <w:r w:rsidRPr="00657B23">
              <w:t xml:space="preserve"> based on self-questionnaire at enrolment</w:t>
            </w:r>
          </w:p>
          <w:p w:rsidR="00640699" w:rsidRPr="00657B23" w:rsidRDefault="00640699" w:rsidP="00881C86">
            <w:pPr>
              <w:pStyle w:val="AkademischerText"/>
              <w:spacing w:line="240" w:lineRule="auto"/>
            </w:pPr>
            <w:r w:rsidRPr="00657B23">
              <w:t xml:space="preserve">CC = Chronicity Class </w:t>
            </w:r>
            <w:r w:rsidRPr="00657B23">
              <w:fldChar w:fldCharType="begin" w:fldLock="1"/>
            </w:r>
            <w:r w:rsidRPr="00657B23">
              <w:instrText>ADDIN CSL_CITATION {"citationItems":[{"id":"ITEM-1","itemData":{"DOI":"10.1055/s-0031-1281578","ISSN":"14394049","abstract":"Aim: To gain new information on the structure and resource utilization of back pain patients as well as related health care costs, under particular consideration of the chronification of pain on the basis of a large number of statutory health care insurance beneficiaries in a real world setting. Method: Our retrospective analysis is based on claims data from 2006 of 5.2 million beneficiaries of DAK Unternehmen Leben. Core of the analysis are comparisons of mean values supported by multivariate regression analyses to estimate the influence of pain chronification on health care costs. The definitions of indicators for pain chronification in claims data are supported by expert opinion. Results:In beneficiaries with (other) specific back pain, 6.8 % of patients are shown to suffer from chronic back pain, 3.8 % from pain due to spinal disc disorders and 0.5 % from non-specific back pain. A risk of future chronification of pain was detected for 32.9 %, 31.8 % and 20.7 %, respectively. Mean resource utilization and related health care costs were significantly higher for beneficiaries with indicators for chronic back pain than for beneficiaries with only risk factors for future back pain chronification. The largest share of pain related costs goes to expenses for outpatient health care (including imaging methods), followed by sickness pay, remedies and therapeutic aids and analgesics. Hospital costs account for only a very small share of health care costs. Conclusion: Our results show how advantageous it could be financially to avoid chronification of back pain. The high costs of patients suffering from chronic back pain set a financial benchmark, by which any preventive avoidance of pain chronification as well as effective therapies of chronic back pain have to be measured, if besides quality improvements positive cost effects are to be achieved.","author":[{"dropping-particle":"","family":"Freytag","given":"A.","non-dropping-particle":"","parse-names":false,"suffix":""},{"dropping-particle":"","family":"Thiede","given":"M.","non-dropping-particle":"","parse-names":false,"suffix":""},{"dropping-particle":"","family":"Schiffhorst","given":"G.","non-dropping-particle":"","parse-names":false,"suffix":""},{"dropping-particle":"","family":"Höer","given":"A.","non-dropping-particle":"","parse-names":false,"suffix":""},{"dropping-particle":"","family":"Wobbe","given":"S.","non-dropping-particle":"","parse-names":false,"suffix":""},{"dropping-particle":"","family":"Luley","given":"C.","non-dropping-particle":"","parse-names":false,"suffix":""},{"dropping-particle":"","family":"Glaeske","given":"G.","non-dropping-particle":"","parse-names":false,"suffix":""}],"container-title":"Gesundheitsokonomie und Qualitatsmanagement","id":"ITEM-1","issue":"2","issued":{"date-parts":[["2012","4","20"]]},"note":"Grundlage für FF2. Anwendung des Algorithmus von Freytag und Vergleich mit tatsächlichen Rückenschmerzen nach GCPS","page":"79-87","publisher":"Georg Thieme Verlag","title":"Cost of Back Pain and the Significance of Chronic Pain - Results of a Claims Data Analysis","type":"article-journal","volume":"17"},"uris":["http://www.mendeley.com/documents/?uuid=a16acf09-17ff-39a8-aeab-006141ac7d1e"]}],"mendeley":{"formattedCitation":"[37]","plainTextFormattedCitation":"[37]","previouslyFormattedCitation":"[37]"},"properties":{"noteIndex":0},"schema":"https://github.com/citation-style-language/schema/raw/master/csl-citation.json"}</w:instrText>
            </w:r>
            <w:r w:rsidRPr="00657B23">
              <w:fldChar w:fldCharType="separate"/>
            </w:r>
            <w:r w:rsidRPr="00657B23">
              <w:rPr>
                <w:noProof/>
              </w:rPr>
              <w:t>[37]</w:t>
            </w:r>
            <w:r w:rsidRPr="00657B23">
              <w:fldChar w:fldCharType="end"/>
            </w:r>
            <w:r w:rsidRPr="00657B23">
              <w:t xml:space="preserve"> based on administrative claims data</w:t>
            </w:r>
          </w:p>
          <w:p w:rsidR="00640699" w:rsidRPr="00657B23" w:rsidRDefault="00640699" w:rsidP="00881C86">
            <w:pPr>
              <w:pStyle w:val="AkademischerText"/>
              <w:spacing w:line="240" w:lineRule="auto"/>
            </w:pPr>
            <w:r w:rsidRPr="00657B23">
              <w:t>TP = True positive were actual severe BP cases that were correctly predicted as severe</w:t>
            </w:r>
          </w:p>
          <w:p w:rsidR="00640699" w:rsidRPr="00657B23" w:rsidRDefault="00640699" w:rsidP="00881C86">
            <w:pPr>
              <w:pStyle w:val="AkademischerText"/>
              <w:spacing w:line="240" w:lineRule="auto"/>
            </w:pPr>
            <w:r w:rsidRPr="00657B23">
              <w:lastRenderedPageBreak/>
              <w:t>TN = True negative were actual non-severe BP cases that were correctly predicted as non-severe</w:t>
            </w:r>
          </w:p>
          <w:p w:rsidR="00640699" w:rsidRPr="00657B23" w:rsidRDefault="00640699" w:rsidP="00881C86">
            <w:pPr>
              <w:pStyle w:val="AkademischerText"/>
              <w:spacing w:line="240" w:lineRule="auto"/>
            </w:pPr>
            <w:r w:rsidRPr="00657B23">
              <w:t>FP = False positive were actual non-severe BP cases that were wrongly predicted as severe</w:t>
            </w:r>
          </w:p>
          <w:p w:rsidR="00640699" w:rsidRPr="00657B23" w:rsidRDefault="00640699" w:rsidP="00881C86">
            <w:pPr>
              <w:pStyle w:val="AkademischerText"/>
              <w:spacing w:line="240" w:lineRule="auto"/>
            </w:pPr>
            <w:r w:rsidRPr="00657B23">
              <w:t>FN = False negative were actual severe BP cases that were wrongly predicted as non-severe</w:t>
            </w:r>
          </w:p>
        </w:tc>
      </w:tr>
    </w:tbl>
    <w:p w:rsidR="00640699" w:rsidRPr="00657B23" w:rsidRDefault="00640699" w:rsidP="00640699">
      <w:pPr>
        <w:spacing w:after="200" w:line="276" w:lineRule="auto"/>
        <w:rPr>
          <w:rFonts w:asciiTheme="minorHAnsi" w:eastAsiaTheme="minorHAnsi" w:hAnsiTheme="minorHAnsi" w:cstheme="minorHAnsi"/>
          <w:sz w:val="22"/>
          <w:szCs w:val="22"/>
          <w:lang w:eastAsia="en-US"/>
        </w:rPr>
      </w:pPr>
    </w:p>
    <w:tbl>
      <w:tblPr>
        <w:tblStyle w:val="TableGrid"/>
        <w:tblW w:w="5000" w:type="pct"/>
        <w:tblLook w:val="04A0" w:firstRow="1" w:lastRow="0" w:firstColumn="1" w:lastColumn="0" w:noHBand="0" w:noVBand="1"/>
      </w:tblPr>
      <w:tblGrid>
        <w:gridCol w:w="3036"/>
        <w:gridCol w:w="1501"/>
        <w:gridCol w:w="1738"/>
        <w:gridCol w:w="1805"/>
        <w:gridCol w:w="992"/>
      </w:tblGrid>
      <w:tr w:rsidR="00640699" w:rsidRPr="00657B23" w:rsidTr="00881C86">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000" w:type="pct"/>
            <w:gridSpan w:val="5"/>
          </w:tcPr>
          <w:p w:rsidR="00640699" w:rsidRPr="00657B23" w:rsidRDefault="00640699" w:rsidP="00881C86">
            <w:pPr>
              <w:pStyle w:val="berschriftenTabellen"/>
              <w:spacing w:line="240" w:lineRule="auto"/>
              <w:rPr>
                <w:b/>
                <w:bCs w:val="0"/>
              </w:rPr>
            </w:pPr>
            <w:r w:rsidRPr="00657B23">
              <w:rPr>
                <w:b/>
                <w:bCs w:val="0"/>
              </w:rPr>
              <w:t>Table 8 – Sensitivity 3x3 confusion matrix for insured against sick leave</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vMerge w:val="restart"/>
          </w:tcPr>
          <w:p w:rsidR="00640699" w:rsidRPr="00657B23" w:rsidRDefault="00640699" w:rsidP="00881C86">
            <w:pPr>
              <w:pStyle w:val="AkademischerText"/>
              <w:spacing w:line="240" w:lineRule="auto"/>
            </w:pPr>
            <w:r w:rsidRPr="00657B23">
              <w:t>Predicted BP severity category</w:t>
            </w:r>
          </w:p>
        </w:tc>
        <w:tc>
          <w:tcPr>
            <w:tcW w:w="3327" w:type="pct"/>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Observed BP severity category</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vMerge/>
          </w:tcPr>
          <w:p w:rsidR="00640699" w:rsidRPr="00657B23" w:rsidRDefault="00640699" w:rsidP="00881C86">
            <w:pPr>
              <w:pStyle w:val="AkademischerText"/>
              <w:spacing w:line="240" w:lineRule="auto"/>
            </w:pPr>
          </w:p>
        </w:tc>
        <w:tc>
          <w:tcPr>
            <w:tcW w:w="827"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 xml:space="preserve">Severe </w:t>
            </w:r>
          </w:p>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(GCPS IV)</w:t>
            </w:r>
          </w:p>
        </w:tc>
        <w:tc>
          <w:tcPr>
            <w:tcW w:w="958"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Risk of chronification (GCPS III)</w:t>
            </w:r>
          </w:p>
        </w:tc>
        <w:tc>
          <w:tcPr>
            <w:tcW w:w="995"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Non-severe (GCPS I &amp; II)</w:t>
            </w:r>
          </w:p>
        </w:tc>
        <w:tc>
          <w:tcPr>
            <w:tcW w:w="547"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Total</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tcPr>
          <w:p w:rsidR="00640699" w:rsidRPr="00657B23" w:rsidRDefault="00640699" w:rsidP="00881C86">
            <w:pPr>
              <w:pStyle w:val="AkademischerText"/>
              <w:spacing w:line="240" w:lineRule="auto"/>
              <w:rPr>
                <w:iCs/>
              </w:rPr>
            </w:pPr>
            <w:r w:rsidRPr="00657B23">
              <w:t xml:space="preserve">Severe </w:t>
            </w:r>
          </w:p>
          <w:p w:rsidR="00640699" w:rsidRPr="00657B23" w:rsidRDefault="00640699" w:rsidP="00881C86">
            <w:pPr>
              <w:pStyle w:val="AkademischerText"/>
              <w:spacing w:line="240" w:lineRule="auto"/>
            </w:pPr>
            <w:r w:rsidRPr="00657B23">
              <w:t>(CC 3)</w:t>
            </w:r>
          </w:p>
        </w:tc>
        <w:tc>
          <w:tcPr>
            <w:tcW w:w="827"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TP: 99</w:t>
            </w:r>
          </w:p>
        </w:tc>
        <w:tc>
          <w:tcPr>
            <w:tcW w:w="958"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FP: 52</w:t>
            </w:r>
          </w:p>
        </w:tc>
        <w:tc>
          <w:tcPr>
            <w:tcW w:w="995"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FP: 97</w:t>
            </w:r>
          </w:p>
        </w:tc>
        <w:tc>
          <w:tcPr>
            <w:tcW w:w="547"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248</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tcPr>
          <w:p w:rsidR="00640699" w:rsidRPr="00657B23" w:rsidRDefault="00640699" w:rsidP="00881C86">
            <w:pPr>
              <w:pStyle w:val="AkademischerText"/>
              <w:spacing w:line="240" w:lineRule="auto"/>
            </w:pPr>
            <w:r w:rsidRPr="00657B23">
              <w:t>Risk of chronification (CC 2)</w:t>
            </w:r>
          </w:p>
        </w:tc>
        <w:tc>
          <w:tcPr>
            <w:tcW w:w="827"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FP: 20</w:t>
            </w:r>
          </w:p>
        </w:tc>
        <w:tc>
          <w:tcPr>
            <w:tcW w:w="958"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TP: 31</w:t>
            </w:r>
          </w:p>
        </w:tc>
        <w:tc>
          <w:tcPr>
            <w:tcW w:w="995"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FP: 115</w:t>
            </w:r>
          </w:p>
        </w:tc>
        <w:tc>
          <w:tcPr>
            <w:tcW w:w="547"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166</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tcPr>
          <w:p w:rsidR="00640699" w:rsidRPr="00657B23" w:rsidRDefault="00640699" w:rsidP="00881C86">
            <w:pPr>
              <w:pStyle w:val="AkademischerText"/>
              <w:spacing w:line="240" w:lineRule="auto"/>
            </w:pPr>
            <w:r w:rsidRPr="00657B23">
              <w:t>Non-severe (CC 1)</w:t>
            </w:r>
          </w:p>
        </w:tc>
        <w:tc>
          <w:tcPr>
            <w:tcW w:w="827"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FN: 38</w:t>
            </w:r>
          </w:p>
        </w:tc>
        <w:tc>
          <w:tcPr>
            <w:tcW w:w="958"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TN: 76</w:t>
            </w:r>
          </w:p>
        </w:tc>
        <w:tc>
          <w:tcPr>
            <w:tcW w:w="995"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TN: 586</w:t>
            </w:r>
          </w:p>
        </w:tc>
        <w:tc>
          <w:tcPr>
            <w:tcW w:w="547"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700</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tcPr>
          <w:p w:rsidR="00640699" w:rsidRPr="00657B23" w:rsidRDefault="00640699" w:rsidP="00881C86">
            <w:pPr>
              <w:pStyle w:val="AkademischerText"/>
              <w:spacing w:line="240" w:lineRule="auto"/>
            </w:pPr>
            <w:r w:rsidRPr="00657B23">
              <w:t>Total</w:t>
            </w:r>
          </w:p>
        </w:tc>
        <w:tc>
          <w:tcPr>
            <w:tcW w:w="827"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157</w:t>
            </w:r>
          </w:p>
        </w:tc>
        <w:tc>
          <w:tcPr>
            <w:tcW w:w="958"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159</w:t>
            </w:r>
          </w:p>
        </w:tc>
        <w:tc>
          <w:tcPr>
            <w:tcW w:w="995"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798</w:t>
            </w:r>
          </w:p>
        </w:tc>
        <w:tc>
          <w:tcPr>
            <w:tcW w:w="547" w:type="pct"/>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1114</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tcPr>
          <w:p w:rsidR="00640699" w:rsidRPr="00657B23" w:rsidRDefault="00640699" w:rsidP="00881C86">
            <w:pPr>
              <w:pStyle w:val="AkademischerText"/>
              <w:spacing w:line="240" w:lineRule="auto"/>
            </w:pPr>
            <w:r w:rsidRPr="00657B23">
              <w:t>Sensitivity</w:t>
            </w:r>
          </w:p>
        </w:tc>
        <w:tc>
          <w:tcPr>
            <w:tcW w:w="3327" w:type="pct"/>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52 %</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tcPr>
          <w:p w:rsidR="00640699" w:rsidRPr="00657B23" w:rsidRDefault="00640699" w:rsidP="00881C86">
            <w:pPr>
              <w:pStyle w:val="AkademischerText"/>
              <w:spacing w:line="240" w:lineRule="auto"/>
            </w:pPr>
            <w:r w:rsidRPr="00657B23">
              <w:t>Specificity</w:t>
            </w:r>
          </w:p>
        </w:tc>
        <w:tc>
          <w:tcPr>
            <w:tcW w:w="3327" w:type="pct"/>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78 %</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tcPr>
          <w:p w:rsidR="00640699" w:rsidRPr="00657B23" w:rsidRDefault="00640699" w:rsidP="00881C86">
            <w:pPr>
              <w:pStyle w:val="AkademischerText"/>
              <w:spacing w:line="240" w:lineRule="auto"/>
            </w:pPr>
            <w:r w:rsidRPr="00657B23">
              <w:t>Correctly Predicted</w:t>
            </w:r>
          </w:p>
        </w:tc>
        <w:tc>
          <w:tcPr>
            <w:tcW w:w="3327" w:type="pct"/>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64.3 %</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tcPr>
          <w:p w:rsidR="00640699" w:rsidRPr="00657B23" w:rsidRDefault="00640699" w:rsidP="00881C86">
            <w:pPr>
              <w:pStyle w:val="AkademischerText"/>
              <w:spacing w:line="240" w:lineRule="auto"/>
            </w:pPr>
            <w:r w:rsidRPr="00657B23">
              <w:t>MCC</w:t>
            </w:r>
          </w:p>
        </w:tc>
        <w:tc>
          <w:tcPr>
            <w:tcW w:w="3327" w:type="pct"/>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0.287</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tcPr>
          <w:p w:rsidR="00640699" w:rsidRPr="00657B23" w:rsidRDefault="00640699" w:rsidP="00881C86">
            <w:pPr>
              <w:pStyle w:val="AkademischerText"/>
              <w:spacing w:line="240" w:lineRule="auto"/>
            </w:pPr>
            <w:r w:rsidRPr="00657B23">
              <w:t>Spearman’s rho</w:t>
            </w:r>
          </w:p>
        </w:tc>
        <w:tc>
          <w:tcPr>
            <w:tcW w:w="3327" w:type="pct"/>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0.405 (CI: 0.355 – 0.453 p&lt;0.001)</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1673" w:type="pct"/>
          </w:tcPr>
          <w:p w:rsidR="00640699" w:rsidRPr="00657B23" w:rsidRDefault="00640699" w:rsidP="00881C86">
            <w:pPr>
              <w:pStyle w:val="AkademischerText"/>
              <w:spacing w:line="240" w:lineRule="auto"/>
            </w:pPr>
            <w:r w:rsidRPr="00657B23">
              <w:t>Cohen’s weighted Kappa</w:t>
            </w:r>
          </w:p>
        </w:tc>
        <w:tc>
          <w:tcPr>
            <w:tcW w:w="3327" w:type="pct"/>
            <w:gridSpan w:val="4"/>
          </w:tcPr>
          <w:p w:rsidR="00640699" w:rsidRPr="00657B23" w:rsidRDefault="00640699" w:rsidP="00881C86">
            <w:pPr>
              <w:pStyle w:val="AkademischerText"/>
              <w:spacing w:line="240" w:lineRule="auto"/>
              <w:cnfStyle w:val="000000000000" w:firstRow="0" w:lastRow="0" w:firstColumn="0" w:lastColumn="0" w:oddVBand="0" w:evenVBand="0" w:oddHBand="0" w:evenHBand="0" w:firstRowFirstColumn="0" w:firstRowLastColumn="0" w:lastRowFirstColumn="0" w:lastRowLastColumn="0"/>
            </w:pPr>
            <w:r w:rsidRPr="00657B23">
              <w:t>0.358 (0.298 – 0.418)</w:t>
            </w:r>
          </w:p>
        </w:tc>
      </w:tr>
      <w:tr w:rsidR="00640699" w:rsidRPr="00657B23" w:rsidTr="00881C86">
        <w:trPr>
          <w:trHeight w:val="170"/>
        </w:trPr>
        <w:tc>
          <w:tcPr>
            <w:cnfStyle w:val="001000000000" w:firstRow="0" w:lastRow="0" w:firstColumn="1" w:lastColumn="0" w:oddVBand="0" w:evenVBand="0" w:oddHBand="0" w:evenHBand="0" w:firstRowFirstColumn="0" w:firstRowLastColumn="0" w:lastRowFirstColumn="0" w:lastRowLastColumn="0"/>
            <w:tcW w:w="5000" w:type="pct"/>
            <w:gridSpan w:val="5"/>
          </w:tcPr>
          <w:p w:rsidR="00640699" w:rsidRPr="00657B23" w:rsidRDefault="00640699" w:rsidP="00881C86">
            <w:pPr>
              <w:pStyle w:val="AkademischerText"/>
              <w:spacing w:line="240" w:lineRule="auto"/>
            </w:pPr>
            <w:r w:rsidRPr="00657B23">
              <w:t xml:space="preserve">GCPS = Graded Chronic Pain Grade </w:t>
            </w:r>
            <w:r w:rsidRPr="00657B23">
              <w:fldChar w:fldCharType="begin" w:fldLock="1"/>
            </w:r>
            <w:r w:rsidRPr="00657B23">
              <w:instrText>ADDIN CSL_CITATION {"citationItems":[{"id":"ITEM-1","itemData":{"DOI":"10.1016/0304-3959(92)90154-4","ISSN":"03043959","PMID":"1408309","abstract":"This research develops and evaluates a simple method of grading the severity of chronic pain for use in general population surveys and studies of primary care pain patients. Measures of pain intensity, disability, persistence and recency of onset were tested for their ability to grade chronic pain severity in a longitudinal study of primary care back pain (n = 1213), headache (n = 779) and temporomandibular disorder pain (n = 397) patients. A Guttman scale analysis showed that pain intensity and disability measures formed a reliable hierarchical scale. Pain intensity measures appeared to scale the lower range of global severity while disability measures appeared to scale the upper range of global severity. Recency of onset and days in pain in the prior 6 months did not scale with pain intensity or disability. Using simple scoring rules, pain severity was graded into 4 hierarchical classes: Grade I, low disability-low intensity; Grade II, low disability-high intensity; Grade III, high disability-moderately limiting; and Grade IV, high disability-severely limiting. For each pain site, Chronic Pain Grade measured at baseline showed a highly statistically significant and monotonically increasing relationship with unemployment rate, pain-related functional limitations, depression, fair to poor self-rated health, frequent use of opioid analgesics, and frequent pain-related doctor visits both at baseline and at 1-year follow-up. Days in Pain was related to these variables, but not as strongly as Chronic Pain Grade. Recent onset cases (first onset within the prior 3 months) did not show differences in psychological and behavioral dysfunction when compared to persons with less recent onset. Using longitudinal data from a population-based study (n = 803), Chronic Pain Grade at baseline predicted the presence of pain in the prior 2 weeks, Chronic Pain Grade and pain-related functional limitations at 3-year follow-up. Grading chronic pain as a function of pain intensity and pain-related disability may be useful when a brief ordinal measure of global pain severity is required. Pain persistence, measured by days in pain in a fixed time period, provides useful additional information. © 1992.","author":[{"dropping-particle":"","family":"Korff","given":"Michael","non-dropping-particle":"Von","parse-names":false,"suffix":""},{"dropping-particle":"","family":"Ormel","given":"Johan","non-dropping-particle":"","parse-names":false,"suffix":""},{"dropping-particle":"","family":"Keefe","given":"Francis J.","non-dropping-particle":"","parse-names":false,"suffix":""},{"dropping-particle":"","family":"Dworkin","given":"Samuel F.","non-dropping-particle":"","parse-names":false,"suffix":""}],"container-title":"Pain","id":"ITEM-1","issue":"2","issued":{"date-parts":[["1992","8","1"]]},"page":"133-149","publisher":"No longer published by Elsevier","title":"Grading the severity of chronic pain","type":"article-journal","volume":"50"},"uris":["http://www.mendeley.com/documents/?uuid=ef4380b9-e9ac-3a66-8c7a-6b2167604cfc"]}],"mendeley":{"formattedCitation":"[10]","plainTextFormattedCitation":"[10]","previouslyFormattedCitation":"[10]"},"properties":{"noteIndex":0},"schema":"https://github.com/citation-style-language/schema/raw/master/csl-citation.json"}</w:instrText>
            </w:r>
            <w:r w:rsidRPr="00657B23">
              <w:fldChar w:fldCharType="separate"/>
            </w:r>
            <w:r w:rsidRPr="00657B23">
              <w:rPr>
                <w:noProof/>
              </w:rPr>
              <w:t>[10]</w:t>
            </w:r>
            <w:r w:rsidRPr="00657B23">
              <w:fldChar w:fldCharType="end"/>
            </w:r>
            <w:r w:rsidRPr="00657B23">
              <w:t xml:space="preserve"> based on self-questionnaire at enrolment</w:t>
            </w:r>
          </w:p>
          <w:p w:rsidR="00640699" w:rsidRPr="00657B23" w:rsidRDefault="00640699" w:rsidP="00881C86">
            <w:pPr>
              <w:pStyle w:val="AkademischerText"/>
              <w:spacing w:line="240" w:lineRule="auto"/>
            </w:pPr>
            <w:r w:rsidRPr="00657B23">
              <w:t xml:space="preserve">CC = Chronicity Class </w:t>
            </w:r>
            <w:r w:rsidRPr="00657B23">
              <w:fldChar w:fldCharType="begin" w:fldLock="1"/>
            </w:r>
            <w:r w:rsidRPr="00657B23">
              <w:instrText>ADDIN CSL_CITATION {"citationItems":[{"id":"ITEM-1","itemData":{"DOI":"10.1055/s-0031-1281578","ISSN":"14394049","abstract":"Aim: To gain new information on the structure and resource utilization of back pain patients as well as related health care costs, under particular consideration of the chronification of pain on the basis of a large number of statutory health care insurance beneficiaries in a real world setting. Method: Our retrospective analysis is based on claims data from 2006 of 5.2 million beneficiaries of DAK Unternehmen Leben. Core of the analysis are comparisons of mean values supported by multivariate regression analyses to estimate the influence of pain chronification on health care costs. The definitions of indicators for pain chronification in claims data are supported by expert opinion. Results:In beneficiaries with (other) specific back pain, 6.8 % of patients are shown to suffer from chronic back pain, 3.8 % from pain due to spinal disc disorders and 0.5 % from non-specific back pain. A risk of future chronification of pain was detected for 32.9 %, 31.8 % and 20.7 %, respectively. Mean resource utilization and related health care costs were significantly higher for beneficiaries with indicators for chronic back pain than for beneficiaries with only risk factors for future back pain chronification. The largest share of pain related costs goes to expenses for outpatient health care (including imaging methods), followed by sickness pay, remedies and therapeutic aids and analgesics. Hospital costs account for only a very small share of health care costs. Conclusion: Our results show how advantageous it could be financially to avoid chronification of back pain. The high costs of patients suffering from chronic back pain set a financial benchmark, by which any preventive avoidance of pain chronification as well as effective therapies of chronic back pain have to be measured, if besides quality improvements positive cost effects are to be achieved.","author":[{"dropping-particle":"","family":"Freytag","given":"A.","non-dropping-particle":"","parse-names":false,"suffix":""},{"dropping-particle":"","family":"Thiede","given":"M.","non-dropping-particle":"","parse-names":false,"suffix":""},{"dropping-particle":"","family":"Schiffhorst","given":"G.","non-dropping-particle":"","parse-names":false,"suffix":""},{"dropping-particle":"","family":"Höer","given":"A.","non-dropping-particle":"","parse-names":false,"suffix":""},{"dropping-particle":"","family":"Wobbe","given":"S.","non-dropping-particle":"","parse-names":false,"suffix":""},{"dropping-particle":"","family":"Luley","given":"C.","non-dropping-particle":"","parse-names":false,"suffix":""},{"dropping-particle":"","family":"Glaeske","given":"G.","non-dropping-particle":"","parse-names":false,"suffix":""}],"container-title":"Gesundheitsokonomie und Qualitatsmanagement","id":"ITEM-1","issue":"2","issued":{"date-parts":[["2012","4","20"]]},"note":"Grundlage für FF2. Anwendung des Algorithmus von Freytag und Vergleich mit tatsächlichen Rückenschmerzen nach GCPS","page":"79-87","publisher":"Georg Thieme Verlag","title":"Cost of Back Pain and the Significance of Chronic Pain - Results of a Claims Data Analysis","type":"article-journal","volume":"17"},"uris":["http://www.mendeley.com/documents/?uuid=a16acf09-17ff-39a8-aeab-006141ac7d1e"]}],"mendeley":{"formattedCitation":"[37]","plainTextFormattedCitation":"[37]","previouslyFormattedCitation":"[37]"},"properties":{"noteIndex":0},"schema":"https://github.com/citation-style-language/schema/raw/master/csl-citation.json"}</w:instrText>
            </w:r>
            <w:r w:rsidRPr="00657B23">
              <w:fldChar w:fldCharType="separate"/>
            </w:r>
            <w:r w:rsidRPr="00657B23">
              <w:rPr>
                <w:noProof/>
              </w:rPr>
              <w:t>[37]</w:t>
            </w:r>
            <w:r w:rsidRPr="00657B23">
              <w:fldChar w:fldCharType="end"/>
            </w:r>
            <w:r w:rsidRPr="00657B23">
              <w:t xml:space="preserve"> based on administrative claims data</w:t>
            </w:r>
          </w:p>
          <w:p w:rsidR="00640699" w:rsidRPr="00657B23" w:rsidRDefault="00640699" w:rsidP="00881C86">
            <w:pPr>
              <w:pStyle w:val="AkademischerText"/>
              <w:spacing w:line="240" w:lineRule="auto"/>
            </w:pPr>
            <w:r w:rsidRPr="00657B23">
              <w:t>TP = True positive were actual severe BP cases that were correctly predicted as severe</w:t>
            </w:r>
          </w:p>
          <w:p w:rsidR="00640699" w:rsidRPr="00657B23" w:rsidRDefault="00640699" w:rsidP="00881C86">
            <w:pPr>
              <w:pStyle w:val="AkademischerText"/>
              <w:spacing w:line="240" w:lineRule="auto"/>
            </w:pPr>
            <w:r w:rsidRPr="00657B23">
              <w:t>TN = True negative were actual non-severe BP cases that were correctly predicted as non-severe</w:t>
            </w:r>
          </w:p>
          <w:p w:rsidR="00640699" w:rsidRPr="00657B23" w:rsidRDefault="00640699" w:rsidP="00881C86">
            <w:pPr>
              <w:pStyle w:val="AkademischerText"/>
              <w:spacing w:line="240" w:lineRule="auto"/>
            </w:pPr>
            <w:r w:rsidRPr="00657B23">
              <w:t>FP = False positive were actual non-severe BP cases that were wrongly predicted as severe</w:t>
            </w:r>
          </w:p>
          <w:p w:rsidR="00640699" w:rsidRPr="00657B23" w:rsidRDefault="00640699" w:rsidP="00881C86">
            <w:pPr>
              <w:pStyle w:val="AkademischerText"/>
              <w:spacing w:line="240" w:lineRule="auto"/>
            </w:pPr>
            <w:r w:rsidRPr="00657B23">
              <w:t>FN = False negative were actual severe BP cases that were wrongly predicted as non-severe</w:t>
            </w:r>
          </w:p>
        </w:tc>
      </w:tr>
    </w:tbl>
    <w:p w:rsidR="00640699" w:rsidRPr="00657B23" w:rsidRDefault="00640699" w:rsidP="00640699">
      <w:pPr>
        <w:widowControl w:val="0"/>
        <w:autoSpaceDE w:val="0"/>
        <w:autoSpaceDN w:val="0"/>
        <w:adjustRightInd w:val="0"/>
        <w:spacing w:line="360" w:lineRule="auto"/>
      </w:pPr>
    </w:p>
    <w:tbl>
      <w:tblPr>
        <w:tblStyle w:val="TableGrid"/>
        <w:tblW w:w="0" w:type="auto"/>
        <w:tblLook w:val="04A0" w:firstRow="1" w:lastRow="0" w:firstColumn="1" w:lastColumn="0" w:noHBand="0" w:noVBand="1"/>
      </w:tblPr>
      <w:tblGrid>
        <w:gridCol w:w="1968"/>
        <w:gridCol w:w="1177"/>
        <w:gridCol w:w="1115"/>
        <w:gridCol w:w="1205"/>
        <w:gridCol w:w="1142"/>
        <w:gridCol w:w="1115"/>
        <w:gridCol w:w="723"/>
        <w:gridCol w:w="627"/>
      </w:tblGrid>
      <w:tr w:rsidR="00640699" w:rsidRPr="00657B23" w:rsidTr="00881C86">
        <w:trPr>
          <w:cnfStyle w:val="100000000000" w:firstRow="1" w:lastRow="0" w:firstColumn="0" w:lastColumn="0" w:oddVBand="0" w:evenVBand="0" w:oddHBand="0"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0" w:type="auto"/>
            <w:gridSpan w:val="8"/>
          </w:tcPr>
          <w:p w:rsidR="00640699" w:rsidRPr="00657B23" w:rsidRDefault="00640699" w:rsidP="00881C86">
            <w:pPr>
              <w:pStyle w:val="berschriftenTabellen"/>
              <w:spacing w:line="240" w:lineRule="auto"/>
              <w:rPr>
                <w:b/>
                <w:bCs w:val="0"/>
              </w:rPr>
            </w:pPr>
            <w:r w:rsidRPr="00657B23">
              <w:rPr>
                <w:b/>
                <w:bCs w:val="0"/>
              </w:rPr>
              <w:t>Table 9 - Healthcare usage and costs in the 12 months before enrolment based on CC</w:t>
            </w: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imes New Roman" w:hAnsi="Times New Roman" w:cs="Times New Roman"/>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b/>
                <w:bCs/>
                <w:sz w:val="18"/>
                <w:szCs w:val="18"/>
              </w:rPr>
            </w:pPr>
            <w:r w:rsidRPr="00657B23">
              <w:rPr>
                <w:b/>
                <w:bCs/>
                <w:sz w:val="18"/>
                <w:szCs w:val="18"/>
              </w:rPr>
              <w:t>Overall</w:t>
            </w:r>
          </w:p>
        </w:tc>
        <w:tc>
          <w:tcPr>
            <w:tcW w:w="0" w:type="auto"/>
          </w:tcPr>
          <w:p w:rsidR="00640699" w:rsidRPr="00657B23" w:rsidRDefault="00640699" w:rsidP="00881C86">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szCs w:val="18"/>
              </w:rPr>
            </w:pPr>
            <w:r w:rsidRPr="00657B23">
              <w:rPr>
                <w:rFonts w:ascii="Times New Roman" w:hAnsi="Times New Roman" w:cs="Times New Roman"/>
                <w:b/>
                <w:bCs/>
                <w:i/>
                <w:iCs/>
                <w:szCs w:val="18"/>
              </w:rPr>
              <w:t>CC 1</w:t>
            </w:r>
          </w:p>
        </w:tc>
        <w:tc>
          <w:tcPr>
            <w:tcW w:w="0" w:type="auto"/>
          </w:tcPr>
          <w:p w:rsidR="00640699" w:rsidRPr="00657B23" w:rsidRDefault="00640699" w:rsidP="00881C86">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18"/>
                <w:lang w:val="en-GB"/>
              </w:rPr>
            </w:pPr>
            <w:r w:rsidRPr="00657B23">
              <w:rPr>
                <w:rFonts w:ascii="Times New Roman" w:hAnsi="Times New Roman" w:cs="Times New Roman"/>
                <w:b/>
                <w:bCs/>
                <w:szCs w:val="18"/>
                <w:lang w:val="en-GB"/>
              </w:rPr>
              <w:t>CC 2</w:t>
            </w:r>
          </w:p>
        </w:tc>
        <w:tc>
          <w:tcPr>
            <w:tcW w:w="0" w:type="auto"/>
          </w:tcPr>
          <w:p w:rsidR="00640699" w:rsidRPr="00657B23" w:rsidRDefault="00640699" w:rsidP="00881C86">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iCs/>
                <w:szCs w:val="18"/>
              </w:rPr>
            </w:pPr>
            <w:r w:rsidRPr="00657B23">
              <w:rPr>
                <w:rFonts w:ascii="Times New Roman" w:hAnsi="Times New Roman" w:cs="Times New Roman"/>
                <w:b/>
                <w:bCs/>
                <w:i/>
                <w:iCs/>
                <w:szCs w:val="18"/>
              </w:rPr>
              <w:t>CC 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b/>
                <w:bCs/>
                <w:sz w:val="18"/>
                <w:szCs w:val="18"/>
              </w:rPr>
            </w:pPr>
            <w:r w:rsidRPr="00657B23">
              <w:rPr>
                <w:b/>
                <w:bCs/>
                <w:sz w:val="18"/>
                <w:szCs w:val="18"/>
              </w:rPr>
              <w:t>Self-selected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b/>
                <w:bCs/>
                <w:sz w:val="18"/>
                <w:szCs w:val="18"/>
              </w:rPr>
            </w:pPr>
            <w:r w:rsidRPr="00657B23">
              <w:rPr>
                <w:b/>
                <w:bCs/>
                <w:sz w:val="18"/>
                <w:szCs w:val="18"/>
              </w:rPr>
              <w:t>P</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b/>
                <w:bCs/>
                <w:sz w:val="18"/>
                <w:szCs w:val="18"/>
              </w:rPr>
            </w:pPr>
            <w:r w:rsidRPr="00657B23">
              <w:rPr>
                <w:b/>
                <w:bCs/>
                <w:sz w:val="18"/>
                <w:szCs w:val="18"/>
              </w:rPr>
              <w:t>Skew</w:t>
            </w: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heme="minorHAnsi" w:hAnsiTheme="minorHAnsi" w:cstheme="minorHAnsi"/>
                <w:sz w:val="20"/>
                <w:szCs w:val="20"/>
                <w:lang w:val="en-GB"/>
              </w:rPr>
            </w:pPr>
            <w:r w:rsidRPr="00657B23">
              <w:rPr>
                <w:rFonts w:ascii="Times New Roman" w:hAnsi="Times New Roman" w:cs="Times New Roman"/>
                <w:szCs w:val="18"/>
                <w:lang w:val="en-GB"/>
              </w:rPr>
              <w:t>N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3506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1756 (50.1)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428 (12.2)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519 (14.8)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803 (22.9)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heme="minorHAnsi" w:hAnsiTheme="minorHAnsi" w:cstheme="minorHAnsi"/>
                <w:sz w:val="20"/>
                <w:szCs w:val="20"/>
                <w:lang w:val="en-GB"/>
              </w:rPr>
            </w:pPr>
            <w:r w:rsidRPr="00657B23">
              <w:rPr>
                <w:rFonts w:ascii="Times New Roman" w:hAnsi="Times New Roman" w:cs="Times New Roman"/>
                <w:szCs w:val="18"/>
                <w:lang w:val="en-GB"/>
              </w:rPr>
              <w:t>Insured against sick-leave</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1616</w:t>
            </w:r>
          </w:p>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(46.1)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769 (43.8)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208 (48.6)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282 (54.3)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357 (44.5)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pStyle w:val="NoSpacing"/>
              <w:rPr>
                <w:rFonts w:asciiTheme="minorHAnsi" w:hAnsiTheme="minorHAnsi" w:cstheme="minorHAnsi"/>
                <w:sz w:val="20"/>
                <w:szCs w:val="20"/>
                <w:lang w:val="en-GB"/>
              </w:rPr>
            </w:pPr>
            <w:r w:rsidRPr="00657B23">
              <w:rPr>
                <w:rFonts w:ascii="Times New Roman" w:hAnsi="Times New Roman" w:cs="Times New Roman"/>
                <w:szCs w:val="18"/>
                <w:lang w:val="en-GB"/>
              </w:rPr>
              <w:t>Sick-leave due to BP (% of insured against sick-leave)</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305 (18.8)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 (0.4)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b/>
                <w:bCs/>
                <w:sz w:val="18"/>
                <w:szCs w:val="18"/>
              </w:rPr>
            </w:pPr>
            <w:r w:rsidRPr="00657B23">
              <w:rPr>
                <w:sz w:val="18"/>
                <w:szCs w:val="18"/>
              </w:rPr>
              <w:t>57 (27.4)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196 (69.5)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49 (13.8)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rFonts w:asciiTheme="minorHAnsi" w:hAnsiTheme="minorHAnsi" w:cstheme="minorHAnsi"/>
                <w:sz w:val="20"/>
                <w:szCs w:val="20"/>
              </w:rPr>
            </w:pPr>
            <w:r w:rsidRPr="00657B23">
              <w:rPr>
                <w:sz w:val="18"/>
                <w:szCs w:val="18"/>
              </w:rPr>
              <w:t>F-Diagnosis available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644 (18.4)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102 (5.8)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b/>
                <w:bCs/>
                <w:sz w:val="18"/>
                <w:szCs w:val="18"/>
              </w:rPr>
            </w:pPr>
            <w:r w:rsidRPr="00657B23">
              <w:rPr>
                <w:b/>
                <w:bCs/>
                <w:sz w:val="18"/>
                <w:szCs w:val="18"/>
              </w:rPr>
              <w:t>334 (78.0)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80 (15.4)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128 (15.9)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rFonts w:asciiTheme="minorHAnsi" w:hAnsiTheme="minorHAnsi" w:cstheme="minorHAnsi"/>
                <w:sz w:val="20"/>
                <w:szCs w:val="20"/>
              </w:rPr>
            </w:pPr>
            <w:r w:rsidRPr="00657B23">
              <w:rPr>
                <w:sz w:val="18"/>
                <w:szCs w:val="18"/>
              </w:rPr>
              <w:t>Amount of F Diagnoses (mean (SD))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1.42 4.84)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0.19 (1.18)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b/>
                <w:bCs/>
                <w:sz w:val="18"/>
                <w:szCs w:val="18"/>
              </w:rPr>
            </w:pPr>
            <w:r w:rsidRPr="00657B23">
              <w:rPr>
                <w:b/>
                <w:bCs/>
                <w:sz w:val="18"/>
                <w:szCs w:val="18"/>
              </w:rPr>
              <w:t>7.21 (9.36)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1.24 (4.86)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1.12 (4.02)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rFonts w:asciiTheme="minorHAnsi" w:hAnsiTheme="minorHAnsi" w:cstheme="minorHAnsi"/>
                <w:sz w:val="20"/>
                <w:szCs w:val="20"/>
              </w:rPr>
            </w:pPr>
            <w:r w:rsidRPr="00657B23">
              <w:rPr>
                <w:sz w:val="18"/>
                <w:szCs w:val="18"/>
              </w:rPr>
              <w:t>Amount of ICD-10 M Diagnoses (mean (SD))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4.11 (5.67)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2.60 (3.24)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3.97 (4.32)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8.78 (8.95)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4.47 (6.03)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b/>
                <w:bCs/>
                <w:i w:val="0"/>
                <w:iCs/>
                <w:sz w:val="18"/>
                <w:szCs w:val="18"/>
              </w:rPr>
            </w:pPr>
            <w:r w:rsidRPr="00657B23">
              <w:rPr>
                <w:b/>
                <w:bCs/>
                <w:sz w:val="18"/>
                <w:szCs w:val="18"/>
              </w:rPr>
              <w:t xml:space="preserve">Total Health </w:t>
            </w:r>
          </w:p>
          <w:p w:rsidR="00640699" w:rsidRPr="00657B23" w:rsidRDefault="00640699" w:rsidP="00881C86">
            <w:pPr>
              <w:rPr>
                <w:rFonts w:asciiTheme="minorHAnsi" w:hAnsiTheme="minorHAnsi" w:cstheme="minorHAnsi"/>
                <w:sz w:val="20"/>
                <w:szCs w:val="20"/>
              </w:rPr>
            </w:pPr>
            <w:r w:rsidRPr="00657B23">
              <w:rPr>
                <w:b/>
                <w:bCs/>
                <w:sz w:val="18"/>
                <w:szCs w:val="18"/>
              </w:rPr>
              <w:t>Cost</w:t>
            </w:r>
            <w:r w:rsidRPr="00657B23">
              <w:rPr>
                <w:sz w:val="18"/>
                <w:szCs w:val="18"/>
              </w:rPr>
              <w:t xml:space="preserve"> € (mean (SD))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7279.78 (8040.56)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5812.52 (6267.95)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9698.56 (10992.58)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10277.41 (9452.25)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7261.71 (7802.49)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rFonts w:asciiTheme="minorHAnsi" w:hAnsiTheme="minorHAnsi" w:cstheme="minorHAnsi"/>
                <w:sz w:val="20"/>
                <w:szCs w:val="20"/>
              </w:rPr>
            </w:pPr>
            <w:r w:rsidRPr="00657B23">
              <w:rPr>
                <w:sz w:val="18"/>
                <w:szCs w:val="18"/>
              </w:rPr>
              <w:t>High-Cost cases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252 (7.2)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88 (5.0)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48 (11.2)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63 (12.1)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53 (6.6)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b/>
                <w:bCs/>
                <w:i w:val="0"/>
                <w:iCs/>
                <w:sz w:val="18"/>
                <w:szCs w:val="18"/>
              </w:rPr>
            </w:pPr>
            <w:r w:rsidRPr="00657B23">
              <w:rPr>
                <w:b/>
                <w:bCs/>
                <w:sz w:val="18"/>
                <w:szCs w:val="18"/>
              </w:rPr>
              <w:t>BP Total</w:t>
            </w:r>
          </w:p>
          <w:p w:rsidR="00640699" w:rsidRPr="00657B23" w:rsidRDefault="00640699" w:rsidP="00881C86">
            <w:pPr>
              <w:rPr>
                <w:rFonts w:asciiTheme="minorHAnsi" w:hAnsiTheme="minorHAnsi" w:cstheme="minorHAnsi"/>
                <w:sz w:val="20"/>
                <w:szCs w:val="20"/>
              </w:rPr>
            </w:pPr>
            <w:r w:rsidRPr="00657B23">
              <w:rPr>
                <w:sz w:val="18"/>
                <w:szCs w:val="18"/>
              </w:rPr>
              <w:t>Cost € (mean (SD))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1082.13 (2298.10)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663.14 (1228.88)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970.69 (1665.74)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2543.11 (4246.84)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1113.49 (2208.33)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rFonts w:asciiTheme="minorHAnsi" w:hAnsiTheme="minorHAnsi" w:cstheme="minorHAnsi"/>
                <w:sz w:val="20"/>
                <w:szCs w:val="20"/>
              </w:rPr>
            </w:pPr>
            <w:r w:rsidRPr="00657B23">
              <w:rPr>
                <w:sz w:val="18"/>
                <w:szCs w:val="18"/>
              </w:rPr>
              <w:t>BP Truncated Cost (mean (SD))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751.73 (670.23)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660.18 (612.65)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736.53 (635.94)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978.09 (764.57)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847.17 (718.86)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rFonts w:asciiTheme="minorHAnsi" w:hAnsiTheme="minorHAnsi" w:cstheme="minorHAnsi"/>
                <w:sz w:val="20"/>
                <w:szCs w:val="20"/>
              </w:rPr>
            </w:pPr>
            <w:r w:rsidRPr="00657B23">
              <w:rPr>
                <w:sz w:val="18"/>
                <w:szCs w:val="18"/>
              </w:rPr>
              <w:t>High-Cost cases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325 (9.3)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69 (3.9)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36 (8.4)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140 (27.0)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80 (10.0)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rFonts w:asciiTheme="minorHAnsi" w:hAnsiTheme="minorHAnsi" w:cstheme="minorHAnsi"/>
                <w:sz w:val="20"/>
                <w:szCs w:val="20"/>
              </w:rPr>
            </w:pPr>
            <w:r w:rsidRPr="00657B23">
              <w:rPr>
                <w:sz w:val="18"/>
                <w:szCs w:val="18"/>
              </w:rPr>
              <w:t>Low-Cost cases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851 (24.3)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464 (26.4)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87 (20.3)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73 (14.1)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227 (28.3)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b/>
                <w:bCs/>
                <w:sz w:val="18"/>
                <w:szCs w:val="18"/>
              </w:rPr>
            </w:pPr>
            <w:r w:rsidRPr="00657B23">
              <w:rPr>
                <w:b/>
                <w:bCs/>
                <w:sz w:val="18"/>
                <w:szCs w:val="18"/>
              </w:rPr>
              <w:t xml:space="preserve">BP Inpatient </w:t>
            </w:r>
          </w:p>
          <w:p w:rsidR="00640699" w:rsidRPr="00657B23" w:rsidRDefault="00640699" w:rsidP="00881C86">
            <w:pPr>
              <w:rPr>
                <w:b/>
                <w:bCs/>
                <w:i w:val="0"/>
                <w:iCs/>
                <w:sz w:val="18"/>
                <w:szCs w:val="18"/>
              </w:rPr>
            </w:pPr>
            <w:r w:rsidRPr="00657B23">
              <w:rPr>
                <w:sz w:val="18"/>
                <w:szCs w:val="18"/>
              </w:rPr>
              <w:t>Cost – € (mean (SD))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340.70 (1822.82)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96.17 (811.75)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280.96 (1226.98)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1295.09 (3739.92)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290.43 (1587.08)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rFonts w:asciiTheme="minorHAnsi" w:hAnsiTheme="minorHAnsi" w:cstheme="minorHAnsi"/>
                <w:sz w:val="20"/>
                <w:szCs w:val="20"/>
              </w:rPr>
            </w:pPr>
            <w:r w:rsidRPr="00657B23">
              <w:rPr>
                <w:sz w:val="18"/>
                <w:szCs w:val="18"/>
              </w:rPr>
              <w:t>High-Cost cases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256 (7.3)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49 (2.8)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36 (8.4)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118 (22.7)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53 (6.6)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rFonts w:asciiTheme="minorHAnsi" w:hAnsiTheme="minorHAnsi" w:cstheme="minorHAnsi"/>
                <w:sz w:val="20"/>
                <w:szCs w:val="20"/>
              </w:rPr>
            </w:pPr>
            <w:r w:rsidRPr="00657B23">
              <w:rPr>
                <w:sz w:val="18"/>
                <w:szCs w:val="18"/>
              </w:rPr>
              <w:t>Low-Cost cases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3250(92.7)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1707 (97.2)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392 (91.6)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401 (77.3)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750 (93.4)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i w:val="0"/>
                <w:iCs/>
                <w:sz w:val="18"/>
                <w:szCs w:val="18"/>
              </w:rPr>
            </w:pPr>
            <w:r w:rsidRPr="00657B23">
              <w:rPr>
                <w:b/>
                <w:bCs/>
                <w:sz w:val="18"/>
                <w:szCs w:val="18"/>
              </w:rPr>
              <w:t>BP Outpatient</w:t>
            </w:r>
            <w:r w:rsidRPr="00657B23">
              <w:rPr>
                <w:sz w:val="18"/>
                <w:szCs w:val="18"/>
              </w:rPr>
              <w:t xml:space="preserve"> </w:t>
            </w:r>
          </w:p>
          <w:p w:rsidR="00640699" w:rsidRPr="00657B23" w:rsidRDefault="00640699" w:rsidP="00881C86">
            <w:pPr>
              <w:rPr>
                <w:rFonts w:asciiTheme="minorHAnsi" w:hAnsiTheme="minorHAnsi" w:cstheme="minorHAnsi"/>
                <w:sz w:val="20"/>
                <w:szCs w:val="20"/>
              </w:rPr>
            </w:pPr>
            <w:r w:rsidRPr="00657B23">
              <w:rPr>
                <w:sz w:val="18"/>
                <w:szCs w:val="18"/>
              </w:rPr>
              <w:t>Cost – € (mean (SD))</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741.43 (1047.45)</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566.98 (804.18)</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689.73 (944.13)</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1248.02 (1405.14)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823.06 (1178.59)</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62"/>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rFonts w:asciiTheme="minorHAnsi" w:hAnsiTheme="minorHAnsi" w:cstheme="minorHAnsi"/>
                <w:sz w:val="20"/>
                <w:szCs w:val="20"/>
              </w:rPr>
            </w:pPr>
            <w:r w:rsidRPr="00657B23">
              <w:rPr>
                <w:sz w:val="18"/>
                <w:szCs w:val="18"/>
              </w:rPr>
              <w:t>High-Cost cases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216 (6.2)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57 (3.2)</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19 (4.4)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78 (15.0)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62 (7.7)</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tcPr>
          <w:p w:rsidR="00640699" w:rsidRPr="00657B23" w:rsidRDefault="00640699" w:rsidP="00881C86">
            <w:pPr>
              <w:rPr>
                <w:sz w:val="18"/>
                <w:szCs w:val="18"/>
              </w:rPr>
            </w:pPr>
            <w:r w:rsidRPr="00657B23">
              <w:rPr>
                <w:sz w:val="18"/>
                <w:szCs w:val="18"/>
              </w:rPr>
              <w:t>Low-Cost cases (%)</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863 (24.6)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468 (26.6)</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94 (22.0)</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73 (14.1)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228 (28.4)</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r w:rsidRPr="00657B23">
              <w:rPr>
                <w:sz w:val="18"/>
                <w:szCs w:val="18"/>
              </w:rPr>
              <w:t>&lt;0.001</w:t>
            </w:r>
          </w:p>
        </w:tc>
        <w:tc>
          <w:tcPr>
            <w:tcW w:w="0" w:type="auto"/>
          </w:tcPr>
          <w:p w:rsidR="00640699" w:rsidRPr="00657B23" w:rsidRDefault="00640699" w:rsidP="00881C86">
            <w:pPr>
              <w:cnfStyle w:val="000000000000" w:firstRow="0" w:lastRow="0" w:firstColumn="0" w:lastColumn="0" w:oddVBand="0" w:evenVBand="0" w:oddHBand="0" w:evenHBand="0" w:firstRowFirstColumn="0" w:firstRowLastColumn="0" w:lastRowFirstColumn="0" w:lastRowLastColumn="0"/>
              <w:rPr>
                <w:sz w:val="18"/>
                <w:szCs w:val="18"/>
              </w:rPr>
            </w:pPr>
          </w:p>
        </w:tc>
      </w:tr>
      <w:tr w:rsidR="00640699" w:rsidRPr="00657B23" w:rsidTr="00881C86">
        <w:trPr>
          <w:trHeight w:val="113"/>
        </w:trPr>
        <w:tc>
          <w:tcPr>
            <w:cnfStyle w:val="001000000000" w:firstRow="0" w:lastRow="0" w:firstColumn="1" w:lastColumn="0" w:oddVBand="0" w:evenVBand="0" w:oddHBand="0" w:evenHBand="0" w:firstRowFirstColumn="0" w:firstRowLastColumn="0" w:lastRowFirstColumn="0" w:lastRowLastColumn="0"/>
            <w:tcW w:w="0" w:type="auto"/>
            <w:gridSpan w:val="8"/>
          </w:tcPr>
          <w:p w:rsidR="00640699" w:rsidRPr="00657B23" w:rsidRDefault="00640699" w:rsidP="00881C86">
            <w:pPr>
              <w:rPr>
                <w:i w:val="0"/>
                <w:iCs/>
                <w:sz w:val="18"/>
                <w:szCs w:val="18"/>
              </w:rPr>
            </w:pPr>
            <w:r w:rsidRPr="00657B23">
              <w:rPr>
                <w:sz w:val="18"/>
                <w:szCs w:val="18"/>
              </w:rPr>
              <w:t>Chronicity Classes = 1: Without evidence of chronicity; 2: Evidence of risk of chronicity; 3: Evidence of chronicity</w:t>
            </w:r>
          </w:p>
          <w:p w:rsidR="00640699" w:rsidRPr="00657B23" w:rsidRDefault="00640699" w:rsidP="00881C86">
            <w:pPr>
              <w:rPr>
                <w:i w:val="0"/>
                <w:iCs/>
                <w:sz w:val="18"/>
                <w:szCs w:val="18"/>
              </w:rPr>
            </w:pPr>
            <w:r w:rsidRPr="00657B23">
              <w:rPr>
                <w:sz w:val="18"/>
                <w:szCs w:val="18"/>
              </w:rPr>
              <w:t xml:space="preserve">High-Cost Cases </w:t>
            </w:r>
            <w:r w:rsidRPr="00657B23">
              <w:rPr>
                <w:i w:val="0"/>
                <w:sz w:val="18"/>
                <w:szCs w:val="18"/>
              </w:rPr>
              <w:t xml:space="preserve">were calculated using Tukeys Method with 1,5 * IQR </w:t>
            </w:r>
            <w:r w:rsidRPr="00657B23">
              <w:rPr>
                <w:sz w:val="18"/>
                <w:szCs w:val="18"/>
              </w:rPr>
              <w:fldChar w:fldCharType="begin" w:fldLock="1"/>
            </w:r>
            <w:r w:rsidRPr="00657B23">
              <w:rPr>
                <w:i w:val="0"/>
                <w:sz w:val="18"/>
                <w:szCs w:val="18"/>
              </w:rPr>
              <w:instrText>ADDIN CSL_CITATION {"citationItems":[{"id":"ITEM-1","itemData":{"ISBN":"978-0201076165","abstract":"We were together learning how to use the analysis of variance, and perhaps it is worth while stating an impression that I have formed-that the analysis of variance, which may perhaps be called a statistical method, because that term is a very ambiguous one-is not a mathematical theorem, but rather a convenient method of arranging the arithmetic. Just as in arith-metical textbooks-if we can recall their contents-we were given rules for arranging how to find the greatest common measure, and how to work out a sum in practice, and were drilled in the arrangement and order in which we were to put the figures down, so with the analysis of variance; its one claim to attention lies in its convenience. The Future of Data Analysis J. W. TUKEY","author":[{"dropping-particle":"","family":"Tukey","given":"John W.","non-dropping-particle":"","parse-names":false,"suffix":""}],"id":"ITEM-1","issued":{"date-parts":[["1977"]]},"publisher":"Addison-Wesley Publishing Company","title":"Exploratory Data Analysis","type":"book"},"uris":["http://www.mendeley.com/documents/?uuid=60e989e4-ae60-336d-b3ef-07e3266cbda4"]}],"mendeley":{"formattedCitation":"[52]","plainTextFormattedCitation":"[52]","previouslyFormattedCitation":"[52]"},"properties":{"noteIndex":0},"schema":"https://github.com/citation-style-language/schema/raw/master/csl-citation.json"}</w:instrText>
            </w:r>
            <w:r w:rsidRPr="00657B23">
              <w:rPr>
                <w:sz w:val="18"/>
                <w:szCs w:val="18"/>
              </w:rPr>
              <w:fldChar w:fldCharType="separate"/>
            </w:r>
            <w:r w:rsidRPr="00657B23">
              <w:rPr>
                <w:i w:val="0"/>
                <w:noProof/>
                <w:sz w:val="18"/>
                <w:szCs w:val="18"/>
              </w:rPr>
              <w:t>[52]</w:t>
            </w:r>
            <w:r w:rsidRPr="00657B23">
              <w:rPr>
                <w:sz w:val="18"/>
                <w:szCs w:val="18"/>
              </w:rPr>
              <w:fldChar w:fldCharType="end"/>
            </w:r>
          </w:p>
          <w:p w:rsidR="00640699" w:rsidRPr="00657B23" w:rsidRDefault="00640699" w:rsidP="00881C86">
            <w:pPr>
              <w:rPr>
                <w:i w:val="0"/>
                <w:iCs/>
                <w:sz w:val="18"/>
                <w:szCs w:val="18"/>
              </w:rPr>
            </w:pPr>
            <w:r w:rsidRPr="00657B23">
              <w:rPr>
                <w:sz w:val="18"/>
                <w:szCs w:val="18"/>
              </w:rPr>
              <w:lastRenderedPageBreak/>
              <w:t>Truncated mean</w:t>
            </w:r>
            <w:r w:rsidRPr="00657B23">
              <w:rPr>
                <w:i w:val="0"/>
                <w:sz w:val="18"/>
                <w:szCs w:val="18"/>
              </w:rPr>
              <w:t xml:space="preserve">: Exclusion of high-cost cases and cases who did not submit a BP invoice in the last 12 months before enrolment. </w:t>
            </w:r>
          </w:p>
        </w:tc>
      </w:tr>
    </w:tbl>
    <w:p w:rsidR="00640699" w:rsidRPr="00657B23" w:rsidRDefault="00640699" w:rsidP="00640699">
      <w:pPr>
        <w:pStyle w:val="AkademischerText"/>
      </w:pPr>
    </w:p>
    <w:p w:rsidR="00000F57" w:rsidRDefault="00640699">
      <w:bookmarkStart w:id="0" w:name="_GoBack"/>
      <w:bookmarkEnd w:id="0"/>
    </w:p>
    <w:sectPr w:rsidR="00000F57" w:rsidSect="00B47711">
      <w:footerReference w:type="default" r:id="rId4"/>
      <w:footerReference w:type="first" r:id="rId5"/>
      <w:pgSz w:w="11906" w:h="16838"/>
      <w:pgMar w:top="1417" w:right="1417" w:bottom="1134" w:left="1417" w:header="708" w:footer="708" w:gutter="0"/>
      <w:lnNumType w:countBy="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36327180"/>
      <w:docPartObj>
        <w:docPartGallery w:val="Page Numbers (Bottom of Page)"/>
        <w:docPartUnique/>
      </w:docPartObj>
    </w:sdtPr>
    <w:sdtEndPr>
      <w:rPr>
        <w:rStyle w:val="PageNumber"/>
      </w:rPr>
    </w:sdtEndPr>
    <w:sdtContent>
      <w:p w:rsidR="00B47711" w:rsidRDefault="00640699" w:rsidP="00B9376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B47711" w:rsidRDefault="00640699" w:rsidP="00B47711">
    <w:pPr>
      <w:pStyle w:val="Footer"/>
      <w:framePr w:wrap="none" w:vAnchor="text" w:hAnchor="margin" w:y="1"/>
      <w:rPr>
        <w:rStyle w:val="PageNumber"/>
      </w:rPr>
    </w:pPr>
  </w:p>
  <w:p w:rsidR="00B47711" w:rsidRDefault="00640699" w:rsidP="00B477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102614139"/>
      <w:docPartObj>
        <w:docPartGallery w:val="Page Numbers (Bottom of Page)"/>
        <w:docPartUnique/>
      </w:docPartObj>
    </w:sdtPr>
    <w:sdtEndPr>
      <w:rPr>
        <w:rStyle w:val="PageNumber"/>
      </w:rPr>
    </w:sdtEndPr>
    <w:sdtContent>
      <w:p w:rsidR="00B47711" w:rsidRDefault="00640699" w:rsidP="00B4771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B47711" w:rsidRDefault="0064069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699"/>
    <w:rsid w:val="0007695B"/>
    <w:rsid w:val="005615C6"/>
    <w:rsid w:val="00640699"/>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4B933A-DEAA-40A0-81CA-9DCD52E53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0699"/>
    <w:pPr>
      <w:spacing w:after="0" w:line="240" w:lineRule="auto"/>
    </w:pPr>
    <w:rPr>
      <w:rFonts w:ascii="Times New Roman" w:eastAsia="Times New Roman" w:hAnsi="Times New Roman" w:cs="Times New Roman"/>
      <w:sz w:val="24"/>
      <w:szCs w:val="24"/>
      <w:lang w:val="en-GB" w:eastAsia="de-DE"/>
    </w:rPr>
  </w:style>
  <w:style w:type="paragraph" w:styleId="Heading2">
    <w:name w:val="heading 2"/>
    <w:basedOn w:val="Normal"/>
    <w:next w:val="Normal"/>
    <w:link w:val="Heading2Char"/>
    <w:uiPriority w:val="9"/>
    <w:unhideWhenUsed/>
    <w:qFormat/>
    <w:rsid w:val="00640699"/>
    <w:pPr>
      <w:keepNext/>
      <w:keepLines/>
      <w:spacing w:before="40" w:line="360" w:lineRule="auto"/>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40699"/>
    <w:rPr>
      <w:rFonts w:asciiTheme="majorHAnsi" w:eastAsiaTheme="majorEastAsia" w:hAnsiTheme="majorHAnsi" w:cstheme="majorBidi"/>
      <w:color w:val="2E74B5" w:themeColor="accent1" w:themeShade="BF"/>
      <w:sz w:val="26"/>
      <w:szCs w:val="26"/>
      <w:lang w:val="en-GB" w:eastAsia="de-DE"/>
    </w:rPr>
  </w:style>
  <w:style w:type="paragraph" w:styleId="NoSpacing">
    <w:name w:val="No Spacing"/>
    <w:uiPriority w:val="1"/>
    <w:qFormat/>
    <w:rsid w:val="00640699"/>
    <w:pPr>
      <w:spacing w:after="0" w:line="240" w:lineRule="auto"/>
    </w:pPr>
    <w:rPr>
      <w:rFonts w:ascii="Arial" w:hAnsi="Arial"/>
      <w:lang w:val="de-DE"/>
    </w:rPr>
  </w:style>
  <w:style w:type="paragraph" w:customStyle="1" w:styleId="AkademischerText">
    <w:name w:val="Akademischer Text"/>
    <w:basedOn w:val="NoSpacing"/>
    <w:qFormat/>
    <w:rsid w:val="00640699"/>
    <w:pPr>
      <w:spacing w:line="480" w:lineRule="auto"/>
      <w:jc w:val="both"/>
    </w:pPr>
    <w:rPr>
      <w:rFonts w:ascii="Times New Roman" w:hAnsi="Times New Roman" w:cstheme="minorHAnsi"/>
      <w:sz w:val="20"/>
      <w:lang w:val="en-GB"/>
    </w:rPr>
  </w:style>
  <w:style w:type="table" w:styleId="TableGrid">
    <w:name w:val="Table Grid"/>
    <w:basedOn w:val="TableNormal"/>
    <w:uiPriority w:val="59"/>
    <w:rsid w:val="00640699"/>
    <w:pPr>
      <w:spacing w:after="0" w:line="240" w:lineRule="auto"/>
      <w:jc w:val="center"/>
    </w:pPr>
    <w:rPr>
      <w:rFonts w:ascii="Times New Roman" w:hAnsi="Times New Roman"/>
      <w:sz w:val="18"/>
      <w:lang w:val="de-DE"/>
    </w:rPr>
    <w:tblPr>
      <w:tblBorders>
        <w:insideH w:val="single" w:sz="2" w:space="0" w:color="auto"/>
        <w:insideV w:val="single" w:sz="2" w:space="0" w:color="auto"/>
      </w:tblBorders>
    </w:tblPr>
    <w:tcPr>
      <w:vAlign w:val="center"/>
    </w:tcPr>
    <w:tblStylePr w:type="firstRow">
      <w:rPr>
        <w:rFonts w:ascii="Times New Roman" w:hAnsi="Times New Roman"/>
        <w:b/>
        <w:i/>
        <w:sz w:val="20"/>
      </w:rPr>
      <w:tblPr/>
      <w:tcPr>
        <w:tcBorders>
          <w:top w:val="nil"/>
          <w:left w:val="nil"/>
          <w:bottom w:val="single" w:sz="4" w:space="0" w:color="auto"/>
          <w:right w:val="nil"/>
        </w:tcBorders>
      </w:tcPr>
    </w:tblStylePr>
    <w:tblStylePr w:type="firstCol">
      <w:pPr>
        <w:jc w:val="left"/>
      </w:pPr>
      <w:rPr>
        <w:rFonts w:ascii="Times New Roman" w:hAnsi="Times New Roman"/>
        <w:i/>
        <w:sz w:val="18"/>
      </w:rPr>
    </w:tblStylePr>
  </w:style>
  <w:style w:type="paragraph" w:customStyle="1" w:styleId="berschriftenTabellen">
    <w:name w:val="Überschriften Tabellen"/>
    <w:basedOn w:val="NoSpacing"/>
    <w:qFormat/>
    <w:rsid w:val="00640699"/>
    <w:pPr>
      <w:spacing w:line="360" w:lineRule="auto"/>
      <w:jc w:val="center"/>
    </w:pPr>
    <w:rPr>
      <w:rFonts w:ascii="Times New Roman" w:eastAsiaTheme="majorEastAsia" w:hAnsi="Times New Roman" w:cs="Times New Roman"/>
      <w:b/>
      <w:bCs/>
      <w:i/>
      <w:iCs/>
      <w:sz w:val="20"/>
      <w:szCs w:val="20"/>
      <w:shd w:val="clear" w:color="auto" w:fill="FFFFFF"/>
      <w:lang w:val="en-US"/>
    </w:rPr>
  </w:style>
  <w:style w:type="paragraph" w:styleId="Footer">
    <w:name w:val="footer"/>
    <w:basedOn w:val="Normal"/>
    <w:link w:val="FooterChar"/>
    <w:uiPriority w:val="99"/>
    <w:unhideWhenUsed/>
    <w:rsid w:val="00640699"/>
    <w:pPr>
      <w:tabs>
        <w:tab w:val="center" w:pos="4536"/>
        <w:tab w:val="right" w:pos="9072"/>
      </w:tabs>
    </w:pPr>
  </w:style>
  <w:style w:type="character" w:customStyle="1" w:styleId="FooterChar">
    <w:name w:val="Footer Char"/>
    <w:basedOn w:val="DefaultParagraphFont"/>
    <w:link w:val="Footer"/>
    <w:uiPriority w:val="99"/>
    <w:rsid w:val="00640699"/>
    <w:rPr>
      <w:rFonts w:ascii="Times New Roman" w:eastAsia="Times New Roman" w:hAnsi="Times New Roman" w:cs="Times New Roman"/>
      <w:sz w:val="24"/>
      <w:szCs w:val="24"/>
      <w:lang w:val="en-GB" w:eastAsia="de-DE"/>
    </w:rPr>
  </w:style>
  <w:style w:type="character" w:styleId="PageNumber">
    <w:name w:val="page number"/>
    <w:basedOn w:val="DefaultParagraphFont"/>
    <w:uiPriority w:val="99"/>
    <w:semiHidden/>
    <w:unhideWhenUsed/>
    <w:rsid w:val="00640699"/>
  </w:style>
  <w:style w:type="character" w:styleId="LineNumber">
    <w:name w:val="line number"/>
    <w:basedOn w:val="DefaultParagraphFont"/>
    <w:uiPriority w:val="99"/>
    <w:semiHidden/>
    <w:unhideWhenUsed/>
    <w:rsid w:val="006406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3227</Words>
  <Characters>18398</Characters>
  <Application>Microsoft Office Word</Application>
  <DocSecurity>0</DocSecurity>
  <Lines>153</Lines>
  <Paragraphs>43</Paragraphs>
  <ScaleCrop>false</ScaleCrop>
  <Company>Springer Nature IT</Company>
  <LinksUpToDate>false</LinksUpToDate>
  <CharactersWithSpaces>21582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2021-08-02T05:47:00Z</dcterms:created>
  <dcterms:modified xsi:type="dcterms:W3CDTF">2021-08-02T05:47:00Z</dcterms:modified>
</cp:coreProperties>
</file>