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18919F" w14:textId="25D0F92C" w:rsidR="004619B6" w:rsidRPr="0042016A" w:rsidRDefault="004619B6" w:rsidP="004619B6">
      <w:pPr>
        <w:pStyle w:val="Heading3"/>
        <w:spacing w:line="480" w:lineRule="auto"/>
        <w:rPr>
          <w:rFonts w:ascii="Arial" w:hAnsi="Arial" w:cs="Arial"/>
          <w:b/>
          <w:bCs/>
          <w:color w:val="000000" w:themeColor="text1"/>
        </w:rPr>
      </w:pPr>
      <w:r w:rsidRPr="0042016A">
        <w:rPr>
          <w:rFonts w:ascii="Arial" w:hAnsi="Arial" w:cs="Arial"/>
          <w:b/>
          <w:bCs/>
          <w:color w:val="000000" w:themeColor="text1"/>
        </w:rPr>
        <w:t>Supplementary File 5:</w:t>
      </w:r>
      <w:r w:rsidRPr="0042016A">
        <w:rPr>
          <w:rFonts w:ascii="Arial" w:hAnsi="Arial" w:cs="Arial"/>
          <w:color w:val="000000" w:themeColor="text1"/>
        </w:rPr>
        <w:t xml:space="preserve"> </w:t>
      </w:r>
      <w:r w:rsidRPr="0042016A">
        <w:rPr>
          <w:rFonts w:ascii="Arial" w:hAnsi="Arial" w:cs="Arial"/>
          <w:b/>
          <w:bCs/>
          <w:color w:val="000000" w:themeColor="text1"/>
        </w:rPr>
        <w:t>Decision rules for re-analysis of trial registration timing and primary outcome changes</w:t>
      </w:r>
    </w:p>
    <w:p w14:paraId="573FF003" w14:textId="77777777" w:rsidR="004619B6" w:rsidRDefault="004619B6" w:rsidP="004619B6">
      <w:pPr>
        <w:pStyle w:val="Heading3"/>
        <w:spacing w:line="480" w:lineRule="auto"/>
        <w:rPr>
          <w:rFonts w:ascii="Arial" w:hAnsi="Arial" w:cs="Arial"/>
          <w:b/>
          <w:bCs/>
          <w:color w:val="000000" w:themeColor="text1"/>
        </w:rPr>
      </w:pPr>
    </w:p>
    <w:p w14:paraId="21DDB8DD" w14:textId="43A2CA84" w:rsidR="004619B6" w:rsidRPr="00D64C26" w:rsidRDefault="004619B6" w:rsidP="004619B6">
      <w:pPr>
        <w:pStyle w:val="Heading3"/>
        <w:spacing w:line="480" w:lineRule="auto"/>
        <w:rPr>
          <w:rFonts w:ascii="Arial" w:hAnsi="Arial" w:cs="Arial"/>
          <w:b/>
          <w:bCs/>
          <w:color w:val="000000" w:themeColor="text1"/>
        </w:rPr>
      </w:pPr>
      <w:r w:rsidRPr="00D64C26">
        <w:rPr>
          <w:rFonts w:ascii="Arial" w:hAnsi="Arial" w:cs="Arial"/>
          <w:b/>
          <w:bCs/>
          <w:color w:val="000000" w:themeColor="text1"/>
        </w:rPr>
        <w:t>Decision rules for assessment of trial registration timing</w:t>
      </w:r>
      <w:r>
        <w:rPr>
          <w:rFonts w:ascii="Arial" w:hAnsi="Arial" w:cs="Arial"/>
          <w:b/>
          <w:bCs/>
          <w:color w:val="000000" w:themeColor="text1"/>
        </w:rPr>
        <w:t xml:space="preserve"> </w:t>
      </w:r>
    </w:p>
    <w:p w14:paraId="5B15493B" w14:textId="1CECCDE0" w:rsidR="004619B6" w:rsidRPr="002B2872" w:rsidRDefault="004619B6" w:rsidP="004619B6">
      <w:pPr>
        <w:spacing w:line="480" w:lineRule="auto"/>
        <w:rPr>
          <w:rFonts w:ascii="Arial" w:hAnsi="Arial" w:cs="Arial"/>
        </w:rPr>
      </w:pPr>
      <w:proofErr w:type="spellStart"/>
      <w:r w:rsidRPr="002B2872">
        <w:rPr>
          <w:rFonts w:ascii="Arial" w:hAnsi="Arial" w:cs="Arial"/>
        </w:rPr>
        <w:t>Gartlehner</w:t>
      </w:r>
      <w:proofErr w:type="spellEnd"/>
      <w:r w:rsidRPr="002B2872">
        <w:rPr>
          <w:rFonts w:ascii="Arial" w:hAnsi="Arial" w:cs="Arial"/>
        </w:rPr>
        <w:t xml:space="preserve"> </w:t>
      </w:r>
      <w:r>
        <w:rPr>
          <w:rFonts w:ascii="Arial" w:hAnsi="Arial" w:cs="Arial"/>
        </w:rPr>
        <w:t>et al</w:t>
      </w:r>
      <w:r>
        <w:rPr>
          <w:rFonts w:ascii="Arial" w:hAnsi="Arial" w:cs="Arial"/>
        </w:rPr>
        <w:fldChar w:fldCharType="begin"/>
      </w:r>
      <w:r>
        <w:rPr>
          <w:rFonts w:ascii="Arial" w:hAnsi="Arial" w:cs="Arial"/>
        </w:rPr>
        <w:instrText xml:space="preserve"> ADDIN ZOTERO_ITEM CSL_CITATION {"citationID":"R56FV2FT","properties":{"formattedCitation":"\\super 26\\nosupersub{}","plainCitation":"26","noteIndex":0},"citationItems":[{"id":6868,"uris":["http://zotero.org/users/3494816/items/UHFWQYD9"],"itemData":{"id":6868,"type":"article-journal","abstract":"OBJECTIVES: To assess the magnitude of reporting bias in trials assessing homeopathic treatments and its impact on evidence syntheses.\nDESIGN: A cross-sectional study and meta-analysis. Two persons independently searched Clinicaltrials.gov, the EU Clinical Trials Register and the International Clinical Trials Registry Platform up to April 2019 to identify registered homeopathy trials. To determine whether registered trials were published and to detect published but unregistered trials, two persons independently searched PubMed, Allied and Complementary Medicine Database, Embase and Google Scholar up to April 2021. For meta-analyses, we used random effects models to determine the impact of unregistered studies on meta-analytic results.\nMAIN OUTCOMES AND MEASURES: We report the proportion of registered but unpublished trials and the proportion of published but unregistered trials. We also assessed whether primary outcomes were consistent between registration and publication. For meta-analyses, we used standardised mean differences (SMDs).\nRESULTS: Since 2002, almost 38% of registered homeopathy trials have remained unpublished, and 50% of published randomised controlled trials (RCTs) have not been registered. Retrospective registration was more common than prospective registration. Furthermore, 25% of primary outcomes were altered or changed compared with the registry. Although we could detect a statistically significant trend toward an increase of registrations of homeopathy trials (p=0.001), almost 30% of RCTs published during the past 5 years had not been registered.A meta-analysis stratified by registration status of RCTs revealed substantially larger treatment effects of unregistered RCTs (SMD: -0.53, 95% CI -0.87 to -0.20) than registered RCTs (SMD: -0.14, 95% CI -0.35 to 0.07).\nCONCLUSIONS: Registration of published trials was infrequent, many registered trials were not published and primary outcomes were often altered or changed. This likely affects the validity of the body of evidence of homeopathic literature and may overestimate the true treatment effect of homeopathic remedies.","container-title":"BMJ evidence-based medicine","DOI":"10.1136/bmjebm-2021-111846","ISSN":"2515-4478","issue":"6","journalAbbreviation":"BMJ Evid Based Med","language":"eng","note":"PMID: 35292534\nPMCID: PMC9691824","page":"345-351","source":"PubMed","title":"Assessing the magnitude of reporting bias in trials of homeopathy: a cross-sectional study and meta-analysis","title-short":"Assessing the magnitude of reporting bias in trials of homeopathy","volume":"27","author":[{"family":"Gartlehner","given":"Gerald"},{"family":"Emprechtinger","given":"Robert"},{"family":"Hackl","given":"Marlene"},{"family":"Jutz","given":"Franziska L."},{"family":"Gartlehner","given":"Jacob E."},{"family":"Nonninger","given":"Julian N."},{"family":"Klerings","given":"Irma"},{"family":"Dobrescu","given":"Andreea Iulia"}],"issued":{"date-parts":[["2022",12]]}}}],"schema":"https://github.com/citation-style-language/schema/raw/master/csl-citation.json"} </w:instrText>
      </w:r>
      <w:r>
        <w:rPr>
          <w:rFonts w:ascii="Arial" w:hAnsi="Arial" w:cs="Arial"/>
        </w:rPr>
        <w:fldChar w:fldCharType="separate"/>
      </w:r>
      <w:r w:rsidRPr="009D1A80">
        <w:rPr>
          <w:rFonts w:ascii="Arial" w:hAnsi="Arial" w:cs="Arial"/>
          <w:vertAlign w:val="superscript"/>
        </w:rPr>
        <w:t>26</w:t>
      </w:r>
      <w:r>
        <w:rPr>
          <w:rFonts w:ascii="Arial" w:hAnsi="Arial" w:cs="Arial"/>
        </w:rPr>
        <w:fldChar w:fldCharType="end"/>
      </w:r>
      <w:r>
        <w:rPr>
          <w:rFonts w:ascii="Arial" w:hAnsi="Arial" w:cs="Arial"/>
        </w:rPr>
        <w:t xml:space="preserve"> stated that timing of registration was assigned as either</w:t>
      </w:r>
      <w:r w:rsidRPr="002B2872">
        <w:rPr>
          <w:rFonts w:ascii="Arial" w:hAnsi="Arial" w:cs="Arial"/>
        </w:rPr>
        <w:t xml:space="preserve"> </w:t>
      </w:r>
      <w:r>
        <w:rPr>
          <w:rFonts w:ascii="Arial" w:hAnsi="Arial" w:cs="Arial"/>
        </w:rPr>
        <w:t>‘P</w:t>
      </w:r>
      <w:r w:rsidRPr="002B2872">
        <w:rPr>
          <w:rFonts w:ascii="Arial" w:hAnsi="Arial" w:cs="Arial"/>
        </w:rPr>
        <w:t>rospective</w:t>
      </w:r>
      <w:r>
        <w:rPr>
          <w:rFonts w:ascii="Arial" w:hAnsi="Arial" w:cs="Arial"/>
        </w:rPr>
        <w:t>’</w:t>
      </w:r>
      <w:r w:rsidRPr="002B2872">
        <w:rPr>
          <w:rFonts w:ascii="Arial" w:hAnsi="Arial" w:cs="Arial"/>
        </w:rPr>
        <w:t xml:space="preserve"> or </w:t>
      </w:r>
      <w:r>
        <w:rPr>
          <w:rFonts w:ascii="Arial" w:hAnsi="Arial" w:cs="Arial"/>
        </w:rPr>
        <w:t>‘R</w:t>
      </w:r>
      <w:r w:rsidRPr="002B2872">
        <w:rPr>
          <w:rFonts w:ascii="Arial" w:hAnsi="Arial" w:cs="Arial"/>
        </w:rPr>
        <w:t>etrospective</w:t>
      </w:r>
      <w:r>
        <w:rPr>
          <w:rFonts w:ascii="Arial" w:hAnsi="Arial" w:cs="Arial"/>
        </w:rPr>
        <w:t>’</w:t>
      </w:r>
      <w:r w:rsidRPr="002B2872">
        <w:rPr>
          <w:rFonts w:ascii="Arial" w:hAnsi="Arial" w:cs="Arial"/>
        </w:rPr>
        <w:t xml:space="preserve"> depending on the year of registration and publication</w:t>
      </w:r>
      <w:r>
        <w:rPr>
          <w:rFonts w:ascii="Arial" w:hAnsi="Arial" w:cs="Arial"/>
        </w:rPr>
        <w:t>,</w:t>
      </w:r>
      <w:r w:rsidRPr="002B2872">
        <w:rPr>
          <w:rFonts w:ascii="Arial" w:hAnsi="Arial" w:cs="Arial"/>
        </w:rPr>
        <w:t xml:space="preserve"> relying on dates in the ICTRP. Yet, studies </w:t>
      </w:r>
      <w:r>
        <w:rPr>
          <w:rFonts w:ascii="Arial" w:hAnsi="Arial" w:cs="Arial"/>
        </w:rPr>
        <w:t xml:space="preserve">were also designated </w:t>
      </w:r>
      <w:r w:rsidRPr="002B2872">
        <w:rPr>
          <w:rFonts w:ascii="Arial" w:hAnsi="Arial" w:cs="Arial"/>
        </w:rPr>
        <w:t xml:space="preserve">as being registered ‘During Enrolment’ without any definition for </w:t>
      </w:r>
      <w:r>
        <w:rPr>
          <w:rFonts w:ascii="Arial" w:hAnsi="Arial" w:cs="Arial"/>
        </w:rPr>
        <w:t xml:space="preserve">this registration </w:t>
      </w:r>
      <w:r w:rsidRPr="002B2872">
        <w:rPr>
          <w:rFonts w:ascii="Arial" w:hAnsi="Arial" w:cs="Arial"/>
        </w:rPr>
        <w:t xml:space="preserve">timing bracket. </w:t>
      </w:r>
    </w:p>
    <w:p w14:paraId="5AA73D9D" w14:textId="77777777" w:rsidR="004619B6" w:rsidRPr="002B2872" w:rsidRDefault="004619B6" w:rsidP="004619B6">
      <w:pPr>
        <w:spacing w:line="480" w:lineRule="auto"/>
        <w:rPr>
          <w:rFonts w:ascii="Arial" w:hAnsi="Arial" w:cs="Arial"/>
        </w:rPr>
      </w:pPr>
      <w:r w:rsidRPr="002B2872">
        <w:rPr>
          <w:rFonts w:ascii="Arial" w:hAnsi="Arial" w:cs="Arial"/>
        </w:rPr>
        <w:t xml:space="preserve">To </w:t>
      </w:r>
      <w:r>
        <w:rPr>
          <w:rFonts w:ascii="Arial" w:hAnsi="Arial" w:cs="Arial"/>
        </w:rPr>
        <w:t>address this inconsistency and to clarify the dataset for</w:t>
      </w:r>
      <w:r w:rsidRPr="002B2872">
        <w:rPr>
          <w:rFonts w:ascii="Arial" w:hAnsi="Arial" w:cs="Arial"/>
        </w:rPr>
        <w:t xml:space="preserve"> re-analysis, three categories </w:t>
      </w:r>
      <w:r>
        <w:rPr>
          <w:rFonts w:ascii="Arial" w:hAnsi="Arial" w:cs="Arial"/>
        </w:rPr>
        <w:t>of</w:t>
      </w:r>
      <w:r w:rsidRPr="002B2872">
        <w:rPr>
          <w:rFonts w:ascii="Arial" w:hAnsi="Arial" w:cs="Arial"/>
        </w:rPr>
        <w:t xml:space="preserve"> registration timing were defined</w:t>
      </w:r>
      <w:r>
        <w:rPr>
          <w:rFonts w:ascii="Arial" w:hAnsi="Arial" w:cs="Arial"/>
        </w:rPr>
        <w:t xml:space="preserve"> as follows</w:t>
      </w:r>
      <w:r w:rsidRPr="002B2872">
        <w:rPr>
          <w:rFonts w:ascii="Arial" w:hAnsi="Arial" w:cs="Arial"/>
        </w:rPr>
        <w:t xml:space="preserve">: </w:t>
      </w:r>
    </w:p>
    <w:p w14:paraId="5CF3A06D" w14:textId="77777777" w:rsidR="004619B6" w:rsidRPr="002B2872" w:rsidRDefault="004619B6" w:rsidP="004619B6">
      <w:pPr>
        <w:pStyle w:val="ListParagraph"/>
        <w:numPr>
          <w:ilvl w:val="0"/>
          <w:numId w:val="1"/>
        </w:numPr>
        <w:spacing w:line="480" w:lineRule="auto"/>
        <w:rPr>
          <w:rFonts w:ascii="Arial" w:hAnsi="Arial" w:cs="Arial"/>
        </w:rPr>
      </w:pPr>
      <w:r w:rsidRPr="002B2872">
        <w:rPr>
          <w:rFonts w:ascii="Arial" w:hAnsi="Arial" w:cs="Arial"/>
          <w:b/>
          <w:bCs/>
        </w:rPr>
        <w:t>Prospective</w:t>
      </w:r>
      <w:r w:rsidRPr="002B2872">
        <w:rPr>
          <w:rFonts w:ascii="Arial" w:hAnsi="Arial" w:cs="Arial"/>
        </w:rPr>
        <w:t>: regist</w:t>
      </w:r>
      <w:r>
        <w:rPr>
          <w:rFonts w:ascii="Arial" w:hAnsi="Arial" w:cs="Arial"/>
        </w:rPr>
        <w:t>ration</w:t>
      </w:r>
      <w:r w:rsidRPr="002B2872">
        <w:rPr>
          <w:rFonts w:ascii="Arial" w:hAnsi="Arial" w:cs="Arial"/>
        </w:rPr>
        <w:t xml:space="preserve"> in a recognised trial registry before any participants were recruited</w:t>
      </w:r>
      <w:r>
        <w:rPr>
          <w:rFonts w:ascii="Arial" w:hAnsi="Arial" w:cs="Arial"/>
        </w:rPr>
        <w:t xml:space="preserve"> (</w:t>
      </w:r>
      <w:r w:rsidRPr="002B2872">
        <w:rPr>
          <w:rFonts w:ascii="Arial" w:hAnsi="Arial" w:cs="Arial"/>
        </w:rPr>
        <w:t>based on trial registry and full text data where available</w:t>
      </w:r>
      <w:r>
        <w:rPr>
          <w:rFonts w:ascii="Arial" w:hAnsi="Arial" w:cs="Arial"/>
        </w:rPr>
        <w:t>)</w:t>
      </w:r>
      <w:r w:rsidRPr="002B2872">
        <w:rPr>
          <w:rFonts w:ascii="Arial" w:hAnsi="Arial" w:cs="Arial"/>
        </w:rPr>
        <w:t xml:space="preserve">. Where a study was registered in more than one registry, the earliest </w:t>
      </w:r>
      <w:r>
        <w:rPr>
          <w:rFonts w:ascii="Arial" w:hAnsi="Arial" w:cs="Arial"/>
        </w:rPr>
        <w:t xml:space="preserve">registration </w:t>
      </w:r>
      <w:r w:rsidRPr="002B2872">
        <w:rPr>
          <w:rFonts w:ascii="Arial" w:hAnsi="Arial" w:cs="Arial"/>
        </w:rPr>
        <w:t xml:space="preserve">date was </w:t>
      </w:r>
      <w:r>
        <w:rPr>
          <w:rFonts w:ascii="Arial" w:hAnsi="Arial" w:cs="Arial"/>
        </w:rPr>
        <w:t>noted.</w:t>
      </w:r>
      <w:r w:rsidRPr="002B2872">
        <w:rPr>
          <w:rFonts w:ascii="Arial" w:hAnsi="Arial" w:cs="Arial"/>
        </w:rPr>
        <w:t xml:space="preserve"> </w:t>
      </w:r>
    </w:p>
    <w:p w14:paraId="095E6120" w14:textId="77777777" w:rsidR="004619B6" w:rsidRPr="002B2872" w:rsidRDefault="004619B6" w:rsidP="004619B6">
      <w:pPr>
        <w:pStyle w:val="ListParagraph"/>
        <w:numPr>
          <w:ilvl w:val="0"/>
          <w:numId w:val="1"/>
        </w:numPr>
        <w:spacing w:line="480" w:lineRule="auto"/>
        <w:rPr>
          <w:rFonts w:ascii="Arial" w:hAnsi="Arial" w:cs="Arial"/>
        </w:rPr>
      </w:pPr>
      <w:r>
        <w:rPr>
          <w:rFonts w:ascii="Arial" w:hAnsi="Arial" w:cs="Arial"/>
          <w:b/>
          <w:bCs/>
        </w:rPr>
        <w:t>D</w:t>
      </w:r>
      <w:r w:rsidRPr="002B2872">
        <w:rPr>
          <w:rFonts w:ascii="Arial" w:hAnsi="Arial" w:cs="Arial"/>
          <w:b/>
          <w:bCs/>
        </w:rPr>
        <w:t>uring enrolment</w:t>
      </w:r>
      <w:r w:rsidRPr="002B2872">
        <w:rPr>
          <w:rFonts w:ascii="Arial" w:hAnsi="Arial" w:cs="Arial"/>
        </w:rPr>
        <w:t>: registr</w:t>
      </w:r>
      <w:r>
        <w:rPr>
          <w:rFonts w:ascii="Arial" w:hAnsi="Arial" w:cs="Arial"/>
        </w:rPr>
        <w:t>ation</w:t>
      </w:r>
      <w:r w:rsidRPr="002B2872">
        <w:rPr>
          <w:rFonts w:ascii="Arial" w:hAnsi="Arial" w:cs="Arial"/>
        </w:rPr>
        <w:t xml:space="preserve"> at any time between the date of first patient recruitment </w:t>
      </w:r>
      <w:r>
        <w:rPr>
          <w:rFonts w:ascii="Arial" w:hAnsi="Arial" w:cs="Arial"/>
        </w:rPr>
        <w:t xml:space="preserve">(using actual rather than predicted </w:t>
      </w:r>
      <w:r w:rsidRPr="002B2872">
        <w:rPr>
          <w:rFonts w:ascii="Arial" w:hAnsi="Arial" w:cs="Arial"/>
        </w:rPr>
        <w:t>dates w</w:t>
      </w:r>
      <w:r>
        <w:rPr>
          <w:rFonts w:ascii="Arial" w:hAnsi="Arial" w:cs="Arial"/>
        </w:rPr>
        <w:t>h</w:t>
      </w:r>
      <w:r w:rsidRPr="002B2872">
        <w:rPr>
          <w:rFonts w:ascii="Arial" w:hAnsi="Arial" w:cs="Arial"/>
        </w:rPr>
        <w:t xml:space="preserve">ere </w:t>
      </w:r>
      <w:r>
        <w:rPr>
          <w:rFonts w:ascii="Arial" w:hAnsi="Arial" w:cs="Arial"/>
        </w:rPr>
        <w:t xml:space="preserve">this was </w:t>
      </w:r>
      <w:r w:rsidRPr="002B2872">
        <w:rPr>
          <w:rFonts w:ascii="Arial" w:hAnsi="Arial" w:cs="Arial"/>
        </w:rPr>
        <w:t>discern</w:t>
      </w:r>
      <w:r>
        <w:rPr>
          <w:rFonts w:ascii="Arial" w:hAnsi="Arial" w:cs="Arial"/>
        </w:rPr>
        <w:t xml:space="preserve">ible) and completion of </w:t>
      </w:r>
      <w:r w:rsidRPr="002B2872">
        <w:rPr>
          <w:rFonts w:ascii="Arial" w:hAnsi="Arial" w:cs="Arial"/>
        </w:rPr>
        <w:t>data collection</w:t>
      </w:r>
      <w:r>
        <w:rPr>
          <w:rFonts w:ascii="Arial" w:hAnsi="Arial" w:cs="Arial"/>
        </w:rPr>
        <w:t>.</w:t>
      </w:r>
      <w:r w:rsidRPr="002B2872">
        <w:rPr>
          <w:rFonts w:ascii="Arial" w:hAnsi="Arial" w:cs="Arial"/>
        </w:rPr>
        <w:t xml:space="preserve"> Dates of study completion were taken from the primary trial registry or full text</w:t>
      </w:r>
      <w:r>
        <w:rPr>
          <w:rFonts w:ascii="Arial" w:hAnsi="Arial" w:cs="Arial"/>
        </w:rPr>
        <w:t xml:space="preserve"> (where available)</w:t>
      </w:r>
      <w:r w:rsidRPr="002B2872">
        <w:rPr>
          <w:rFonts w:ascii="Arial" w:hAnsi="Arial" w:cs="Arial"/>
        </w:rPr>
        <w:t>,</w:t>
      </w:r>
      <w:r>
        <w:rPr>
          <w:rFonts w:ascii="Arial" w:hAnsi="Arial" w:cs="Arial"/>
        </w:rPr>
        <w:t xml:space="preserve"> </w:t>
      </w:r>
      <w:r w:rsidRPr="002B2872">
        <w:rPr>
          <w:rFonts w:ascii="Arial" w:hAnsi="Arial" w:cs="Arial"/>
        </w:rPr>
        <w:t xml:space="preserve">in preference to the ICTRP </w:t>
      </w:r>
      <w:r>
        <w:rPr>
          <w:rFonts w:ascii="Arial" w:hAnsi="Arial" w:cs="Arial"/>
        </w:rPr>
        <w:t xml:space="preserve">which was considered </w:t>
      </w:r>
      <w:r w:rsidRPr="002B2872">
        <w:rPr>
          <w:rFonts w:ascii="Arial" w:hAnsi="Arial" w:cs="Arial"/>
        </w:rPr>
        <w:t>a secondary data source.</w:t>
      </w:r>
    </w:p>
    <w:p w14:paraId="04C0AED8" w14:textId="77777777" w:rsidR="004619B6" w:rsidRPr="002B2872" w:rsidRDefault="004619B6" w:rsidP="004619B6">
      <w:pPr>
        <w:pStyle w:val="ListParagraph"/>
        <w:numPr>
          <w:ilvl w:val="0"/>
          <w:numId w:val="1"/>
        </w:numPr>
        <w:spacing w:line="480" w:lineRule="auto"/>
        <w:rPr>
          <w:rFonts w:ascii="Arial" w:hAnsi="Arial" w:cs="Arial"/>
        </w:rPr>
      </w:pPr>
      <w:r w:rsidRPr="002B2872">
        <w:rPr>
          <w:rFonts w:ascii="Arial" w:hAnsi="Arial" w:cs="Arial"/>
          <w:b/>
          <w:bCs/>
        </w:rPr>
        <w:t>Retrospective</w:t>
      </w:r>
      <w:r>
        <w:rPr>
          <w:rFonts w:ascii="Arial" w:hAnsi="Arial" w:cs="Arial"/>
        </w:rPr>
        <w:t xml:space="preserve"> </w:t>
      </w:r>
      <w:r w:rsidRPr="0076060B">
        <w:rPr>
          <w:rFonts w:ascii="Arial" w:hAnsi="Arial" w:cs="Arial"/>
          <w:b/>
          <w:bCs/>
        </w:rPr>
        <w:t>registration:</w:t>
      </w:r>
      <w:r w:rsidRPr="002B2872">
        <w:rPr>
          <w:rFonts w:ascii="Arial" w:hAnsi="Arial" w:cs="Arial"/>
        </w:rPr>
        <w:t xml:space="preserve"> registr</w:t>
      </w:r>
      <w:r>
        <w:rPr>
          <w:rFonts w:ascii="Arial" w:hAnsi="Arial" w:cs="Arial"/>
        </w:rPr>
        <w:t>ation</w:t>
      </w:r>
      <w:r w:rsidRPr="002B2872">
        <w:rPr>
          <w:rFonts w:ascii="Arial" w:hAnsi="Arial" w:cs="Arial"/>
        </w:rPr>
        <w:t xml:space="preserve"> after </w:t>
      </w:r>
      <w:r>
        <w:rPr>
          <w:rFonts w:ascii="Arial" w:hAnsi="Arial" w:cs="Arial"/>
        </w:rPr>
        <w:t xml:space="preserve">study completion (i.e. after final date of data collection), </w:t>
      </w:r>
      <w:r w:rsidRPr="002B2872">
        <w:rPr>
          <w:rFonts w:ascii="Arial" w:hAnsi="Arial" w:cs="Arial"/>
        </w:rPr>
        <w:t>as far as</w:t>
      </w:r>
      <w:r>
        <w:rPr>
          <w:rFonts w:ascii="Arial" w:hAnsi="Arial" w:cs="Arial"/>
        </w:rPr>
        <w:t xml:space="preserve"> timing was discernible</w:t>
      </w:r>
      <w:r w:rsidRPr="002B2872">
        <w:rPr>
          <w:rFonts w:ascii="Arial" w:hAnsi="Arial" w:cs="Arial"/>
        </w:rPr>
        <w:t xml:space="preserve"> </w:t>
      </w:r>
      <w:r>
        <w:rPr>
          <w:rFonts w:ascii="Arial" w:hAnsi="Arial" w:cs="Arial"/>
        </w:rPr>
        <w:t xml:space="preserve">from </w:t>
      </w:r>
      <w:r w:rsidRPr="002B2872">
        <w:rPr>
          <w:rFonts w:ascii="Arial" w:hAnsi="Arial" w:cs="Arial"/>
        </w:rPr>
        <w:t xml:space="preserve">information </w:t>
      </w:r>
      <w:r>
        <w:rPr>
          <w:rFonts w:ascii="Arial" w:hAnsi="Arial" w:cs="Arial"/>
        </w:rPr>
        <w:t>available</w:t>
      </w:r>
      <w:r w:rsidRPr="002B2872">
        <w:rPr>
          <w:rFonts w:ascii="Arial" w:hAnsi="Arial" w:cs="Arial"/>
        </w:rPr>
        <w:t xml:space="preserve"> in registries and full text</w:t>
      </w:r>
      <w:r>
        <w:rPr>
          <w:rFonts w:ascii="Arial" w:hAnsi="Arial" w:cs="Arial"/>
        </w:rPr>
        <w:t>s.</w:t>
      </w:r>
      <w:r w:rsidRPr="002B2872">
        <w:rPr>
          <w:rFonts w:ascii="Arial" w:hAnsi="Arial" w:cs="Arial"/>
        </w:rPr>
        <w:t xml:space="preserve"> </w:t>
      </w:r>
    </w:p>
    <w:p w14:paraId="6F003A01" w14:textId="77777777" w:rsidR="004619B6" w:rsidRDefault="004619B6" w:rsidP="004619B6"/>
    <w:p w14:paraId="76BE38A3" w14:textId="77777777" w:rsidR="004619B6" w:rsidRPr="00D64C26" w:rsidRDefault="004619B6" w:rsidP="004619B6">
      <w:pPr>
        <w:pStyle w:val="Heading3"/>
        <w:spacing w:line="480" w:lineRule="auto"/>
        <w:rPr>
          <w:rFonts w:ascii="Arial" w:hAnsi="Arial" w:cs="Arial"/>
          <w:b/>
          <w:bCs/>
          <w:color w:val="000000" w:themeColor="text1"/>
        </w:rPr>
      </w:pPr>
      <w:r w:rsidRPr="00D64C26">
        <w:rPr>
          <w:rFonts w:ascii="Arial" w:hAnsi="Arial" w:cs="Arial"/>
          <w:b/>
          <w:bCs/>
          <w:color w:val="000000" w:themeColor="text1"/>
        </w:rPr>
        <w:lastRenderedPageBreak/>
        <w:t>Decision rules for assessing primary outcome change during re-analysis</w:t>
      </w:r>
    </w:p>
    <w:p w14:paraId="7A8FC437" w14:textId="77777777" w:rsidR="004619B6" w:rsidRDefault="004619B6" w:rsidP="004619B6">
      <w:pPr>
        <w:spacing w:line="480" w:lineRule="auto"/>
        <w:rPr>
          <w:rFonts w:ascii="Arial" w:hAnsi="Arial" w:cs="Arial"/>
        </w:rPr>
      </w:pPr>
      <w:r w:rsidRPr="0039758A">
        <w:rPr>
          <w:rFonts w:ascii="Arial" w:hAnsi="Arial" w:cs="Arial"/>
        </w:rPr>
        <w:t>To assess the rate of P</w:t>
      </w:r>
      <w:r>
        <w:rPr>
          <w:rFonts w:ascii="Arial" w:hAnsi="Arial" w:cs="Arial"/>
        </w:rPr>
        <w:t xml:space="preserve">rimary </w:t>
      </w:r>
      <w:r w:rsidRPr="0039758A">
        <w:rPr>
          <w:rFonts w:ascii="Arial" w:hAnsi="Arial" w:cs="Arial"/>
        </w:rPr>
        <w:t>O</w:t>
      </w:r>
      <w:r>
        <w:rPr>
          <w:rFonts w:ascii="Arial" w:hAnsi="Arial" w:cs="Arial"/>
        </w:rPr>
        <w:t xml:space="preserve">utcome </w:t>
      </w:r>
      <w:r w:rsidRPr="0039758A">
        <w:rPr>
          <w:rFonts w:ascii="Arial" w:hAnsi="Arial" w:cs="Arial"/>
        </w:rPr>
        <w:t>C</w:t>
      </w:r>
      <w:r>
        <w:rPr>
          <w:rFonts w:ascii="Arial" w:hAnsi="Arial" w:cs="Arial"/>
        </w:rPr>
        <w:t>hange (POC)</w:t>
      </w:r>
      <w:r w:rsidRPr="0039758A">
        <w:rPr>
          <w:rFonts w:ascii="Arial" w:hAnsi="Arial" w:cs="Arial"/>
        </w:rPr>
        <w:t xml:space="preserve">, </w:t>
      </w:r>
      <w:r>
        <w:rPr>
          <w:rFonts w:ascii="Arial" w:hAnsi="Arial" w:cs="Arial"/>
        </w:rPr>
        <w:t xml:space="preserve">data were used from RCTs </w:t>
      </w:r>
      <w:r w:rsidRPr="0039758A">
        <w:rPr>
          <w:rFonts w:ascii="Arial" w:hAnsi="Arial" w:cs="Arial"/>
        </w:rPr>
        <w:t xml:space="preserve">eligible </w:t>
      </w:r>
      <w:r>
        <w:rPr>
          <w:rFonts w:ascii="Arial" w:hAnsi="Arial" w:cs="Arial"/>
        </w:rPr>
        <w:t xml:space="preserve">for re-analysis, </w:t>
      </w:r>
      <w:r w:rsidRPr="0039758A">
        <w:rPr>
          <w:rFonts w:ascii="Arial" w:hAnsi="Arial" w:cs="Arial"/>
        </w:rPr>
        <w:t xml:space="preserve">confirmed to be prospectively registered </w:t>
      </w:r>
      <w:r>
        <w:rPr>
          <w:rFonts w:ascii="Arial" w:hAnsi="Arial" w:cs="Arial"/>
        </w:rPr>
        <w:t xml:space="preserve">or registered during enrolment, had an extractable Primary Outcome in the trial registry </w:t>
      </w:r>
      <w:r w:rsidRPr="0039758A">
        <w:rPr>
          <w:rFonts w:ascii="Arial" w:hAnsi="Arial" w:cs="Arial"/>
        </w:rPr>
        <w:t xml:space="preserve">and </w:t>
      </w:r>
      <w:r>
        <w:rPr>
          <w:rFonts w:ascii="Arial" w:hAnsi="Arial" w:cs="Arial"/>
        </w:rPr>
        <w:t>were published.</w:t>
      </w:r>
    </w:p>
    <w:p w14:paraId="78676DAF" w14:textId="77777777" w:rsidR="004619B6" w:rsidRPr="0039758A" w:rsidRDefault="004619B6" w:rsidP="004619B6">
      <w:pPr>
        <w:spacing w:line="480" w:lineRule="auto"/>
        <w:rPr>
          <w:rFonts w:ascii="Arial" w:hAnsi="Arial" w:cs="Arial"/>
        </w:rPr>
      </w:pPr>
    </w:p>
    <w:p w14:paraId="32E7CE95" w14:textId="77777777" w:rsidR="004619B6" w:rsidRDefault="004619B6" w:rsidP="004619B6">
      <w:pPr>
        <w:spacing w:line="480" w:lineRule="auto"/>
        <w:rPr>
          <w:rFonts w:ascii="Arial" w:hAnsi="Arial" w:cs="Arial"/>
        </w:rPr>
      </w:pPr>
      <w:r w:rsidRPr="0039758A">
        <w:rPr>
          <w:rFonts w:ascii="Arial" w:hAnsi="Arial" w:cs="Arial"/>
        </w:rPr>
        <w:t>The original P</w:t>
      </w:r>
      <w:r>
        <w:rPr>
          <w:rFonts w:ascii="Arial" w:hAnsi="Arial" w:cs="Arial"/>
        </w:rPr>
        <w:t xml:space="preserve">rimary </w:t>
      </w:r>
      <w:r w:rsidRPr="0039758A">
        <w:rPr>
          <w:rFonts w:ascii="Arial" w:hAnsi="Arial" w:cs="Arial"/>
        </w:rPr>
        <w:t>O</w:t>
      </w:r>
      <w:r>
        <w:rPr>
          <w:rFonts w:ascii="Arial" w:hAnsi="Arial" w:cs="Arial"/>
        </w:rPr>
        <w:t>utcome</w:t>
      </w:r>
      <w:r w:rsidRPr="0039758A">
        <w:rPr>
          <w:rFonts w:ascii="Arial" w:hAnsi="Arial" w:cs="Arial"/>
        </w:rPr>
        <w:t xml:space="preserve"> stated on the registry was compared with the P</w:t>
      </w:r>
      <w:r>
        <w:rPr>
          <w:rFonts w:ascii="Arial" w:hAnsi="Arial" w:cs="Arial"/>
        </w:rPr>
        <w:t xml:space="preserve">rimary </w:t>
      </w:r>
      <w:r w:rsidRPr="0039758A">
        <w:rPr>
          <w:rFonts w:ascii="Arial" w:hAnsi="Arial" w:cs="Arial"/>
        </w:rPr>
        <w:t>O</w:t>
      </w:r>
      <w:r>
        <w:rPr>
          <w:rFonts w:ascii="Arial" w:hAnsi="Arial" w:cs="Arial"/>
        </w:rPr>
        <w:t>utcome</w:t>
      </w:r>
      <w:r w:rsidRPr="0039758A">
        <w:rPr>
          <w:rFonts w:ascii="Arial" w:hAnsi="Arial" w:cs="Arial"/>
        </w:rPr>
        <w:t xml:space="preserve"> reported in the </w:t>
      </w:r>
      <w:r>
        <w:rPr>
          <w:rFonts w:ascii="Arial" w:hAnsi="Arial" w:cs="Arial"/>
        </w:rPr>
        <w:t>associated publication</w:t>
      </w:r>
      <w:r w:rsidRPr="0039758A">
        <w:rPr>
          <w:rFonts w:ascii="Arial" w:hAnsi="Arial" w:cs="Arial"/>
        </w:rPr>
        <w:t>, either in the published Abstract or full text</w:t>
      </w:r>
      <w:r>
        <w:rPr>
          <w:rFonts w:ascii="Arial" w:hAnsi="Arial" w:cs="Arial"/>
        </w:rPr>
        <w:t>, depending on which was more succinctly expressed</w:t>
      </w:r>
      <w:r w:rsidRPr="0039758A">
        <w:rPr>
          <w:rFonts w:ascii="Arial" w:hAnsi="Arial" w:cs="Arial"/>
        </w:rPr>
        <w:t xml:space="preserve">. Where no </w:t>
      </w:r>
      <w:r>
        <w:rPr>
          <w:rFonts w:ascii="Arial" w:hAnsi="Arial" w:cs="Arial"/>
        </w:rPr>
        <w:t>P</w:t>
      </w:r>
      <w:r w:rsidRPr="0039758A">
        <w:rPr>
          <w:rFonts w:ascii="Arial" w:hAnsi="Arial" w:cs="Arial"/>
        </w:rPr>
        <w:t xml:space="preserve">rimary </w:t>
      </w:r>
      <w:r>
        <w:rPr>
          <w:rFonts w:ascii="Arial" w:hAnsi="Arial" w:cs="Arial"/>
        </w:rPr>
        <w:t>O</w:t>
      </w:r>
      <w:r w:rsidRPr="0039758A">
        <w:rPr>
          <w:rFonts w:ascii="Arial" w:hAnsi="Arial" w:cs="Arial"/>
        </w:rPr>
        <w:t xml:space="preserve">utcome was designated, the first clinically meaningful result with statistical analysis highlighted in the Abstract or Results section of the full text was presumed to be the </w:t>
      </w:r>
      <w:r>
        <w:rPr>
          <w:rFonts w:ascii="Arial" w:hAnsi="Arial" w:cs="Arial"/>
        </w:rPr>
        <w:t>P</w:t>
      </w:r>
      <w:r w:rsidRPr="0039758A">
        <w:rPr>
          <w:rFonts w:ascii="Arial" w:hAnsi="Arial" w:cs="Arial"/>
        </w:rPr>
        <w:t xml:space="preserve">rimary </w:t>
      </w:r>
      <w:r>
        <w:rPr>
          <w:rFonts w:ascii="Arial" w:hAnsi="Arial" w:cs="Arial"/>
        </w:rPr>
        <w:t>O</w:t>
      </w:r>
      <w:r w:rsidRPr="0039758A">
        <w:rPr>
          <w:rFonts w:ascii="Arial" w:hAnsi="Arial" w:cs="Arial"/>
        </w:rPr>
        <w:t>utcome of interest.</w:t>
      </w:r>
    </w:p>
    <w:p w14:paraId="01ECF549" w14:textId="77777777" w:rsidR="004619B6" w:rsidRDefault="004619B6" w:rsidP="004619B6">
      <w:pPr>
        <w:spacing w:line="480" w:lineRule="auto"/>
        <w:rPr>
          <w:rFonts w:ascii="Arial" w:hAnsi="Arial" w:cs="Arial"/>
        </w:rPr>
      </w:pPr>
    </w:p>
    <w:p w14:paraId="7A8AAC1C" w14:textId="77777777" w:rsidR="004619B6" w:rsidRDefault="004619B6" w:rsidP="004619B6">
      <w:pPr>
        <w:spacing w:line="480" w:lineRule="auto"/>
        <w:rPr>
          <w:rFonts w:ascii="Arial" w:hAnsi="Arial" w:cs="Arial"/>
        </w:rPr>
      </w:pPr>
      <w:r>
        <w:rPr>
          <w:rFonts w:ascii="Arial" w:hAnsi="Arial" w:cs="Arial"/>
        </w:rPr>
        <w:t>A study was deemed to have no POC if the</w:t>
      </w:r>
      <w:r w:rsidRPr="0039758A">
        <w:rPr>
          <w:rFonts w:ascii="Arial" w:hAnsi="Arial" w:cs="Arial"/>
        </w:rPr>
        <w:t xml:space="preserve"> outcome wording was identical, </w:t>
      </w:r>
      <w:r>
        <w:rPr>
          <w:rFonts w:ascii="Arial" w:hAnsi="Arial" w:cs="Arial"/>
        </w:rPr>
        <w:t xml:space="preserve">referred to the </w:t>
      </w:r>
      <w:r w:rsidRPr="0039758A">
        <w:rPr>
          <w:rFonts w:ascii="Arial" w:hAnsi="Arial" w:cs="Arial"/>
        </w:rPr>
        <w:t xml:space="preserve">same assessment tool or outcome measure and the timing </w:t>
      </w:r>
      <w:r>
        <w:rPr>
          <w:rFonts w:ascii="Arial" w:hAnsi="Arial" w:cs="Arial"/>
        </w:rPr>
        <w:t>for assessment was unchanged</w:t>
      </w:r>
      <w:r w:rsidRPr="0039758A">
        <w:rPr>
          <w:rFonts w:ascii="Arial" w:hAnsi="Arial" w:cs="Arial"/>
        </w:rPr>
        <w:t xml:space="preserve">. </w:t>
      </w:r>
      <w:r>
        <w:rPr>
          <w:rFonts w:ascii="Arial" w:hAnsi="Arial" w:cs="Arial"/>
        </w:rPr>
        <w:t>I</w:t>
      </w:r>
      <w:r w:rsidRPr="0039758A">
        <w:rPr>
          <w:rFonts w:ascii="Arial" w:hAnsi="Arial" w:cs="Arial"/>
        </w:rPr>
        <w:t>f the assessment tool was consistent</w:t>
      </w:r>
      <w:r>
        <w:rPr>
          <w:rFonts w:ascii="Arial" w:hAnsi="Arial" w:cs="Arial"/>
        </w:rPr>
        <w:t xml:space="preserve"> but</w:t>
      </w:r>
      <w:r w:rsidRPr="0039758A">
        <w:rPr>
          <w:rFonts w:ascii="Arial" w:hAnsi="Arial" w:cs="Arial"/>
        </w:rPr>
        <w:t xml:space="preserve"> </w:t>
      </w:r>
      <w:r>
        <w:rPr>
          <w:rFonts w:ascii="Arial" w:hAnsi="Arial" w:cs="Arial"/>
        </w:rPr>
        <w:t xml:space="preserve">the </w:t>
      </w:r>
      <w:r w:rsidRPr="0039758A">
        <w:rPr>
          <w:rFonts w:ascii="Arial" w:hAnsi="Arial" w:cs="Arial"/>
        </w:rPr>
        <w:t xml:space="preserve">expression of </w:t>
      </w:r>
      <w:r>
        <w:rPr>
          <w:rFonts w:ascii="Arial" w:hAnsi="Arial" w:cs="Arial"/>
        </w:rPr>
        <w:t xml:space="preserve">the </w:t>
      </w:r>
      <w:r w:rsidRPr="0039758A">
        <w:rPr>
          <w:rFonts w:ascii="Arial" w:hAnsi="Arial" w:cs="Arial"/>
        </w:rPr>
        <w:t>result</w:t>
      </w:r>
      <w:r>
        <w:rPr>
          <w:rFonts w:ascii="Arial" w:hAnsi="Arial" w:cs="Arial"/>
        </w:rPr>
        <w:t>s</w:t>
      </w:r>
      <w:r w:rsidRPr="0039758A">
        <w:rPr>
          <w:rFonts w:ascii="Arial" w:hAnsi="Arial" w:cs="Arial"/>
        </w:rPr>
        <w:t xml:space="preserve"> was altered,</w:t>
      </w:r>
      <w:r>
        <w:rPr>
          <w:rFonts w:ascii="Arial" w:hAnsi="Arial" w:cs="Arial"/>
        </w:rPr>
        <w:t xml:space="preserve"> we still deemed this to be no POC</w:t>
      </w:r>
      <w:r w:rsidRPr="0039758A">
        <w:rPr>
          <w:rFonts w:ascii="Arial" w:hAnsi="Arial" w:cs="Arial"/>
        </w:rPr>
        <w:t xml:space="preserve">: e.g. </w:t>
      </w:r>
      <w:r>
        <w:rPr>
          <w:rFonts w:ascii="Arial" w:hAnsi="Arial" w:cs="Arial"/>
        </w:rPr>
        <w:t xml:space="preserve">if the registry mentioned </w:t>
      </w:r>
      <w:r w:rsidRPr="0039758A">
        <w:rPr>
          <w:rFonts w:ascii="Arial" w:hAnsi="Arial" w:cs="Arial"/>
        </w:rPr>
        <w:t xml:space="preserve">absolute change on a VAS score from 1-100 </w:t>
      </w:r>
      <w:r>
        <w:rPr>
          <w:rFonts w:ascii="Arial" w:hAnsi="Arial" w:cs="Arial"/>
        </w:rPr>
        <w:t>but the paper reported</w:t>
      </w:r>
      <w:r w:rsidRPr="0039758A">
        <w:rPr>
          <w:rFonts w:ascii="Arial" w:hAnsi="Arial" w:cs="Arial"/>
        </w:rPr>
        <w:t xml:space="preserve"> </w:t>
      </w:r>
      <w:r>
        <w:rPr>
          <w:rFonts w:ascii="Arial" w:hAnsi="Arial" w:cs="Arial"/>
        </w:rPr>
        <w:t xml:space="preserve">a </w:t>
      </w:r>
      <w:r w:rsidRPr="0039758A">
        <w:rPr>
          <w:rFonts w:ascii="Arial" w:hAnsi="Arial" w:cs="Arial"/>
        </w:rPr>
        <w:t>VAS score converted to % change</w:t>
      </w:r>
      <w:r>
        <w:rPr>
          <w:rFonts w:ascii="Arial" w:hAnsi="Arial" w:cs="Arial"/>
        </w:rPr>
        <w:t>, this was deemed to be no POC</w:t>
      </w:r>
      <w:r w:rsidRPr="0039758A">
        <w:rPr>
          <w:rFonts w:ascii="Arial" w:hAnsi="Arial" w:cs="Arial"/>
        </w:rPr>
        <w:t xml:space="preserve">.  </w:t>
      </w:r>
    </w:p>
    <w:p w14:paraId="34F9B007" w14:textId="77777777" w:rsidR="004619B6" w:rsidRPr="0039758A" w:rsidRDefault="004619B6" w:rsidP="004619B6">
      <w:pPr>
        <w:spacing w:line="480" w:lineRule="auto"/>
        <w:rPr>
          <w:rFonts w:ascii="Arial" w:hAnsi="Arial" w:cs="Arial"/>
        </w:rPr>
      </w:pPr>
    </w:p>
    <w:p w14:paraId="69E2BEB4" w14:textId="77777777" w:rsidR="004619B6" w:rsidRPr="0039758A" w:rsidRDefault="004619B6" w:rsidP="004619B6">
      <w:pPr>
        <w:spacing w:line="480" w:lineRule="auto"/>
        <w:rPr>
          <w:rFonts w:ascii="Arial" w:hAnsi="Arial" w:cs="Arial"/>
        </w:rPr>
      </w:pPr>
      <w:r>
        <w:rPr>
          <w:rFonts w:ascii="Arial" w:hAnsi="Arial" w:cs="Arial"/>
        </w:rPr>
        <w:t>A</w:t>
      </w:r>
      <w:r w:rsidRPr="0039758A">
        <w:rPr>
          <w:rFonts w:ascii="Arial" w:hAnsi="Arial" w:cs="Arial"/>
        </w:rPr>
        <w:t xml:space="preserve"> POC was </w:t>
      </w:r>
      <w:r>
        <w:rPr>
          <w:rFonts w:ascii="Arial" w:hAnsi="Arial" w:cs="Arial"/>
        </w:rPr>
        <w:t>deemed to have occurred</w:t>
      </w:r>
      <w:r w:rsidRPr="0039758A">
        <w:rPr>
          <w:rFonts w:ascii="Arial" w:hAnsi="Arial" w:cs="Arial"/>
        </w:rPr>
        <w:t xml:space="preserve"> when</w:t>
      </w:r>
      <w:r>
        <w:rPr>
          <w:rFonts w:ascii="Arial" w:hAnsi="Arial" w:cs="Arial"/>
        </w:rPr>
        <w:t xml:space="preserve"> P</w:t>
      </w:r>
      <w:r w:rsidRPr="0039758A">
        <w:rPr>
          <w:rFonts w:ascii="Arial" w:hAnsi="Arial" w:cs="Arial"/>
        </w:rPr>
        <w:t xml:space="preserve">rimary and </w:t>
      </w:r>
      <w:r>
        <w:rPr>
          <w:rFonts w:ascii="Arial" w:hAnsi="Arial" w:cs="Arial"/>
        </w:rPr>
        <w:t>S</w:t>
      </w:r>
      <w:r w:rsidRPr="0039758A">
        <w:rPr>
          <w:rFonts w:ascii="Arial" w:hAnsi="Arial" w:cs="Arial"/>
        </w:rPr>
        <w:t xml:space="preserve">econdary </w:t>
      </w:r>
      <w:r>
        <w:rPr>
          <w:rFonts w:ascii="Arial" w:hAnsi="Arial" w:cs="Arial"/>
        </w:rPr>
        <w:t>O</w:t>
      </w:r>
      <w:r w:rsidRPr="0039758A">
        <w:rPr>
          <w:rFonts w:ascii="Arial" w:hAnsi="Arial" w:cs="Arial"/>
        </w:rPr>
        <w:t>utcomes were switched</w:t>
      </w:r>
      <w:r>
        <w:rPr>
          <w:rFonts w:ascii="Arial" w:hAnsi="Arial" w:cs="Arial"/>
        </w:rPr>
        <w:t>; or</w:t>
      </w:r>
      <w:r w:rsidRPr="0039758A">
        <w:rPr>
          <w:rFonts w:ascii="Arial" w:hAnsi="Arial" w:cs="Arial"/>
        </w:rPr>
        <w:t xml:space="preserve"> a</w:t>
      </w:r>
      <w:r>
        <w:rPr>
          <w:rFonts w:ascii="Arial" w:hAnsi="Arial" w:cs="Arial"/>
        </w:rPr>
        <w:t xml:space="preserve">n assessment </w:t>
      </w:r>
      <w:r w:rsidRPr="0039758A">
        <w:rPr>
          <w:rFonts w:ascii="Arial" w:hAnsi="Arial" w:cs="Arial"/>
        </w:rPr>
        <w:t xml:space="preserve">timing outside the timeframe stated in </w:t>
      </w:r>
      <w:r>
        <w:rPr>
          <w:rFonts w:ascii="Arial" w:hAnsi="Arial" w:cs="Arial"/>
        </w:rPr>
        <w:t xml:space="preserve">the </w:t>
      </w:r>
      <w:r w:rsidRPr="0039758A">
        <w:rPr>
          <w:rFonts w:ascii="Arial" w:hAnsi="Arial" w:cs="Arial"/>
        </w:rPr>
        <w:t xml:space="preserve">registry was </w:t>
      </w:r>
      <w:r w:rsidRPr="0039758A">
        <w:rPr>
          <w:rFonts w:ascii="Arial" w:hAnsi="Arial" w:cs="Arial"/>
        </w:rPr>
        <w:lastRenderedPageBreak/>
        <w:t xml:space="preserve">used for the </w:t>
      </w:r>
      <w:r>
        <w:rPr>
          <w:rFonts w:ascii="Arial" w:hAnsi="Arial" w:cs="Arial"/>
        </w:rPr>
        <w:t>Primary</w:t>
      </w:r>
      <w:r w:rsidRPr="0039758A">
        <w:rPr>
          <w:rFonts w:ascii="Arial" w:hAnsi="Arial" w:cs="Arial"/>
        </w:rPr>
        <w:t xml:space="preserve"> </w:t>
      </w:r>
      <w:r>
        <w:rPr>
          <w:rFonts w:ascii="Arial" w:hAnsi="Arial" w:cs="Arial"/>
        </w:rPr>
        <w:t>O</w:t>
      </w:r>
      <w:r w:rsidRPr="0039758A">
        <w:rPr>
          <w:rFonts w:ascii="Arial" w:hAnsi="Arial" w:cs="Arial"/>
        </w:rPr>
        <w:t>utcome measure</w:t>
      </w:r>
      <w:r>
        <w:rPr>
          <w:rFonts w:ascii="Arial" w:hAnsi="Arial" w:cs="Arial"/>
        </w:rPr>
        <w:t>; or</w:t>
      </w:r>
      <w:r w:rsidRPr="0039758A">
        <w:rPr>
          <w:rFonts w:ascii="Arial" w:hAnsi="Arial" w:cs="Arial"/>
        </w:rPr>
        <w:t xml:space="preserve"> a new </w:t>
      </w:r>
      <w:r>
        <w:rPr>
          <w:rFonts w:ascii="Arial" w:hAnsi="Arial" w:cs="Arial"/>
        </w:rPr>
        <w:t>P</w:t>
      </w:r>
      <w:r w:rsidRPr="0039758A">
        <w:rPr>
          <w:rFonts w:ascii="Arial" w:hAnsi="Arial" w:cs="Arial"/>
        </w:rPr>
        <w:t xml:space="preserve">rimary </w:t>
      </w:r>
      <w:r>
        <w:rPr>
          <w:rFonts w:ascii="Arial" w:hAnsi="Arial" w:cs="Arial"/>
        </w:rPr>
        <w:t>O</w:t>
      </w:r>
      <w:r w:rsidRPr="0039758A">
        <w:rPr>
          <w:rFonts w:ascii="Arial" w:hAnsi="Arial" w:cs="Arial"/>
        </w:rPr>
        <w:t>utcome was introduced</w:t>
      </w:r>
      <w:r>
        <w:rPr>
          <w:rFonts w:ascii="Arial" w:hAnsi="Arial" w:cs="Arial"/>
        </w:rPr>
        <w:t>;</w:t>
      </w:r>
      <w:r w:rsidRPr="0039758A">
        <w:rPr>
          <w:rFonts w:ascii="Arial" w:hAnsi="Arial" w:cs="Arial"/>
        </w:rPr>
        <w:t xml:space="preserve"> or if the analysis method was changed in such a way that the construct being assessed differed</w:t>
      </w:r>
      <w:r>
        <w:rPr>
          <w:rFonts w:ascii="Arial" w:hAnsi="Arial" w:cs="Arial"/>
        </w:rPr>
        <w:t xml:space="preserve"> clinically.</w:t>
      </w:r>
      <w:r w:rsidRPr="0039758A">
        <w:rPr>
          <w:rFonts w:ascii="Arial" w:hAnsi="Arial" w:cs="Arial"/>
        </w:rPr>
        <w:t xml:space="preserve"> </w:t>
      </w:r>
      <w:r>
        <w:rPr>
          <w:rFonts w:ascii="Arial" w:hAnsi="Arial" w:cs="Arial"/>
        </w:rPr>
        <w:t xml:space="preserve">For example, if </w:t>
      </w:r>
      <w:r w:rsidRPr="0039758A">
        <w:rPr>
          <w:rFonts w:ascii="Arial" w:hAnsi="Arial" w:cs="Arial"/>
        </w:rPr>
        <w:t xml:space="preserve">pain on a VAS score </w:t>
      </w:r>
      <w:r>
        <w:rPr>
          <w:rFonts w:ascii="Arial" w:hAnsi="Arial" w:cs="Arial"/>
        </w:rPr>
        <w:t>was c</w:t>
      </w:r>
      <w:r w:rsidRPr="0039758A">
        <w:rPr>
          <w:rFonts w:ascii="Arial" w:hAnsi="Arial" w:cs="Arial"/>
        </w:rPr>
        <w:t>hanged to analgesic usage</w:t>
      </w:r>
      <w:r>
        <w:rPr>
          <w:rFonts w:ascii="Arial" w:hAnsi="Arial" w:cs="Arial"/>
        </w:rPr>
        <w:t>,</w:t>
      </w:r>
      <w:r w:rsidRPr="0039758A">
        <w:rPr>
          <w:rFonts w:ascii="Arial" w:hAnsi="Arial" w:cs="Arial"/>
        </w:rPr>
        <w:t xml:space="preserve"> both </w:t>
      </w:r>
      <w:r>
        <w:rPr>
          <w:rFonts w:ascii="Arial" w:hAnsi="Arial" w:cs="Arial"/>
        </w:rPr>
        <w:t xml:space="preserve">outcome measures </w:t>
      </w:r>
      <w:r w:rsidRPr="0039758A">
        <w:rPr>
          <w:rFonts w:ascii="Arial" w:hAnsi="Arial" w:cs="Arial"/>
        </w:rPr>
        <w:t xml:space="preserve">are intended to </w:t>
      </w:r>
      <w:r>
        <w:rPr>
          <w:rFonts w:ascii="Arial" w:hAnsi="Arial" w:cs="Arial"/>
        </w:rPr>
        <w:t>capture</w:t>
      </w:r>
      <w:r w:rsidRPr="0039758A">
        <w:rPr>
          <w:rFonts w:ascii="Arial" w:hAnsi="Arial" w:cs="Arial"/>
        </w:rPr>
        <w:t xml:space="preserve"> pain levels, but the data collection and inference</w:t>
      </w:r>
      <w:r>
        <w:rPr>
          <w:rFonts w:ascii="Arial" w:hAnsi="Arial" w:cs="Arial"/>
        </w:rPr>
        <w:t>s</w:t>
      </w:r>
      <w:r w:rsidRPr="0039758A">
        <w:rPr>
          <w:rFonts w:ascii="Arial" w:hAnsi="Arial" w:cs="Arial"/>
        </w:rPr>
        <w:t xml:space="preserve"> are different. </w:t>
      </w:r>
      <w:r>
        <w:rPr>
          <w:rFonts w:ascii="Arial" w:hAnsi="Arial" w:cs="Arial"/>
        </w:rPr>
        <w:t xml:space="preserve">For any POCs detected, the </w:t>
      </w:r>
      <w:r w:rsidRPr="0039758A">
        <w:rPr>
          <w:rFonts w:ascii="Arial" w:hAnsi="Arial" w:cs="Arial"/>
        </w:rPr>
        <w:t>nature of</w:t>
      </w:r>
      <w:r>
        <w:rPr>
          <w:rFonts w:ascii="Arial" w:hAnsi="Arial" w:cs="Arial"/>
        </w:rPr>
        <w:t xml:space="preserve"> the </w:t>
      </w:r>
      <w:r w:rsidRPr="0039758A">
        <w:rPr>
          <w:rFonts w:ascii="Arial" w:hAnsi="Arial" w:cs="Arial"/>
        </w:rPr>
        <w:t>change</w:t>
      </w:r>
      <w:r>
        <w:rPr>
          <w:rFonts w:ascii="Arial" w:hAnsi="Arial" w:cs="Arial"/>
        </w:rPr>
        <w:t xml:space="preserve"> </w:t>
      </w:r>
      <w:r w:rsidRPr="0039758A">
        <w:rPr>
          <w:rFonts w:ascii="Arial" w:hAnsi="Arial" w:cs="Arial"/>
        </w:rPr>
        <w:t xml:space="preserve">was noted. </w:t>
      </w:r>
      <w:r>
        <w:rPr>
          <w:rFonts w:ascii="Arial" w:hAnsi="Arial" w:cs="Arial"/>
        </w:rPr>
        <w:t xml:space="preserve">Equally, if assessment of no POC was challenging, the reasoning behind the decision was documented. </w:t>
      </w:r>
    </w:p>
    <w:p w14:paraId="7701F9EC" w14:textId="77777777" w:rsidR="004619B6" w:rsidRDefault="004619B6"/>
    <w:sectPr w:rsidR="004619B6">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9206A" w14:textId="77777777" w:rsidR="00BC1151" w:rsidRDefault="00BC1151" w:rsidP="004619B6">
      <w:pPr>
        <w:spacing w:after="0" w:line="240" w:lineRule="auto"/>
      </w:pPr>
      <w:r>
        <w:separator/>
      </w:r>
    </w:p>
  </w:endnote>
  <w:endnote w:type="continuationSeparator" w:id="0">
    <w:p w14:paraId="3F7F4871" w14:textId="77777777" w:rsidR="00BC1151" w:rsidRDefault="00BC1151" w:rsidP="004619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01285589"/>
      <w:docPartObj>
        <w:docPartGallery w:val="Page Numbers (Bottom of Page)"/>
        <w:docPartUnique/>
      </w:docPartObj>
    </w:sdtPr>
    <w:sdtContent>
      <w:p w14:paraId="78A42CA1" w14:textId="39D81A4B" w:rsidR="004619B6" w:rsidRDefault="004619B6" w:rsidP="00E62CB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F3A3F87" w14:textId="77777777" w:rsidR="004619B6" w:rsidRDefault="004619B6" w:rsidP="004619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36037902"/>
      <w:docPartObj>
        <w:docPartGallery w:val="Page Numbers (Bottom of Page)"/>
        <w:docPartUnique/>
      </w:docPartObj>
    </w:sdtPr>
    <w:sdtContent>
      <w:p w14:paraId="73A13E9F" w14:textId="06EF1D8D" w:rsidR="004619B6" w:rsidRDefault="004619B6" w:rsidP="00E62CB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34D9D88" w14:textId="77777777" w:rsidR="004619B6" w:rsidRDefault="004619B6" w:rsidP="004619B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6D17B" w14:textId="77777777" w:rsidR="00BC1151" w:rsidRDefault="00BC1151" w:rsidP="004619B6">
      <w:pPr>
        <w:spacing w:after="0" w:line="240" w:lineRule="auto"/>
      </w:pPr>
      <w:r>
        <w:separator/>
      </w:r>
    </w:p>
  </w:footnote>
  <w:footnote w:type="continuationSeparator" w:id="0">
    <w:p w14:paraId="7A03C8EB" w14:textId="77777777" w:rsidR="00BC1151" w:rsidRDefault="00BC1151" w:rsidP="004619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4700C8"/>
    <w:multiLevelType w:val="hybridMultilevel"/>
    <w:tmpl w:val="EC68DB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489466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9B6"/>
    <w:rsid w:val="000C425C"/>
    <w:rsid w:val="0042016A"/>
    <w:rsid w:val="004619B6"/>
    <w:rsid w:val="00605D9E"/>
    <w:rsid w:val="00626729"/>
    <w:rsid w:val="00A013B6"/>
    <w:rsid w:val="00BC1151"/>
    <w:rsid w:val="00D1625B"/>
    <w:rsid w:val="00E646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4BDCA8F"/>
  <w15:chartTrackingRefBased/>
  <w15:docId w15:val="{0938CC8E-002A-0E48-AD9A-DC6AF5857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19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19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619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19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19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19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19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19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19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19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19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619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19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19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19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19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19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19B6"/>
    <w:rPr>
      <w:rFonts w:eastAsiaTheme="majorEastAsia" w:cstheme="majorBidi"/>
      <w:color w:val="272727" w:themeColor="text1" w:themeTint="D8"/>
    </w:rPr>
  </w:style>
  <w:style w:type="paragraph" w:styleId="Title">
    <w:name w:val="Title"/>
    <w:basedOn w:val="Normal"/>
    <w:next w:val="Normal"/>
    <w:link w:val="TitleChar"/>
    <w:uiPriority w:val="10"/>
    <w:qFormat/>
    <w:rsid w:val="004619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19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19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19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19B6"/>
    <w:pPr>
      <w:spacing w:before="160"/>
      <w:jc w:val="center"/>
    </w:pPr>
    <w:rPr>
      <w:i/>
      <w:iCs/>
      <w:color w:val="404040" w:themeColor="text1" w:themeTint="BF"/>
    </w:rPr>
  </w:style>
  <w:style w:type="character" w:customStyle="1" w:styleId="QuoteChar">
    <w:name w:val="Quote Char"/>
    <w:basedOn w:val="DefaultParagraphFont"/>
    <w:link w:val="Quote"/>
    <w:uiPriority w:val="29"/>
    <w:rsid w:val="004619B6"/>
    <w:rPr>
      <w:i/>
      <w:iCs/>
      <w:color w:val="404040" w:themeColor="text1" w:themeTint="BF"/>
    </w:rPr>
  </w:style>
  <w:style w:type="paragraph" w:styleId="ListParagraph">
    <w:name w:val="List Paragraph"/>
    <w:basedOn w:val="Normal"/>
    <w:uiPriority w:val="34"/>
    <w:qFormat/>
    <w:rsid w:val="004619B6"/>
    <w:pPr>
      <w:ind w:left="720"/>
      <w:contextualSpacing/>
    </w:pPr>
  </w:style>
  <w:style w:type="character" w:styleId="IntenseEmphasis">
    <w:name w:val="Intense Emphasis"/>
    <w:basedOn w:val="DefaultParagraphFont"/>
    <w:uiPriority w:val="21"/>
    <w:qFormat/>
    <w:rsid w:val="004619B6"/>
    <w:rPr>
      <w:i/>
      <w:iCs/>
      <w:color w:val="0F4761" w:themeColor="accent1" w:themeShade="BF"/>
    </w:rPr>
  </w:style>
  <w:style w:type="paragraph" w:styleId="IntenseQuote">
    <w:name w:val="Intense Quote"/>
    <w:basedOn w:val="Normal"/>
    <w:next w:val="Normal"/>
    <w:link w:val="IntenseQuoteChar"/>
    <w:uiPriority w:val="30"/>
    <w:qFormat/>
    <w:rsid w:val="004619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19B6"/>
    <w:rPr>
      <w:i/>
      <w:iCs/>
      <w:color w:val="0F4761" w:themeColor="accent1" w:themeShade="BF"/>
    </w:rPr>
  </w:style>
  <w:style w:type="character" w:styleId="IntenseReference">
    <w:name w:val="Intense Reference"/>
    <w:basedOn w:val="DefaultParagraphFont"/>
    <w:uiPriority w:val="32"/>
    <w:qFormat/>
    <w:rsid w:val="004619B6"/>
    <w:rPr>
      <w:b/>
      <w:bCs/>
      <w:smallCaps/>
      <w:color w:val="0F4761" w:themeColor="accent1" w:themeShade="BF"/>
      <w:spacing w:val="5"/>
    </w:rPr>
  </w:style>
  <w:style w:type="paragraph" w:styleId="Footer">
    <w:name w:val="footer"/>
    <w:basedOn w:val="Normal"/>
    <w:link w:val="FooterChar"/>
    <w:uiPriority w:val="99"/>
    <w:unhideWhenUsed/>
    <w:rsid w:val="004619B6"/>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19B6"/>
  </w:style>
  <w:style w:type="character" w:styleId="PageNumber">
    <w:name w:val="page number"/>
    <w:basedOn w:val="DefaultParagraphFont"/>
    <w:uiPriority w:val="99"/>
    <w:semiHidden/>
    <w:unhideWhenUsed/>
    <w:rsid w:val="004619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1059</Words>
  <Characters>5700</Characters>
  <Application>Microsoft Office Word</Application>
  <DocSecurity>0</DocSecurity>
  <Lines>259</Lines>
  <Paragraphs>173</Paragraphs>
  <ScaleCrop>false</ScaleCrop>
  <Company/>
  <LinksUpToDate>false</LinksUpToDate>
  <CharactersWithSpaces>6586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Angelina Mosley</dc:creator>
  <cp:keywords/>
  <dc:description/>
  <cp:lastModifiedBy>Angelina Mosley</cp:lastModifiedBy>
  <cp:revision>2</cp:revision>
  <dcterms:created xsi:type="dcterms:W3CDTF">2025-06-12T12:05:00Z</dcterms:created>
  <dcterms:modified xsi:type="dcterms:W3CDTF">2025-06-16T12:14:00Z</dcterms:modified>
</cp:coreProperties>
</file>