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96D30" w14:textId="30A20C43" w:rsidR="00626729" w:rsidRPr="00431B61" w:rsidRDefault="00C87B04" w:rsidP="00B17241">
      <w:pPr>
        <w:spacing w:line="480" w:lineRule="auto"/>
        <w:rPr>
          <w:rFonts w:ascii="Arial" w:hAnsi="Arial" w:cs="Arial"/>
          <w:sz w:val="28"/>
          <w:szCs w:val="28"/>
        </w:rPr>
      </w:pPr>
      <w:r w:rsidRPr="00431B61">
        <w:rPr>
          <w:rFonts w:ascii="Arial" w:hAnsi="Arial" w:cs="Arial"/>
          <w:b/>
          <w:bCs/>
          <w:sz w:val="28"/>
          <w:szCs w:val="28"/>
        </w:rPr>
        <w:t>Supplementary File 1</w:t>
      </w:r>
      <w:r w:rsidR="00F062BD">
        <w:rPr>
          <w:rFonts w:ascii="Arial" w:hAnsi="Arial" w:cs="Arial"/>
          <w:sz w:val="28"/>
          <w:szCs w:val="28"/>
        </w:rPr>
        <w:t xml:space="preserve">: </w:t>
      </w:r>
      <w:r w:rsidR="0020401C" w:rsidRPr="00431B61">
        <w:rPr>
          <w:rFonts w:ascii="Arial" w:hAnsi="Arial" w:cs="Arial"/>
          <w:b/>
          <w:bCs/>
          <w:color w:val="000000" w:themeColor="text1"/>
          <w:sz w:val="28"/>
          <w:szCs w:val="28"/>
        </w:rPr>
        <w:t>Results of literature search for published analyses of reporting bias in medic</w:t>
      </w:r>
      <w:r w:rsidR="00183CE5">
        <w:rPr>
          <w:rFonts w:ascii="Arial" w:hAnsi="Arial" w:cs="Arial"/>
          <w:b/>
          <w:bCs/>
          <w:color w:val="000000" w:themeColor="text1"/>
          <w:sz w:val="28"/>
          <w:szCs w:val="28"/>
        </w:rPr>
        <w:t>ine</w:t>
      </w:r>
    </w:p>
    <w:p w14:paraId="7FA68432" w14:textId="77777777" w:rsidR="00431B61" w:rsidRDefault="00431B61">
      <w:pPr>
        <w:rPr>
          <w:rFonts w:ascii="Arial" w:hAnsi="Arial" w:cs="Arial"/>
        </w:rPr>
      </w:pPr>
    </w:p>
    <w:p w14:paraId="785B3DD7" w14:textId="77777777" w:rsidR="00140580" w:rsidRDefault="00140580" w:rsidP="008E7550">
      <w:pPr>
        <w:spacing w:line="480" w:lineRule="auto"/>
        <w:rPr>
          <w:rFonts w:ascii="Arial" w:hAnsi="Arial" w:cs="Arial"/>
        </w:rPr>
      </w:pPr>
      <w:r w:rsidRPr="005F28E6">
        <w:rPr>
          <w:rFonts w:ascii="Arial" w:hAnsi="Arial" w:cs="Arial"/>
        </w:rPr>
        <w:t xml:space="preserve">A literature search was performed to identify seminal </w:t>
      </w:r>
      <w:r>
        <w:rPr>
          <w:rFonts w:ascii="Arial" w:hAnsi="Arial" w:cs="Arial"/>
        </w:rPr>
        <w:t>publications</w:t>
      </w:r>
      <w:r w:rsidRPr="005F28E6">
        <w:rPr>
          <w:rFonts w:ascii="Arial" w:hAnsi="Arial" w:cs="Arial"/>
        </w:rPr>
        <w:t xml:space="preserve"> assessing the </w:t>
      </w:r>
      <w:r>
        <w:rPr>
          <w:rFonts w:ascii="Arial" w:hAnsi="Arial" w:cs="Arial"/>
        </w:rPr>
        <w:t>different aspects of reporting bias</w:t>
      </w:r>
      <w:r w:rsidRPr="005F28E6">
        <w:rPr>
          <w:rFonts w:ascii="Arial" w:hAnsi="Arial" w:cs="Arial"/>
        </w:rPr>
        <w:t xml:space="preserve"> across all medic</w:t>
      </w:r>
      <w:r>
        <w:rPr>
          <w:rFonts w:ascii="Arial" w:hAnsi="Arial" w:cs="Arial"/>
        </w:rPr>
        <w:t>al fields</w:t>
      </w:r>
      <w:r w:rsidRPr="005F28E6">
        <w:rPr>
          <w:rFonts w:ascii="Arial" w:hAnsi="Arial" w:cs="Arial"/>
        </w:rPr>
        <w:t xml:space="preserve">. </w:t>
      </w:r>
    </w:p>
    <w:p w14:paraId="76B6DC4E" w14:textId="5E8390EA" w:rsidR="00140580" w:rsidRDefault="00140580" w:rsidP="008E7550">
      <w:pPr>
        <w:spacing w:line="480" w:lineRule="auto"/>
        <w:rPr>
          <w:rFonts w:ascii="Arial" w:hAnsi="Arial" w:cs="Arial"/>
        </w:rPr>
      </w:pPr>
      <w:r w:rsidRPr="005F28E6">
        <w:rPr>
          <w:rFonts w:ascii="Arial" w:hAnsi="Arial" w:cs="Arial"/>
        </w:rPr>
        <w:t xml:space="preserve">A brief search was initially performed in PubMed, with broad search terms such as “publication bias”, “registration”, and “prospective registration” filtered on “reviews”. However, this generated a high volume of irrelevant papers. The search strategy was then replaced with in-depth hand-searching in Google for experts in evidence reviews, </w:t>
      </w:r>
      <w:r>
        <w:rPr>
          <w:rFonts w:ascii="Arial" w:hAnsi="Arial" w:cs="Arial"/>
        </w:rPr>
        <w:t xml:space="preserve">online </w:t>
      </w:r>
      <w:r w:rsidRPr="005F28E6">
        <w:rPr>
          <w:rFonts w:ascii="Arial" w:hAnsi="Arial" w:cs="Arial"/>
        </w:rPr>
        <w:t xml:space="preserve">Cochrane </w:t>
      </w:r>
      <w:r>
        <w:rPr>
          <w:rFonts w:ascii="Arial" w:hAnsi="Arial" w:cs="Arial"/>
        </w:rPr>
        <w:t xml:space="preserve">training </w:t>
      </w:r>
      <w:r w:rsidRPr="005F28E6">
        <w:rPr>
          <w:rFonts w:ascii="Arial" w:hAnsi="Arial" w:cs="Arial"/>
        </w:rPr>
        <w:t>resources, and academic blogs</w:t>
      </w:r>
      <w:r>
        <w:rPr>
          <w:rFonts w:ascii="Arial" w:hAnsi="Arial" w:cs="Arial"/>
        </w:rPr>
        <w:t>,</w:t>
      </w:r>
      <w:r w:rsidRPr="005F28E6">
        <w:rPr>
          <w:rFonts w:ascii="Arial" w:hAnsi="Arial" w:cs="Arial"/>
        </w:rPr>
        <w:t xml:space="preserve"> creating a trail of reference lists which were checked manually and supplemented with further PubMed searches using key authors</w:t>
      </w:r>
      <w:r>
        <w:rPr>
          <w:rFonts w:ascii="Arial" w:hAnsi="Arial" w:cs="Arial"/>
        </w:rPr>
        <w:t xml:space="preserve">. </w:t>
      </w:r>
      <w:r w:rsidRPr="005F28E6">
        <w:rPr>
          <w:rFonts w:ascii="Arial" w:hAnsi="Arial" w:cs="Arial"/>
        </w:rPr>
        <w:t>Following th</w:t>
      </w:r>
      <w:r>
        <w:rPr>
          <w:rFonts w:ascii="Arial" w:hAnsi="Arial" w:cs="Arial"/>
        </w:rPr>
        <w:t>is</w:t>
      </w:r>
      <w:r w:rsidRPr="005F28E6">
        <w:rPr>
          <w:rFonts w:ascii="Arial" w:hAnsi="Arial" w:cs="Arial"/>
        </w:rPr>
        <w:t xml:space="preserve"> search,</w:t>
      </w:r>
      <w:r>
        <w:rPr>
          <w:rFonts w:ascii="Arial" w:hAnsi="Arial" w:cs="Arial"/>
        </w:rPr>
        <w:t xml:space="preserve"> </w:t>
      </w:r>
      <w:r w:rsidRPr="005F28E6">
        <w:rPr>
          <w:rFonts w:ascii="Arial" w:hAnsi="Arial" w:cs="Arial"/>
        </w:rPr>
        <w:t>a commentary article on study registration and research waste</w:t>
      </w:r>
      <w:r>
        <w:rPr>
          <w:rFonts w:ascii="Arial" w:hAnsi="Arial" w:cs="Arial"/>
        </w:rPr>
        <w:t xml:space="preserve"> was published</w:t>
      </w:r>
      <w:r>
        <w:rPr>
          <w:rFonts w:ascii="Arial" w:hAnsi="Arial" w:cs="Arial"/>
        </w:rPr>
        <w:fldChar w:fldCharType="begin"/>
      </w:r>
      <w:r>
        <w:rPr>
          <w:rFonts w:ascii="Arial" w:hAnsi="Arial" w:cs="Arial"/>
        </w:rPr>
        <w:instrText xml:space="preserve"> ADDIN ZOTERO_ITEM CSL_CITATION {"citationID":"UWY7eMQy","properties":{"formattedCitation":"\\super 27\\nosupersub{}","plainCitation":"27","noteIndex":0},"citationItems":[{"id":21723,"uris":["http://zotero.org/users/3494816/items/PFCMQTH2"],"itemData":{"id":21723,"type":"article-journal","abstract":"An estimated 82-89% of ecological research and 85% of medical research has limited or no value to the end user because of various inefficiencies. We argue that registration and registered reports can enhance the quality and impact of ecological research. Drawing on evidence from other fields, chiefly medicine, we support our claim that registration can reduce research waste. However, increasing registration rates, quality and impact will be very slow without coordinated effort of funders, publishers and research institutions. We therefore call on them to facilitate the adoption of registration by providing adequate support. We outline several aspects to be considered when designing a registration system that would best serve the field of ecology. To further inform the development of such a system, we call for more research to identify the causes of low registration rates in ecology. We suggest short- and long-term actions to bolster registration and reduce research waste.","container-title":"Nature Ecology &amp; Evolution","DOI":"10.1038/s41559-024-02433-5","ISSN":"2397-334X","issue":"8","journalAbbreviation":"Nat Ecol Evol","language":"eng","note":"PMID: 38839851","page":"1391-1399","source":"PubMed","title":"Supporting study registration to reduce research waste","volume":"8","author":[{"family":"Purgar","given":"Marija"},{"family":"Glasziou","given":"Paul"},{"family":"Klanjscek","given":"Tin"},{"family":"Nakagawa","given":"Shinichi"},{"family":"Culina","given":"Antica"}],"issued":{"date-parts":[["2024",8]]}}}],"schema":"https://github.com/citation-style-language/schema/raw/master/csl-citation.json"} </w:instrText>
      </w:r>
      <w:r>
        <w:rPr>
          <w:rFonts w:ascii="Arial" w:hAnsi="Arial" w:cs="Arial"/>
        </w:rPr>
        <w:fldChar w:fldCharType="separate"/>
      </w:r>
      <w:r w:rsidRPr="009D1A80">
        <w:rPr>
          <w:rFonts w:ascii="Arial" w:hAnsi="Arial" w:cs="Arial"/>
          <w:vertAlign w:val="superscript"/>
        </w:rPr>
        <w:t>27</w:t>
      </w:r>
      <w:r>
        <w:rPr>
          <w:rFonts w:ascii="Arial" w:hAnsi="Arial" w:cs="Arial"/>
        </w:rPr>
        <w:fldChar w:fldCharType="end"/>
      </w:r>
      <w:r w:rsidRPr="005F28E6">
        <w:rPr>
          <w:rFonts w:ascii="Arial" w:hAnsi="Arial" w:cs="Arial"/>
        </w:rPr>
        <w:t xml:space="preserve">: given the relevance of the topic, the reference list and supplementary material were searched, and a further </w:t>
      </w:r>
      <w:r w:rsidRPr="00837F22">
        <w:rPr>
          <w:rFonts w:ascii="Arial" w:hAnsi="Arial" w:cs="Arial"/>
        </w:rPr>
        <w:t>24</w:t>
      </w:r>
      <w:r w:rsidRPr="005F28E6">
        <w:rPr>
          <w:rFonts w:ascii="Arial" w:hAnsi="Arial" w:cs="Arial"/>
        </w:rPr>
        <w:t xml:space="preserve"> </w:t>
      </w:r>
      <w:r>
        <w:rPr>
          <w:rFonts w:ascii="Arial" w:hAnsi="Arial" w:cs="Arial"/>
        </w:rPr>
        <w:t xml:space="preserve">relevant </w:t>
      </w:r>
      <w:r w:rsidRPr="005F28E6">
        <w:rPr>
          <w:rFonts w:ascii="Arial" w:hAnsi="Arial" w:cs="Arial"/>
        </w:rPr>
        <w:t xml:space="preserve">papers were identified. The literature </w:t>
      </w:r>
      <w:r>
        <w:rPr>
          <w:rFonts w:ascii="Arial" w:hAnsi="Arial" w:cs="Arial"/>
        </w:rPr>
        <w:t xml:space="preserve">assessment </w:t>
      </w:r>
      <w:r w:rsidRPr="005F28E6">
        <w:rPr>
          <w:rFonts w:ascii="Arial" w:hAnsi="Arial" w:cs="Arial"/>
        </w:rPr>
        <w:t>was stopped on 1</w:t>
      </w:r>
      <w:r w:rsidRPr="005F28E6">
        <w:rPr>
          <w:rFonts w:ascii="Arial" w:hAnsi="Arial" w:cs="Arial"/>
          <w:vertAlign w:val="superscript"/>
        </w:rPr>
        <w:t>st</w:t>
      </w:r>
      <w:r w:rsidRPr="005F28E6">
        <w:rPr>
          <w:rFonts w:ascii="Arial" w:hAnsi="Arial" w:cs="Arial"/>
        </w:rPr>
        <w:t xml:space="preserve"> November 2024. </w:t>
      </w:r>
    </w:p>
    <w:p w14:paraId="1FAE0C6F" w14:textId="565E3227" w:rsidR="00C87B04" w:rsidRPr="00F91EA1" w:rsidRDefault="0020401C" w:rsidP="008E7550">
      <w:pPr>
        <w:spacing w:line="480" w:lineRule="auto"/>
        <w:rPr>
          <w:rFonts w:ascii="Arial" w:hAnsi="Arial" w:cs="Arial"/>
        </w:rPr>
      </w:pPr>
      <w:r w:rsidRPr="00F91EA1">
        <w:rPr>
          <w:rFonts w:ascii="Arial" w:hAnsi="Arial" w:cs="Arial"/>
        </w:rPr>
        <w:t xml:space="preserve">The following 89 studies were read in full and data relating to reporting bias across medical disciplines (excluding homeopathy) were extracted to allow comparison with the rates </w:t>
      </w:r>
      <w:r w:rsidR="00FC1F1A">
        <w:rPr>
          <w:rFonts w:ascii="Arial" w:hAnsi="Arial" w:cs="Arial"/>
        </w:rPr>
        <w:t xml:space="preserve">of reporting bias </w:t>
      </w:r>
      <w:r w:rsidRPr="00F91EA1">
        <w:rPr>
          <w:rFonts w:ascii="Arial" w:hAnsi="Arial" w:cs="Arial"/>
        </w:rPr>
        <w:t xml:space="preserve">published by </w:t>
      </w:r>
      <w:proofErr w:type="spellStart"/>
      <w:r w:rsidRPr="00F91EA1">
        <w:rPr>
          <w:rFonts w:ascii="Arial" w:hAnsi="Arial" w:cs="Arial"/>
        </w:rPr>
        <w:t>Gartlehner</w:t>
      </w:r>
      <w:proofErr w:type="spellEnd"/>
      <w:r w:rsidRPr="00F91EA1">
        <w:rPr>
          <w:rFonts w:ascii="Arial" w:hAnsi="Arial" w:cs="Arial"/>
        </w:rPr>
        <w:t xml:space="preserve"> et al, 2022. </w:t>
      </w:r>
    </w:p>
    <w:p w14:paraId="39BF7B48" w14:textId="22BE3F36" w:rsidR="0020401C" w:rsidRPr="00F91EA1" w:rsidRDefault="0020401C" w:rsidP="008E7550">
      <w:pPr>
        <w:spacing w:line="480" w:lineRule="auto"/>
        <w:rPr>
          <w:rFonts w:ascii="Arial" w:hAnsi="Arial" w:cs="Arial"/>
        </w:rPr>
      </w:pPr>
      <w:r w:rsidRPr="00F91EA1">
        <w:rPr>
          <w:rFonts w:ascii="Arial" w:hAnsi="Arial" w:cs="Arial"/>
        </w:rPr>
        <w:t xml:space="preserve">Reporting bias was </w:t>
      </w:r>
      <w:r w:rsidR="00777274">
        <w:rPr>
          <w:rFonts w:ascii="Arial" w:hAnsi="Arial" w:cs="Arial"/>
        </w:rPr>
        <w:t>assess</w:t>
      </w:r>
      <w:r w:rsidRPr="00F91EA1">
        <w:rPr>
          <w:rFonts w:ascii="Arial" w:hAnsi="Arial" w:cs="Arial"/>
        </w:rPr>
        <w:t xml:space="preserve">ed </w:t>
      </w:r>
      <w:r w:rsidR="00777274">
        <w:rPr>
          <w:rFonts w:ascii="Arial" w:hAnsi="Arial" w:cs="Arial"/>
        </w:rPr>
        <w:t>via</w:t>
      </w:r>
      <w:r w:rsidRPr="00F91EA1">
        <w:rPr>
          <w:rFonts w:ascii="Arial" w:hAnsi="Arial" w:cs="Arial"/>
        </w:rPr>
        <w:t xml:space="preserve"> four key parameters</w:t>
      </w:r>
      <w:r w:rsidR="00F91EA1">
        <w:rPr>
          <w:rFonts w:ascii="Arial" w:hAnsi="Arial" w:cs="Arial"/>
        </w:rPr>
        <w:t xml:space="preserve">, following those used by </w:t>
      </w:r>
      <w:proofErr w:type="spellStart"/>
      <w:r w:rsidR="00F91EA1">
        <w:rPr>
          <w:rFonts w:ascii="Arial" w:hAnsi="Arial" w:cs="Arial"/>
        </w:rPr>
        <w:t>Gartlehner</w:t>
      </w:r>
      <w:proofErr w:type="spellEnd"/>
      <w:r w:rsidR="00F91EA1">
        <w:rPr>
          <w:rFonts w:ascii="Arial" w:hAnsi="Arial" w:cs="Arial"/>
        </w:rPr>
        <w:t xml:space="preserve"> et al</w:t>
      </w:r>
      <w:r w:rsidRPr="00F91EA1">
        <w:rPr>
          <w:rFonts w:ascii="Arial" w:hAnsi="Arial" w:cs="Arial"/>
        </w:rPr>
        <w:t>:</w:t>
      </w:r>
    </w:p>
    <w:p w14:paraId="1E877C95" w14:textId="7795BC06" w:rsidR="0020401C" w:rsidRPr="00F91EA1" w:rsidRDefault="00F91EA1" w:rsidP="008E7550">
      <w:pPr>
        <w:pStyle w:val="ListParagraph"/>
        <w:numPr>
          <w:ilvl w:val="0"/>
          <w:numId w:val="1"/>
        </w:numPr>
        <w:spacing w:line="480" w:lineRule="auto"/>
        <w:rPr>
          <w:rFonts w:ascii="Arial" w:hAnsi="Arial" w:cs="Arial"/>
        </w:rPr>
      </w:pPr>
      <w:r w:rsidRPr="00F91EA1">
        <w:rPr>
          <w:rFonts w:ascii="Arial" w:hAnsi="Arial" w:cs="Arial"/>
        </w:rPr>
        <w:t xml:space="preserve">% of registered trials that </w:t>
      </w:r>
      <w:r w:rsidR="00465EEA">
        <w:rPr>
          <w:rFonts w:ascii="Arial" w:hAnsi="Arial" w:cs="Arial"/>
        </w:rPr>
        <w:t>a</w:t>
      </w:r>
      <w:r w:rsidRPr="00F91EA1">
        <w:rPr>
          <w:rFonts w:ascii="Arial" w:hAnsi="Arial" w:cs="Arial"/>
        </w:rPr>
        <w:t>re unpublished</w:t>
      </w:r>
    </w:p>
    <w:p w14:paraId="40F6777C" w14:textId="39475FAF" w:rsidR="00F91EA1" w:rsidRPr="00F91EA1" w:rsidRDefault="00F91EA1" w:rsidP="008E7550">
      <w:pPr>
        <w:pStyle w:val="ListParagraph"/>
        <w:numPr>
          <w:ilvl w:val="0"/>
          <w:numId w:val="1"/>
        </w:numPr>
        <w:spacing w:line="480" w:lineRule="auto"/>
        <w:rPr>
          <w:rFonts w:ascii="Arial" w:hAnsi="Arial" w:cs="Arial"/>
        </w:rPr>
      </w:pPr>
      <w:r w:rsidRPr="00F91EA1">
        <w:rPr>
          <w:rFonts w:ascii="Arial" w:hAnsi="Arial" w:cs="Arial"/>
        </w:rPr>
        <w:t xml:space="preserve">% of published trials that </w:t>
      </w:r>
      <w:r w:rsidR="00465EEA">
        <w:rPr>
          <w:rFonts w:ascii="Arial" w:hAnsi="Arial" w:cs="Arial"/>
        </w:rPr>
        <w:t>a</w:t>
      </w:r>
      <w:r w:rsidRPr="00F91EA1">
        <w:rPr>
          <w:rFonts w:ascii="Arial" w:hAnsi="Arial" w:cs="Arial"/>
        </w:rPr>
        <w:t>re not registered</w:t>
      </w:r>
    </w:p>
    <w:p w14:paraId="36D13260" w14:textId="7DBC9458" w:rsidR="00F91EA1" w:rsidRPr="00F91EA1" w:rsidRDefault="00F91EA1" w:rsidP="008E7550">
      <w:pPr>
        <w:pStyle w:val="ListParagraph"/>
        <w:numPr>
          <w:ilvl w:val="0"/>
          <w:numId w:val="1"/>
        </w:numPr>
        <w:spacing w:line="480" w:lineRule="auto"/>
        <w:rPr>
          <w:rFonts w:ascii="Arial" w:hAnsi="Arial" w:cs="Arial"/>
        </w:rPr>
      </w:pPr>
      <w:r w:rsidRPr="00F91EA1">
        <w:rPr>
          <w:rFonts w:ascii="Arial" w:hAnsi="Arial" w:cs="Arial"/>
        </w:rPr>
        <w:t xml:space="preserve">% of registered trials that </w:t>
      </w:r>
      <w:r w:rsidR="00465EEA">
        <w:rPr>
          <w:rFonts w:ascii="Arial" w:hAnsi="Arial" w:cs="Arial"/>
        </w:rPr>
        <w:t>a</w:t>
      </w:r>
      <w:r w:rsidRPr="00F91EA1">
        <w:rPr>
          <w:rFonts w:ascii="Arial" w:hAnsi="Arial" w:cs="Arial"/>
        </w:rPr>
        <w:t>re registered prospectively</w:t>
      </w:r>
    </w:p>
    <w:p w14:paraId="0E9F60FE" w14:textId="28A0FF5A" w:rsidR="00F91EA1" w:rsidRPr="00F91EA1" w:rsidRDefault="00F91EA1" w:rsidP="008E7550">
      <w:pPr>
        <w:pStyle w:val="ListParagraph"/>
        <w:numPr>
          <w:ilvl w:val="0"/>
          <w:numId w:val="1"/>
        </w:numPr>
        <w:spacing w:line="480" w:lineRule="auto"/>
        <w:rPr>
          <w:rFonts w:ascii="Arial" w:hAnsi="Arial" w:cs="Arial"/>
        </w:rPr>
      </w:pPr>
      <w:r w:rsidRPr="00F91EA1">
        <w:rPr>
          <w:rFonts w:ascii="Arial" w:hAnsi="Arial" w:cs="Arial"/>
        </w:rPr>
        <w:lastRenderedPageBreak/>
        <w:t>% of registered and published trials with a primary outcome change</w:t>
      </w:r>
      <w:r w:rsidR="00FC1F1A">
        <w:rPr>
          <w:rFonts w:ascii="Arial" w:hAnsi="Arial" w:cs="Arial"/>
        </w:rPr>
        <w:t xml:space="preserve"> (POC)</w:t>
      </w:r>
      <w:r w:rsidRPr="00F91EA1">
        <w:rPr>
          <w:rFonts w:ascii="Arial" w:hAnsi="Arial" w:cs="Arial"/>
        </w:rPr>
        <w:t>.</w:t>
      </w:r>
    </w:p>
    <w:p w14:paraId="67E1410F" w14:textId="37814CBC" w:rsidR="00F91EA1" w:rsidRPr="00F91EA1" w:rsidRDefault="00F91EA1" w:rsidP="008E7550">
      <w:pPr>
        <w:spacing w:line="480" w:lineRule="auto"/>
        <w:rPr>
          <w:rFonts w:ascii="Arial" w:hAnsi="Arial" w:cs="Arial"/>
        </w:rPr>
      </w:pPr>
      <w:r w:rsidRPr="00F91EA1">
        <w:rPr>
          <w:rFonts w:ascii="Arial" w:hAnsi="Arial" w:cs="Arial"/>
        </w:rPr>
        <w:t>Where the opposite % was reported</w:t>
      </w:r>
      <w:r>
        <w:rPr>
          <w:rFonts w:ascii="Arial" w:hAnsi="Arial" w:cs="Arial"/>
        </w:rPr>
        <w:t xml:space="preserve"> in the study</w:t>
      </w:r>
      <w:r w:rsidRPr="00F91EA1">
        <w:rPr>
          <w:rFonts w:ascii="Arial" w:hAnsi="Arial" w:cs="Arial"/>
        </w:rPr>
        <w:t>, values were converted by subtracting from 100%.</w:t>
      </w:r>
      <w:r w:rsidR="00431B61">
        <w:rPr>
          <w:rFonts w:ascii="Arial" w:hAnsi="Arial" w:cs="Arial"/>
        </w:rPr>
        <w:t xml:space="preserve"> </w:t>
      </w:r>
      <w:r>
        <w:rPr>
          <w:rFonts w:ascii="Arial" w:hAnsi="Arial" w:cs="Arial"/>
        </w:rPr>
        <w:t>For example, i</w:t>
      </w:r>
      <w:r w:rsidRPr="00F91EA1">
        <w:rPr>
          <w:rFonts w:ascii="Arial" w:hAnsi="Arial" w:cs="Arial"/>
        </w:rPr>
        <w:t xml:space="preserve">f a study reported the % of registered studies that were </w:t>
      </w:r>
      <w:r w:rsidRPr="00777274">
        <w:rPr>
          <w:rFonts w:ascii="Arial" w:hAnsi="Arial" w:cs="Arial"/>
          <w:b/>
          <w:bCs/>
        </w:rPr>
        <w:t>published</w:t>
      </w:r>
      <w:r w:rsidRPr="00F91EA1">
        <w:rPr>
          <w:rFonts w:ascii="Arial" w:hAnsi="Arial" w:cs="Arial"/>
        </w:rPr>
        <w:t xml:space="preserve">, this was converted to </w:t>
      </w:r>
      <w:r>
        <w:rPr>
          <w:rFonts w:ascii="Arial" w:hAnsi="Arial" w:cs="Arial"/>
        </w:rPr>
        <w:t xml:space="preserve">% </w:t>
      </w:r>
      <w:r w:rsidRPr="00777274">
        <w:rPr>
          <w:rFonts w:ascii="Arial" w:hAnsi="Arial" w:cs="Arial"/>
          <w:b/>
          <w:bCs/>
        </w:rPr>
        <w:t>unpublished</w:t>
      </w:r>
      <w:r w:rsidR="00431B61">
        <w:rPr>
          <w:rFonts w:ascii="Arial" w:hAnsi="Arial" w:cs="Arial"/>
        </w:rPr>
        <w:t xml:space="preserve"> to allow direct comparison.</w:t>
      </w:r>
    </w:p>
    <w:p w14:paraId="4D196B6D" w14:textId="5F606354" w:rsidR="005867DE" w:rsidRPr="00140580" w:rsidRDefault="00F91EA1" w:rsidP="00140580">
      <w:pPr>
        <w:spacing w:line="480" w:lineRule="auto"/>
        <w:rPr>
          <w:rFonts w:ascii="Arial" w:hAnsi="Arial" w:cs="Arial"/>
        </w:rPr>
      </w:pPr>
      <w:r w:rsidRPr="00F91EA1">
        <w:rPr>
          <w:rFonts w:ascii="Arial" w:hAnsi="Arial" w:cs="Arial"/>
        </w:rPr>
        <w:t>Taken together, th</w:t>
      </w:r>
      <w:r w:rsidR="008E7550">
        <w:rPr>
          <w:rFonts w:ascii="Arial" w:hAnsi="Arial" w:cs="Arial"/>
        </w:rPr>
        <w:t>ese</w:t>
      </w:r>
      <w:r w:rsidRPr="00F91EA1">
        <w:rPr>
          <w:rFonts w:ascii="Arial" w:hAnsi="Arial" w:cs="Arial"/>
        </w:rPr>
        <w:t xml:space="preserve"> data w</w:t>
      </w:r>
      <w:r w:rsidR="008E7550">
        <w:rPr>
          <w:rFonts w:ascii="Arial" w:hAnsi="Arial" w:cs="Arial"/>
        </w:rPr>
        <w:t xml:space="preserve">ere </w:t>
      </w:r>
      <w:r w:rsidRPr="00F91EA1">
        <w:rPr>
          <w:rFonts w:ascii="Arial" w:hAnsi="Arial" w:cs="Arial"/>
        </w:rPr>
        <w:t xml:space="preserve">used to create </w:t>
      </w:r>
      <w:r w:rsidR="008E7550">
        <w:rPr>
          <w:rFonts w:ascii="Arial" w:hAnsi="Arial" w:cs="Arial"/>
        </w:rPr>
        <w:t xml:space="preserve">a </w:t>
      </w:r>
      <w:r w:rsidR="00431B61">
        <w:rPr>
          <w:rFonts w:ascii="Arial" w:hAnsi="Arial" w:cs="Arial"/>
        </w:rPr>
        <w:t xml:space="preserve">wider </w:t>
      </w:r>
      <w:r w:rsidRPr="00F91EA1">
        <w:rPr>
          <w:rFonts w:ascii="Arial" w:hAnsi="Arial" w:cs="Arial"/>
        </w:rPr>
        <w:t xml:space="preserve">context for the </w:t>
      </w:r>
      <w:r w:rsidR="00777274">
        <w:rPr>
          <w:rFonts w:ascii="Arial" w:hAnsi="Arial" w:cs="Arial"/>
        </w:rPr>
        <w:t xml:space="preserve">prevalence </w:t>
      </w:r>
      <w:r w:rsidRPr="00F91EA1">
        <w:rPr>
          <w:rFonts w:ascii="Arial" w:hAnsi="Arial" w:cs="Arial"/>
        </w:rPr>
        <w:t xml:space="preserve">of reporting bias </w:t>
      </w:r>
      <w:r w:rsidR="00431B61">
        <w:rPr>
          <w:rFonts w:ascii="Arial" w:hAnsi="Arial" w:cs="Arial"/>
        </w:rPr>
        <w:t xml:space="preserve">in homeopathy </w:t>
      </w:r>
      <w:r w:rsidRPr="00F91EA1">
        <w:rPr>
          <w:rFonts w:ascii="Arial" w:hAnsi="Arial" w:cs="Arial"/>
        </w:rPr>
        <w:t xml:space="preserve">as stated in </w:t>
      </w:r>
      <w:proofErr w:type="spellStart"/>
      <w:r w:rsidRPr="00F91EA1">
        <w:rPr>
          <w:rFonts w:ascii="Arial" w:hAnsi="Arial" w:cs="Arial"/>
        </w:rPr>
        <w:t>Gartlehner</w:t>
      </w:r>
      <w:proofErr w:type="spellEnd"/>
      <w:r w:rsidRPr="00F91EA1">
        <w:rPr>
          <w:rFonts w:ascii="Arial" w:hAnsi="Arial" w:cs="Arial"/>
        </w:rPr>
        <w:t xml:space="preserve"> et al, 2022. </w:t>
      </w:r>
    </w:p>
    <w:p w14:paraId="6DDBF6E1" w14:textId="0FCF81E2" w:rsidR="00140580" w:rsidRDefault="00140580">
      <w:pPr>
        <w:rPr>
          <w:rFonts w:ascii="Arial" w:hAnsi="Arial" w:cs="Arial"/>
          <w:b/>
          <w:bCs/>
          <w:sz w:val="28"/>
          <w:szCs w:val="28"/>
        </w:rPr>
      </w:pPr>
      <w:r>
        <w:rPr>
          <w:rFonts w:ascii="Arial" w:hAnsi="Arial" w:cs="Arial"/>
          <w:b/>
          <w:bCs/>
          <w:sz w:val="28"/>
          <w:szCs w:val="28"/>
        </w:rPr>
        <w:br w:type="page"/>
      </w:r>
    </w:p>
    <w:p w14:paraId="26B671F3" w14:textId="77777777" w:rsidR="005867DE" w:rsidRDefault="005867DE" w:rsidP="005867DE">
      <w:pPr>
        <w:rPr>
          <w:rFonts w:ascii="Arial" w:hAnsi="Arial" w:cs="Arial"/>
          <w:b/>
          <w:bCs/>
          <w:sz w:val="28"/>
          <w:szCs w:val="28"/>
        </w:rPr>
      </w:pPr>
    </w:p>
    <w:p w14:paraId="3C826DA1" w14:textId="633B1D32" w:rsidR="005867DE" w:rsidRDefault="005867DE" w:rsidP="005867DE">
      <w:pPr>
        <w:rPr>
          <w:rFonts w:ascii="Arial" w:hAnsi="Arial" w:cs="Arial"/>
          <w:b/>
          <w:bCs/>
          <w:sz w:val="28"/>
          <w:szCs w:val="28"/>
        </w:rPr>
      </w:pPr>
      <w:r w:rsidRPr="00F05F08">
        <w:rPr>
          <w:rFonts w:ascii="Arial" w:hAnsi="Arial" w:cs="Arial"/>
          <w:b/>
          <w:bCs/>
          <w:sz w:val="28"/>
          <w:szCs w:val="28"/>
        </w:rPr>
        <w:t>Data</w:t>
      </w:r>
      <w:r>
        <w:rPr>
          <w:rFonts w:ascii="Arial" w:hAnsi="Arial" w:cs="Arial"/>
          <w:b/>
          <w:bCs/>
          <w:sz w:val="28"/>
          <w:szCs w:val="28"/>
        </w:rPr>
        <w:t xml:space="preserve"> Used Per Reporting Bias Parameter</w:t>
      </w:r>
    </w:p>
    <w:p w14:paraId="543ACC17" w14:textId="77777777" w:rsidR="005867DE" w:rsidRDefault="005867DE" w:rsidP="005867DE">
      <w:pPr>
        <w:rPr>
          <w:rFonts w:ascii="Arial" w:hAnsi="Arial" w:cs="Arial"/>
          <w:b/>
          <w:bCs/>
          <w:sz w:val="28"/>
          <w:szCs w:val="28"/>
        </w:rPr>
      </w:pPr>
    </w:p>
    <w:tbl>
      <w:tblPr>
        <w:tblW w:w="9460" w:type="dxa"/>
        <w:tblLook w:val="04A0" w:firstRow="1" w:lastRow="0" w:firstColumn="1" w:lastColumn="0" w:noHBand="0" w:noVBand="1"/>
      </w:tblPr>
      <w:tblGrid>
        <w:gridCol w:w="2940"/>
        <w:gridCol w:w="811"/>
        <w:gridCol w:w="2238"/>
        <w:gridCol w:w="2762"/>
        <w:gridCol w:w="709"/>
      </w:tblGrid>
      <w:tr w:rsidR="00FC1F1A" w:rsidRPr="00FC1F1A" w14:paraId="5FC2D2B3" w14:textId="77777777" w:rsidTr="00FC1F1A">
        <w:trPr>
          <w:trHeight w:val="400"/>
        </w:trPr>
        <w:tc>
          <w:tcPr>
            <w:tcW w:w="9460" w:type="dxa"/>
            <w:gridSpan w:val="5"/>
            <w:tcBorders>
              <w:top w:val="single" w:sz="8" w:space="0" w:color="auto"/>
              <w:left w:val="single" w:sz="8" w:space="0" w:color="auto"/>
              <w:bottom w:val="nil"/>
              <w:right w:val="single" w:sz="8" w:space="0" w:color="000000"/>
            </w:tcBorders>
            <w:shd w:val="clear" w:color="000000" w:fill="F2CEEF"/>
            <w:noWrap/>
            <w:vAlign w:val="bottom"/>
            <w:hideMark/>
          </w:tcPr>
          <w:p w14:paraId="293E8D63"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sz w:val="28"/>
                <w:szCs w:val="28"/>
                <w:lang w:eastAsia="en-GB"/>
                <w14:ligatures w14:val="none"/>
              </w:rPr>
            </w:pPr>
            <w:r w:rsidRPr="00FC1F1A">
              <w:rPr>
                <w:rFonts w:ascii="Aptos Narrow" w:eastAsia="Times New Roman" w:hAnsi="Aptos Narrow" w:cs="Times New Roman"/>
                <w:b/>
                <w:bCs/>
                <w:color w:val="000000"/>
                <w:kern w:val="0"/>
                <w:sz w:val="28"/>
                <w:szCs w:val="28"/>
                <w:lang w:eastAsia="en-GB"/>
                <w14:ligatures w14:val="none"/>
              </w:rPr>
              <w:t>% Registered trials that are unpublished</w:t>
            </w:r>
          </w:p>
        </w:tc>
      </w:tr>
      <w:tr w:rsidR="00FC1F1A" w:rsidRPr="00FC1F1A" w14:paraId="291FB6CD" w14:textId="77777777" w:rsidTr="00FC1F1A">
        <w:trPr>
          <w:trHeight w:val="740"/>
        </w:trPr>
        <w:tc>
          <w:tcPr>
            <w:tcW w:w="2940" w:type="dxa"/>
            <w:tcBorders>
              <w:top w:val="single" w:sz="8" w:space="0" w:color="auto"/>
              <w:left w:val="single" w:sz="8" w:space="0" w:color="auto"/>
              <w:bottom w:val="single" w:sz="8" w:space="0" w:color="auto"/>
              <w:right w:val="nil"/>
            </w:tcBorders>
            <w:shd w:val="clear" w:color="auto" w:fill="auto"/>
            <w:noWrap/>
            <w:hideMark/>
          </w:tcPr>
          <w:p w14:paraId="5019FEA9"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Source</w:t>
            </w:r>
          </w:p>
        </w:tc>
        <w:tc>
          <w:tcPr>
            <w:tcW w:w="811" w:type="dxa"/>
            <w:tcBorders>
              <w:top w:val="single" w:sz="8" w:space="0" w:color="auto"/>
              <w:left w:val="nil"/>
              <w:bottom w:val="single" w:sz="8" w:space="0" w:color="auto"/>
              <w:right w:val="nil"/>
            </w:tcBorders>
            <w:shd w:val="clear" w:color="auto" w:fill="auto"/>
            <w:noWrap/>
            <w:hideMark/>
          </w:tcPr>
          <w:p w14:paraId="104B66E0"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Ref #</w:t>
            </w:r>
          </w:p>
        </w:tc>
        <w:tc>
          <w:tcPr>
            <w:tcW w:w="2238" w:type="dxa"/>
            <w:tcBorders>
              <w:top w:val="single" w:sz="8" w:space="0" w:color="auto"/>
              <w:left w:val="nil"/>
              <w:bottom w:val="single" w:sz="8" w:space="0" w:color="auto"/>
              <w:right w:val="nil"/>
            </w:tcBorders>
            <w:shd w:val="clear" w:color="auto" w:fill="auto"/>
            <w:hideMark/>
          </w:tcPr>
          <w:p w14:paraId="37B64BCF"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Cited by </w:t>
            </w:r>
            <w:proofErr w:type="spellStart"/>
            <w:r w:rsidRPr="00FC1F1A">
              <w:rPr>
                <w:rFonts w:ascii="Aptos Narrow" w:eastAsia="Times New Roman" w:hAnsi="Aptos Narrow" w:cs="Times New Roman"/>
                <w:b/>
                <w:bCs/>
                <w:color w:val="000000"/>
                <w:kern w:val="0"/>
                <w:lang w:eastAsia="en-GB"/>
                <w14:ligatures w14:val="none"/>
              </w:rPr>
              <w:t>Gartlehner</w:t>
            </w:r>
            <w:proofErr w:type="spellEnd"/>
            <w:r w:rsidRPr="00FC1F1A">
              <w:rPr>
                <w:rFonts w:ascii="Aptos Narrow" w:eastAsia="Times New Roman" w:hAnsi="Aptos Narrow" w:cs="Times New Roman"/>
                <w:b/>
                <w:bCs/>
                <w:color w:val="000000"/>
                <w:kern w:val="0"/>
                <w:lang w:eastAsia="en-GB"/>
                <w14:ligatures w14:val="none"/>
              </w:rPr>
              <w:t>?</w:t>
            </w:r>
          </w:p>
        </w:tc>
        <w:tc>
          <w:tcPr>
            <w:tcW w:w="2762" w:type="dxa"/>
            <w:tcBorders>
              <w:top w:val="single" w:sz="8" w:space="0" w:color="auto"/>
              <w:left w:val="nil"/>
              <w:bottom w:val="single" w:sz="8" w:space="0" w:color="auto"/>
              <w:right w:val="nil"/>
            </w:tcBorders>
            <w:shd w:val="clear" w:color="auto" w:fill="auto"/>
            <w:noWrap/>
            <w:hideMark/>
          </w:tcPr>
          <w:p w14:paraId="67871306"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Journal</w:t>
            </w:r>
          </w:p>
        </w:tc>
        <w:tc>
          <w:tcPr>
            <w:tcW w:w="709" w:type="dxa"/>
            <w:tcBorders>
              <w:top w:val="single" w:sz="8" w:space="0" w:color="auto"/>
              <w:left w:val="nil"/>
              <w:bottom w:val="single" w:sz="8" w:space="0" w:color="auto"/>
              <w:right w:val="single" w:sz="8" w:space="0" w:color="auto"/>
            </w:tcBorders>
            <w:shd w:val="clear" w:color="auto" w:fill="auto"/>
            <w:noWrap/>
            <w:hideMark/>
          </w:tcPr>
          <w:p w14:paraId="43F1AA51"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 </w:t>
            </w:r>
          </w:p>
        </w:tc>
      </w:tr>
      <w:tr w:rsidR="00FC1F1A" w:rsidRPr="00FC1F1A" w14:paraId="357F2482"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40B493F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Chen 2016</w:t>
            </w:r>
          </w:p>
        </w:tc>
        <w:tc>
          <w:tcPr>
            <w:tcW w:w="811" w:type="dxa"/>
            <w:tcBorders>
              <w:top w:val="nil"/>
              <w:left w:val="nil"/>
              <w:bottom w:val="nil"/>
              <w:right w:val="nil"/>
            </w:tcBorders>
            <w:shd w:val="clear" w:color="auto" w:fill="auto"/>
            <w:noWrap/>
            <w:vAlign w:val="bottom"/>
            <w:hideMark/>
          </w:tcPr>
          <w:p w14:paraId="6A9E2F9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w:t>
            </w:r>
          </w:p>
        </w:tc>
        <w:tc>
          <w:tcPr>
            <w:tcW w:w="2238" w:type="dxa"/>
            <w:tcBorders>
              <w:top w:val="nil"/>
              <w:left w:val="nil"/>
              <w:bottom w:val="nil"/>
              <w:right w:val="nil"/>
            </w:tcBorders>
            <w:shd w:val="clear" w:color="auto" w:fill="auto"/>
            <w:noWrap/>
            <w:vAlign w:val="bottom"/>
            <w:hideMark/>
          </w:tcPr>
          <w:p w14:paraId="5195B10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76B4C08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w:t>
            </w:r>
          </w:p>
        </w:tc>
        <w:tc>
          <w:tcPr>
            <w:tcW w:w="709" w:type="dxa"/>
            <w:tcBorders>
              <w:top w:val="nil"/>
              <w:left w:val="nil"/>
              <w:bottom w:val="nil"/>
              <w:right w:val="single" w:sz="8" w:space="0" w:color="auto"/>
            </w:tcBorders>
            <w:shd w:val="clear" w:color="auto" w:fill="auto"/>
            <w:noWrap/>
            <w:vAlign w:val="bottom"/>
            <w:hideMark/>
          </w:tcPr>
          <w:p w14:paraId="0F4A6E8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35.9</w:t>
            </w:r>
          </w:p>
        </w:tc>
      </w:tr>
      <w:tr w:rsidR="00FC1F1A" w:rsidRPr="00FC1F1A" w14:paraId="4B356D24"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69A8658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DeVito 2020</w:t>
            </w:r>
          </w:p>
        </w:tc>
        <w:tc>
          <w:tcPr>
            <w:tcW w:w="811" w:type="dxa"/>
            <w:tcBorders>
              <w:top w:val="nil"/>
              <w:left w:val="nil"/>
              <w:bottom w:val="nil"/>
              <w:right w:val="nil"/>
            </w:tcBorders>
            <w:shd w:val="clear" w:color="auto" w:fill="auto"/>
            <w:noWrap/>
            <w:vAlign w:val="bottom"/>
            <w:hideMark/>
          </w:tcPr>
          <w:p w14:paraId="7C4C68E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13</w:t>
            </w:r>
          </w:p>
        </w:tc>
        <w:tc>
          <w:tcPr>
            <w:tcW w:w="2238" w:type="dxa"/>
            <w:tcBorders>
              <w:top w:val="nil"/>
              <w:left w:val="nil"/>
              <w:bottom w:val="nil"/>
              <w:right w:val="nil"/>
            </w:tcBorders>
            <w:shd w:val="clear" w:color="auto" w:fill="auto"/>
            <w:noWrap/>
            <w:vAlign w:val="bottom"/>
            <w:hideMark/>
          </w:tcPr>
          <w:p w14:paraId="1A62275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428CD76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Lancet</w:t>
            </w:r>
          </w:p>
        </w:tc>
        <w:tc>
          <w:tcPr>
            <w:tcW w:w="709" w:type="dxa"/>
            <w:tcBorders>
              <w:top w:val="nil"/>
              <w:left w:val="nil"/>
              <w:bottom w:val="nil"/>
              <w:right w:val="single" w:sz="8" w:space="0" w:color="auto"/>
            </w:tcBorders>
            <w:shd w:val="clear" w:color="auto" w:fill="auto"/>
            <w:noWrap/>
            <w:vAlign w:val="bottom"/>
            <w:hideMark/>
          </w:tcPr>
          <w:p w14:paraId="3030623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36.2</w:t>
            </w:r>
          </w:p>
        </w:tc>
      </w:tr>
      <w:tr w:rsidR="00FC1F1A" w:rsidRPr="00FC1F1A" w14:paraId="053187E6"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5BA8D3A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Driessen 2015</w:t>
            </w:r>
          </w:p>
        </w:tc>
        <w:tc>
          <w:tcPr>
            <w:tcW w:w="811" w:type="dxa"/>
            <w:tcBorders>
              <w:top w:val="nil"/>
              <w:left w:val="nil"/>
              <w:bottom w:val="nil"/>
              <w:right w:val="nil"/>
            </w:tcBorders>
            <w:shd w:val="clear" w:color="auto" w:fill="auto"/>
            <w:noWrap/>
            <w:vAlign w:val="bottom"/>
            <w:hideMark/>
          </w:tcPr>
          <w:p w14:paraId="76CC4B6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15</w:t>
            </w:r>
          </w:p>
        </w:tc>
        <w:tc>
          <w:tcPr>
            <w:tcW w:w="2238" w:type="dxa"/>
            <w:tcBorders>
              <w:top w:val="nil"/>
              <w:left w:val="nil"/>
              <w:bottom w:val="nil"/>
              <w:right w:val="nil"/>
            </w:tcBorders>
            <w:shd w:val="clear" w:color="auto" w:fill="auto"/>
            <w:noWrap/>
            <w:vAlign w:val="bottom"/>
            <w:hideMark/>
          </w:tcPr>
          <w:p w14:paraId="1675FF9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47DC2FA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709" w:type="dxa"/>
            <w:tcBorders>
              <w:top w:val="nil"/>
              <w:left w:val="nil"/>
              <w:bottom w:val="nil"/>
              <w:right w:val="single" w:sz="8" w:space="0" w:color="auto"/>
            </w:tcBorders>
            <w:shd w:val="clear" w:color="000000" w:fill="F2CEEF"/>
            <w:noWrap/>
            <w:vAlign w:val="bottom"/>
            <w:hideMark/>
          </w:tcPr>
          <w:p w14:paraId="651C2E8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23.6</w:t>
            </w:r>
          </w:p>
        </w:tc>
      </w:tr>
      <w:tr w:rsidR="00FC1F1A" w:rsidRPr="00FC1F1A" w14:paraId="4F7A6E3B"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5837456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Goldacre 2018</w:t>
            </w:r>
          </w:p>
        </w:tc>
        <w:tc>
          <w:tcPr>
            <w:tcW w:w="811" w:type="dxa"/>
            <w:tcBorders>
              <w:top w:val="nil"/>
              <w:left w:val="nil"/>
              <w:bottom w:val="nil"/>
              <w:right w:val="nil"/>
            </w:tcBorders>
            <w:shd w:val="clear" w:color="auto" w:fill="auto"/>
            <w:noWrap/>
            <w:vAlign w:val="bottom"/>
            <w:hideMark/>
          </w:tcPr>
          <w:p w14:paraId="5B6DE81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23</w:t>
            </w:r>
          </w:p>
        </w:tc>
        <w:tc>
          <w:tcPr>
            <w:tcW w:w="2238" w:type="dxa"/>
            <w:tcBorders>
              <w:top w:val="nil"/>
              <w:left w:val="nil"/>
              <w:bottom w:val="nil"/>
              <w:right w:val="nil"/>
            </w:tcBorders>
            <w:shd w:val="clear" w:color="auto" w:fill="auto"/>
            <w:noWrap/>
            <w:vAlign w:val="bottom"/>
            <w:hideMark/>
          </w:tcPr>
          <w:p w14:paraId="226CACB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3E2BC35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w:t>
            </w:r>
          </w:p>
        </w:tc>
        <w:tc>
          <w:tcPr>
            <w:tcW w:w="709" w:type="dxa"/>
            <w:tcBorders>
              <w:top w:val="nil"/>
              <w:left w:val="nil"/>
              <w:bottom w:val="nil"/>
              <w:right w:val="single" w:sz="8" w:space="0" w:color="auto"/>
            </w:tcBorders>
            <w:shd w:val="clear" w:color="auto" w:fill="auto"/>
            <w:noWrap/>
            <w:vAlign w:val="bottom"/>
            <w:hideMark/>
          </w:tcPr>
          <w:p w14:paraId="2FF119E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50.5</w:t>
            </w:r>
          </w:p>
        </w:tc>
      </w:tr>
      <w:tr w:rsidR="00FC1F1A" w:rsidRPr="00FC1F1A" w14:paraId="0415188D"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26E3AEB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Gordon 2013</w:t>
            </w:r>
          </w:p>
        </w:tc>
        <w:tc>
          <w:tcPr>
            <w:tcW w:w="811" w:type="dxa"/>
            <w:tcBorders>
              <w:top w:val="nil"/>
              <w:left w:val="nil"/>
              <w:bottom w:val="nil"/>
              <w:right w:val="nil"/>
            </w:tcBorders>
            <w:shd w:val="clear" w:color="auto" w:fill="auto"/>
            <w:noWrap/>
            <w:vAlign w:val="bottom"/>
            <w:hideMark/>
          </w:tcPr>
          <w:p w14:paraId="07B18D4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25</w:t>
            </w:r>
          </w:p>
        </w:tc>
        <w:tc>
          <w:tcPr>
            <w:tcW w:w="2238" w:type="dxa"/>
            <w:tcBorders>
              <w:top w:val="nil"/>
              <w:left w:val="nil"/>
              <w:bottom w:val="nil"/>
              <w:right w:val="nil"/>
            </w:tcBorders>
            <w:shd w:val="clear" w:color="auto" w:fill="auto"/>
            <w:noWrap/>
            <w:vAlign w:val="bottom"/>
            <w:hideMark/>
          </w:tcPr>
          <w:p w14:paraId="4186840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62" w:type="dxa"/>
            <w:tcBorders>
              <w:top w:val="nil"/>
              <w:left w:val="nil"/>
              <w:bottom w:val="nil"/>
              <w:right w:val="nil"/>
            </w:tcBorders>
            <w:shd w:val="clear" w:color="auto" w:fill="auto"/>
            <w:noWrap/>
            <w:vAlign w:val="bottom"/>
            <w:hideMark/>
          </w:tcPr>
          <w:p w14:paraId="6083340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NEJM</w:t>
            </w:r>
          </w:p>
        </w:tc>
        <w:tc>
          <w:tcPr>
            <w:tcW w:w="709" w:type="dxa"/>
            <w:tcBorders>
              <w:top w:val="nil"/>
              <w:left w:val="nil"/>
              <w:bottom w:val="nil"/>
              <w:right w:val="single" w:sz="8" w:space="0" w:color="auto"/>
            </w:tcBorders>
            <w:shd w:val="clear" w:color="auto" w:fill="auto"/>
            <w:noWrap/>
            <w:vAlign w:val="bottom"/>
            <w:hideMark/>
          </w:tcPr>
          <w:p w14:paraId="2470526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w:t>
            </w:r>
          </w:p>
        </w:tc>
      </w:tr>
      <w:tr w:rsidR="00FC1F1A" w:rsidRPr="00FC1F1A" w14:paraId="65B304E0"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385B8D6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Heneghan 2017</w:t>
            </w:r>
          </w:p>
        </w:tc>
        <w:tc>
          <w:tcPr>
            <w:tcW w:w="811" w:type="dxa"/>
            <w:tcBorders>
              <w:top w:val="nil"/>
              <w:left w:val="nil"/>
              <w:bottom w:val="nil"/>
              <w:right w:val="nil"/>
            </w:tcBorders>
            <w:shd w:val="clear" w:color="auto" w:fill="auto"/>
            <w:noWrap/>
            <w:vAlign w:val="bottom"/>
            <w:hideMark/>
          </w:tcPr>
          <w:p w14:paraId="2B4B5F8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31</w:t>
            </w:r>
          </w:p>
        </w:tc>
        <w:tc>
          <w:tcPr>
            <w:tcW w:w="2238" w:type="dxa"/>
            <w:tcBorders>
              <w:top w:val="nil"/>
              <w:left w:val="nil"/>
              <w:bottom w:val="nil"/>
              <w:right w:val="nil"/>
            </w:tcBorders>
            <w:shd w:val="clear" w:color="auto" w:fill="auto"/>
            <w:noWrap/>
            <w:vAlign w:val="bottom"/>
            <w:hideMark/>
          </w:tcPr>
          <w:p w14:paraId="059CE57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6F1AA4E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709" w:type="dxa"/>
            <w:tcBorders>
              <w:top w:val="nil"/>
              <w:left w:val="nil"/>
              <w:bottom w:val="nil"/>
              <w:right w:val="single" w:sz="8" w:space="0" w:color="auto"/>
            </w:tcBorders>
            <w:shd w:val="clear" w:color="auto" w:fill="auto"/>
            <w:noWrap/>
            <w:vAlign w:val="bottom"/>
            <w:hideMark/>
          </w:tcPr>
          <w:p w14:paraId="6C35C42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50</w:t>
            </w:r>
          </w:p>
        </w:tc>
      </w:tr>
      <w:tr w:rsidR="00FC1F1A" w:rsidRPr="00FC1F1A" w14:paraId="6A02A0FB"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1FCEF73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Klatte 2023</w:t>
            </w:r>
          </w:p>
        </w:tc>
        <w:tc>
          <w:tcPr>
            <w:tcW w:w="811" w:type="dxa"/>
            <w:tcBorders>
              <w:top w:val="nil"/>
              <w:left w:val="nil"/>
              <w:bottom w:val="nil"/>
              <w:right w:val="nil"/>
            </w:tcBorders>
            <w:shd w:val="clear" w:color="auto" w:fill="auto"/>
            <w:noWrap/>
            <w:vAlign w:val="bottom"/>
            <w:hideMark/>
          </w:tcPr>
          <w:p w14:paraId="61EDE94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w:t>
            </w:r>
          </w:p>
        </w:tc>
        <w:tc>
          <w:tcPr>
            <w:tcW w:w="2238" w:type="dxa"/>
            <w:tcBorders>
              <w:top w:val="nil"/>
              <w:left w:val="nil"/>
              <w:bottom w:val="nil"/>
              <w:right w:val="nil"/>
            </w:tcBorders>
            <w:shd w:val="clear" w:color="auto" w:fill="auto"/>
            <w:noWrap/>
            <w:vAlign w:val="bottom"/>
            <w:hideMark/>
          </w:tcPr>
          <w:p w14:paraId="7F1AC71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4153D08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xml:space="preserve">BMC </w:t>
            </w:r>
            <w:proofErr w:type="spellStart"/>
            <w:r w:rsidRPr="00FC1F1A">
              <w:rPr>
                <w:rFonts w:ascii="Aptos Narrow" w:eastAsia="Times New Roman" w:hAnsi="Aptos Narrow" w:cs="Times New Roman"/>
                <w:color w:val="000000"/>
                <w:kern w:val="0"/>
                <w:lang w:eastAsia="en-GB"/>
                <w14:ligatures w14:val="none"/>
              </w:rPr>
              <w:t>MedResMeth</w:t>
            </w:r>
            <w:proofErr w:type="spellEnd"/>
          </w:p>
        </w:tc>
        <w:tc>
          <w:tcPr>
            <w:tcW w:w="709" w:type="dxa"/>
            <w:tcBorders>
              <w:top w:val="nil"/>
              <w:left w:val="nil"/>
              <w:bottom w:val="nil"/>
              <w:right w:val="single" w:sz="8" w:space="0" w:color="auto"/>
            </w:tcBorders>
            <w:shd w:val="clear" w:color="auto" w:fill="auto"/>
            <w:noWrap/>
            <w:vAlign w:val="bottom"/>
            <w:hideMark/>
          </w:tcPr>
          <w:p w14:paraId="4774E1A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30</w:t>
            </w:r>
          </w:p>
        </w:tc>
      </w:tr>
      <w:tr w:rsidR="00FC1F1A" w:rsidRPr="00FC1F1A" w14:paraId="68DAEC01"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01E6B60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Klatte 2023</w:t>
            </w:r>
          </w:p>
        </w:tc>
        <w:tc>
          <w:tcPr>
            <w:tcW w:w="811" w:type="dxa"/>
            <w:tcBorders>
              <w:top w:val="nil"/>
              <w:left w:val="nil"/>
              <w:bottom w:val="nil"/>
              <w:right w:val="nil"/>
            </w:tcBorders>
            <w:shd w:val="clear" w:color="auto" w:fill="auto"/>
            <w:noWrap/>
            <w:vAlign w:val="bottom"/>
            <w:hideMark/>
          </w:tcPr>
          <w:p w14:paraId="0AE29D5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w:t>
            </w:r>
          </w:p>
        </w:tc>
        <w:tc>
          <w:tcPr>
            <w:tcW w:w="2238" w:type="dxa"/>
            <w:tcBorders>
              <w:top w:val="nil"/>
              <w:left w:val="nil"/>
              <w:bottom w:val="nil"/>
              <w:right w:val="nil"/>
            </w:tcBorders>
            <w:shd w:val="clear" w:color="auto" w:fill="auto"/>
            <w:noWrap/>
            <w:vAlign w:val="bottom"/>
            <w:hideMark/>
          </w:tcPr>
          <w:p w14:paraId="32B9CD5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1D06A9A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xml:space="preserve">BMC </w:t>
            </w:r>
            <w:proofErr w:type="spellStart"/>
            <w:r w:rsidRPr="00FC1F1A">
              <w:rPr>
                <w:rFonts w:ascii="Aptos Narrow" w:eastAsia="Times New Roman" w:hAnsi="Aptos Narrow" w:cs="Times New Roman"/>
                <w:color w:val="000000"/>
                <w:kern w:val="0"/>
                <w:lang w:eastAsia="en-GB"/>
                <w14:ligatures w14:val="none"/>
              </w:rPr>
              <w:t>MedResMeth</w:t>
            </w:r>
            <w:proofErr w:type="spellEnd"/>
          </w:p>
        </w:tc>
        <w:tc>
          <w:tcPr>
            <w:tcW w:w="709" w:type="dxa"/>
            <w:tcBorders>
              <w:top w:val="nil"/>
              <w:left w:val="nil"/>
              <w:bottom w:val="nil"/>
              <w:right w:val="single" w:sz="8" w:space="0" w:color="auto"/>
            </w:tcBorders>
            <w:shd w:val="clear" w:color="auto" w:fill="auto"/>
            <w:noWrap/>
            <w:vAlign w:val="bottom"/>
            <w:hideMark/>
          </w:tcPr>
          <w:p w14:paraId="23A76BA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55</w:t>
            </w:r>
          </w:p>
        </w:tc>
      </w:tr>
      <w:tr w:rsidR="00FC1F1A" w:rsidRPr="00FC1F1A" w14:paraId="1F1F1314"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319CD93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Riedel 2022</w:t>
            </w:r>
          </w:p>
        </w:tc>
        <w:tc>
          <w:tcPr>
            <w:tcW w:w="811" w:type="dxa"/>
            <w:tcBorders>
              <w:top w:val="nil"/>
              <w:left w:val="nil"/>
              <w:bottom w:val="nil"/>
              <w:right w:val="nil"/>
            </w:tcBorders>
            <w:shd w:val="clear" w:color="auto" w:fill="auto"/>
            <w:noWrap/>
            <w:vAlign w:val="bottom"/>
            <w:hideMark/>
          </w:tcPr>
          <w:p w14:paraId="6946C67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52</w:t>
            </w:r>
          </w:p>
        </w:tc>
        <w:tc>
          <w:tcPr>
            <w:tcW w:w="2238" w:type="dxa"/>
            <w:tcBorders>
              <w:top w:val="nil"/>
              <w:left w:val="nil"/>
              <w:bottom w:val="nil"/>
              <w:right w:val="nil"/>
            </w:tcBorders>
            <w:shd w:val="clear" w:color="auto" w:fill="auto"/>
            <w:noWrap/>
            <w:vAlign w:val="bottom"/>
            <w:hideMark/>
          </w:tcPr>
          <w:p w14:paraId="5B396E4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4548242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JCE</w:t>
            </w:r>
          </w:p>
        </w:tc>
        <w:tc>
          <w:tcPr>
            <w:tcW w:w="709" w:type="dxa"/>
            <w:tcBorders>
              <w:top w:val="nil"/>
              <w:left w:val="nil"/>
              <w:bottom w:val="nil"/>
              <w:right w:val="single" w:sz="8" w:space="0" w:color="auto"/>
            </w:tcBorders>
            <w:shd w:val="clear" w:color="auto" w:fill="auto"/>
            <w:noWrap/>
            <w:vAlign w:val="bottom"/>
            <w:hideMark/>
          </w:tcPr>
          <w:p w14:paraId="7B9F08B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30</w:t>
            </w:r>
          </w:p>
        </w:tc>
      </w:tr>
      <w:tr w:rsidR="00FC1F1A" w:rsidRPr="00FC1F1A" w14:paraId="7A79C5CF"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062BA6A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Riveros 2013</w:t>
            </w:r>
          </w:p>
        </w:tc>
        <w:tc>
          <w:tcPr>
            <w:tcW w:w="811" w:type="dxa"/>
            <w:tcBorders>
              <w:top w:val="nil"/>
              <w:left w:val="nil"/>
              <w:bottom w:val="nil"/>
              <w:right w:val="nil"/>
            </w:tcBorders>
            <w:shd w:val="clear" w:color="auto" w:fill="auto"/>
            <w:noWrap/>
            <w:vAlign w:val="bottom"/>
            <w:hideMark/>
          </w:tcPr>
          <w:p w14:paraId="53A4497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54</w:t>
            </w:r>
          </w:p>
        </w:tc>
        <w:tc>
          <w:tcPr>
            <w:tcW w:w="2238" w:type="dxa"/>
            <w:tcBorders>
              <w:top w:val="nil"/>
              <w:left w:val="nil"/>
              <w:bottom w:val="nil"/>
              <w:right w:val="nil"/>
            </w:tcBorders>
            <w:shd w:val="clear" w:color="auto" w:fill="auto"/>
            <w:noWrap/>
            <w:vAlign w:val="bottom"/>
            <w:hideMark/>
          </w:tcPr>
          <w:p w14:paraId="60A2AE3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5C038F2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Med</w:t>
            </w:r>
          </w:p>
        </w:tc>
        <w:tc>
          <w:tcPr>
            <w:tcW w:w="709" w:type="dxa"/>
            <w:tcBorders>
              <w:top w:val="nil"/>
              <w:left w:val="nil"/>
              <w:bottom w:val="nil"/>
              <w:right w:val="single" w:sz="8" w:space="0" w:color="auto"/>
            </w:tcBorders>
            <w:shd w:val="clear" w:color="auto" w:fill="auto"/>
            <w:noWrap/>
            <w:vAlign w:val="bottom"/>
            <w:hideMark/>
          </w:tcPr>
          <w:p w14:paraId="0F98F84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50</w:t>
            </w:r>
          </w:p>
        </w:tc>
      </w:tr>
      <w:tr w:rsidR="00FC1F1A" w:rsidRPr="00FC1F1A" w14:paraId="6C329F9E"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2CA6865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Ross 2009</w:t>
            </w:r>
          </w:p>
        </w:tc>
        <w:tc>
          <w:tcPr>
            <w:tcW w:w="811" w:type="dxa"/>
            <w:tcBorders>
              <w:top w:val="nil"/>
              <w:left w:val="nil"/>
              <w:bottom w:val="nil"/>
              <w:right w:val="nil"/>
            </w:tcBorders>
            <w:shd w:val="clear" w:color="auto" w:fill="auto"/>
            <w:noWrap/>
            <w:vAlign w:val="bottom"/>
            <w:hideMark/>
          </w:tcPr>
          <w:p w14:paraId="0B7D9AD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57</w:t>
            </w:r>
          </w:p>
        </w:tc>
        <w:tc>
          <w:tcPr>
            <w:tcW w:w="2238" w:type="dxa"/>
            <w:tcBorders>
              <w:top w:val="nil"/>
              <w:left w:val="nil"/>
              <w:bottom w:val="nil"/>
              <w:right w:val="nil"/>
            </w:tcBorders>
            <w:shd w:val="clear" w:color="auto" w:fill="auto"/>
            <w:noWrap/>
            <w:vAlign w:val="bottom"/>
            <w:hideMark/>
          </w:tcPr>
          <w:p w14:paraId="6CAA0A0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62" w:type="dxa"/>
            <w:tcBorders>
              <w:top w:val="nil"/>
              <w:left w:val="nil"/>
              <w:bottom w:val="nil"/>
              <w:right w:val="nil"/>
            </w:tcBorders>
            <w:shd w:val="clear" w:color="auto" w:fill="auto"/>
            <w:noWrap/>
            <w:vAlign w:val="bottom"/>
            <w:hideMark/>
          </w:tcPr>
          <w:p w14:paraId="524F021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Med</w:t>
            </w:r>
          </w:p>
        </w:tc>
        <w:tc>
          <w:tcPr>
            <w:tcW w:w="709" w:type="dxa"/>
            <w:tcBorders>
              <w:top w:val="nil"/>
              <w:left w:val="nil"/>
              <w:bottom w:val="nil"/>
              <w:right w:val="single" w:sz="8" w:space="0" w:color="auto"/>
            </w:tcBorders>
            <w:shd w:val="clear" w:color="auto" w:fill="auto"/>
            <w:noWrap/>
            <w:vAlign w:val="bottom"/>
            <w:hideMark/>
          </w:tcPr>
          <w:p w14:paraId="3C10D11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46</w:t>
            </w:r>
          </w:p>
        </w:tc>
      </w:tr>
      <w:tr w:rsidR="00FC1F1A" w:rsidRPr="00FC1F1A" w14:paraId="5FE878EB"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6D22740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Ross 2012</w:t>
            </w:r>
          </w:p>
        </w:tc>
        <w:tc>
          <w:tcPr>
            <w:tcW w:w="811" w:type="dxa"/>
            <w:tcBorders>
              <w:top w:val="nil"/>
              <w:left w:val="nil"/>
              <w:bottom w:val="nil"/>
              <w:right w:val="nil"/>
            </w:tcBorders>
            <w:shd w:val="clear" w:color="auto" w:fill="auto"/>
            <w:noWrap/>
            <w:vAlign w:val="bottom"/>
            <w:hideMark/>
          </w:tcPr>
          <w:p w14:paraId="5DCACFB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58</w:t>
            </w:r>
          </w:p>
        </w:tc>
        <w:tc>
          <w:tcPr>
            <w:tcW w:w="2238" w:type="dxa"/>
            <w:tcBorders>
              <w:top w:val="nil"/>
              <w:left w:val="nil"/>
              <w:bottom w:val="nil"/>
              <w:right w:val="nil"/>
            </w:tcBorders>
            <w:shd w:val="clear" w:color="auto" w:fill="auto"/>
            <w:noWrap/>
            <w:vAlign w:val="bottom"/>
            <w:hideMark/>
          </w:tcPr>
          <w:p w14:paraId="48908EB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62" w:type="dxa"/>
            <w:tcBorders>
              <w:top w:val="nil"/>
              <w:left w:val="nil"/>
              <w:bottom w:val="nil"/>
              <w:right w:val="nil"/>
            </w:tcBorders>
            <w:shd w:val="clear" w:color="auto" w:fill="auto"/>
            <w:noWrap/>
            <w:vAlign w:val="bottom"/>
            <w:hideMark/>
          </w:tcPr>
          <w:p w14:paraId="6CBF71B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w:t>
            </w:r>
          </w:p>
        </w:tc>
        <w:tc>
          <w:tcPr>
            <w:tcW w:w="709" w:type="dxa"/>
            <w:tcBorders>
              <w:top w:val="nil"/>
              <w:left w:val="nil"/>
              <w:bottom w:val="nil"/>
              <w:right w:val="single" w:sz="8" w:space="0" w:color="auto"/>
            </w:tcBorders>
            <w:shd w:val="clear" w:color="auto" w:fill="auto"/>
            <w:noWrap/>
            <w:vAlign w:val="bottom"/>
            <w:hideMark/>
          </w:tcPr>
          <w:p w14:paraId="07799F7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32</w:t>
            </w:r>
          </w:p>
        </w:tc>
      </w:tr>
      <w:tr w:rsidR="00FC1F1A" w:rsidRPr="00FC1F1A" w14:paraId="4D1B3A0B"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7473A88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Saito 2014</w:t>
            </w:r>
          </w:p>
        </w:tc>
        <w:tc>
          <w:tcPr>
            <w:tcW w:w="811" w:type="dxa"/>
            <w:tcBorders>
              <w:top w:val="nil"/>
              <w:left w:val="nil"/>
              <w:bottom w:val="nil"/>
              <w:right w:val="nil"/>
            </w:tcBorders>
            <w:shd w:val="clear" w:color="auto" w:fill="auto"/>
            <w:noWrap/>
            <w:vAlign w:val="bottom"/>
            <w:hideMark/>
          </w:tcPr>
          <w:p w14:paraId="14156F7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59</w:t>
            </w:r>
          </w:p>
        </w:tc>
        <w:tc>
          <w:tcPr>
            <w:tcW w:w="2238" w:type="dxa"/>
            <w:tcBorders>
              <w:top w:val="nil"/>
              <w:left w:val="nil"/>
              <w:bottom w:val="nil"/>
              <w:right w:val="nil"/>
            </w:tcBorders>
            <w:shd w:val="clear" w:color="auto" w:fill="auto"/>
            <w:noWrap/>
            <w:vAlign w:val="bottom"/>
            <w:hideMark/>
          </w:tcPr>
          <w:p w14:paraId="15618D5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62" w:type="dxa"/>
            <w:tcBorders>
              <w:top w:val="nil"/>
              <w:left w:val="nil"/>
              <w:bottom w:val="nil"/>
              <w:right w:val="nil"/>
            </w:tcBorders>
            <w:shd w:val="clear" w:color="auto" w:fill="auto"/>
            <w:noWrap/>
            <w:vAlign w:val="bottom"/>
            <w:hideMark/>
          </w:tcPr>
          <w:p w14:paraId="5A77C7B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709" w:type="dxa"/>
            <w:tcBorders>
              <w:top w:val="nil"/>
              <w:left w:val="nil"/>
              <w:bottom w:val="nil"/>
              <w:right w:val="single" w:sz="8" w:space="0" w:color="auto"/>
            </w:tcBorders>
            <w:shd w:val="clear" w:color="auto" w:fill="auto"/>
            <w:noWrap/>
            <w:vAlign w:val="bottom"/>
            <w:hideMark/>
          </w:tcPr>
          <w:p w14:paraId="4035055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29.5</w:t>
            </w:r>
          </w:p>
        </w:tc>
      </w:tr>
      <w:tr w:rsidR="00FC1F1A" w:rsidRPr="00FC1F1A" w14:paraId="291204AB"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288E848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Schmucker 2014</w:t>
            </w:r>
          </w:p>
        </w:tc>
        <w:tc>
          <w:tcPr>
            <w:tcW w:w="811" w:type="dxa"/>
            <w:tcBorders>
              <w:top w:val="nil"/>
              <w:left w:val="nil"/>
              <w:bottom w:val="nil"/>
              <w:right w:val="nil"/>
            </w:tcBorders>
            <w:shd w:val="clear" w:color="auto" w:fill="auto"/>
            <w:noWrap/>
            <w:vAlign w:val="bottom"/>
            <w:hideMark/>
          </w:tcPr>
          <w:p w14:paraId="7E7DE76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62</w:t>
            </w:r>
          </w:p>
        </w:tc>
        <w:tc>
          <w:tcPr>
            <w:tcW w:w="2238" w:type="dxa"/>
            <w:tcBorders>
              <w:top w:val="nil"/>
              <w:left w:val="nil"/>
              <w:bottom w:val="nil"/>
              <w:right w:val="nil"/>
            </w:tcBorders>
            <w:shd w:val="clear" w:color="auto" w:fill="auto"/>
            <w:noWrap/>
            <w:vAlign w:val="bottom"/>
            <w:hideMark/>
          </w:tcPr>
          <w:p w14:paraId="3F246B5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733780C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709" w:type="dxa"/>
            <w:tcBorders>
              <w:top w:val="nil"/>
              <w:left w:val="nil"/>
              <w:bottom w:val="nil"/>
              <w:right w:val="single" w:sz="8" w:space="0" w:color="auto"/>
            </w:tcBorders>
            <w:shd w:val="clear" w:color="auto" w:fill="auto"/>
            <w:noWrap/>
            <w:vAlign w:val="bottom"/>
            <w:hideMark/>
          </w:tcPr>
          <w:p w14:paraId="3353989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45.8</w:t>
            </w:r>
          </w:p>
        </w:tc>
      </w:tr>
      <w:tr w:rsidR="00FC1F1A" w:rsidRPr="00FC1F1A" w14:paraId="38E5449B"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3349DAD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Showell 2023</w:t>
            </w:r>
          </w:p>
        </w:tc>
        <w:tc>
          <w:tcPr>
            <w:tcW w:w="811" w:type="dxa"/>
            <w:tcBorders>
              <w:top w:val="nil"/>
              <w:left w:val="nil"/>
              <w:bottom w:val="nil"/>
              <w:right w:val="nil"/>
            </w:tcBorders>
            <w:shd w:val="clear" w:color="auto" w:fill="auto"/>
            <w:noWrap/>
            <w:vAlign w:val="bottom"/>
            <w:hideMark/>
          </w:tcPr>
          <w:p w14:paraId="335DC90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66</w:t>
            </w:r>
          </w:p>
        </w:tc>
        <w:tc>
          <w:tcPr>
            <w:tcW w:w="2238" w:type="dxa"/>
            <w:tcBorders>
              <w:top w:val="nil"/>
              <w:left w:val="nil"/>
              <w:bottom w:val="nil"/>
              <w:right w:val="nil"/>
            </w:tcBorders>
            <w:shd w:val="clear" w:color="auto" w:fill="auto"/>
            <w:noWrap/>
            <w:vAlign w:val="bottom"/>
            <w:hideMark/>
          </w:tcPr>
          <w:p w14:paraId="2FF586E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79452DB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709" w:type="dxa"/>
            <w:tcBorders>
              <w:top w:val="nil"/>
              <w:left w:val="nil"/>
              <w:bottom w:val="nil"/>
              <w:right w:val="single" w:sz="8" w:space="0" w:color="auto"/>
            </w:tcBorders>
            <w:shd w:val="clear" w:color="auto" w:fill="auto"/>
            <w:noWrap/>
            <w:vAlign w:val="bottom"/>
            <w:hideMark/>
          </w:tcPr>
          <w:p w14:paraId="6DF7077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27</w:t>
            </w:r>
          </w:p>
        </w:tc>
      </w:tr>
      <w:tr w:rsidR="00FC1F1A" w:rsidRPr="00FC1F1A" w14:paraId="75F906CC"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4E85BDF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TranspariMED</w:t>
            </w:r>
            <w:proofErr w:type="spellEnd"/>
            <w:r w:rsidRPr="00FC1F1A">
              <w:rPr>
                <w:rFonts w:ascii="Aptos Narrow" w:eastAsia="Times New Roman" w:hAnsi="Aptos Narrow" w:cs="Times New Roman"/>
                <w:color w:val="000000"/>
                <w:kern w:val="0"/>
                <w:lang w:eastAsia="en-GB"/>
                <w14:ligatures w14:val="none"/>
              </w:rPr>
              <w:t xml:space="preserve"> 2020</w:t>
            </w:r>
          </w:p>
        </w:tc>
        <w:tc>
          <w:tcPr>
            <w:tcW w:w="811" w:type="dxa"/>
            <w:tcBorders>
              <w:top w:val="nil"/>
              <w:left w:val="nil"/>
              <w:bottom w:val="nil"/>
              <w:right w:val="nil"/>
            </w:tcBorders>
            <w:shd w:val="clear" w:color="auto" w:fill="auto"/>
            <w:noWrap/>
            <w:vAlign w:val="bottom"/>
            <w:hideMark/>
          </w:tcPr>
          <w:p w14:paraId="7BD53D1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75</w:t>
            </w:r>
          </w:p>
        </w:tc>
        <w:tc>
          <w:tcPr>
            <w:tcW w:w="2238" w:type="dxa"/>
            <w:tcBorders>
              <w:top w:val="nil"/>
              <w:left w:val="nil"/>
              <w:bottom w:val="nil"/>
              <w:right w:val="nil"/>
            </w:tcBorders>
            <w:shd w:val="clear" w:color="auto" w:fill="auto"/>
            <w:noWrap/>
            <w:vAlign w:val="bottom"/>
            <w:hideMark/>
          </w:tcPr>
          <w:p w14:paraId="3E947F9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61EF38D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online</w:t>
            </w:r>
          </w:p>
        </w:tc>
        <w:tc>
          <w:tcPr>
            <w:tcW w:w="709" w:type="dxa"/>
            <w:tcBorders>
              <w:top w:val="nil"/>
              <w:left w:val="nil"/>
              <w:bottom w:val="nil"/>
              <w:right w:val="single" w:sz="8" w:space="0" w:color="auto"/>
            </w:tcBorders>
            <w:shd w:val="clear" w:color="auto" w:fill="auto"/>
            <w:noWrap/>
            <w:vAlign w:val="bottom"/>
            <w:hideMark/>
          </w:tcPr>
          <w:p w14:paraId="3164756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81.7</w:t>
            </w:r>
          </w:p>
        </w:tc>
      </w:tr>
      <w:tr w:rsidR="00FC1F1A" w:rsidRPr="00FC1F1A" w14:paraId="7E8935B1"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6D86AF2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TranspariMED</w:t>
            </w:r>
            <w:proofErr w:type="spellEnd"/>
            <w:r w:rsidRPr="00FC1F1A">
              <w:rPr>
                <w:rFonts w:ascii="Aptos Narrow" w:eastAsia="Times New Roman" w:hAnsi="Aptos Narrow" w:cs="Times New Roman"/>
                <w:color w:val="000000"/>
                <w:kern w:val="0"/>
                <w:lang w:eastAsia="en-GB"/>
                <w14:ligatures w14:val="none"/>
              </w:rPr>
              <w:t xml:space="preserve"> 2019</w:t>
            </w:r>
          </w:p>
        </w:tc>
        <w:tc>
          <w:tcPr>
            <w:tcW w:w="811" w:type="dxa"/>
            <w:tcBorders>
              <w:top w:val="nil"/>
              <w:left w:val="nil"/>
              <w:bottom w:val="nil"/>
              <w:right w:val="nil"/>
            </w:tcBorders>
            <w:shd w:val="clear" w:color="auto" w:fill="auto"/>
            <w:noWrap/>
            <w:vAlign w:val="bottom"/>
            <w:hideMark/>
          </w:tcPr>
          <w:p w14:paraId="62FA4C5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76</w:t>
            </w:r>
          </w:p>
        </w:tc>
        <w:tc>
          <w:tcPr>
            <w:tcW w:w="2238" w:type="dxa"/>
            <w:tcBorders>
              <w:top w:val="nil"/>
              <w:left w:val="nil"/>
              <w:bottom w:val="nil"/>
              <w:right w:val="nil"/>
            </w:tcBorders>
            <w:shd w:val="clear" w:color="auto" w:fill="auto"/>
            <w:noWrap/>
            <w:vAlign w:val="bottom"/>
            <w:hideMark/>
          </w:tcPr>
          <w:p w14:paraId="374FE2C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0EBC9E9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online</w:t>
            </w:r>
          </w:p>
        </w:tc>
        <w:tc>
          <w:tcPr>
            <w:tcW w:w="709" w:type="dxa"/>
            <w:tcBorders>
              <w:top w:val="nil"/>
              <w:left w:val="nil"/>
              <w:bottom w:val="nil"/>
              <w:right w:val="single" w:sz="8" w:space="0" w:color="auto"/>
            </w:tcBorders>
            <w:shd w:val="clear" w:color="000000" w:fill="F2CEEF"/>
            <w:noWrap/>
            <w:vAlign w:val="bottom"/>
            <w:hideMark/>
          </w:tcPr>
          <w:p w14:paraId="751D426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83</w:t>
            </w:r>
          </w:p>
        </w:tc>
      </w:tr>
      <w:tr w:rsidR="00FC1F1A" w:rsidRPr="00FC1F1A" w14:paraId="1B6B854F"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70DDC40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TranspariMED</w:t>
            </w:r>
            <w:proofErr w:type="spellEnd"/>
            <w:r w:rsidRPr="00FC1F1A">
              <w:rPr>
                <w:rFonts w:ascii="Aptos Narrow" w:eastAsia="Times New Roman" w:hAnsi="Aptos Narrow" w:cs="Times New Roman"/>
                <w:color w:val="000000"/>
                <w:kern w:val="0"/>
                <w:lang w:eastAsia="en-GB"/>
                <w14:ligatures w14:val="none"/>
              </w:rPr>
              <w:t xml:space="preserve"> 2023</w:t>
            </w:r>
          </w:p>
        </w:tc>
        <w:tc>
          <w:tcPr>
            <w:tcW w:w="811" w:type="dxa"/>
            <w:tcBorders>
              <w:top w:val="nil"/>
              <w:left w:val="nil"/>
              <w:bottom w:val="nil"/>
              <w:right w:val="nil"/>
            </w:tcBorders>
            <w:shd w:val="clear" w:color="auto" w:fill="auto"/>
            <w:noWrap/>
            <w:vAlign w:val="bottom"/>
            <w:hideMark/>
          </w:tcPr>
          <w:p w14:paraId="06B7379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77</w:t>
            </w:r>
          </w:p>
        </w:tc>
        <w:tc>
          <w:tcPr>
            <w:tcW w:w="2238" w:type="dxa"/>
            <w:tcBorders>
              <w:top w:val="nil"/>
              <w:left w:val="nil"/>
              <w:bottom w:val="nil"/>
              <w:right w:val="nil"/>
            </w:tcBorders>
            <w:shd w:val="clear" w:color="auto" w:fill="auto"/>
            <w:noWrap/>
            <w:vAlign w:val="bottom"/>
            <w:hideMark/>
          </w:tcPr>
          <w:p w14:paraId="3DDB472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62" w:type="dxa"/>
            <w:tcBorders>
              <w:top w:val="nil"/>
              <w:left w:val="nil"/>
              <w:bottom w:val="nil"/>
              <w:right w:val="nil"/>
            </w:tcBorders>
            <w:shd w:val="clear" w:color="auto" w:fill="auto"/>
            <w:noWrap/>
            <w:vAlign w:val="bottom"/>
            <w:hideMark/>
          </w:tcPr>
          <w:p w14:paraId="2044C98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online</w:t>
            </w:r>
          </w:p>
        </w:tc>
        <w:tc>
          <w:tcPr>
            <w:tcW w:w="709" w:type="dxa"/>
            <w:tcBorders>
              <w:top w:val="nil"/>
              <w:left w:val="nil"/>
              <w:bottom w:val="nil"/>
              <w:right w:val="single" w:sz="8" w:space="0" w:color="auto"/>
            </w:tcBorders>
            <w:shd w:val="clear" w:color="auto" w:fill="auto"/>
            <w:noWrap/>
            <w:vAlign w:val="bottom"/>
            <w:hideMark/>
          </w:tcPr>
          <w:p w14:paraId="09F51D2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50</w:t>
            </w:r>
          </w:p>
        </w:tc>
      </w:tr>
      <w:tr w:rsidR="00FC1F1A" w:rsidRPr="00FC1F1A" w14:paraId="21D034E2" w14:textId="77777777" w:rsidTr="00FC1F1A">
        <w:trPr>
          <w:trHeight w:val="320"/>
        </w:trPr>
        <w:tc>
          <w:tcPr>
            <w:tcW w:w="2940" w:type="dxa"/>
            <w:tcBorders>
              <w:top w:val="nil"/>
              <w:left w:val="single" w:sz="8" w:space="0" w:color="auto"/>
              <w:bottom w:val="nil"/>
              <w:right w:val="nil"/>
            </w:tcBorders>
            <w:shd w:val="clear" w:color="auto" w:fill="auto"/>
            <w:noWrap/>
            <w:vAlign w:val="bottom"/>
            <w:hideMark/>
          </w:tcPr>
          <w:p w14:paraId="06E5E70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Wieschowski 2019</w:t>
            </w:r>
          </w:p>
        </w:tc>
        <w:tc>
          <w:tcPr>
            <w:tcW w:w="811" w:type="dxa"/>
            <w:tcBorders>
              <w:top w:val="nil"/>
              <w:left w:val="nil"/>
              <w:bottom w:val="nil"/>
              <w:right w:val="nil"/>
            </w:tcBorders>
            <w:shd w:val="clear" w:color="auto" w:fill="auto"/>
            <w:noWrap/>
            <w:vAlign w:val="bottom"/>
            <w:hideMark/>
          </w:tcPr>
          <w:p w14:paraId="3CDC4A9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84</w:t>
            </w:r>
          </w:p>
        </w:tc>
        <w:tc>
          <w:tcPr>
            <w:tcW w:w="2238" w:type="dxa"/>
            <w:tcBorders>
              <w:top w:val="nil"/>
              <w:left w:val="nil"/>
              <w:bottom w:val="nil"/>
              <w:right w:val="nil"/>
            </w:tcBorders>
            <w:shd w:val="clear" w:color="auto" w:fill="auto"/>
            <w:noWrap/>
            <w:vAlign w:val="bottom"/>
            <w:hideMark/>
          </w:tcPr>
          <w:p w14:paraId="6A2636E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62" w:type="dxa"/>
            <w:tcBorders>
              <w:top w:val="nil"/>
              <w:left w:val="nil"/>
              <w:bottom w:val="nil"/>
              <w:right w:val="nil"/>
            </w:tcBorders>
            <w:shd w:val="clear" w:color="auto" w:fill="auto"/>
            <w:noWrap/>
            <w:vAlign w:val="bottom"/>
            <w:hideMark/>
          </w:tcPr>
          <w:p w14:paraId="57162B8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JCE</w:t>
            </w:r>
          </w:p>
        </w:tc>
        <w:tc>
          <w:tcPr>
            <w:tcW w:w="709" w:type="dxa"/>
            <w:tcBorders>
              <w:top w:val="nil"/>
              <w:left w:val="nil"/>
              <w:bottom w:val="nil"/>
              <w:right w:val="single" w:sz="8" w:space="0" w:color="auto"/>
            </w:tcBorders>
            <w:shd w:val="clear" w:color="auto" w:fill="auto"/>
            <w:noWrap/>
            <w:vAlign w:val="bottom"/>
            <w:hideMark/>
          </w:tcPr>
          <w:p w14:paraId="089045B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61</w:t>
            </w:r>
          </w:p>
        </w:tc>
      </w:tr>
      <w:tr w:rsidR="00FC1F1A" w:rsidRPr="00FC1F1A" w14:paraId="429521E0" w14:textId="77777777" w:rsidTr="00FC1F1A">
        <w:trPr>
          <w:trHeight w:val="340"/>
        </w:trPr>
        <w:tc>
          <w:tcPr>
            <w:tcW w:w="2940" w:type="dxa"/>
            <w:tcBorders>
              <w:top w:val="nil"/>
              <w:left w:val="single" w:sz="8" w:space="0" w:color="auto"/>
              <w:bottom w:val="single" w:sz="8" w:space="0" w:color="auto"/>
              <w:right w:val="nil"/>
            </w:tcBorders>
            <w:shd w:val="clear" w:color="auto" w:fill="auto"/>
            <w:noWrap/>
            <w:vAlign w:val="bottom"/>
            <w:hideMark/>
          </w:tcPr>
          <w:p w14:paraId="4B89980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Zarin 2011</w:t>
            </w:r>
          </w:p>
        </w:tc>
        <w:tc>
          <w:tcPr>
            <w:tcW w:w="811" w:type="dxa"/>
            <w:tcBorders>
              <w:top w:val="nil"/>
              <w:left w:val="nil"/>
              <w:bottom w:val="single" w:sz="8" w:space="0" w:color="auto"/>
              <w:right w:val="nil"/>
            </w:tcBorders>
            <w:shd w:val="clear" w:color="auto" w:fill="auto"/>
            <w:noWrap/>
            <w:vAlign w:val="bottom"/>
            <w:hideMark/>
          </w:tcPr>
          <w:p w14:paraId="789AC4F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88</w:t>
            </w:r>
          </w:p>
        </w:tc>
        <w:tc>
          <w:tcPr>
            <w:tcW w:w="2238" w:type="dxa"/>
            <w:tcBorders>
              <w:top w:val="nil"/>
              <w:left w:val="nil"/>
              <w:bottom w:val="single" w:sz="8" w:space="0" w:color="auto"/>
              <w:right w:val="nil"/>
            </w:tcBorders>
            <w:shd w:val="clear" w:color="auto" w:fill="auto"/>
            <w:noWrap/>
            <w:vAlign w:val="bottom"/>
            <w:hideMark/>
          </w:tcPr>
          <w:p w14:paraId="648267C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62" w:type="dxa"/>
            <w:tcBorders>
              <w:top w:val="nil"/>
              <w:left w:val="nil"/>
              <w:bottom w:val="single" w:sz="8" w:space="0" w:color="auto"/>
              <w:right w:val="nil"/>
            </w:tcBorders>
            <w:shd w:val="clear" w:color="auto" w:fill="auto"/>
            <w:noWrap/>
            <w:vAlign w:val="bottom"/>
            <w:hideMark/>
          </w:tcPr>
          <w:p w14:paraId="79D444D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NEJM</w:t>
            </w:r>
          </w:p>
        </w:tc>
        <w:tc>
          <w:tcPr>
            <w:tcW w:w="709" w:type="dxa"/>
            <w:tcBorders>
              <w:top w:val="nil"/>
              <w:left w:val="nil"/>
              <w:bottom w:val="single" w:sz="8" w:space="0" w:color="auto"/>
              <w:right w:val="single" w:sz="8" w:space="0" w:color="auto"/>
            </w:tcBorders>
            <w:shd w:val="clear" w:color="auto" w:fill="auto"/>
            <w:noWrap/>
            <w:vAlign w:val="bottom"/>
            <w:hideMark/>
          </w:tcPr>
          <w:p w14:paraId="5F61B62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48</w:t>
            </w:r>
          </w:p>
        </w:tc>
      </w:tr>
      <w:tr w:rsidR="00FC1F1A" w:rsidRPr="00FC1F1A" w14:paraId="396BE1B0" w14:textId="77777777" w:rsidTr="00FC1F1A">
        <w:trPr>
          <w:trHeight w:val="340"/>
        </w:trPr>
        <w:tc>
          <w:tcPr>
            <w:tcW w:w="2940" w:type="dxa"/>
            <w:tcBorders>
              <w:top w:val="nil"/>
              <w:left w:val="nil"/>
              <w:bottom w:val="nil"/>
              <w:right w:val="nil"/>
            </w:tcBorders>
            <w:shd w:val="clear" w:color="000000" w:fill="FFFFFF"/>
            <w:noWrap/>
            <w:vAlign w:val="bottom"/>
            <w:hideMark/>
          </w:tcPr>
          <w:p w14:paraId="6E415AF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11" w:type="dxa"/>
            <w:tcBorders>
              <w:top w:val="nil"/>
              <w:left w:val="nil"/>
              <w:bottom w:val="nil"/>
              <w:right w:val="nil"/>
            </w:tcBorders>
            <w:shd w:val="clear" w:color="000000" w:fill="FFFFFF"/>
            <w:noWrap/>
            <w:vAlign w:val="bottom"/>
            <w:hideMark/>
          </w:tcPr>
          <w:p w14:paraId="5C4B0E8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38" w:type="dxa"/>
            <w:tcBorders>
              <w:top w:val="nil"/>
              <w:left w:val="nil"/>
              <w:bottom w:val="nil"/>
              <w:right w:val="nil"/>
            </w:tcBorders>
            <w:shd w:val="clear" w:color="000000" w:fill="FFFFFF"/>
            <w:noWrap/>
            <w:vAlign w:val="bottom"/>
            <w:hideMark/>
          </w:tcPr>
          <w:p w14:paraId="4679C47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62" w:type="dxa"/>
            <w:tcBorders>
              <w:top w:val="nil"/>
              <w:left w:val="single" w:sz="8" w:space="0" w:color="auto"/>
              <w:bottom w:val="single" w:sz="4" w:space="0" w:color="auto"/>
              <w:right w:val="single" w:sz="4" w:space="0" w:color="auto"/>
            </w:tcBorders>
            <w:shd w:val="clear" w:color="auto" w:fill="auto"/>
            <w:noWrap/>
            <w:vAlign w:val="bottom"/>
            <w:hideMark/>
          </w:tcPr>
          <w:p w14:paraId="4873A8A8"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Mean</w:t>
            </w:r>
          </w:p>
        </w:tc>
        <w:tc>
          <w:tcPr>
            <w:tcW w:w="709" w:type="dxa"/>
            <w:tcBorders>
              <w:top w:val="nil"/>
              <w:left w:val="nil"/>
              <w:bottom w:val="single" w:sz="4" w:space="0" w:color="auto"/>
              <w:right w:val="single" w:sz="8" w:space="0" w:color="auto"/>
            </w:tcBorders>
            <w:shd w:val="clear" w:color="auto" w:fill="auto"/>
            <w:noWrap/>
            <w:vAlign w:val="bottom"/>
            <w:hideMark/>
          </w:tcPr>
          <w:p w14:paraId="181A062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45</w:t>
            </w:r>
          </w:p>
        </w:tc>
      </w:tr>
      <w:tr w:rsidR="00FC1F1A" w:rsidRPr="00FC1F1A" w14:paraId="020FDB9F" w14:textId="77777777" w:rsidTr="00FC1F1A">
        <w:trPr>
          <w:trHeight w:val="320"/>
        </w:trPr>
        <w:tc>
          <w:tcPr>
            <w:tcW w:w="2940" w:type="dxa"/>
            <w:tcBorders>
              <w:top w:val="nil"/>
              <w:left w:val="nil"/>
              <w:bottom w:val="nil"/>
              <w:right w:val="nil"/>
            </w:tcBorders>
            <w:shd w:val="clear" w:color="000000" w:fill="FFFFFF"/>
            <w:noWrap/>
            <w:vAlign w:val="bottom"/>
            <w:hideMark/>
          </w:tcPr>
          <w:p w14:paraId="7ABDE1A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11" w:type="dxa"/>
            <w:tcBorders>
              <w:top w:val="nil"/>
              <w:left w:val="nil"/>
              <w:bottom w:val="nil"/>
              <w:right w:val="nil"/>
            </w:tcBorders>
            <w:shd w:val="clear" w:color="000000" w:fill="FFFFFF"/>
            <w:noWrap/>
            <w:vAlign w:val="bottom"/>
            <w:hideMark/>
          </w:tcPr>
          <w:p w14:paraId="6186666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38" w:type="dxa"/>
            <w:tcBorders>
              <w:top w:val="nil"/>
              <w:left w:val="nil"/>
              <w:bottom w:val="nil"/>
              <w:right w:val="nil"/>
            </w:tcBorders>
            <w:shd w:val="clear" w:color="000000" w:fill="FFFFFF"/>
            <w:noWrap/>
            <w:vAlign w:val="bottom"/>
            <w:hideMark/>
          </w:tcPr>
          <w:p w14:paraId="7C1494F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62" w:type="dxa"/>
            <w:tcBorders>
              <w:top w:val="nil"/>
              <w:left w:val="single" w:sz="8" w:space="0" w:color="auto"/>
              <w:bottom w:val="single" w:sz="4" w:space="0" w:color="auto"/>
              <w:right w:val="single" w:sz="4" w:space="0" w:color="auto"/>
            </w:tcBorders>
            <w:shd w:val="clear" w:color="auto" w:fill="auto"/>
            <w:noWrap/>
            <w:vAlign w:val="bottom"/>
            <w:hideMark/>
          </w:tcPr>
          <w:p w14:paraId="3CA32C4F"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Median</w:t>
            </w:r>
          </w:p>
        </w:tc>
        <w:tc>
          <w:tcPr>
            <w:tcW w:w="709" w:type="dxa"/>
            <w:tcBorders>
              <w:top w:val="nil"/>
              <w:left w:val="nil"/>
              <w:bottom w:val="single" w:sz="4" w:space="0" w:color="auto"/>
              <w:right w:val="single" w:sz="8" w:space="0" w:color="auto"/>
            </w:tcBorders>
            <w:shd w:val="clear" w:color="auto" w:fill="auto"/>
            <w:noWrap/>
            <w:vAlign w:val="bottom"/>
            <w:hideMark/>
          </w:tcPr>
          <w:p w14:paraId="5AE79A1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46</w:t>
            </w:r>
          </w:p>
        </w:tc>
      </w:tr>
      <w:tr w:rsidR="00FC1F1A" w:rsidRPr="00FC1F1A" w14:paraId="7FA6CDC2" w14:textId="77777777" w:rsidTr="00FC1F1A">
        <w:trPr>
          <w:trHeight w:val="320"/>
        </w:trPr>
        <w:tc>
          <w:tcPr>
            <w:tcW w:w="2940" w:type="dxa"/>
            <w:tcBorders>
              <w:top w:val="nil"/>
              <w:left w:val="nil"/>
              <w:bottom w:val="nil"/>
              <w:right w:val="nil"/>
            </w:tcBorders>
            <w:shd w:val="clear" w:color="000000" w:fill="FFFFFF"/>
            <w:noWrap/>
            <w:vAlign w:val="bottom"/>
            <w:hideMark/>
          </w:tcPr>
          <w:p w14:paraId="3569262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11" w:type="dxa"/>
            <w:tcBorders>
              <w:top w:val="nil"/>
              <w:left w:val="nil"/>
              <w:bottom w:val="nil"/>
              <w:right w:val="nil"/>
            </w:tcBorders>
            <w:shd w:val="clear" w:color="000000" w:fill="FFFFFF"/>
            <w:noWrap/>
            <w:vAlign w:val="bottom"/>
            <w:hideMark/>
          </w:tcPr>
          <w:p w14:paraId="1DE8586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38" w:type="dxa"/>
            <w:tcBorders>
              <w:top w:val="nil"/>
              <w:left w:val="nil"/>
              <w:bottom w:val="nil"/>
              <w:right w:val="nil"/>
            </w:tcBorders>
            <w:shd w:val="clear" w:color="000000" w:fill="FFFFFF"/>
            <w:noWrap/>
            <w:vAlign w:val="bottom"/>
            <w:hideMark/>
          </w:tcPr>
          <w:p w14:paraId="7594D39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62" w:type="dxa"/>
            <w:tcBorders>
              <w:top w:val="nil"/>
              <w:left w:val="single" w:sz="8" w:space="0" w:color="auto"/>
              <w:bottom w:val="single" w:sz="4" w:space="0" w:color="auto"/>
              <w:right w:val="single" w:sz="4" w:space="0" w:color="auto"/>
            </w:tcBorders>
            <w:shd w:val="clear" w:color="auto" w:fill="auto"/>
            <w:noWrap/>
            <w:vAlign w:val="bottom"/>
            <w:hideMark/>
          </w:tcPr>
          <w:p w14:paraId="69863613"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Lowest</w:t>
            </w:r>
          </w:p>
        </w:tc>
        <w:tc>
          <w:tcPr>
            <w:tcW w:w="709" w:type="dxa"/>
            <w:tcBorders>
              <w:top w:val="nil"/>
              <w:left w:val="nil"/>
              <w:bottom w:val="single" w:sz="4" w:space="0" w:color="auto"/>
              <w:right w:val="single" w:sz="8" w:space="0" w:color="auto"/>
            </w:tcBorders>
            <w:shd w:val="clear" w:color="auto" w:fill="auto"/>
            <w:noWrap/>
            <w:vAlign w:val="bottom"/>
            <w:hideMark/>
          </w:tcPr>
          <w:p w14:paraId="5CD5583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24</w:t>
            </w:r>
          </w:p>
        </w:tc>
      </w:tr>
      <w:tr w:rsidR="00FC1F1A" w:rsidRPr="00FC1F1A" w14:paraId="711AD2AB" w14:textId="77777777" w:rsidTr="00FC1F1A">
        <w:trPr>
          <w:trHeight w:val="340"/>
        </w:trPr>
        <w:tc>
          <w:tcPr>
            <w:tcW w:w="2940" w:type="dxa"/>
            <w:tcBorders>
              <w:top w:val="nil"/>
              <w:left w:val="nil"/>
              <w:bottom w:val="nil"/>
              <w:right w:val="nil"/>
            </w:tcBorders>
            <w:shd w:val="clear" w:color="000000" w:fill="FFFFFF"/>
            <w:noWrap/>
            <w:vAlign w:val="bottom"/>
            <w:hideMark/>
          </w:tcPr>
          <w:p w14:paraId="3D30951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11" w:type="dxa"/>
            <w:tcBorders>
              <w:top w:val="nil"/>
              <w:left w:val="nil"/>
              <w:bottom w:val="nil"/>
              <w:right w:val="nil"/>
            </w:tcBorders>
            <w:shd w:val="clear" w:color="000000" w:fill="FFFFFF"/>
            <w:noWrap/>
            <w:vAlign w:val="bottom"/>
            <w:hideMark/>
          </w:tcPr>
          <w:p w14:paraId="0BD593A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38" w:type="dxa"/>
            <w:tcBorders>
              <w:top w:val="nil"/>
              <w:left w:val="nil"/>
              <w:bottom w:val="nil"/>
              <w:right w:val="nil"/>
            </w:tcBorders>
            <w:shd w:val="clear" w:color="000000" w:fill="FFFFFF"/>
            <w:noWrap/>
            <w:vAlign w:val="bottom"/>
            <w:hideMark/>
          </w:tcPr>
          <w:p w14:paraId="1B8EAC9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62" w:type="dxa"/>
            <w:tcBorders>
              <w:top w:val="nil"/>
              <w:left w:val="single" w:sz="8" w:space="0" w:color="auto"/>
              <w:bottom w:val="single" w:sz="8" w:space="0" w:color="auto"/>
              <w:right w:val="single" w:sz="4" w:space="0" w:color="auto"/>
            </w:tcBorders>
            <w:shd w:val="clear" w:color="auto" w:fill="auto"/>
            <w:noWrap/>
            <w:vAlign w:val="bottom"/>
            <w:hideMark/>
          </w:tcPr>
          <w:p w14:paraId="4B7FC970"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Highest</w:t>
            </w:r>
          </w:p>
        </w:tc>
        <w:tc>
          <w:tcPr>
            <w:tcW w:w="709" w:type="dxa"/>
            <w:tcBorders>
              <w:top w:val="nil"/>
              <w:left w:val="nil"/>
              <w:bottom w:val="single" w:sz="8" w:space="0" w:color="auto"/>
              <w:right w:val="single" w:sz="8" w:space="0" w:color="auto"/>
            </w:tcBorders>
            <w:shd w:val="clear" w:color="auto" w:fill="auto"/>
            <w:noWrap/>
            <w:vAlign w:val="bottom"/>
            <w:hideMark/>
          </w:tcPr>
          <w:p w14:paraId="005FAA7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83</w:t>
            </w:r>
          </w:p>
        </w:tc>
      </w:tr>
    </w:tbl>
    <w:p w14:paraId="4A063793" w14:textId="77777777" w:rsidR="005867DE" w:rsidRDefault="005867DE" w:rsidP="005867DE">
      <w:pPr>
        <w:rPr>
          <w:rFonts w:ascii="Arial" w:hAnsi="Arial" w:cs="Arial"/>
          <w:b/>
          <w:bCs/>
          <w:sz w:val="28"/>
          <w:szCs w:val="28"/>
        </w:rPr>
      </w:pPr>
    </w:p>
    <w:p w14:paraId="08D431A1" w14:textId="77777777" w:rsidR="00FC1F1A" w:rsidRDefault="00FC1F1A" w:rsidP="005867DE">
      <w:pPr>
        <w:rPr>
          <w:rFonts w:ascii="Arial" w:hAnsi="Arial" w:cs="Arial"/>
          <w:b/>
          <w:bCs/>
          <w:sz w:val="28"/>
          <w:szCs w:val="28"/>
        </w:rPr>
      </w:pPr>
    </w:p>
    <w:p w14:paraId="1BF1894C" w14:textId="77777777" w:rsidR="00FC1F1A" w:rsidRDefault="00FC1F1A" w:rsidP="005867DE">
      <w:pPr>
        <w:rPr>
          <w:rFonts w:ascii="Arial" w:hAnsi="Arial" w:cs="Arial"/>
          <w:b/>
          <w:bCs/>
          <w:sz w:val="28"/>
          <w:szCs w:val="28"/>
        </w:rPr>
      </w:pPr>
    </w:p>
    <w:p w14:paraId="0020C860" w14:textId="77777777" w:rsidR="00FC1F1A" w:rsidRDefault="00FC1F1A" w:rsidP="005867DE">
      <w:pPr>
        <w:rPr>
          <w:rFonts w:ascii="Arial" w:hAnsi="Arial" w:cs="Arial"/>
          <w:b/>
          <w:bCs/>
          <w:sz w:val="28"/>
          <w:szCs w:val="28"/>
        </w:rPr>
      </w:pPr>
    </w:p>
    <w:p w14:paraId="7E1BDA0E" w14:textId="77777777" w:rsidR="00FC1F1A" w:rsidRDefault="00FC1F1A" w:rsidP="005867DE">
      <w:pPr>
        <w:rPr>
          <w:rFonts w:ascii="Arial" w:hAnsi="Arial" w:cs="Arial"/>
          <w:b/>
          <w:bCs/>
          <w:sz w:val="28"/>
          <w:szCs w:val="28"/>
        </w:rPr>
      </w:pPr>
    </w:p>
    <w:p w14:paraId="6B8ED0A0" w14:textId="77777777" w:rsidR="005867DE" w:rsidRDefault="005867DE" w:rsidP="005867DE">
      <w:pPr>
        <w:rPr>
          <w:rFonts w:ascii="Arial" w:hAnsi="Arial" w:cs="Arial"/>
          <w:b/>
          <w:bCs/>
          <w:sz w:val="28"/>
          <w:szCs w:val="28"/>
        </w:rPr>
      </w:pPr>
    </w:p>
    <w:p w14:paraId="1E0D69CC" w14:textId="77777777" w:rsidR="005867DE" w:rsidRDefault="005867DE" w:rsidP="005867DE">
      <w:pPr>
        <w:rPr>
          <w:rFonts w:ascii="Arial" w:hAnsi="Arial" w:cs="Arial"/>
          <w:b/>
          <w:bCs/>
          <w:sz w:val="28"/>
          <w:szCs w:val="28"/>
        </w:rPr>
      </w:pPr>
    </w:p>
    <w:tbl>
      <w:tblPr>
        <w:tblW w:w="9460" w:type="dxa"/>
        <w:tblLook w:val="04A0" w:firstRow="1" w:lastRow="0" w:firstColumn="1" w:lastColumn="0" w:noHBand="0" w:noVBand="1"/>
      </w:tblPr>
      <w:tblGrid>
        <w:gridCol w:w="2547"/>
        <w:gridCol w:w="821"/>
        <w:gridCol w:w="2266"/>
        <w:gridCol w:w="3108"/>
        <w:gridCol w:w="718"/>
      </w:tblGrid>
      <w:tr w:rsidR="00FC1F1A" w:rsidRPr="00FC1F1A" w14:paraId="035FE0C6" w14:textId="77777777" w:rsidTr="00FC1F1A">
        <w:trPr>
          <w:trHeight w:val="400"/>
        </w:trPr>
        <w:tc>
          <w:tcPr>
            <w:tcW w:w="9460" w:type="dxa"/>
            <w:gridSpan w:val="5"/>
            <w:tcBorders>
              <w:top w:val="single" w:sz="8" w:space="0" w:color="auto"/>
              <w:left w:val="single" w:sz="8" w:space="0" w:color="auto"/>
              <w:bottom w:val="single" w:sz="8" w:space="0" w:color="auto"/>
              <w:right w:val="single" w:sz="8" w:space="0" w:color="000000"/>
            </w:tcBorders>
            <w:shd w:val="clear" w:color="000000" w:fill="FBE2D5"/>
            <w:noWrap/>
            <w:vAlign w:val="bottom"/>
            <w:hideMark/>
          </w:tcPr>
          <w:p w14:paraId="3A3AF899"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sz w:val="28"/>
                <w:szCs w:val="28"/>
                <w:lang w:eastAsia="en-GB"/>
                <w14:ligatures w14:val="none"/>
              </w:rPr>
            </w:pPr>
            <w:r w:rsidRPr="00FC1F1A">
              <w:rPr>
                <w:rFonts w:ascii="Aptos Narrow" w:eastAsia="Times New Roman" w:hAnsi="Aptos Narrow" w:cs="Times New Roman"/>
                <w:b/>
                <w:bCs/>
                <w:color w:val="000000"/>
                <w:kern w:val="0"/>
                <w:sz w:val="28"/>
                <w:szCs w:val="28"/>
                <w:lang w:eastAsia="en-GB"/>
                <w14:ligatures w14:val="none"/>
              </w:rPr>
              <w:t>% Published trials that are not registered</w:t>
            </w:r>
          </w:p>
        </w:tc>
      </w:tr>
      <w:tr w:rsidR="00FC1F1A" w:rsidRPr="00FC1F1A" w14:paraId="30491C93" w14:textId="77777777" w:rsidTr="00FC1F1A">
        <w:trPr>
          <w:trHeight w:val="720"/>
        </w:trPr>
        <w:tc>
          <w:tcPr>
            <w:tcW w:w="2547" w:type="dxa"/>
            <w:tcBorders>
              <w:top w:val="nil"/>
              <w:left w:val="single" w:sz="8" w:space="0" w:color="auto"/>
              <w:bottom w:val="single" w:sz="8" w:space="0" w:color="auto"/>
              <w:right w:val="nil"/>
            </w:tcBorders>
            <w:shd w:val="clear" w:color="auto" w:fill="auto"/>
            <w:noWrap/>
            <w:hideMark/>
          </w:tcPr>
          <w:p w14:paraId="103EC195"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Source</w:t>
            </w:r>
          </w:p>
        </w:tc>
        <w:tc>
          <w:tcPr>
            <w:tcW w:w="821" w:type="dxa"/>
            <w:tcBorders>
              <w:top w:val="nil"/>
              <w:left w:val="nil"/>
              <w:bottom w:val="single" w:sz="8" w:space="0" w:color="auto"/>
              <w:right w:val="nil"/>
            </w:tcBorders>
            <w:shd w:val="clear" w:color="auto" w:fill="auto"/>
            <w:noWrap/>
            <w:hideMark/>
          </w:tcPr>
          <w:p w14:paraId="529526B4"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Ref #</w:t>
            </w:r>
          </w:p>
        </w:tc>
        <w:tc>
          <w:tcPr>
            <w:tcW w:w="2266" w:type="dxa"/>
            <w:tcBorders>
              <w:top w:val="nil"/>
              <w:left w:val="nil"/>
              <w:bottom w:val="single" w:sz="8" w:space="0" w:color="auto"/>
              <w:right w:val="nil"/>
            </w:tcBorders>
            <w:shd w:val="clear" w:color="auto" w:fill="auto"/>
            <w:hideMark/>
          </w:tcPr>
          <w:p w14:paraId="3EFA9C5C"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Cited by </w:t>
            </w:r>
            <w:proofErr w:type="spellStart"/>
            <w:r w:rsidRPr="00FC1F1A">
              <w:rPr>
                <w:rFonts w:ascii="Aptos Narrow" w:eastAsia="Times New Roman" w:hAnsi="Aptos Narrow" w:cs="Times New Roman"/>
                <w:b/>
                <w:bCs/>
                <w:color w:val="000000"/>
                <w:kern w:val="0"/>
                <w:lang w:eastAsia="en-GB"/>
                <w14:ligatures w14:val="none"/>
              </w:rPr>
              <w:t>Gartlehner</w:t>
            </w:r>
            <w:proofErr w:type="spellEnd"/>
            <w:r w:rsidRPr="00FC1F1A">
              <w:rPr>
                <w:rFonts w:ascii="Aptos Narrow" w:eastAsia="Times New Roman" w:hAnsi="Aptos Narrow" w:cs="Times New Roman"/>
                <w:b/>
                <w:bCs/>
                <w:color w:val="000000"/>
                <w:kern w:val="0"/>
                <w:lang w:eastAsia="en-GB"/>
                <w14:ligatures w14:val="none"/>
              </w:rPr>
              <w:t>?</w:t>
            </w:r>
          </w:p>
        </w:tc>
        <w:tc>
          <w:tcPr>
            <w:tcW w:w="3108" w:type="dxa"/>
            <w:tcBorders>
              <w:top w:val="nil"/>
              <w:left w:val="nil"/>
              <w:bottom w:val="single" w:sz="8" w:space="0" w:color="auto"/>
              <w:right w:val="nil"/>
            </w:tcBorders>
            <w:shd w:val="clear" w:color="auto" w:fill="auto"/>
            <w:noWrap/>
            <w:hideMark/>
          </w:tcPr>
          <w:p w14:paraId="2F4D4E83"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Journal</w:t>
            </w:r>
          </w:p>
        </w:tc>
        <w:tc>
          <w:tcPr>
            <w:tcW w:w="718" w:type="dxa"/>
            <w:tcBorders>
              <w:top w:val="nil"/>
              <w:left w:val="nil"/>
              <w:bottom w:val="single" w:sz="8" w:space="0" w:color="auto"/>
              <w:right w:val="single" w:sz="8" w:space="0" w:color="auto"/>
            </w:tcBorders>
            <w:shd w:val="clear" w:color="auto" w:fill="auto"/>
            <w:noWrap/>
            <w:hideMark/>
          </w:tcPr>
          <w:p w14:paraId="43C9D04E"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w:t>
            </w:r>
          </w:p>
        </w:tc>
      </w:tr>
      <w:tr w:rsidR="00FC1F1A" w:rsidRPr="00FC1F1A" w14:paraId="23807BCA"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7FD9FDE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Dechartres</w:t>
            </w:r>
            <w:proofErr w:type="spellEnd"/>
            <w:r w:rsidRPr="00FC1F1A">
              <w:rPr>
                <w:rFonts w:ascii="Aptos Narrow" w:eastAsia="Times New Roman" w:hAnsi="Aptos Narrow" w:cs="Times New Roman"/>
                <w:color w:val="000000"/>
                <w:kern w:val="0"/>
                <w:lang w:eastAsia="en-GB"/>
                <w14:ligatures w14:val="none"/>
              </w:rPr>
              <w:t xml:space="preserve"> 2016</w:t>
            </w:r>
          </w:p>
        </w:tc>
        <w:tc>
          <w:tcPr>
            <w:tcW w:w="821" w:type="dxa"/>
            <w:tcBorders>
              <w:top w:val="nil"/>
              <w:left w:val="nil"/>
              <w:bottom w:val="nil"/>
              <w:right w:val="nil"/>
            </w:tcBorders>
            <w:shd w:val="clear" w:color="auto" w:fill="auto"/>
            <w:noWrap/>
            <w:vAlign w:val="bottom"/>
            <w:hideMark/>
          </w:tcPr>
          <w:p w14:paraId="68ED8FB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11</w:t>
            </w:r>
          </w:p>
        </w:tc>
        <w:tc>
          <w:tcPr>
            <w:tcW w:w="2266" w:type="dxa"/>
            <w:tcBorders>
              <w:top w:val="nil"/>
              <w:left w:val="nil"/>
              <w:bottom w:val="nil"/>
              <w:right w:val="nil"/>
            </w:tcBorders>
            <w:shd w:val="clear" w:color="auto" w:fill="auto"/>
            <w:noWrap/>
            <w:vAlign w:val="bottom"/>
            <w:hideMark/>
          </w:tcPr>
          <w:p w14:paraId="7CAEED0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3108" w:type="dxa"/>
            <w:tcBorders>
              <w:top w:val="nil"/>
              <w:left w:val="nil"/>
              <w:bottom w:val="nil"/>
              <w:right w:val="nil"/>
            </w:tcBorders>
            <w:shd w:val="clear" w:color="auto" w:fill="auto"/>
            <w:noWrap/>
            <w:vAlign w:val="bottom"/>
            <w:hideMark/>
          </w:tcPr>
          <w:p w14:paraId="5DC8941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Med</w:t>
            </w:r>
          </w:p>
        </w:tc>
        <w:tc>
          <w:tcPr>
            <w:tcW w:w="718" w:type="dxa"/>
            <w:tcBorders>
              <w:top w:val="nil"/>
              <w:left w:val="nil"/>
              <w:bottom w:val="nil"/>
              <w:right w:val="single" w:sz="8" w:space="0" w:color="auto"/>
            </w:tcBorders>
            <w:shd w:val="clear" w:color="auto" w:fill="auto"/>
            <w:noWrap/>
            <w:vAlign w:val="bottom"/>
            <w:hideMark/>
          </w:tcPr>
          <w:p w14:paraId="72E7038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30</w:t>
            </w:r>
          </w:p>
        </w:tc>
      </w:tr>
      <w:tr w:rsidR="00FC1F1A" w:rsidRPr="00FC1F1A" w14:paraId="37B0E5D3"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1319AB0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Emdin 2015</w:t>
            </w:r>
          </w:p>
        </w:tc>
        <w:tc>
          <w:tcPr>
            <w:tcW w:w="821" w:type="dxa"/>
            <w:tcBorders>
              <w:top w:val="nil"/>
              <w:left w:val="nil"/>
              <w:bottom w:val="nil"/>
              <w:right w:val="nil"/>
            </w:tcBorders>
            <w:shd w:val="clear" w:color="auto" w:fill="auto"/>
            <w:noWrap/>
            <w:vAlign w:val="bottom"/>
            <w:hideMark/>
          </w:tcPr>
          <w:p w14:paraId="5AC22F2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19</w:t>
            </w:r>
          </w:p>
        </w:tc>
        <w:tc>
          <w:tcPr>
            <w:tcW w:w="2266" w:type="dxa"/>
            <w:tcBorders>
              <w:top w:val="nil"/>
              <w:left w:val="nil"/>
              <w:bottom w:val="nil"/>
              <w:right w:val="nil"/>
            </w:tcBorders>
            <w:shd w:val="clear" w:color="auto" w:fill="auto"/>
            <w:noWrap/>
            <w:vAlign w:val="bottom"/>
            <w:hideMark/>
          </w:tcPr>
          <w:p w14:paraId="6698240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75AA8B6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JAMA Int Med</w:t>
            </w:r>
          </w:p>
        </w:tc>
        <w:tc>
          <w:tcPr>
            <w:tcW w:w="718" w:type="dxa"/>
            <w:tcBorders>
              <w:top w:val="nil"/>
              <w:left w:val="nil"/>
              <w:bottom w:val="nil"/>
              <w:right w:val="single" w:sz="8" w:space="0" w:color="auto"/>
            </w:tcBorders>
            <w:shd w:val="clear" w:color="auto" w:fill="auto"/>
            <w:noWrap/>
            <w:vAlign w:val="bottom"/>
            <w:hideMark/>
          </w:tcPr>
          <w:p w14:paraId="2AB332C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55</w:t>
            </w:r>
          </w:p>
        </w:tc>
      </w:tr>
      <w:tr w:rsidR="00FC1F1A" w:rsidRPr="00FC1F1A" w14:paraId="258E41A1"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186D931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Farquhar 2017</w:t>
            </w:r>
          </w:p>
        </w:tc>
        <w:tc>
          <w:tcPr>
            <w:tcW w:w="821" w:type="dxa"/>
            <w:tcBorders>
              <w:top w:val="nil"/>
              <w:left w:val="nil"/>
              <w:bottom w:val="nil"/>
              <w:right w:val="nil"/>
            </w:tcBorders>
            <w:shd w:val="clear" w:color="auto" w:fill="auto"/>
            <w:noWrap/>
            <w:vAlign w:val="bottom"/>
            <w:hideMark/>
          </w:tcPr>
          <w:p w14:paraId="3EB09F1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20</w:t>
            </w:r>
          </w:p>
        </w:tc>
        <w:tc>
          <w:tcPr>
            <w:tcW w:w="2266" w:type="dxa"/>
            <w:tcBorders>
              <w:top w:val="nil"/>
              <w:left w:val="nil"/>
              <w:bottom w:val="nil"/>
              <w:right w:val="nil"/>
            </w:tcBorders>
            <w:shd w:val="clear" w:color="auto" w:fill="auto"/>
            <w:noWrap/>
            <w:vAlign w:val="bottom"/>
            <w:hideMark/>
          </w:tcPr>
          <w:p w14:paraId="18D4F97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3D744E6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JClinEp</w:t>
            </w:r>
            <w:proofErr w:type="spellEnd"/>
          </w:p>
        </w:tc>
        <w:tc>
          <w:tcPr>
            <w:tcW w:w="718" w:type="dxa"/>
            <w:tcBorders>
              <w:top w:val="nil"/>
              <w:left w:val="nil"/>
              <w:bottom w:val="nil"/>
              <w:right w:val="single" w:sz="8" w:space="0" w:color="auto"/>
            </w:tcBorders>
            <w:shd w:val="clear" w:color="auto" w:fill="auto"/>
            <w:noWrap/>
            <w:vAlign w:val="bottom"/>
            <w:hideMark/>
          </w:tcPr>
          <w:p w14:paraId="31F1D53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56</w:t>
            </w:r>
          </w:p>
        </w:tc>
      </w:tr>
      <w:tr w:rsidR="00FC1F1A" w:rsidRPr="00FC1F1A" w14:paraId="672412B2"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5D78875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Gopal 2018</w:t>
            </w:r>
          </w:p>
        </w:tc>
        <w:tc>
          <w:tcPr>
            <w:tcW w:w="821" w:type="dxa"/>
            <w:tcBorders>
              <w:top w:val="nil"/>
              <w:left w:val="nil"/>
              <w:bottom w:val="nil"/>
              <w:right w:val="nil"/>
            </w:tcBorders>
            <w:shd w:val="clear" w:color="auto" w:fill="auto"/>
            <w:noWrap/>
            <w:vAlign w:val="bottom"/>
            <w:hideMark/>
          </w:tcPr>
          <w:p w14:paraId="73EDFEB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24</w:t>
            </w:r>
          </w:p>
        </w:tc>
        <w:tc>
          <w:tcPr>
            <w:tcW w:w="2266" w:type="dxa"/>
            <w:tcBorders>
              <w:top w:val="nil"/>
              <w:left w:val="nil"/>
              <w:bottom w:val="nil"/>
              <w:right w:val="nil"/>
            </w:tcBorders>
            <w:shd w:val="clear" w:color="auto" w:fill="auto"/>
            <w:noWrap/>
            <w:vAlign w:val="bottom"/>
            <w:hideMark/>
          </w:tcPr>
          <w:p w14:paraId="0C52471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4B7F150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718" w:type="dxa"/>
            <w:tcBorders>
              <w:top w:val="nil"/>
              <w:left w:val="nil"/>
              <w:bottom w:val="nil"/>
              <w:right w:val="single" w:sz="8" w:space="0" w:color="auto"/>
            </w:tcBorders>
            <w:shd w:val="clear" w:color="auto" w:fill="auto"/>
            <w:noWrap/>
            <w:vAlign w:val="bottom"/>
            <w:hideMark/>
          </w:tcPr>
          <w:p w14:paraId="655774A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10</w:t>
            </w:r>
          </w:p>
        </w:tc>
      </w:tr>
      <w:tr w:rsidR="00FC1F1A" w:rsidRPr="00FC1F1A" w14:paraId="5B09161D"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6DEE2E8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Gregory 2021</w:t>
            </w:r>
          </w:p>
        </w:tc>
        <w:tc>
          <w:tcPr>
            <w:tcW w:w="821" w:type="dxa"/>
            <w:tcBorders>
              <w:top w:val="nil"/>
              <w:left w:val="nil"/>
              <w:bottom w:val="nil"/>
              <w:right w:val="nil"/>
            </w:tcBorders>
            <w:shd w:val="clear" w:color="auto" w:fill="auto"/>
            <w:noWrap/>
            <w:vAlign w:val="bottom"/>
            <w:hideMark/>
          </w:tcPr>
          <w:p w14:paraId="657CA2A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27</w:t>
            </w:r>
          </w:p>
        </w:tc>
        <w:tc>
          <w:tcPr>
            <w:tcW w:w="2266" w:type="dxa"/>
            <w:tcBorders>
              <w:top w:val="nil"/>
              <w:left w:val="nil"/>
              <w:bottom w:val="nil"/>
              <w:right w:val="nil"/>
            </w:tcBorders>
            <w:shd w:val="clear" w:color="auto" w:fill="auto"/>
            <w:noWrap/>
            <w:vAlign w:val="bottom"/>
            <w:hideMark/>
          </w:tcPr>
          <w:p w14:paraId="79799D6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4997D74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JHEP rep</w:t>
            </w:r>
          </w:p>
        </w:tc>
        <w:tc>
          <w:tcPr>
            <w:tcW w:w="718" w:type="dxa"/>
            <w:tcBorders>
              <w:top w:val="nil"/>
              <w:left w:val="nil"/>
              <w:bottom w:val="nil"/>
              <w:right w:val="single" w:sz="8" w:space="0" w:color="auto"/>
            </w:tcBorders>
            <w:shd w:val="clear" w:color="auto" w:fill="auto"/>
            <w:noWrap/>
            <w:vAlign w:val="bottom"/>
            <w:hideMark/>
          </w:tcPr>
          <w:p w14:paraId="612B73D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49</w:t>
            </w:r>
          </w:p>
        </w:tc>
      </w:tr>
      <w:tr w:rsidR="00FC1F1A" w:rsidRPr="00FC1F1A" w14:paraId="27B325C6"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06A24A2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Hamm 2010</w:t>
            </w:r>
          </w:p>
        </w:tc>
        <w:tc>
          <w:tcPr>
            <w:tcW w:w="821" w:type="dxa"/>
            <w:tcBorders>
              <w:top w:val="nil"/>
              <w:left w:val="nil"/>
              <w:bottom w:val="nil"/>
              <w:right w:val="nil"/>
            </w:tcBorders>
            <w:shd w:val="clear" w:color="auto" w:fill="auto"/>
            <w:noWrap/>
            <w:vAlign w:val="bottom"/>
            <w:hideMark/>
          </w:tcPr>
          <w:p w14:paraId="1B03781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28</w:t>
            </w:r>
          </w:p>
        </w:tc>
        <w:tc>
          <w:tcPr>
            <w:tcW w:w="2266" w:type="dxa"/>
            <w:tcBorders>
              <w:top w:val="nil"/>
              <w:left w:val="nil"/>
              <w:bottom w:val="nil"/>
              <w:right w:val="nil"/>
            </w:tcBorders>
            <w:shd w:val="clear" w:color="auto" w:fill="auto"/>
            <w:noWrap/>
            <w:vAlign w:val="bottom"/>
            <w:hideMark/>
          </w:tcPr>
          <w:p w14:paraId="6F21B2A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7ACEF33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xml:space="preserve">BMC </w:t>
            </w:r>
            <w:proofErr w:type="spellStart"/>
            <w:r w:rsidRPr="00FC1F1A">
              <w:rPr>
                <w:rFonts w:ascii="Aptos Narrow" w:eastAsia="Times New Roman" w:hAnsi="Aptos Narrow" w:cs="Times New Roman"/>
                <w:color w:val="000000"/>
                <w:kern w:val="0"/>
                <w:lang w:eastAsia="en-GB"/>
                <w14:ligatures w14:val="none"/>
              </w:rPr>
              <w:t>Pediatrics</w:t>
            </w:r>
            <w:proofErr w:type="spellEnd"/>
          </w:p>
        </w:tc>
        <w:tc>
          <w:tcPr>
            <w:tcW w:w="718" w:type="dxa"/>
            <w:tcBorders>
              <w:top w:val="nil"/>
              <w:left w:val="nil"/>
              <w:bottom w:val="nil"/>
              <w:right w:val="single" w:sz="8" w:space="0" w:color="auto"/>
            </w:tcBorders>
            <w:shd w:val="clear" w:color="auto" w:fill="auto"/>
            <w:noWrap/>
            <w:vAlign w:val="bottom"/>
            <w:hideMark/>
          </w:tcPr>
          <w:p w14:paraId="7055D40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77</w:t>
            </w:r>
          </w:p>
        </w:tc>
      </w:tr>
      <w:tr w:rsidR="00FC1F1A" w:rsidRPr="00FC1F1A" w14:paraId="4B73396D"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1EBCD6B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Killeen 2014</w:t>
            </w:r>
          </w:p>
        </w:tc>
        <w:tc>
          <w:tcPr>
            <w:tcW w:w="821" w:type="dxa"/>
            <w:tcBorders>
              <w:top w:val="nil"/>
              <w:left w:val="nil"/>
              <w:bottom w:val="nil"/>
              <w:right w:val="nil"/>
            </w:tcBorders>
            <w:shd w:val="clear" w:color="auto" w:fill="auto"/>
            <w:noWrap/>
            <w:vAlign w:val="bottom"/>
            <w:hideMark/>
          </w:tcPr>
          <w:p w14:paraId="4D856C9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34</w:t>
            </w:r>
          </w:p>
        </w:tc>
        <w:tc>
          <w:tcPr>
            <w:tcW w:w="2266" w:type="dxa"/>
            <w:tcBorders>
              <w:top w:val="nil"/>
              <w:left w:val="nil"/>
              <w:bottom w:val="nil"/>
              <w:right w:val="nil"/>
            </w:tcBorders>
            <w:shd w:val="clear" w:color="auto" w:fill="auto"/>
            <w:noWrap/>
            <w:vAlign w:val="bottom"/>
            <w:hideMark/>
          </w:tcPr>
          <w:p w14:paraId="12A3B55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2D70DEA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Ann surgery</w:t>
            </w:r>
          </w:p>
        </w:tc>
        <w:tc>
          <w:tcPr>
            <w:tcW w:w="718" w:type="dxa"/>
            <w:tcBorders>
              <w:top w:val="nil"/>
              <w:left w:val="nil"/>
              <w:bottom w:val="nil"/>
              <w:right w:val="single" w:sz="8" w:space="0" w:color="auto"/>
            </w:tcBorders>
            <w:shd w:val="clear" w:color="auto" w:fill="auto"/>
            <w:noWrap/>
            <w:vAlign w:val="bottom"/>
            <w:hideMark/>
          </w:tcPr>
          <w:p w14:paraId="5E1AF69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34.9</w:t>
            </w:r>
          </w:p>
        </w:tc>
      </w:tr>
      <w:tr w:rsidR="00FC1F1A" w:rsidRPr="00FC1F1A" w14:paraId="7839D91B"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1E6EEF6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Lindsley 2022</w:t>
            </w:r>
          </w:p>
        </w:tc>
        <w:tc>
          <w:tcPr>
            <w:tcW w:w="821" w:type="dxa"/>
            <w:tcBorders>
              <w:top w:val="nil"/>
              <w:left w:val="nil"/>
              <w:bottom w:val="nil"/>
              <w:right w:val="nil"/>
            </w:tcBorders>
            <w:shd w:val="clear" w:color="auto" w:fill="auto"/>
            <w:noWrap/>
            <w:vAlign w:val="bottom"/>
            <w:hideMark/>
          </w:tcPr>
          <w:p w14:paraId="20E21B7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41</w:t>
            </w:r>
          </w:p>
        </w:tc>
        <w:tc>
          <w:tcPr>
            <w:tcW w:w="2266" w:type="dxa"/>
            <w:tcBorders>
              <w:top w:val="nil"/>
              <w:left w:val="nil"/>
              <w:bottom w:val="nil"/>
              <w:right w:val="nil"/>
            </w:tcBorders>
            <w:shd w:val="clear" w:color="auto" w:fill="auto"/>
            <w:noWrap/>
            <w:vAlign w:val="bottom"/>
            <w:hideMark/>
          </w:tcPr>
          <w:p w14:paraId="1D44FCD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7AA4EF6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JClinEp</w:t>
            </w:r>
            <w:proofErr w:type="spellEnd"/>
          </w:p>
        </w:tc>
        <w:tc>
          <w:tcPr>
            <w:tcW w:w="718" w:type="dxa"/>
            <w:tcBorders>
              <w:top w:val="nil"/>
              <w:left w:val="nil"/>
              <w:bottom w:val="nil"/>
              <w:right w:val="single" w:sz="8" w:space="0" w:color="auto"/>
            </w:tcBorders>
            <w:shd w:val="clear" w:color="auto" w:fill="auto"/>
            <w:noWrap/>
            <w:vAlign w:val="bottom"/>
            <w:hideMark/>
          </w:tcPr>
          <w:p w14:paraId="2480B20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69</w:t>
            </w:r>
          </w:p>
        </w:tc>
      </w:tr>
      <w:tr w:rsidR="00FC1F1A" w:rsidRPr="00FC1F1A" w14:paraId="1980C804"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5E4ACD9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Odutayo</w:t>
            </w:r>
            <w:proofErr w:type="spellEnd"/>
            <w:r w:rsidRPr="00FC1F1A">
              <w:rPr>
                <w:rFonts w:ascii="Aptos Narrow" w:eastAsia="Times New Roman" w:hAnsi="Aptos Narrow" w:cs="Times New Roman"/>
                <w:color w:val="000000"/>
                <w:kern w:val="0"/>
                <w:lang w:eastAsia="en-GB"/>
                <w14:ligatures w14:val="none"/>
              </w:rPr>
              <w:t xml:space="preserve"> 2017</w:t>
            </w:r>
          </w:p>
        </w:tc>
        <w:tc>
          <w:tcPr>
            <w:tcW w:w="821" w:type="dxa"/>
            <w:tcBorders>
              <w:top w:val="nil"/>
              <w:left w:val="nil"/>
              <w:bottom w:val="nil"/>
              <w:right w:val="nil"/>
            </w:tcBorders>
            <w:shd w:val="clear" w:color="auto" w:fill="auto"/>
            <w:noWrap/>
            <w:vAlign w:val="bottom"/>
            <w:hideMark/>
          </w:tcPr>
          <w:p w14:paraId="76BE834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45</w:t>
            </w:r>
          </w:p>
        </w:tc>
        <w:tc>
          <w:tcPr>
            <w:tcW w:w="2266" w:type="dxa"/>
            <w:tcBorders>
              <w:top w:val="nil"/>
              <w:left w:val="nil"/>
              <w:bottom w:val="nil"/>
              <w:right w:val="nil"/>
            </w:tcBorders>
            <w:shd w:val="clear" w:color="auto" w:fill="auto"/>
            <w:noWrap/>
            <w:vAlign w:val="bottom"/>
            <w:hideMark/>
          </w:tcPr>
          <w:p w14:paraId="05BE4D8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70B1D42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w:t>
            </w:r>
          </w:p>
        </w:tc>
        <w:tc>
          <w:tcPr>
            <w:tcW w:w="718" w:type="dxa"/>
            <w:tcBorders>
              <w:top w:val="nil"/>
              <w:left w:val="nil"/>
              <w:bottom w:val="nil"/>
              <w:right w:val="single" w:sz="8" w:space="0" w:color="auto"/>
            </w:tcBorders>
            <w:shd w:val="clear" w:color="auto" w:fill="auto"/>
            <w:noWrap/>
            <w:vAlign w:val="bottom"/>
            <w:hideMark/>
          </w:tcPr>
          <w:p w14:paraId="7124529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47.1</w:t>
            </w:r>
          </w:p>
        </w:tc>
      </w:tr>
      <w:tr w:rsidR="00FC1F1A" w:rsidRPr="00FC1F1A" w14:paraId="7B429F84"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7C86099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Pinto 2013</w:t>
            </w:r>
          </w:p>
        </w:tc>
        <w:tc>
          <w:tcPr>
            <w:tcW w:w="821" w:type="dxa"/>
            <w:tcBorders>
              <w:top w:val="nil"/>
              <w:left w:val="nil"/>
              <w:bottom w:val="nil"/>
              <w:right w:val="nil"/>
            </w:tcBorders>
            <w:shd w:val="clear" w:color="auto" w:fill="auto"/>
            <w:noWrap/>
            <w:vAlign w:val="bottom"/>
            <w:hideMark/>
          </w:tcPr>
          <w:p w14:paraId="3D2B7C7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47</w:t>
            </w:r>
          </w:p>
        </w:tc>
        <w:tc>
          <w:tcPr>
            <w:tcW w:w="2266" w:type="dxa"/>
            <w:tcBorders>
              <w:top w:val="nil"/>
              <w:left w:val="nil"/>
              <w:bottom w:val="nil"/>
              <w:right w:val="nil"/>
            </w:tcBorders>
            <w:shd w:val="clear" w:color="auto" w:fill="auto"/>
            <w:noWrap/>
            <w:vAlign w:val="bottom"/>
            <w:hideMark/>
          </w:tcPr>
          <w:p w14:paraId="4851BB9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02956C3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Phys Ther</w:t>
            </w:r>
          </w:p>
        </w:tc>
        <w:tc>
          <w:tcPr>
            <w:tcW w:w="718" w:type="dxa"/>
            <w:tcBorders>
              <w:top w:val="nil"/>
              <w:left w:val="nil"/>
              <w:bottom w:val="nil"/>
              <w:right w:val="single" w:sz="8" w:space="0" w:color="auto"/>
            </w:tcBorders>
            <w:shd w:val="clear" w:color="auto" w:fill="auto"/>
            <w:noWrap/>
            <w:vAlign w:val="bottom"/>
            <w:hideMark/>
          </w:tcPr>
          <w:p w14:paraId="396538D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66</w:t>
            </w:r>
          </w:p>
        </w:tc>
      </w:tr>
      <w:tr w:rsidR="00FC1F1A" w:rsidRPr="00FC1F1A" w14:paraId="23B4EB98"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45EE951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Pinto 2013</w:t>
            </w:r>
          </w:p>
        </w:tc>
        <w:tc>
          <w:tcPr>
            <w:tcW w:w="821" w:type="dxa"/>
            <w:tcBorders>
              <w:top w:val="nil"/>
              <w:left w:val="nil"/>
              <w:bottom w:val="nil"/>
              <w:right w:val="nil"/>
            </w:tcBorders>
            <w:shd w:val="clear" w:color="auto" w:fill="auto"/>
            <w:noWrap/>
            <w:vAlign w:val="bottom"/>
            <w:hideMark/>
          </w:tcPr>
          <w:p w14:paraId="6CDB9E0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47</w:t>
            </w:r>
          </w:p>
        </w:tc>
        <w:tc>
          <w:tcPr>
            <w:tcW w:w="2266" w:type="dxa"/>
            <w:tcBorders>
              <w:top w:val="nil"/>
              <w:left w:val="nil"/>
              <w:bottom w:val="nil"/>
              <w:right w:val="nil"/>
            </w:tcBorders>
            <w:shd w:val="clear" w:color="auto" w:fill="auto"/>
            <w:noWrap/>
            <w:vAlign w:val="bottom"/>
            <w:hideMark/>
          </w:tcPr>
          <w:p w14:paraId="40495AB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592ADE5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Phys Ther</w:t>
            </w:r>
          </w:p>
        </w:tc>
        <w:tc>
          <w:tcPr>
            <w:tcW w:w="718" w:type="dxa"/>
            <w:tcBorders>
              <w:top w:val="nil"/>
              <w:left w:val="nil"/>
              <w:bottom w:val="nil"/>
              <w:right w:val="single" w:sz="8" w:space="0" w:color="auto"/>
            </w:tcBorders>
            <w:shd w:val="clear" w:color="auto" w:fill="auto"/>
            <w:noWrap/>
            <w:vAlign w:val="bottom"/>
            <w:hideMark/>
          </w:tcPr>
          <w:p w14:paraId="5CA0E66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25</w:t>
            </w:r>
          </w:p>
        </w:tc>
      </w:tr>
      <w:tr w:rsidR="00FC1F1A" w:rsidRPr="00FC1F1A" w14:paraId="5ACF3788"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6EBEF3B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Riemer 2021</w:t>
            </w:r>
          </w:p>
        </w:tc>
        <w:tc>
          <w:tcPr>
            <w:tcW w:w="821" w:type="dxa"/>
            <w:tcBorders>
              <w:top w:val="nil"/>
              <w:left w:val="nil"/>
              <w:bottom w:val="nil"/>
              <w:right w:val="nil"/>
            </w:tcBorders>
            <w:shd w:val="clear" w:color="auto" w:fill="auto"/>
            <w:noWrap/>
            <w:vAlign w:val="bottom"/>
            <w:hideMark/>
          </w:tcPr>
          <w:p w14:paraId="2E97C67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53</w:t>
            </w:r>
          </w:p>
        </w:tc>
        <w:tc>
          <w:tcPr>
            <w:tcW w:w="2266" w:type="dxa"/>
            <w:tcBorders>
              <w:top w:val="nil"/>
              <w:left w:val="nil"/>
              <w:bottom w:val="nil"/>
              <w:right w:val="nil"/>
            </w:tcBorders>
            <w:shd w:val="clear" w:color="auto" w:fill="auto"/>
            <w:noWrap/>
            <w:vAlign w:val="bottom"/>
            <w:hideMark/>
          </w:tcPr>
          <w:p w14:paraId="0FA56BC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5824224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xml:space="preserve">BMC </w:t>
            </w:r>
            <w:proofErr w:type="spellStart"/>
            <w:r w:rsidRPr="00FC1F1A">
              <w:rPr>
                <w:rFonts w:ascii="Aptos Narrow" w:eastAsia="Times New Roman" w:hAnsi="Aptos Narrow" w:cs="Times New Roman"/>
                <w:color w:val="000000"/>
                <w:kern w:val="0"/>
                <w:lang w:eastAsia="en-GB"/>
                <w14:ligatures w14:val="none"/>
              </w:rPr>
              <w:t>Anesthesiology</w:t>
            </w:r>
            <w:proofErr w:type="spellEnd"/>
          </w:p>
        </w:tc>
        <w:tc>
          <w:tcPr>
            <w:tcW w:w="718" w:type="dxa"/>
            <w:tcBorders>
              <w:top w:val="nil"/>
              <w:left w:val="nil"/>
              <w:bottom w:val="nil"/>
              <w:right w:val="single" w:sz="8" w:space="0" w:color="auto"/>
            </w:tcBorders>
            <w:shd w:val="clear" w:color="000000" w:fill="FBE2D5"/>
            <w:noWrap/>
            <w:vAlign w:val="bottom"/>
            <w:hideMark/>
          </w:tcPr>
          <w:p w14:paraId="7D44FDF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78</w:t>
            </w:r>
          </w:p>
        </w:tc>
      </w:tr>
      <w:tr w:rsidR="00FC1F1A" w:rsidRPr="00FC1F1A" w14:paraId="0B9125A6"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5A92379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Shaw 2018</w:t>
            </w:r>
          </w:p>
        </w:tc>
        <w:tc>
          <w:tcPr>
            <w:tcW w:w="821" w:type="dxa"/>
            <w:tcBorders>
              <w:top w:val="nil"/>
              <w:left w:val="nil"/>
              <w:bottom w:val="nil"/>
              <w:right w:val="nil"/>
            </w:tcBorders>
            <w:shd w:val="clear" w:color="auto" w:fill="auto"/>
            <w:noWrap/>
            <w:vAlign w:val="bottom"/>
            <w:hideMark/>
          </w:tcPr>
          <w:p w14:paraId="366B9E3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67</w:t>
            </w:r>
          </w:p>
        </w:tc>
        <w:tc>
          <w:tcPr>
            <w:tcW w:w="2266" w:type="dxa"/>
            <w:tcBorders>
              <w:top w:val="nil"/>
              <w:left w:val="nil"/>
              <w:bottom w:val="nil"/>
              <w:right w:val="nil"/>
            </w:tcBorders>
            <w:shd w:val="clear" w:color="auto" w:fill="auto"/>
            <w:noWrap/>
            <w:vAlign w:val="bottom"/>
            <w:hideMark/>
          </w:tcPr>
          <w:p w14:paraId="59A2195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3AB4267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Account. Res</w:t>
            </w:r>
          </w:p>
        </w:tc>
        <w:tc>
          <w:tcPr>
            <w:tcW w:w="718" w:type="dxa"/>
            <w:tcBorders>
              <w:top w:val="nil"/>
              <w:left w:val="nil"/>
              <w:bottom w:val="nil"/>
              <w:right w:val="single" w:sz="8" w:space="0" w:color="auto"/>
            </w:tcBorders>
            <w:shd w:val="clear" w:color="auto" w:fill="auto"/>
            <w:noWrap/>
            <w:vAlign w:val="bottom"/>
            <w:hideMark/>
          </w:tcPr>
          <w:p w14:paraId="2C3515C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42</w:t>
            </w:r>
          </w:p>
        </w:tc>
      </w:tr>
      <w:tr w:rsidR="00FC1F1A" w:rsidRPr="00FC1F1A" w14:paraId="26A19F2B"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5A5E072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Su 2015</w:t>
            </w:r>
          </w:p>
        </w:tc>
        <w:tc>
          <w:tcPr>
            <w:tcW w:w="821" w:type="dxa"/>
            <w:tcBorders>
              <w:top w:val="nil"/>
              <w:left w:val="nil"/>
              <w:bottom w:val="nil"/>
              <w:right w:val="nil"/>
            </w:tcBorders>
            <w:shd w:val="clear" w:color="auto" w:fill="auto"/>
            <w:noWrap/>
            <w:vAlign w:val="bottom"/>
            <w:hideMark/>
          </w:tcPr>
          <w:p w14:paraId="64463A3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72</w:t>
            </w:r>
          </w:p>
        </w:tc>
        <w:tc>
          <w:tcPr>
            <w:tcW w:w="2266" w:type="dxa"/>
            <w:tcBorders>
              <w:top w:val="nil"/>
              <w:left w:val="nil"/>
              <w:bottom w:val="nil"/>
              <w:right w:val="nil"/>
            </w:tcBorders>
            <w:shd w:val="clear" w:color="auto" w:fill="auto"/>
            <w:noWrap/>
            <w:vAlign w:val="bottom"/>
            <w:hideMark/>
          </w:tcPr>
          <w:p w14:paraId="7533326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482199F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718" w:type="dxa"/>
            <w:tcBorders>
              <w:top w:val="nil"/>
              <w:left w:val="nil"/>
              <w:bottom w:val="nil"/>
              <w:right w:val="single" w:sz="8" w:space="0" w:color="auto"/>
            </w:tcBorders>
            <w:shd w:val="clear" w:color="auto" w:fill="auto"/>
            <w:noWrap/>
            <w:vAlign w:val="bottom"/>
            <w:hideMark/>
          </w:tcPr>
          <w:p w14:paraId="4C1D99C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37.5</w:t>
            </w:r>
          </w:p>
        </w:tc>
      </w:tr>
      <w:tr w:rsidR="00FC1F1A" w:rsidRPr="00FC1F1A" w14:paraId="47E2067C" w14:textId="77777777" w:rsidTr="00FC1F1A">
        <w:trPr>
          <w:trHeight w:val="320"/>
        </w:trPr>
        <w:tc>
          <w:tcPr>
            <w:tcW w:w="2547" w:type="dxa"/>
            <w:tcBorders>
              <w:top w:val="nil"/>
              <w:left w:val="single" w:sz="8" w:space="0" w:color="auto"/>
              <w:bottom w:val="nil"/>
              <w:right w:val="nil"/>
            </w:tcBorders>
            <w:shd w:val="clear" w:color="auto" w:fill="auto"/>
            <w:noWrap/>
            <w:vAlign w:val="bottom"/>
            <w:hideMark/>
          </w:tcPr>
          <w:p w14:paraId="216404B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Tan 2019</w:t>
            </w:r>
          </w:p>
        </w:tc>
        <w:tc>
          <w:tcPr>
            <w:tcW w:w="821" w:type="dxa"/>
            <w:tcBorders>
              <w:top w:val="nil"/>
              <w:left w:val="nil"/>
              <w:bottom w:val="nil"/>
              <w:right w:val="nil"/>
            </w:tcBorders>
            <w:shd w:val="clear" w:color="auto" w:fill="auto"/>
            <w:noWrap/>
            <w:vAlign w:val="bottom"/>
            <w:hideMark/>
          </w:tcPr>
          <w:p w14:paraId="1515E75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73</w:t>
            </w:r>
          </w:p>
        </w:tc>
        <w:tc>
          <w:tcPr>
            <w:tcW w:w="2266" w:type="dxa"/>
            <w:tcBorders>
              <w:top w:val="nil"/>
              <w:left w:val="nil"/>
              <w:bottom w:val="nil"/>
              <w:right w:val="nil"/>
            </w:tcBorders>
            <w:shd w:val="clear" w:color="auto" w:fill="auto"/>
            <w:noWrap/>
            <w:vAlign w:val="bottom"/>
            <w:hideMark/>
          </w:tcPr>
          <w:p w14:paraId="04593FB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3108" w:type="dxa"/>
            <w:tcBorders>
              <w:top w:val="nil"/>
              <w:left w:val="nil"/>
              <w:bottom w:val="nil"/>
              <w:right w:val="nil"/>
            </w:tcBorders>
            <w:shd w:val="clear" w:color="auto" w:fill="auto"/>
            <w:noWrap/>
            <w:vAlign w:val="bottom"/>
            <w:hideMark/>
          </w:tcPr>
          <w:p w14:paraId="6EEEF98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JCE</w:t>
            </w:r>
          </w:p>
        </w:tc>
        <w:tc>
          <w:tcPr>
            <w:tcW w:w="718" w:type="dxa"/>
            <w:tcBorders>
              <w:top w:val="nil"/>
              <w:left w:val="nil"/>
              <w:bottom w:val="nil"/>
              <w:right w:val="single" w:sz="8" w:space="0" w:color="auto"/>
            </w:tcBorders>
            <w:shd w:val="clear" w:color="000000" w:fill="FBE2D5"/>
            <w:noWrap/>
            <w:vAlign w:val="bottom"/>
            <w:hideMark/>
          </w:tcPr>
          <w:p w14:paraId="60E8391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w:t>
            </w:r>
          </w:p>
        </w:tc>
      </w:tr>
      <w:tr w:rsidR="00FC1F1A" w:rsidRPr="00FC1F1A" w14:paraId="63B94150" w14:textId="77777777" w:rsidTr="00FC1F1A">
        <w:trPr>
          <w:trHeight w:val="340"/>
        </w:trPr>
        <w:tc>
          <w:tcPr>
            <w:tcW w:w="2547" w:type="dxa"/>
            <w:tcBorders>
              <w:top w:val="nil"/>
              <w:left w:val="single" w:sz="8" w:space="0" w:color="auto"/>
              <w:bottom w:val="single" w:sz="8" w:space="0" w:color="auto"/>
              <w:right w:val="nil"/>
            </w:tcBorders>
            <w:shd w:val="clear" w:color="auto" w:fill="auto"/>
            <w:noWrap/>
            <w:vAlign w:val="bottom"/>
            <w:hideMark/>
          </w:tcPr>
          <w:p w14:paraId="451F9D8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Trinquart</w:t>
            </w:r>
            <w:proofErr w:type="spellEnd"/>
            <w:r w:rsidRPr="00FC1F1A">
              <w:rPr>
                <w:rFonts w:ascii="Aptos Narrow" w:eastAsia="Times New Roman" w:hAnsi="Aptos Narrow" w:cs="Times New Roman"/>
                <w:color w:val="000000"/>
                <w:kern w:val="0"/>
                <w:lang w:eastAsia="en-GB"/>
                <w14:ligatures w14:val="none"/>
              </w:rPr>
              <w:t xml:space="preserve"> 2018</w:t>
            </w:r>
          </w:p>
        </w:tc>
        <w:tc>
          <w:tcPr>
            <w:tcW w:w="821" w:type="dxa"/>
            <w:tcBorders>
              <w:top w:val="nil"/>
              <w:left w:val="nil"/>
              <w:bottom w:val="single" w:sz="8" w:space="0" w:color="auto"/>
              <w:right w:val="nil"/>
            </w:tcBorders>
            <w:shd w:val="clear" w:color="auto" w:fill="auto"/>
            <w:noWrap/>
            <w:vAlign w:val="bottom"/>
            <w:hideMark/>
          </w:tcPr>
          <w:p w14:paraId="68EC60F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78</w:t>
            </w:r>
          </w:p>
        </w:tc>
        <w:tc>
          <w:tcPr>
            <w:tcW w:w="2266" w:type="dxa"/>
            <w:tcBorders>
              <w:top w:val="nil"/>
              <w:left w:val="nil"/>
              <w:bottom w:val="single" w:sz="8" w:space="0" w:color="auto"/>
              <w:right w:val="nil"/>
            </w:tcBorders>
            <w:shd w:val="clear" w:color="auto" w:fill="auto"/>
            <w:noWrap/>
            <w:vAlign w:val="bottom"/>
            <w:hideMark/>
          </w:tcPr>
          <w:p w14:paraId="4F510B1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3108" w:type="dxa"/>
            <w:tcBorders>
              <w:top w:val="nil"/>
              <w:left w:val="nil"/>
              <w:bottom w:val="nil"/>
              <w:right w:val="nil"/>
            </w:tcBorders>
            <w:shd w:val="clear" w:color="auto" w:fill="auto"/>
            <w:noWrap/>
            <w:vAlign w:val="bottom"/>
            <w:hideMark/>
          </w:tcPr>
          <w:p w14:paraId="732475D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Med</w:t>
            </w:r>
          </w:p>
        </w:tc>
        <w:tc>
          <w:tcPr>
            <w:tcW w:w="718" w:type="dxa"/>
            <w:tcBorders>
              <w:top w:val="nil"/>
              <w:left w:val="nil"/>
              <w:bottom w:val="nil"/>
              <w:right w:val="single" w:sz="8" w:space="0" w:color="auto"/>
            </w:tcBorders>
            <w:shd w:val="clear" w:color="auto" w:fill="auto"/>
            <w:noWrap/>
            <w:vAlign w:val="bottom"/>
            <w:hideMark/>
          </w:tcPr>
          <w:p w14:paraId="58CA4B5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53</w:t>
            </w:r>
          </w:p>
        </w:tc>
      </w:tr>
      <w:tr w:rsidR="00FC1F1A" w:rsidRPr="00FC1F1A" w14:paraId="278624E3" w14:textId="77777777" w:rsidTr="00FC1F1A">
        <w:trPr>
          <w:trHeight w:val="320"/>
        </w:trPr>
        <w:tc>
          <w:tcPr>
            <w:tcW w:w="2547" w:type="dxa"/>
            <w:tcBorders>
              <w:top w:val="nil"/>
              <w:left w:val="nil"/>
              <w:bottom w:val="nil"/>
              <w:right w:val="nil"/>
            </w:tcBorders>
            <w:shd w:val="clear" w:color="000000" w:fill="FFFFFF"/>
            <w:noWrap/>
            <w:vAlign w:val="bottom"/>
            <w:hideMark/>
          </w:tcPr>
          <w:p w14:paraId="550B8BC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21" w:type="dxa"/>
            <w:tcBorders>
              <w:top w:val="nil"/>
              <w:left w:val="nil"/>
              <w:bottom w:val="nil"/>
              <w:right w:val="nil"/>
            </w:tcBorders>
            <w:shd w:val="clear" w:color="000000" w:fill="FFFFFF"/>
            <w:noWrap/>
            <w:vAlign w:val="bottom"/>
            <w:hideMark/>
          </w:tcPr>
          <w:p w14:paraId="36FF2D5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66" w:type="dxa"/>
            <w:tcBorders>
              <w:top w:val="nil"/>
              <w:left w:val="nil"/>
              <w:bottom w:val="nil"/>
              <w:right w:val="nil"/>
            </w:tcBorders>
            <w:shd w:val="clear" w:color="000000" w:fill="FFFFFF"/>
            <w:noWrap/>
            <w:vAlign w:val="bottom"/>
            <w:hideMark/>
          </w:tcPr>
          <w:p w14:paraId="767B0B5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3108"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96FE7CB"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Mean</w:t>
            </w:r>
          </w:p>
        </w:tc>
        <w:tc>
          <w:tcPr>
            <w:tcW w:w="718" w:type="dxa"/>
            <w:tcBorders>
              <w:top w:val="single" w:sz="8" w:space="0" w:color="auto"/>
              <w:left w:val="nil"/>
              <w:bottom w:val="single" w:sz="4" w:space="0" w:color="auto"/>
              <w:right w:val="single" w:sz="8" w:space="0" w:color="auto"/>
            </w:tcBorders>
            <w:shd w:val="clear" w:color="auto" w:fill="auto"/>
            <w:noWrap/>
            <w:vAlign w:val="bottom"/>
            <w:hideMark/>
          </w:tcPr>
          <w:p w14:paraId="051C3E1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46</w:t>
            </w:r>
          </w:p>
        </w:tc>
      </w:tr>
      <w:tr w:rsidR="00FC1F1A" w:rsidRPr="00FC1F1A" w14:paraId="104409DF" w14:textId="77777777" w:rsidTr="00FC1F1A">
        <w:trPr>
          <w:trHeight w:val="320"/>
        </w:trPr>
        <w:tc>
          <w:tcPr>
            <w:tcW w:w="2547" w:type="dxa"/>
            <w:tcBorders>
              <w:top w:val="nil"/>
              <w:left w:val="nil"/>
              <w:bottom w:val="nil"/>
              <w:right w:val="nil"/>
            </w:tcBorders>
            <w:shd w:val="clear" w:color="000000" w:fill="FFFFFF"/>
            <w:noWrap/>
            <w:vAlign w:val="bottom"/>
            <w:hideMark/>
          </w:tcPr>
          <w:p w14:paraId="6041E4F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21" w:type="dxa"/>
            <w:tcBorders>
              <w:top w:val="nil"/>
              <w:left w:val="nil"/>
              <w:bottom w:val="nil"/>
              <w:right w:val="nil"/>
            </w:tcBorders>
            <w:shd w:val="clear" w:color="000000" w:fill="FFFFFF"/>
            <w:noWrap/>
            <w:vAlign w:val="bottom"/>
            <w:hideMark/>
          </w:tcPr>
          <w:p w14:paraId="5AF9C30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66" w:type="dxa"/>
            <w:tcBorders>
              <w:top w:val="nil"/>
              <w:left w:val="nil"/>
              <w:bottom w:val="nil"/>
              <w:right w:val="nil"/>
            </w:tcBorders>
            <w:shd w:val="clear" w:color="000000" w:fill="FFFFFF"/>
            <w:noWrap/>
            <w:vAlign w:val="bottom"/>
            <w:hideMark/>
          </w:tcPr>
          <w:p w14:paraId="3ABBC19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3108" w:type="dxa"/>
            <w:tcBorders>
              <w:top w:val="nil"/>
              <w:left w:val="single" w:sz="8" w:space="0" w:color="auto"/>
              <w:bottom w:val="single" w:sz="4" w:space="0" w:color="auto"/>
              <w:right w:val="single" w:sz="4" w:space="0" w:color="auto"/>
            </w:tcBorders>
            <w:shd w:val="clear" w:color="auto" w:fill="auto"/>
            <w:noWrap/>
            <w:vAlign w:val="bottom"/>
            <w:hideMark/>
          </w:tcPr>
          <w:p w14:paraId="4FFE2308"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Median</w:t>
            </w:r>
          </w:p>
        </w:tc>
        <w:tc>
          <w:tcPr>
            <w:tcW w:w="718" w:type="dxa"/>
            <w:tcBorders>
              <w:top w:val="nil"/>
              <w:left w:val="nil"/>
              <w:bottom w:val="single" w:sz="4" w:space="0" w:color="auto"/>
              <w:right w:val="single" w:sz="8" w:space="0" w:color="auto"/>
            </w:tcBorders>
            <w:shd w:val="clear" w:color="auto" w:fill="auto"/>
            <w:noWrap/>
            <w:vAlign w:val="bottom"/>
            <w:hideMark/>
          </w:tcPr>
          <w:p w14:paraId="6392C2B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48</w:t>
            </w:r>
          </w:p>
        </w:tc>
      </w:tr>
      <w:tr w:rsidR="00FC1F1A" w:rsidRPr="00FC1F1A" w14:paraId="2B06B827" w14:textId="77777777" w:rsidTr="00FC1F1A">
        <w:trPr>
          <w:trHeight w:val="320"/>
        </w:trPr>
        <w:tc>
          <w:tcPr>
            <w:tcW w:w="2547" w:type="dxa"/>
            <w:tcBorders>
              <w:top w:val="nil"/>
              <w:left w:val="nil"/>
              <w:bottom w:val="nil"/>
              <w:right w:val="nil"/>
            </w:tcBorders>
            <w:shd w:val="clear" w:color="000000" w:fill="FFFFFF"/>
            <w:noWrap/>
            <w:vAlign w:val="bottom"/>
            <w:hideMark/>
          </w:tcPr>
          <w:p w14:paraId="1D3B765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21" w:type="dxa"/>
            <w:tcBorders>
              <w:top w:val="nil"/>
              <w:left w:val="nil"/>
              <w:bottom w:val="nil"/>
              <w:right w:val="nil"/>
            </w:tcBorders>
            <w:shd w:val="clear" w:color="000000" w:fill="FFFFFF"/>
            <w:noWrap/>
            <w:vAlign w:val="bottom"/>
            <w:hideMark/>
          </w:tcPr>
          <w:p w14:paraId="0D38E37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66" w:type="dxa"/>
            <w:tcBorders>
              <w:top w:val="nil"/>
              <w:left w:val="nil"/>
              <w:bottom w:val="nil"/>
              <w:right w:val="nil"/>
            </w:tcBorders>
            <w:shd w:val="clear" w:color="000000" w:fill="FFFFFF"/>
            <w:noWrap/>
            <w:vAlign w:val="bottom"/>
            <w:hideMark/>
          </w:tcPr>
          <w:p w14:paraId="5A7C2F7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3108" w:type="dxa"/>
            <w:tcBorders>
              <w:top w:val="nil"/>
              <w:left w:val="single" w:sz="8" w:space="0" w:color="auto"/>
              <w:bottom w:val="single" w:sz="4" w:space="0" w:color="auto"/>
              <w:right w:val="single" w:sz="4" w:space="0" w:color="auto"/>
            </w:tcBorders>
            <w:shd w:val="clear" w:color="auto" w:fill="auto"/>
            <w:noWrap/>
            <w:vAlign w:val="bottom"/>
            <w:hideMark/>
          </w:tcPr>
          <w:p w14:paraId="6935C823"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Lowest</w:t>
            </w:r>
          </w:p>
        </w:tc>
        <w:tc>
          <w:tcPr>
            <w:tcW w:w="718" w:type="dxa"/>
            <w:tcBorders>
              <w:top w:val="nil"/>
              <w:left w:val="nil"/>
              <w:bottom w:val="single" w:sz="4" w:space="0" w:color="auto"/>
              <w:right w:val="single" w:sz="8" w:space="0" w:color="auto"/>
            </w:tcBorders>
            <w:shd w:val="clear" w:color="auto" w:fill="auto"/>
            <w:noWrap/>
            <w:vAlign w:val="bottom"/>
            <w:hideMark/>
          </w:tcPr>
          <w:p w14:paraId="4F4BD3B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w:t>
            </w:r>
          </w:p>
        </w:tc>
      </w:tr>
      <w:tr w:rsidR="00FC1F1A" w:rsidRPr="00FC1F1A" w14:paraId="503FB75E" w14:textId="77777777" w:rsidTr="00FC1F1A">
        <w:trPr>
          <w:trHeight w:val="340"/>
        </w:trPr>
        <w:tc>
          <w:tcPr>
            <w:tcW w:w="2547" w:type="dxa"/>
            <w:tcBorders>
              <w:top w:val="nil"/>
              <w:left w:val="nil"/>
              <w:bottom w:val="nil"/>
              <w:right w:val="nil"/>
            </w:tcBorders>
            <w:shd w:val="clear" w:color="000000" w:fill="FFFFFF"/>
            <w:noWrap/>
            <w:vAlign w:val="bottom"/>
            <w:hideMark/>
          </w:tcPr>
          <w:p w14:paraId="3BD3766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821" w:type="dxa"/>
            <w:tcBorders>
              <w:top w:val="nil"/>
              <w:left w:val="nil"/>
              <w:bottom w:val="nil"/>
              <w:right w:val="nil"/>
            </w:tcBorders>
            <w:shd w:val="clear" w:color="000000" w:fill="FFFFFF"/>
            <w:noWrap/>
            <w:vAlign w:val="bottom"/>
            <w:hideMark/>
          </w:tcPr>
          <w:p w14:paraId="3A71224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266" w:type="dxa"/>
            <w:tcBorders>
              <w:top w:val="nil"/>
              <w:left w:val="nil"/>
              <w:bottom w:val="nil"/>
              <w:right w:val="nil"/>
            </w:tcBorders>
            <w:shd w:val="clear" w:color="000000" w:fill="FFFFFF"/>
            <w:noWrap/>
            <w:vAlign w:val="bottom"/>
            <w:hideMark/>
          </w:tcPr>
          <w:p w14:paraId="213D031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3108" w:type="dxa"/>
            <w:tcBorders>
              <w:top w:val="nil"/>
              <w:left w:val="single" w:sz="8" w:space="0" w:color="auto"/>
              <w:bottom w:val="single" w:sz="8" w:space="0" w:color="auto"/>
              <w:right w:val="single" w:sz="4" w:space="0" w:color="auto"/>
            </w:tcBorders>
            <w:shd w:val="clear" w:color="auto" w:fill="auto"/>
            <w:noWrap/>
            <w:vAlign w:val="bottom"/>
            <w:hideMark/>
          </w:tcPr>
          <w:p w14:paraId="3CAC6884"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Highest </w:t>
            </w:r>
          </w:p>
        </w:tc>
        <w:tc>
          <w:tcPr>
            <w:tcW w:w="718" w:type="dxa"/>
            <w:tcBorders>
              <w:top w:val="nil"/>
              <w:left w:val="nil"/>
              <w:bottom w:val="single" w:sz="8" w:space="0" w:color="auto"/>
              <w:right w:val="single" w:sz="8" w:space="0" w:color="auto"/>
            </w:tcBorders>
            <w:shd w:val="clear" w:color="auto" w:fill="auto"/>
            <w:noWrap/>
            <w:vAlign w:val="bottom"/>
            <w:hideMark/>
          </w:tcPr>
          <w:p w14:paraId="3D325DA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78</w:t>
            </w:r>
          </w:p>
        </w:tc>
      </w:tr>
    </w:tbl>
    <w:p w14:paraId="406FDCC3" w14:textId="77777777" w:rsidR="005867DE" w:rsidRDefault="005867DE" w:rsidP="005867DE">
      <w:pPr>
        <w:rPr>
          <w:rFonts w:ascii="Arial" w:hAnsi="Arial" w:cs="Arial"/>
          <w:b/>
          <w:bCs/>
          <w:sz w:val="28"/>
          <w:szCs w:val="28"/>
        </w:rPr>
      </w:pPr>
    </w:p>
    <w:p w14:paraId="09162DFE" w14:textId="77777777" w:rsidR="005867DE" w:rsidRDefault="005867DE" w:rsidP="005867DE">
      <w:pPr>
        <w:rPr>
          <w:rFonts w:ascii="Arial" w:hAnsi="Arial" w:cs="Arial"/>
          <w:b/>
          <w:bCs/>
          <w:sz w:val="28"/>
          <w:szCs w:val="28"/>
        </w:rPr>
      </w:pPr>
    </w:p>
    <w:p w14:paraId="17B0A023" w14:textId="77777777" w:rsidR="005867DE" w:rsidRDefault="005867DE" w:rsidP="005867DE">
      <w:pPr>
        <w:rPr>
          <w:rFonts w:ascii="Arial" w:hAnsi="Arial" w:cs="Arial"/>
          <w:b/>
          <w:bCs/>
          <w:sz w:val="28"/>
          <w:szCs w:val="28"/>
        </w:rPr>
      </w:pPr>
    </w:p>
    <w:p w14:paraId="7A8A76B6" w14:textId="77777777" w:rsidR="00FC1F1A" w:rsidRDefault="00FC1F1A" w:rsidP="005867DE">
      <w:pPr>
        <w:rPr>
          <w:rFonts w:ascii="Arial" w:hAnsi="Arial" w:cs="Arial"/>
          <w:b/>
          <w:bCs/>
          <w:sz w:val="28"/>
          <w:szCs w:val="28"/>
        </w:rPr>
      </w:pPr>
    </w:p>
    <w:p w14:paraId="6B2D03F8" w14:textId="77777777" w:rsidR="00FC1F1A" w:rsidRDefault="00FC1F1A" w:rsidP="005867DE">
      <w:pPr>
        <w:rPr>
          <w:rFonts w:ascii="Arial" w:hAnsi="Arial" w:cs="Arial"/>
          <w:b/>
          <w:bCs/>
          <w:sz w:val="28"/>
          <w:szCs w:val="28"/>
        </w:rPr>
      </w:pPr>
    </w:p>
    <w:p w14:paraId="082DEB0F" w14:textId="77777777" w:rsidR="00FC1F1A" w:rsidRDefault="00FC1F1A" w:rsidP="005867DE">
      <w:pPr>
        <w:rPr>
          <w:rFonts w:ascii="Arial" w:hAnsi="Arial" w:cs="Arial"/>
          <w:b/>
          <w:bCs/>
          <w:sz w:val="28"/>
          <w:szCs w:val="28"/>
        </w:rPr>
      </w:pPr>
    </w:p>
    <w:p w14:paraId="4FEE5912" w14:textId="77777777" w:rsidR="00FC1F1A" w:rsidRDefault="00FC1F1A" w:rsidP="005867DE">
      <w:pPr>
        <w:rPr>
          <w:rFonts w:ascii="Arial" w:hAnsi="Arial" w:cs="Arial"/>
          <w:b/>
          <w:bCs/>
          <w:sz w:val="28"/>
          <w:szCs w:val="28"/>
        </w:rPr>
      </w:pPr>
    </w:p>
    <w:p w14:paraId="5EFD7C6F" w14:textId="77777777" w:rsidR="00FC1F1A" w:rsidRDefault="00FC1F1A" w:rsidP="005867DE">
      <w:pPr>
        <w:rPr>
          <w:rFonts w:ascii="Arial" w:hAnsi="Arial" w:cs="Arial"/>
          <w:b/>
          <w:bCs/>
          <w:sz w:val="28"/>
          <w:szCs w:val="28"/>
        </w:rPr>
      </w:pPr>
    </w:p>
    <w:p w14:paraId="17107367" w14:textId="77777777" w:rsidR="00FC1F1A" w:rsidRDefault="00FC1F1A" w:rsidP="005867DE">
      <w:pPr>
        <w:rPr>
          <w:rFonts w:ascii="Arial" w:hAnsi="Arial" w:cs="Arial"/>
          <w:b/>
          <w:bCs/>
          <w:sz w:val="28"/>
          <w:szCs w:val="28"/>
        </w:rPr>
      </w:pPr>
    </w:p>
    <w:p w14:paraId="2E61B215" w14:textId="77777777" w:rsidR="00FC1F1A" w:rsidRDefault="00FC1F1A" w:rsidP="005867DE">
      <w:pPr>
        <w:rPr>
          <w:rFonts w:ascii="Arial" w:hAnsi="Arial" w:cs="Arial"/>
          <w:b/>
          <w:bCs/>
          <w:sz w:val="28"/>
          <w:szCs w:val="28"/>
        </w:rPr>
      </w:pPr>
    </w:p>
    <w:p w14:paraId="679DD7A9" w14:textId="77777777" w:rsidR="00FC1F1A" w:rsidRDefault="00FC1F1A" w:rsidP="005867DE">
      <w:pPr>
        <w:rPr>
          <w:rFonts w:ascii="Arial" w:hAnsi="Arial" w:cs="Arial"/>
          <w:b/>
          <w:bCs/>
          <w:sz w:val="28"/>
          <w:szCs w:val="28"/>
        </w:rPr>
      </w:pPr>
    </w:p>
    <w:tbl>
      <w:tblPr>
        <w:tblW w:w="8620" w:type="dxa"/>
        <w:tblLook w:val="04A0" w:firstRow="1" w:lastRow="0" w:firstColumn="1" w:lastColumn="0" w:noHBand="0" w:noVBand="1"/>
      </w:tblPr>
      <w:tblGrid>
        <w:gridCol w:w="2316"/>
        <w:gridCol w:w="639"/>
        <w:gridCol w:w="1677"/>
        <w:gridCol w:w="2708"/>
        <w:gridCol w:w="1280"/>
      </w:tblGrid>
      <w:tr w:rsidR="00FC1F1A" w:rsidRPr="00FC1F1A" w14:paraId="78BA1637" w14:textId="77777777" w:rsidTr="00FC1F1A">
        <w:trPr>
          <w:trHeight w:val="400"/>
        </w:trPr>
        <w:tc>
          <w:tcPr>
            <w:tcW w:w="8620" w:type="dxa"/>
            <w:gridSpan w:val="5"/>
            <w:tcBorders>
              <w:top w:val="single" w:sz="8" w:space="0" w:color="auto"/>
              <w:left w:val="single" w:sz="8" w:space="0" w:color="auto"/>
              <w:bottom w:val="single" w:sz="8" w:space="0" w:color="auto"/>
              <w:right w:val="single" w:sz="8" w:space="0" w:color="000000"/>
            </w:tcBorders>
            <w:shd w:val="clear" w:color="000000" w:fill="F1A983"/>
            <w:noWrap/>
            <w:vAlign w:val="bottom"/>
            <w:hideMark/>
          </w:tcPr>
          <w:p w14:paraId="2E511C5E"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sz w:val="28"/>
                <w:szCs w:val="28"/>
                <w:lang w:eastAsia="en-GB"/>
                <w14:ligatures w14:val="none"/>
              </w:rPr>
            </w:pPr>
            <w:r w:rsidRPr="00FC1F1A">
              <w:rPr>
                <w:rFonts w:ascii="Aptos Narrow" w:eastAsia="Times New Roman" w:hAnsi="Aptos Narrow" w:cs="Times New Roman"/>
                <w:b/>
                <w:bCs/>
                <w:color w:val="000000"/>
                <w:kern w:val="0"/>
                <w:sz w:val="28"/>
                <w:szCs w:val="28"/>
                <w:lang w:eastAsia="en-GB"/>
                <w14:ligatures w14:val="none"/>
              </w:rPr>
              <w:lastRenderedPageBreak/>
              <w:t>% Prospective registration</w:t>
            </w:r>
          </w:p>
        </w:tc>
      </w:tr>
      <w:tr w:rsidR="00FC1F1A" w:rsidRPr="00FC1F1A" w14:paraId="33F13A84" w14:textId="77777777" w:rsidTr="00FC1F1A">
        <w:trPr>
          <w:trHeight w:val="720"/>
        </w:trPr>
        <w:tc>
          <w:tcPr>
            <w:tcW w:w="2316" w:type="dxa"/>
            <w:tcBorders>
              <w:top w:val="nil"/>
              <w:left w:val="single" w:sz="8" w:space="0" w:color="auto"/>
              <w:bottom w:val="single" w:sz="4" w:space="0" w:color="auto"/>
              <w:right w:val="nil"/>
            </w:tcBorders>
            <w:shd w:val="clear" w:color="auto" w:fill="auto"/>
            <w:noWrap/>
            <w:hideMark/>
          </w:tcPr>
          <w:p w14:paraId="15F3400B"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Source</w:t>
            </w:r>
          </w:p>
        </w:tc>
        <w:tc>
          <w:tcPr>
            <w:tcW w:w="639" w:type="dxa"/>
            <w:tcBorders>
              <w:top w:val="nil"/>
              <w:left w:val="nil"/>
              <w:bottom w:val="single" w:sz="4" w:space="0" w:color="auto"/>
              <w:right w:val="nil"/>
            </w:tcBorders>
            <w:shd w:val="clear" w:color="auto" w:fill="auto"/>
            <w:noWrap/>
            <w:hideMark/>
          </w:tcPr>
          <w:p w14:paraId="2FECB20D"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Ref #</w:t>
            </w:r>
          </w:p>
        </w:tc>
        <w:tc>
          <w:tcPr>
            <w:tcW w:w="1677" w:type="dxa"/>
            <w:tcBorders>
              <w:top w:val="nil"/>
              <w:left w:val="nil"/>
              <w:bottom w:val="single" w:sz="4" w:space="0" w:color="auto"/>
              <w:right w:val="nil"/>
            </w:tcBorders>
            <w:shd w:val="clear" w:color="auto" w:fill="auto"/>
            <w:hideMark/>
          </w:tcPr>
          <w:p w14:paraId="26775E36"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Cited by </w:t>
            </w:r>
            <w:proofErr w:type="spellStart"/>
            <w:r w:rsidRPr="00FC1F1A">
              <w:rPr>
                <w:rFonts w:ascii="Aptos Narrow" w:eastAsia="Times New Roman" w:hAnsi="Aptos Narrow" w:cs="Times New Roman"/>
                <w:b/>
                <w:bCs/>
                <w:color w:val="000000"/>
                <w:kern w:val="0"/>
                <w:lang w:eastAsia="en-GB"/>
                <w14:ligatures w14:val="none"/>
              </w:rPr>
              <w:t>Gartlehner</w:t>
            </w:r>
            <w:proofErr w:type="spellEnd"/>
            <w:r w:rsidRPr="00FC1F1A">
              <w:rPr>
                <w:rFonts w:ascii="Aptos Narrow" w:eastAsia="Times New Roman" w:hAnsi="Aptos Narrow" w:cs="Times New Roman"/>
                <w:b/>
                <w:bCs/>
                <w:color w:val="000000"/>
                <w:kern w:val="0"/>
                <w:lang w:eastAsia="en-GB"/>
                <w14:ligatures w14:val="none"/>
              </w:rPr>
              <w:t>?</w:t>
            </w:r>
          </w:p>
        </w:tc>
        <w:tc>
          <w:tcPr>
            <w:tcW w:w="2708" w:type="dxa"/>
            <w:tcBorders>
              <w:top w:val="nil"/>
              <w:left w:val="nil"/>
              <w:bottom w:val="single" w:sz="4" w:space="0" w:color="auto"/>
              <w:right w:val="nil"/>
            </w:tcBorders>
            <w:shd w:val="clear" w:color="auto" w:fill="auto"/>
            <w:noWrap/>
            <w:hideMark/>
          </w:tcPr>
          <w:p w14:paraId="4C660E04"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Journal</w:t>
            </w:r>
          </w:p>
        </w:tc>
        <w:tc>
          <w:tcPr>
            <w:tcW w:w="1280" w:type="dxa"/>
            <w:tcBorders>
              <w:top w:val="nil"/>
              <w:left w:val="nil"/>
              <w:bottom w:val="single" w:sz="4" w:space="0" w:color="auto"/>
              <w:right w:val="single" w:sz="8" w:space="0" w:color="auto"/>
            </w:tcBorders>
            <w:shd w:val="clear" w:color="auto" w:fill="auto"/>
            <w:hideMark/>
          </w:tcPr>
          <w:p w14:paraId="0234857A"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w:t>
            </w:r>
          </w:p>
        </w:tc>
      </w:tr>
      <w:tr w:rsidR="00FC1F1A" w:rsidRPr="00FC1F1A" w14:paraId="5426D2A7"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485E9F5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Dechartres</w:t>
            </w:r>
            <w:proofErr w:type="spellEnd"/>
            <w:r w:rsidRPr="00FC1F1A">
              <w:rPr>
                <w:rFonts w:ascii="Aptos Narrow" w:eastAsia="Times New Roman" w:hAnsi="Aptos Narrow" w:cs="Times New Roman"/>
                <w:color w:val="000000"/>
                <w:kern w:val="0"/>
                <w:lang w:eastAsia="en-GB"/>
                <w14:ligatures w14:val="none"/>
              </w:rPr>
              <w:t xml:space="preserve"> 2016</w:t>
            </w:r>
          </w:p>
        </w:tc>
        <w:tc>
          <w:tcPr>
            <w:tcW w:w="639" w:type="dxa"/>
            <w:tcBorders>
              <w:top w:val="nil"/>
              <w:left w:val="nil"/>
              <w:bottom w:val="nil"/>
              <w:right w:val="nil"/>
            </w:tcBorders>
            <w:shd w:val="clear" w:color="auto" w:fill="auto"/>
            <w:noWrap/>
            <w:vAlign w:val="bottom"/>
            <w:hideMark/>
          </w:tcPr>
          <w:p w14:paraId="71139EB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11</w:t>
            </w:r>
          </w:p>
        </w:tc>
        <w:tc>
          <w:tcPr>
            <w:tcW w:w="1677" w:type="dxa"/>
            <w:tcBorders>
              <w:top w:val="nil"/>
              <w:left w:val="nil"/>
              <w:bottom w:val="nil"/>
              <w:right w:val="nil"/>
            </w:tcBorders>
            <w:shd w:val="clear" w:color="auto" w:fill="auto"/>
            <w:noWrap/>
            <w:vAlign w:val="bottom"/>
            <w:hideMark/>
          </w:tcPr>
          <w:p w14:paraId="18BD226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08" w:type="dxa"/>
            <w:tcBorders>
              <w:top w:val="nil"/>
              <w:left w:val="nil"/>
              <w:bottom w:val="nil"/>
              <w:right w:val="nil"/>
            </w:tcBorders>
            <w:shd w:val="clear" w:color="auto" w:fill="auto"/>
            <w:noWrap/>
            <w:vAlign w:val="bottom"/>
            <w:hideMark/>
          </w:tcPr>
          <w:p w14:paraId="2ADDCBB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Medicine</w:t>
            </w:r>
          </w:p>
        </w:tc>
        <w:tc>
          <w:tcPr>
            <w:tcW w:w="1280" w:type="dxa"/>
            <w:tcBorders>
              <w:top w:val="nil"/>
              <w:left w:val="nil"/>
              <w:bottom w:val="nil"/>
              <w:right w:val="single" w:sz="8" w:space="0" w:color="auto"/>
            </w:tcBorders>
            <w:shd w:val="clear" w:color="auto" w:fill="auto"/>
            <w:noWrap/>
            <w:vAlign w:val="bottom"/>
            <w:hideMark/>
          </w:tcPr>
          <w:p w14:paraId="19DD26D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33</w:t>
            </w:r>
          </w:p>
        </w:tc>
      </w:tr>
      <w:tr w:rsidR="00FC1F1A" w:rsidRPr="00FC1F1A" w14:paraId="0E18F82E"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706C296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Gopal 2018</w:t>
            </w:r>
          </w:p>
        </w:tc>
        <w:tc>
          <w:tcPr>
            <w:tcW w:w="639" w:type="dxa"/>
            <w:tcBorders>
              <w:top w:val="nil"/>
              <w:left w:val="nil"/>
              <w:bottom w:val="nil"/>
              <w:right w:val="nil"/>
            </w:tcBorders>
            <w:shd w:val="clear" w:color="auto" w:fill="auto"/>
            <w:noWrap/>
            <w:vAlign w:val="bottom"/>
            <w:hideMark/>
          </w:tcPr>
          <w:p w14:paraId="007C70D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24</w:t>
            </w:r>
          </w:p>
        </w:tc>
        <w:tc>
          <w:tcPr>
            <w:tcW w:w="1677" w:type="dxa"/>
            <w:tcBorders>
              <w:top w:val="nil"/>
              <w:left w:val="nil"/>
              <w:bottom w:val="nil"/>
              <w:right w:val="nil"/>
            </w:tcBorders>
            <w:shd w:val="clear" w:color="auto" w:fill="auto"/>
            <w:noWrap/>
            <w:vAlign w:val="bottom"/>
            <w:hideMark/>
          </w:tcPr>
          <w:p w14:paraId="4101B2A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792FCCF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1280" w:type="dxa"/>
            <w:tcBorders>
              <w:top w:val="nil"/>
              <w:left w:val="nil"/>
              <w:bottom w:val="nil"/>
              <w:right w:val="single" w:sz="8" w:space="0" w:color="auto"/>
            </w:tcBorders>
            <w:shd w:val="clear" w:color="auto" w:fill="auto"/>
            <w:noWrap/>
            <w:vAlign w:val="bottom"/>
            <w:hideMark/>
          </w:tcPr>
          <w:p w14:paraId="39D727A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77</w:t>
            </w:r>
          </w:p>
        </w:tc>
      </w:tr>
      <w:tr w:rsidR="00FC1F1A" w:rsidRPr="00FC1F1A" w14:paraId="708B704B"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6EF5AD4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Gregory 2021</w:t>
            </w:r>
          </w:p>
        </w:tc>
        <w:tc>
          <w:tcPr>
            <w:tcW w:w="639" w:type="dxa"/>
            <w:tcBorders>
              <w:top w:val="nil"/>
              <w:left w:val="nil"/>
              <w:bottom w:val="nil"/>
              <w:right w:val="nil"/>
            </w:tcBorders>
            <w:shd w:val="clear" w:color="auto" w:fill="auto"/>
            <w:noWrap/>
            <w:vAlign w:val="bottom"/>
            <w:hideMark/>
          </w:tcPr>
          <w:p w14:paraId="6204D82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27</w:t>
            </w:r>
          </w:p>
        </w:tc>
        <w:tc>
          <w:tcPr>
            <w:tcW w:w="1677" w:type="dxa"/>
            <w:tcBorders>
              <w:top w:val="nil"/>
              <w:left w:val="nil"/>
              <w:bottom w:val="nil"/>
              <w:right w:val="nil"/>
            </w:tcBorders>
            <w:shd w:val="clear" w:color="auto" w:fill="auto"/>
            <w:noWrap/>
            <w:vAlign w:val="bottom"/>
            <w:hideMark/>
          </w:tcPr>
          <w:p w14:paraId="6EE530E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6991D48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JHEP rep</w:t>
            </w:r>
          </w:p>
        </w:tc>
        <w:tc>
          <w:tcPr>
            <w:tcW w:w="1280" w:type="dxa"/>
            <w:tcBorders>
              <w:top w:val="nil"/>
              <w:left w:val="nil"/>
              <w:bottom w:val="nil"/>
              <w:right w:val="single" w:sz="8" w:space="0" w:color="auto"/>
            </w:tcBorders>
            <w:shd w:val="clear" w:color="auto" w:fill="auto"/>
            <w:noWrap/>
            <w:vAlign w:val="bottom"/>
            <w:hideMark/>
          </w:tcPr>
          <w:p w14:paraId="1A92106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25</w:t>
            </w:r>
          </w:p>
        </w:tc>
      </w:tr>
      <w:tr w:rsidR="00FC1F1A" w:rsidRPr="00FC1F1A" w14:paraId="10295AC3"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305FCE4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Harriman 2016</w:t>
            </w:r>
          </w:p>
        </w:tc>
        <w:tc>
          <w:tcPr>
            <w:tcW w:w="639" w:type="dxa"/>
            <w:tcBorders>
              <w:top w:val="nil"/>
              <w:left w:val="nil"/>
              <w:bottom w:val="nil"/>
              <w:right w:val="nil"/>
            </w:tcBorders>
            <w:shd w:val="clear" w:color="auto" w:fill="auto"/>
            <w:noWrap/>
            <w:vAlign w:val="bottom"/>
            <w:hideMark/>
          </w:tcPr>
          <w:p w14:paraId="66795C5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29</w:t>
            </w:r>
          </w:p>
        </w:tc>
        <w:tc>
          <w:tcPr>
            <w:tcW w:w="1677" w:type="dxa"/>
            <w:tcBorders>
              <w:top w:val="nil"/>
              <w:left w:val="nil"/>
              <w:bottom w:val="nil"/>
              <w:right w:val="nil"/>
            </w:tcBorders>
            <w:shd w:val="clear" w:color="auto" w:fill="auto"/>
            <w:noWrap/>
            <w:vAlign w:val="bottom"/>
            <w:hideMark/>
          </w:tcPr>
          <w:p w14:paraId="58D7B08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659BCC6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1280" w:type="dxa"/>
            <w:tcBorders>
              <w:top w:val="nil"/>
              <w:left w:val="nil"/>
              <w:bottom w:val="nil"/>
              <w:right w:val="single" w:sz="8" w:space="0" w:color="auto"/>
            </w:tcBorders>
            <w:shd w:val="clear" w:color="auto" w:fill="auto"/>
            <w:noWrap/>
            <w:vAlign w:val="bottom"/>
            <w:hideMark/>
          </w:tcPr>
          <w:p w14:paraId="24FCC54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31</w:t>
            </w:r>
          </w:p>
        </w:tc>
      </w:tr>
      <w:tr w:rsidR="00FC1F1A" w:rsidRPr="00FC1F1A" w14:paraId="484092F1"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1D8BAB2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Klatte 2023</w:t>
            </w:r>
          </w:p>
        </w:tc>
        <w:tc>
          <w:tcPr>
            <w:tcW w:w="639" w:type="dxa"/>
            <w:tcBorders>
              <w:top w:val="nil"/>
              <w:left w:val="nil"/>
              <w:bottom w:val="nil"/>
              <w:right w:val="nil"/>
            </w:tcBorders>
            <w:shd w:val="clear" w:color="auto" w:fill="auto"/>
            <w:noWrap/>
            <w:vAlign w:val="bottom"/>
            <w:hideMark/>
          </w:tcPr>
          <w:p w14:paraId="1230E4F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w:t>
            </w:r>
          </w:p>
        </w:tc>
        <w:tc>
          <w:tcPr>
            <w:tcW w:w="1677" w:type="dxa"/>
            <w:tcBorders>
              <w:top w:val="nil"/>
              <w:left w:val="nil"/>
              <w:bottom w:val="nil"/>
              <w:right w:val="nil"/>
            </w:tcBorders>
            <w:shd w:val="clear" w:color="auto" w:fill="auto"/>
            <w:noWrap/>
            <w:vAlign w:val="bottom"/>
            <w:hideMark/>
          </w:tcPr>
          <w:p w14:paraId="78CD62C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7A532DD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MRM</w:t>
            </w:r>
          </w:p>
        </w:tc>
        <w:tc>
          <w:tcPr>
            <w:tcW w:w="1280" w:type="dxa"/>
            <w:tcBorders>
              <w:top w:val="nil"/>
              <w:left w:val="nil"/>
              <w:bottom w:val="nil"/>
              <w:right w:val="single" w:sz="8" w:space="0" w:color="auto"/>
            </w:tcBorders>
            <w:shd w:val="clear" w:color="auto" w:fill="auto"/>
            <w:noWrap/>
            <w:vAlign w:val="bottom"/>
            <w:hideMark/>
          </w:tcPr>
          <w:p w14:paraId="641301F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69</w:t>
            </w:r>
          </w:p>
        </w:tc>
      </w:tr>
      <w:tr w:rsidR="00FC1F1A" w:rsidRPr="00FC1F1A" w14:paraId="13467698"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7051F25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Lindsley 2022</w:t>
            </w:r>
          </w:p>
        </w:tc>
        <w:tc>
          <w:tcPr>
            <w:tcW w:w="639" w:type="dxa"/>
            <w:tcBorders>
              <w:top w:val="nil"/>
              <w:left w:val="nil"/>
              <w:bottom w:val="nil"/>
              <w:right w:val="nil"/>
            </w:tcBorders>
            <w:shd w:val="clear" w:color="auto" w:fill="auto"/>
            <w:noWrap/>
            <w:vAlign w:val="bottom"/>
            <w:hideMark/>
          </w:tcPr>
          <w:p w14:paraId="12CA64F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41</w:t>
            </w:r>
          </w:p>
        </w:tc>
        <w:tc>
          <w:tcPr>
            <w:tcW w:w="1677" w:type="dxa"/>
            <w:tcBorders>
              <w:top w:val="nil"/>
              <w:left w:val="nil"/>
              <w:bottom w:val="nil"/>
              <w:right w:val="nil"/>
            </w:tcBorders>
            <w:shd w:val="clear" w:color="auto" w:fill="auto"/>
            <w:noWrap/>
            <w:vAlign w:val="bottom"/>
            <w:hideMark/>
          </w:tcPr>
          <w:p w14:paraId="7991547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576149A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JCE</w:t>
            </w:r>
          </w:p>
        </w:tc>
        <w:tc>
          <w:tcPr>
            <w:tcW w:w="1280" w:type="dxa"/>
            <w:tcBorders>
              <w:top w:val="nil"/>
              <w:left w:val="nil"/>
              <w:bottom w:val="nil"/>
              <w:right w:val="single" w:sz="8" w:space="0" w:color="auto"/>
            </w:tcBorders>
            <w:shd w:val="clear" w:color="auto" w:fill="auto"/>
            <w:noWrap/>
            <w:vAlign w:val="bottom"/>
            <w:hideMark/>
          </w:tcPr>
          <w:p w14:paraId="4A53FE1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36.7</w:t>
            </w:r>
          </w:p>
        </w:tc>
      </w:tr>
      <w:tr w:rsidR="00FC1F1A" w:rsidRPr="00FC1F1A" w14:paraId="290C5067"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1140635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Mathieu 2009</w:t>
            </w:r>
          </w:p>
        </w:tc>
        <w:tc>
          <w:tcPr>
            <w:tcW w:w="639" w:type="dxa"/>
            <w:tcBorders>
              <w:top w:val="nil"/>
              <w:left w:val="nil"/>
              <w:bottom w:val="nil"/>
              <w:right w:val="nil"/>
            </w:tcBorders>
            <w:shd w:val="clear" w:color="auto" w:fill="auto"/>
            <w:noWrap/>
            <w:vAlign w:val="bottom"/>
            <w:hideMark/>
          </w:tcPr>
          <w:p w14:paraId="6E2FA3F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43</w:t>
            </w:r>
          </w:p>
        </w:tc>
        <w:tc>
          <w:tcPr>
            <w:tcW w:w="1677" w:type="dxa"/>
            <w:tcBorders>
              <w:top w:val="nil"/>
              <w:left w:val="nil"/>
              <w:bottom w:val="nil"/>
              <w:right w:val="nil"/>
            </w:tcBorders>
            <w:shd w:val="clear" w:color="auto" w:fill="auto"/>
            <w:noWrap/>
            <w:vAlign w:val="bottom"/>
            <w:hideMark/>
          </w:tcPr>
          <w:p w14:paraId="34B2571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38C483F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JAMA</w:t>
            </w:r>
          </w:p>
        </w:tc>
        <w:tc>
          <w:tcPr>
            <w:tcW w:w="1280" w:type="dxa"/>
            <w:tcBorders>
              <w:top w:val="nil"/>
              <w:left w:val="nil"/>
              <w:bottom w:val="nil"/>
              <w:right w:val="single" w:sz="8" w:space="0" w:color="auto"/>
            </w:tcBorders>
            <w:shd w:val="clear" w:color="000000" w:fill="F1A983"/>
            <w:noWrap/>
            <w:vAlign w:val="bottom"/>
            <w:hideMark/>
          </w:tcPr>
          <w:p w14:paraId="6606AC4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86</w:t>
            </w:r>
          </w:p>
        </w:tc>
      </w:tr>
      <w:tr w:rsidR="00FC1F1A" w:rsidRPr="00FC1F1A" w14:paraId="71D93BED"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587537C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Odutayo</w:t>
            </w:r>
            <w:proofErr w:type="spellEnd"/>
            <w:r w:rsidRPr="00FC1F1A">
              <w:rPr>
                <w:rFonts w:ascii="Aptos Narrow" w:eastAsia="Times New Roman" w:hAnsi="Aptos Narrow" w:cs="Times New Roman"/>
                <w:color w:val="000000"/>
                <w:kern w:val="0"/>
                <w:lang w:eastAsia="en-GB"/>
                <w14:ligatures w14:val="none"/>
              </w:rPr>
              <w:t xml:space="preserve"> 2017</w:t>
            </w:r>
          </w:p>
        </w:tc>
        <w:tc>
          <w:tcPr>
            <w:tcW w:w="639" w:type="dxa"/>
            <w:tcBorders>
              <w:top w:val="nil"/>
              <w:left w:val="nil"/>
              <w:bottom w:val="nil"/>
              <w:right w:val="nil"/>
            </w:tcBorders>
            <w:shd w:val="clear" w:color="auto" w:fill="auto"/>
            <w:noWrap/>
            <w:vAlign w:val="bottom"/>
            <w:hideMark/>
          </w:tcPr>
          <w:p w14:paraId="23E9247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45</w:t>
            </w:r>
          </w:p>
        </w:tc>
        <w:tc>
          <w:tcPr>
            <w:tcW w:w="1677" w:type="dxa"/>
            <w:tcBorders>
              <w:top w:val="nil"/>
              <w:left w:val="nil"/>
              <w:bottom w:val="nil"/>
              <w:right w:val="nil"/>
            </w:tcBorders>
            <w:shd w:val="clear" w:color="auto" w:fill="auto"/>
            <w:noWrap/>
            <w:vAlign w:val="bottom"/>
            <w:hideMark/>
          </w:tcPr>
          <w:p w14:paraId="4228769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25597F4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w:t>
            </w:r>
          </w:p>
        </w:tc>
        <w:tc>
          <w:tcPr>
            <w:tcW w:w="1280" w:type="dxa"/>
            <w:tcBorders>
              <w:top w:val="nil"/>
              <w:left w:val="nil"/>
              <w:bottom w:val="nil"/>
              <w:right w:val="single" w:sz="8" w:space="0" w:color="auto"/>
            </w:tcBorders>
            <w:shd w:val="clear" w:color="auto" w:fill="auto"/>
            <w:noWrap/>
            <w:vAlign w:val="bottom"/>
            <w:hideMark/>
          </w:tcPr>
          <w:p w14:paraId="7573ADA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37.4</w:t>
            </w:r>
          </w:p>
        </w:tc>
      </w:tr>
      <w:tr w:rsidR="00FC1F1A" w:rsidRPr="00FC1F1A" w14:paraId="2C89BD38"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35DCDAB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Riemer 2021</w:t>
            </w:r>
          </w:p>
        </w:tc>
        <w:tc>
          <w:tcPr>
            <w:tcW w:w="639" w:type="dxa"/>
            <w:tcBorders>
              <w:top w:val="nil"/>
              <w:left w:val="nil"/>
              <w:bottom w:val="nil"/>
              <w:right w:val="nil"/>
            </w:tcBorders>
            <w:shd w:val="clear" w:color="auto" w:fill="auto"/>
            <w:noWrap/>
            <w:vAlign w:val="bottom"/>
            <w:hideMark/>
          </w:tcPr>
          <w:p w14:paraId="74BFCD2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53</w:t>
            </w:r>
          </w:p>
        </w:tc>
        <w:tc>
          <w:tcPr>
            <w:tcW w:w="1677" w:type="dxa"/>
            <w:tcBorders>
              <w:top w:val="nil"/>
              <w:left w:val="nil"/>
              <w:bottom w:val="nil"/>
              <w:right w:val="nil"/>
            </w:tcBorders>
            <w:shd w:val="clear" w:color="auto" w:fill="auto"/>
            <w:noWrap/>
            <w:vAlign w:val="bottom"/>
            <w:hideMark/>
          </w:tcPr>
          <w:p w14:paraId="7D2DA11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5A88CB7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xml:space="preserve">BMC </w:t>
            </w:r>
            <w:proofErr w:type="spellStart"/>
            <w:r w:rsidRPr="00FC1F1A">
              <w:rPr>
                <w:rFonts w:ascii="Aptos Narrow" w:eastAsia="Times New Roman" w:hAnsi="Aptos Narrow" w:cs="Times New Roman"/>
                <w:color w:val="000000"/>
                <w:kern w:val="0"/>
                <w:lang w:eastAsia="en-GB"/>
                <w14:ligatures w14:val="none"/>
              </w:rPr>
              <w:t>Anesthesiology</w:t>
            </w:r>
            <w:proofErr w:type="spellEnd"/>
          </w:p>
        </w:tc>
        <w:tc>
          <w:tcPr>
            <w:tcW w:w="1280" w:type="dxa"/>
            <w:tcBorders>
              <w:top w:val="nil"/>
              <w:left w:val="nil"/>
              <w:bottom w:val="nil"/>
              <w:right w:val="single" w:sz="8" w:space="0" w:color="auto"/>
            </w:tcBorders>
            <w:shd w:val="clear" w:color="auto" w:fill="auto"/>
            <w:noWrap/>
            <w:vAlign w:val="bottom"/>
            <w:hideMark/>
          </w:tcPr>
          <w:p w14:paraId="4CF34AC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36</w:t>
            </w:r>
          </w:p>
        </w:tc>
      </w:tr>
      <w:tr w:rsidR="00FC1F1A" w:rsidRPr="00FC1F1A" w14:paraId="2F2EBA59"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3B2CD4E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Scott 2015</w:t>
            </w:r>
          </w:p>
        </w:tc>
        <w:tc>
          <w:tcPr>
            <w:tcW w:w="639" w:type="dxa"/>
            <w:tcBorders>
              <w:top w:val="nil"/>
              <w:left w:val="nil"/>
              <w:bottom w:val="nil"/>
              <w:right w:val="nil"/>
            </w:tcBorders>
            <w:shd w:val="clear" w:color="auto" w:fill="auto"/>
            <w:noWrap/>
            <w:vAlign w:val="bottom"/>
            <w:hideMark/>
          </w:tcPr>
          <w:p w14:paraId="41F0674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64</w:t>
            </w:r>
          </w:p>
        </w:tc>
        <w:tc>
          <w:tcPr>
            <w:tcW w:w="1677" w:type="dxa"/>
            <w:tcBorders>
              <w:top w:val="nil"/>
              <w:left w:val="nil"/>
              <w:bottom w:val="nil"/>
              <w:right w:val="nil"/>
            </w:tcBorders>
            <w:shd w:val="clear" w:color="auto" w:fill="auto"/>
            <w:noWrap/>
            <w:vAlign w:val="bottom"/>
            <w:hideMark/>
          </w:tcPr>
          <w:p w14:paraId="3EB7D67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2DAB060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1280" w:type="dxa"/>
            <w:tcBorders>
              <w:top w:val="nil"/>
              <w:left w:val="nil"/>
              <w:bottom w:val="nil"/>
              <w:right w:val="single" w:sz="8" w:space="0" w:color="auto"/>
            </w:tcBorders>
            <w:shd w:val="clear" w:color="auto" w:fill="auto"/>
            <w:noWrap/>
            <w:vAlign w:val="bottom"/>
            <w:hideMark/>
          </w:tcPr>
          <w:p w14:paraId="1513AF0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53</w:t>
            </w:r>
          </w:p>
        </w:tc>
      </w:tr>
      <w:tr w:rsidR="00FC1F1A" w:rsidRPr="00FC1F1A" w14:paraId="092D48BC"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2EAFA62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Showell 2023</w:t>
            </w:r>
          </w:p>
        </w:tc>
        <w:tc>
          <w:tcPr>
            <w:tcW w:w="639" w:type="dxa"/>
            <w:tcBorders>
              <w:top w:val="nil"/>
              <w:left w:val="nil"/>
              <w:bottom w:val="nil"/>
              <w:right w:val="nil"/>
            </w:tcBorders>
            <w:shd w:val="clear" w:color="auto" w:fill="auto"/>
            <w:noWrap/>
            <w:vAlign w:val="bottom"/>
            <w:hideMark/>
          </w:tcPr>
          <w:p w14:paraId="2385D40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66</w:t>
            </w:r>
          </w:p>
        </w:tc>
        <w:tc>
          <w:tcPr>
            <w:tcW w:w="1677" w:type="dxa"/>
            <w:tcBorders>
              <w:top w:val="nil"/>
              <w:left w:val="nil"/>
              <w:bottom w:val="nil"/>
              <w:right w:val="nil"/>
            </w:tcBorders>
            <w:shd w:val="clear" w:color="auto" w:fill="auto"/>
            <w:noWrap/>
            <w:vAlign w:val="bottom"/>
            <w:hideMark/>
          </w:tcPr>
          <w:p w14:paraId="6023CA5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58153AA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1280" w:type="dxa"/>
            <w:tcBorders>
              <w:top w:val="nil"/>
              <w:left w:val="nil"/>
              <w:bottom w:val="nil"/>
              <w:right w:val="single" w:sz="8" w:space="0" w:color="auto"/>
            </w:tcBorders>
            <w:shd w:val="clear" w:color="auto" w:fill="auto"/>
            <w:noWrap/>
            <w:vAlign w:val="bottom"/>
            <w:hideMark/>
          </w:tcPr>
          <w:p w14:paraId="4176E49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48</w:t>
            </w:r>
          </w:p>
        </w:tc>
      </w:tr>
      <w:tr w:rsidR="00FC1F1A" w:rsidRPr="00FC1F1A" w14:paraId="2D0E1B0E"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294C04C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Su 2015</w:t>
            </w:r>
          </w:p>
        </w:tc>
        <w:tc>
          <w:tcPr>
            <w:tcW w:w="639" w:type="dxa"/>
            <w:tcBorders>
              <w:top w:val="nil"/>
              <w:left w:val="nil"/>
              <w:bottom w:val="nil"/>
              <w:right w:val="nil"/>
            </w:tcBorders>
            <w:shd w:val="clear" w:color="auto" w:fill="auto"/>
            <w:noWrap/>
            <w:vAlign w:val="bottom"/>
            <w:hideMark/>
          </w:tcPr>
          <w:p w14:paraId="64600DC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72</w:t>
            </w:r>
          </w:p>
        </w:tc>
        <w:tc>
          <w:tcPr>
            <w:tcW w:w="1677" w:type="dxa"/>
            <w:tcBorders>
              <w:top w:val="nil"/>
              <w:left w:val="nil"/>
              <w:bottom w:val="nil"/>
              <w:right w:val="nil"/>
            </w:tcBorders>
            <w:shd w:val="clear" w:color="auto" w:fill="auto"/>
            <w:noWrap/>
            <w:vAlign w:val="bottom"/>
            <w:hideMark/>
          </w:tcPr>
          <w:p w14:paraId="53FD49B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37018A5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1280" w:type="dxa"/>
            <w:tcBorders>
              <w:top w:val="nil"/>
              <w:left w:val="nil"/>
              <w:bottom w:val="nil"/>
              <w:right w:val="single" w:sz="8" w:space="0" w:color="auto"/>
            </w:tcBorders>
            <w:shd w:val="clear" w:color="000000" w:fill="F1A983"/>
            <w:noWrap/>
            <w:vAlign w:val="bottom"/>
            <w:hideMark/>
          </w:tcPr>
          <w:p w14:paraId="5125AA9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19.3</w:t>
            </w:r>
          </w:p>
        </w:tc>
      </w:tr>
      <w:tr w:rsidR="00FC1F1A" w:rsidRPr="00FC1F1A" w14:paraId="249C9047"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1130A46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Tan 2019</w:t>
            </w:r>
          </w:p>
        </w:tc>
        <w:tc>
          <w:tcPr>
            <w:tcW w:w="639" w:type="dxa"/>
            <w:tcBorders>
              <w:top w:val="nil"/>
              <w:left w:val="nil"/>
              <w:bottom w:val="nil"/>
              <w:right w:val="nil"/>
            </w:tcBorders>
            <w:shd w:val="clear" w:color="auto" w:fill="auto"/>
            <w:noWrap/>
            <w:vAlign w:val="bottom"/>
            <w:hideMark/>
          </w:tcPr>
          <w:p w14:paraId="121FE5B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73</w:t>
            </w:r>
          </w:p>
        </w:tc>
        <w:tc>
          <w:tcPr>
            <w:tcW w:w="1677" w:type="dxa"/>
            <w:tcBorders>
              <w:top w:val="nil"/>
              <w:left w:val="nil"/>
              <w:bottom w:val="nil"/>
              <w:right w:val="nil"/>
            </w:tcBorders>
            <w:shd w:val="clear" w:color="auto" w:fill="auto"/>
            <w:noWrap/>
            <w:vAlign w:val="bottom"/>
            <w:hideMark/>
          </w:tcPr>
          <w:p w14:paraId="6CBCD00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2285BD5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JCE</w:t>
            </w:r>
          </w:p>
        </w:tc>
        <w:tc>
          <w:tcPr>
            <w:tcW w:w="1280" w:type="dxa"/>
            <w:tcBorders>
              <w:top w:val="nil"/>
              <w:left w:val="nil"/>
              <w:bottom w:val="nil"/>
              <w:right w:val="single" w:sz="8" w:space="0" w:color="auto"/>
            </w:tcBorders>
            <w:shd w:val="clear" w:color="auto" w:fill="auto"/>
            <w:noWrap/>
            <w:vAlign w:val="bottom"/>
            <w:hideMark/>
          </w:tcPr>
          <w:p w14:paraId="7FBD84C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61</w:t>
            </w:r>
          </w:p>
        </w:tc>
      </w:tr>
      <w:tr w:rsidR="00FC1F1A" w:rsidRPr="00FC1F1A" w14:paraId="65950610"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2557CB8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TranspariMED</w:t>
            </w:r>
            <w:proofErr w:type="spellEnd"/>
            <w:r w:rsidRPr="00FC1F1A">
              <w:rPr>
                <w:rFonts w:ascii="Aptos Narrow" w:eastAsia="Times New Roman" w:hAnsi="Aptos Narrow" w:cs="Times New Roman"/>
                <w:color w:val="000000"/>
                <w:kern w:val="0"/>
                <w:lang w:eastAsia="en-GB"/>
                <w14:ligatures w14:val="none"/>
              </w:rPr>
              <w:t xml:space="preserve"> 2023</w:t>
            </w:r>
          </w:p>
        </w:tc>
        <w:tc>
          <w:tcPr>
            <w:tcW w:w="639" w:type="dxa"/>
            <w:tcBorders>
              <w:top w:val="nil"/>
              <w:left w:val="nil"/>
              <w:bottom w:val="nil"/>
              <w:right w:val="nil"/>
            </w:tcBorders>
            <w:shd w:val="clear" w:color="auto" w:fill="auto"/>
            <w:noWrap/>
            <w:vAlign w:val="bottom"/>
            <w:hideMark/>
          </w:tcPr>
          <w:p w14:paraId="3428152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77</w:t>
            </w:r>
          </w:p>
        </w:tc>
        <w:tc>
          <w:tcPr>
            <w:tcW w:w="1677" w:type="dxa"/>
            <w:tcBorders>
              <w:top w:val="nil"/>
              <w:left w:val="nil"/>
              <w:bottom w:val="nil"/>
              <w:right w:val="nil"/>
            </w:tcBorders>
            <w:shd w:val="clear" w:color="auto" w:fill="auto"/>
            <w:noWrap/>
            <w:vAlign w:val="bottom"/>
            <w:hideMark/>
          </w:tcPr>
          <w:p w14:paraId="00C0062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61B80A1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Comment on NIH audit</w:t>
            </w:r>
          </w:p>
        </w:tc>
        <w:tc>
          <w:tcPr>
            <w:tcW w:w="1280" w:type="dxa"/>
            <w:tcBorders>
              <w:top w:val="nil"/>
              <w:left w:val="nil"/>
              <w:bottom w:val="nil"/>
              <w:right w:val="single" w:sz="8" w:space="0" w:color="auto"/>
            </w:tcBorders>
            <w:shd w:val="clear" w:color="auto" w:fill="auto"/>
            <w:noWrap/>
            <w:vAlign w:val="bottom"/>
            <w:hideMark/>
          </w:tcPr>
          <w:p w14:paraId="6C67CF9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83</w:t>
            </w:r>
          </w:p>
        </w:tc>
      </w:tr>
      <w:tr w:rsidR="00FC1F1A" w:rsidRPr="00FC1F1A" w14:paraId="11101150"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2116850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Trinquart</w:t>
            </w:r>
            <w:proofErr w:type="spellEnd"/>
            <w:r w:rsidRPr="00FC1F1A">
              <w:rPr>
                <w:rFonts w:ascii="Aptos Narrow" w:eastAsia="Times New Roman" w:hAnsi="Aptos Narrow" w:cs="Times New Roman"/>
                <w:color w:val="000000"/>
                <w:kern w:val="0"/>
                <w:lang w:eastAsia="en-GB"/>
                <w14:ligatures w14:val="none"/>
              </w:rPr>
              <w:t xml:space="preserve"> 2018</w:t>
            </w:r>
          </w:p>
        </w:tc>
        <w:tc>
          <w:tcPr>
            <w:tcW w:w="639" w:type="dxa"/>
            <w:tcBorders>
              <w:top w:val="nil"/>
              <w:left w:val="nil"/>
              <w:bottom w:val="nil"/>
              <w:right w:val="nil"/>
            </w:tcBorders>
            <w:shd w:val="clear" w:color="auto" w:fill="auto"/>
            <w:noWrap/>
            <w:vAlign w:val="bottom"/>
            <w:hideMark/>
          </w:tcPr>
          <w:p w14:paraId="77FA48F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78</w:t>
            </w:r>
          </w:p>
        </w:tc>
        <w:tc>
          <w:tcPr>
            <w:tcW w:w="1677" w:type="dxa"/>
            <w:tcBorders>
              <w:top w:val="nil"/>
              <w:left w:val="nil"/>
              <w:bottom w:val="nil"/>
              <w:right w:val="nil"/>
            </w:tcBorders>
            <w:shd w:val="clear" w:color="auto" w:fill="auto"/>
            <w:noWrap/>
            <w:vAlign w:val="bottom"/>
            <w:hideMark/>
          </w:tcPr>
          <w:p w14:paraId="57CEFDE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08" w:type="dxa"/>
            <w:tcBorders>
              <w:top w:val="nil"/>
              <w:left w:val="nil"/>
              <w:bottom w:val="nil"/>
              <w:right w:val="nil"/>
            </w:tcBorders>
            <w:shd w:val="clear" w:color="auto" w:fill="auto"/>
            <w:noWrap/>
            <w:vAlign w:val="bottom"/>
            <w:hideMark/>
          </w:tcPr>
          <w:p w14:paraId="3AEE973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Med</w:t>
            </w:r>
          </w:p>
        </w:tc>
        <w:tc>
          <w:tcPr>
            <w:tcW w:w="1280" w:type="dxa"/>
            <w:tcBorders>
              <w:top w:val="nil"/>
              <w:left w:val="nil"/>
              <w:bottom w:val="nil"/>
              <w:right w:val="single" w:sz="8" w:space="0" w:color="auto"/>
            </w:tcBorders>
            <w:shd w:val="clear" w:color="auto" w:fill="auto"/>
            <w:noWrap/>
            <w:vAlign w:val="bottom"/>
            <w:hideMark/>
          </w:tcPr>
          <w:p w14:paraId="6E2B600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53</w:t>
            </w:r>
          </w:p>
        </w:tc>
      </w:tr>
      <w:tr w:rsidR="00FC1F1A" w:rsidRPr="00FC1F1A" w14:paraId="61EBE541" w14:textId="77777777" w:rsidTr="00FC1F1A">
        <w:trPr>
          <w:trHeight w:val="340"/>
        </w:trPr>
        <w:tc>
          <w:tcPr>
            <w:tcW w:w="2316" w:type="dxa"/>
            <w:tcBorders>
              <w:top w:val="nil"/>
              <w:left w:val="single" w:sz="8" w:space="0" w:color="auto"/>
              <w:bottom w:val="nil"/>
              <w:right w:val="nil"/>
            </w:tcBorders>
            <w:shd w:val="clear" w:color="auto" w:fill="auto"/>
            <w:noWrap/>
            <w:vAlign w:val="bottom"/>
            <w:hideMark/>
          </w:tcPr>
          <w:p w14:paraId="3074EE0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Viergever</w:t>
            </w:r>
            <w:proofErr w:type="spellEnd"/>
            <w:r w:rsidRPr="00FC1F1A">
              <w:rPr>
                <w:rFonts w:ascii="Aptos Narrow" w:eastAsia="Times New Roman" w:hAnsi="Aptos Narrow" w:cs="Times New Roman"/>
                <w:color w:val="000000"/>
                <w:kern w:val="0"/>
                <w:lang w:eastAsia="en-GB"/>
                <w14:ligatures w14:val="none"/>
              </w:rPr>
              <w:t xml:space="preserve"> 2011</w:t>
            </w:r>
          </w:p>
        </w:tc>
        <w:tc>
          <w:tcPr>
            <w:tcW w:w="639" w:type="dxa"/>
            <w:tcBorders>
              <w:top w:val="nil"/>
              <w:left w:val="nil"/>
              <w:bottom w:val="nil"/>
              <w:right w:val="nil"/>
            </w:tcBorders>
            <w:shd w:val="clear" w:color="auto" w:fill="auto"/>
            <w:noWrap/>
            <w:vAlign w:val="bottom"/>
            <w:hideMark/>
          </w:tcPr>
          <w:p w14:paraId="10DC2C5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81</w:t>
            </w:r>
          </w:p>
        </w:tc>
        <w:tc>
          <w:tcPr>
            <w:tcW w:w="1677" w:type="dxa"/>
            <w:tcBorders>
              <w:top w:val="nil"/>
              <w:left w:val="nil"/>
              <w:bottom w:val="nil"/>
              <w:right w:val="nil"/>
            </w:tcBorders>
            <w:shd w:val="clear" w:color="auto" w:fill="auto"/>
            <w:noWrap/>
            <w:vAlign w:val="bottom"/>
            <w:hideMark/>
          </w:tcPr>
          <w:p w14:paraId="699E602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7BDC4BE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1280" w:type="dxa"/>
            <w:tcBorders>
              <w:top w:val="nil"/>
              <w:left w:val="nil"/>
              <w:bottom w:val="nil"/>
              <w:right w:val="single" w:sz="8" w:space="0" w:color="auto"/>
            </w:tcBorders>
            <w:shd w:val="clear" w:color="auto" w:fill="auto"/>
            <w:noWrap/>
            <w:vAlign w:val="bottom"/>
            <w:hideMark/>
          </w:tcPr>
          <w:p w14:paraId="4D58C78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26</w:t>
            </w:r>
          </w:p>
        </w:tc>
      </w:tr>
      <w:tr w:rsidR="00FC1F1A" w:rsidRPr="00FC1F1A" w14:paraId="2E691840"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31C6CC9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Wieschowski 2019</w:t>
            </w:r>
          </w:p>
        </w:tc>
        <w:tc>
          <w:tcPr>
            <w:tcW w:w="639" w:type="dxa"/>
            <w:tcBorders>
              <w:top w:val="nil"/>
              <w:left w:val="nil"/>
              <w:bottom w:val="nil"/>
              <w:right w:val="nil"/>
            </w:tcBorders>
            <w:shd w:val="clear" w:color="auto" w:fill="auto"/>
            <w:noWrap/>
            <w:vAlign w:val="bottom"/>
            <w:hideMark/>
          </w:tcPr>
          <w:p w14:paraId="32A2F4B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84</w:t>
            </w:r>
          </w:p>
        </w:tc>
        <w:tc>
          <w:tcPr>
            <w:tcW w:w="1677" w:type="dxa"/>
            <w:tcBorders>
              <w:top w:val="nil"/>
              <w:left w:val="nil"/>
              <w:bottom w:val="nil"/>
              <w:right w:val="nil"/>
            </w:tcBorders>
            <w:shd w:val="clear" w:color="auto" w:fill="auto"/>
            <w:noWrap/>
            <w:vAlign w:val="bottom"/>
            <w:hideMark/>
          </w:tcPr>
          <w:p w14:paraId="309253F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78AB010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JCE</w:t>
            </w:r>
          </w:p>
        </w:tc>
        <w:tc>
          <w:tcPr>
            <w:tcW w:w="1280" w:type="dxa"/>
            <w:tcBorders>
              <w:top w:val="nil"/>
              <w:left w:val="nil"/>
              <w:bottom w:val="nil"/>
              <w:right w:val="single" w:sz="8" w:space="0" w:color="auto"/>
            </w:tcBorders>
            <w:shd w:val="clear" w:color="auto" w:fill="auto"/>
            <w:noWrap/>
            <w:vAlign w:val="bottom"/>
            <w:hideMark/>
          </w:tcPr>
          <w:p w14:paraId="5352E6B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25</w:t>
            </w:r>
          </w:p>
        </w:tc>
      </w:tr>
      <w:tr w:rsidR="00FC1F1A" w:rsidRPr="00FC1F1A" w14:paraId="11D44084"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10D4241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Won 2019</w:t>
            </w:r>
          </w:p>
        </w:tc>
        <w:tc>
          <w:tcPr>
            <w:tcW w:w="639" w:type="dxa"/>
            <w:tcBorders>
              <w:top w:val="nil"/>
              <w:left w:val="nil"/>
              <w:bottom w:val="nil"/>
              <w:right w:val="nil"/>
            </w:tcBorders>
            <w:shd w:val="clear" w:color="auto" w:fill="auto"/>
            <w:noWrap/>
            <w:vAlign w:val="bottom"/>
            <w:hideMark/>
          </w:tcPr>
          <w:p w14:paraId="357891B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86</w:t>
            </w:r>
          </w:p>
        </w:tc>
        <w:tc>
          <w:tcPr>
            <w:tcW w:w="1677" w:type="dxa"/>
            <w:tcBorders>
              <w:top w:val="nil"/>
              <w:left w:val="nil"/>
              <w:bottom w:val="nil"/>
              <w:right w:val="nil"/>
            </w:tcBorders>
            <w:shd w:val="clear" w:color="auto" w:fill="auto"/>
            <w:noWrap/>
            <w:vAlign w:val="bottom"/>
            <w:hideMark/>
          </w:tcPr>
          <w:p w14:paraId="6D7A144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7F68037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1280" w:type="dxa"/>
            <w:tcBorders>
              <w:top w:val="nil"/>
              <w:left w:val="nil"/>
              <w:bottom w:val="nil"/>
              <w:right w:val="single" w:sz="8" w:space="0" w:color="auto"/>
            </w:tcBorders>
            <w:shd w:val="clear" w:color="auto" w:fill="auto"/>
            <w:noWrap/>
            <w:vAlign w:val="bottom"/>
            <w:hideMark/>
          </w:tcPr>
          <w:p w14:paraId="5459BDD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22.30</w:t>
            </w:r>
          </w:p>
        </w:tc>
      </w:tr>
      <w:tr w:rsidR="00FC1F1A" w:rsidRPr="00FC1F1A" w14:paraId="1EC56D7F" w14:textId="77777777" w:rsidTr="00FC1F1A">
        <w:trPr>
          <w:trHeight w:val="320"/>
        </w:trPr>
        <w:tc>
          <w:tcPr>
            <w:tcW w:w="2316" w:type="dxa"/>
            <w:tcBorders>
              <w:top w:val="nil"/>
              <w:left w:val="single" w:sz="8" w:space="0" w:color="auto"/>
              <w:bottom w:val="nil"/>
              <w:right w:val="nil"/>
            </w:tcBorders>
            <w:shd w:val="clear" w:color="auto" w:fill="auto"/>
            <w:noWrap/>
            <w:vAlign w:val="bottom"/>
            <w:hideMark/>
          </w:tcPr>
          <w:p w14:paraId="16BBBAE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 2022</w:t>
            </w:r>
          </w:p>
        </w:tc>
        <w:tc>
          <w:tcPr>
            <w:tcW w:w="639" w:type="dxa"/>
            <w:tcBorders>
              <w:top w:val="nil"/>
              <w:left w:val="nil"/>
              <w:bottom w:val="nil"/>
              <w:right w:val="nil"/>
            </w:tcBorders>
            <w:shd w:val="clear" w:color="auto" w:fill="auto"/>
            <w:noWrap/>
            <w:vAlign w:val="bottom"/>
            <w:hideMark/>
          </w:tcPr>
          <w:p w14:paraId="3AFE1D8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87</w:t>
            </w:r>
          </w:p>
        </w:tc>
        <w:tc>
          <w:tcPr>
            <w:tcW w:w="1677" w:type="dxa"/>
            <w:tcBorders>
              <w:top w:val="nil"/>
              <w:left w:val="nil"/>
              <w:bottom w:val="nil"/>
              <w:right w:val="nil"/>
            </w:tcBorders>
            <w:shd w:val="clear" w:color="auto" w:fill="auto"/>
            <w:noWrap/>
            <w:vAlign w:val="bottom"/>
            <w:hideMark/>
          </w:tcPr>
          <w:p w14:paraId="41C0070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08" w:type="dxa"/>
            <w:tcBorders>
              <w:top w:val="nil"/>
              <w:left w:val="nil"/>
              <w:bottom w:val="nil"/>
              <w:right w:val="nil"/>
            </w:tcBorders>
            <w:shd w:val="clear" w:color="auto" w:fill="auto"/>
            <w:noWrap/>
            <w:vAlign w:val="bottom"/>
            <w:hideMark/>
          </w:tcPr>
          <w:p w14:paraId="7ED9A35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JThoracDis</w:t>
            </w:r>
            <w:proofErr w:type="spellEnd"/>
          </w:p>
        </w:tc>
        <w:tc>
          <w:tcPr>
            <w:tcW w:w="1280" w:type="dxa"/>
            <w:tcBorders>
              <w:top w:val="nil"/>
              <w:left w:val="nil"/>
              <w:bottom w:val="nil"/>
              <w:right w:val="single" w:sz="8" w:space="0" w:color="auto"/>
            </w:tcBorders>
            <w:shd w:val="clear" w:color="auto" w:fill="auto"/>
            <w:noWrap/>
            <w:vAlign w:val="bottom"/>
            <w:hideMark/>
          </w:tcPr>
          <w:p w14:paraId="7E5BB1EB"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43</w:t>
            </w:r>
          </w:p>
        </w:tc>
      </w:tr>
      <w:tr w:rsidR="00FC1F1A" w:rsidRPr="00FC1F1A" w14:paraId="4EE8E7D3" w14:textId="77777777" w:rsidTr="00FC1F1A">
        <w:trPr>
          <w:trHeight w:val="340"/>
        </w:trPr>
        <w:tc>
          <w:tcPr>
            <w:tcW w:w="2316" w:type="dxa"/>
            <w:tcBorders>
              <w:top w:val="nil"/>
              <w:left w:val="single" w:sz="8" w:space="0" w:color="auto"/>
              <w:bottom w:val="single" w:sz="8" w:space="0" w:color="auto"/>
              <w:right w:val="nil"/>
            </w:tcBorders>
            <w:shd w:val="clear" w:color="auto" w:fill="auto"/>
            <w:noWrap/>
            <w:vAlign w:val="bottom"/>
            <w:hideMark/>
          </w:tcPr>
          <w:p w14:paraId="170674F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Zarin 2017</w:t>
            </w:r>
          </w:p>
        </w:tc>
        <w:tc>
          <w:tcPr>
            <w:tcW w:w="639" w:type="dxa"/>
            <w:tcBorders>
              <w:top w:val="nil"/>
              <w:left w:val="nil"/>
              <w:bottom w:val="single" w:sz="8" w:space="0" w:color="auto"/>
              <w:right w:val="nil"/>
            </w:tcBorders>
            <w:shd w:val="clear" w:color="auto" w:fill="auto"/>
            <w:noWrap/>
            <w:vAlign w:val="bottom"/>
            <w:hideMark/>
          </w:tcPr>
          <w:p w14:paraId="6DC2A4D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89</w:t>
            </w:r>
          </w:p>
        </w:tc>
        <w:tc>
          <w:tcPr>
            <w:tcW w:w="1677" w:type="dxa"/>
            <w:tcBorders>
              <w:top w:val="nil"/>
              <w:left w:val="nil"/>
              <w:bottom w:val="single" w:sz="8" w:space="0" w:color="auto"/>
              <w:right w:val="nil"/>
            </w:tcBorders>
            <w:shd w:val="clear" w:color="auto" w:fill="auto"/>
            <w:noWrap/>
            <w:vAlign w:val="bottom"/>
            <w:hideMark/>
          </w:tcPr>
          <w:p w14:paraId="5F3A95E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08" w:type="dxa"/>
            <w:tcBorders>
              <w:top w:val="nil"/>
              <w:left w:val="nil"/>
              <w:bottom w:val="single" w:sz="8" w:space="0" w:color="auto"/>
              <w:right w:val="nil"/>
            </w:tcBorders>
            <w:shd w:val="clear" w:color="auto" w:fill="auto"/>
            <w:noWrap/>
            <w:vAlign w:val="bottom"/>
            <w:hideMark/>
          </w:tcPr>
          <w:p w14:paraId="6595E25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NEJM</w:t>
            </w:r>
          </w:p>
        </w:tc>
        <w:tc>
          <w:tcPr>
            <w:tcW w:w="1280" w:type="dxa"/>
            <w:tcBorders>
              <w:top w:val="nil"/>
              <w:left w:val="nil"/>
              <w:bottom w:val="single" w:sz="8" w:space="0" w:color="auto"/>
              <w:right w:val="single" w:sz="8" w:space="0" w:color="auto"/>
            </w:tcBorders>
            <w:shd w:val="clear" w:color="auto" w:fill="auto"/>
            <w:noWrap/>
            <w:vAlign w:val="bottom"/>
            <w:hideMark/>
          </w:tcPr>
          <w:p w14:paraId="4218DD2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67.2</w:t>
            </w:r>
          </w:p>
        </w:tc>
      </w:tr>
      <w:tr w:rsidR="00FC1F1A" w:rsidRPr="00FC1F1A" w14:paraId="17CF03E7" w14:textId="77777777" w:rsidTr="00FC1F1A">
        <w:trPr>
          <w:trHeight w:val="320"/>
        </w:trPr>
        <w:tc>
          <w:tcPr>
            <w:tcW w:w="2316" w:type="dxa"/>
            <w:tcBorders>
              <w:top w:val="nil"/>
              <w:left w:val="nil"/>
              <w:bottom w:val="nil"/>
              <w:right w:val="nil"/>
            </w:tcBorders>
            <w:shd w:val="clear" w:color="000000" w:fill="FFFFFF"/>
            <w:noWrap/>
            <w:vAlign w:val="bottom"/>
            <w:hideMark/>
          </w:tcPr>
          <w:p w14:paraId="58126E8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639" w:type="dxa"/>
            <w:tcBorders>
              <w:top w:val="nil"/>
              <w:left w:val="nil"/>
              <w:bottom w:val="nil"/>
              <w:right w:val="nil"/>
            </w:tcBorders>
            <w:shd w:val="clear" w:color="000000" w:fill="FFFFFF"/>
            <w:noWrap/>
            <w:vAlign w:val="bottom"/>
            <w:hideMark/>
          </w:tcPr>
          <w:p w14:paraId="5626376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677" w:type="dxa"/>
            <w:tcBorders>
              <w:top w:val="nil"/>
              <w:left w:val="nil"/>
              <w:bottom w:val="nil"/>
              <w:right w:val="nil"/>
            </w:tcBorders>
            <w:shd w:val="clear" w:color="000000" w:fill="FFFFFF"/>
            <w:noWrap/>
            <w:vAlign w:val="bottom"/>
            <w:hideMark/>
          </w:tcPr>
          <w:p w14:paraId="13297EB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08" w:type="dxa"/>
            <w:tcBorders>
              <w:top w:val="nil"/>
              <w:left w:val="single" w:sz="8" w:space="0" w:color="auto"/>
              <w:bottom w:val="single" w:sz="4" w:space="0" w:color="auto"/>
              <w:right w:val="single" w:sz="4" w:space="0" w:color="auto"/>
            </w:tcBorders>
            <w:shd w:val="clear" w:color="auto" w:fill="auto"/>
            <w:noWrap/>
            <w:vAlign w:val="bottom"/>
            <w:hideMark/>
          </w:tcPr>
          <w:p w14:paraId="39EFAADE"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Mean</w:t>
            </w:r>
          </w:p>
        </w:tc>
        <w:tc>
          <w:tcPr>
            <w:tcW w:w="1280" w:type="dxa"/>
            <w:tcBorders>
              <w:top w:val="nil"/>
              <w:left w:val="nil"/>
              <w:bottom w:val="single" w:sz="4" w:space="0" w:color="auto"/>
              <w:right w:val="single" w:sz="8" w:space="0" w:color="auto"/>
            </w:tcBorders>
            <w:shd w:val="clear" w:color="auto" w:fill="auto"/>
            <w:noWrap/>
            <w:vAlign w:val="bottom"/>
            <w:hideMark/>
          </w:tcPr>
          <w:p w14:paraId="3A7AE5CF"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47</w:t>
            </w:r>
          </w:p>
        </w:tc>
      </w:tr>
      <w:tr w:rsidR="00FC1F1A" w:rsidRPr="00FC1F1A" w14:paraId="29707068" w14:textId="77777777" w:rsidTr="00FC1F1A">
        <w:trPr>
          <w:trHeight w:val="320"/>
        </w:trPr>
        <w:tc>
          <w:tcPr>
            <w:tcW w:w="2316" w:type="dxa"/>
            <w:tcBorders>
              <w:top w:val="nil"/>
              <w:left w:val="nil"/>
              <w:bottom w:val="nil"/>
              <w:right w:val="nil"/>
            </w:tcBorders>
            <w:shd w:val="clear" w:color="000000" w:fill="FFFFFF"/>
            <w:noWrap/>
            <w:vAlign w:val="bottom"/>
            <w:hideMark/>
          </w:tcPr>
          <w:p w14:paraId="7BD5764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639" w:type="dxa"/>
            <w:tcBorders>
              <w:top w:val="nil"/>
              <w:left w:val="nil"/>
              <w:bottom w:val="nil"/>
              <w:right w:val="nil"/>
            </w:tcBorders>
            <w:shd w:val="clear" w:color="000000" w:fill="FFFFFF"/>
            <w:noWrap/>
            <w:vAlign w:val="bottom"/>
            <w:hideMark/>
          </w:tcPr>
          <w:p w14:paraId="4726847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677" w:type="dxa"/>
            <w:tcBorders>
              <w:top w:val="nil"/>
              <w:left w:val="nil"/>
              <w:bottom w:val="nil"/>
              <w:right w:val="nil"/>
            </w:tcBorders>
            <w:shd w:val="clear" w:color="000000" w:fill="FFFFFF"/>
            <w:noWrap/>
            <w:vAlign w:val="bottom"/>
            <w:hideMark/>
          </w:tcPr>
          <w:p w14:paraId="2BB39B0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08" w:type="dxa"/>
            <w:tcBorders>
              <w:top w:val="nil"/>
              <w:left w:val="single" w:sz="8" w:space="0" w:color="auto"/>
              <w:bottom w:val="single" w:sz="4" w:space="0" w:color="auto"/>
              <w:right w:val="single" w:sz="4" w:space="0" w:color="auto"/>
            </w:tcBorders>
            <w:shd w:val="clear" w:color="auto" w:fill="auto"/>
            <w:noWrap/>
            <w:vAlign w:val="bottom"/>
            <w:hideMark/>
          </w:tcPr>
          <w:p w14:paraId="244F02F5"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Median</w:t>
            </w:r>
          </w:p>
        </w:tc>
        <w:tc>
          <w:tcPr>
            <w:tcW w:w="1280" w:type="dxa"/>
            <w:tcBorders>
              <w:top w:val="nil"/>
              <w:left w:val="nil"/>
              <w:bottom w:val="single" w:sz="4" w:space="0" w:color="auto"/>
              <w:right w:val="single" w:sz="8" w:space="0" w:color="auto"/>
            </w:tcBorders>
            <w:shd w:val="clear" w:color="auto" w:fill="auto"/>
            <w:noWrap/>
            <w:vAlign w:val="bottom"/>
            <w:hideMark/>
          </w:tcPr>
          <w:p w14:paraId="0631395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40</w:t>
            </w:r>
          </w:p>
        </w:tc>
      </w:tr>
      <w:tr w:rsidR="00FC1F1A" w:rsidRPr="00FC1F1A" w14:paraId="79BFE91D" w14:textId="77777777" w:rsidTr="00FC1F1A">
        <w:trPr>
          <w:trHeight w:val="320"/>
        </w:trPr>
        <w:tc>
          <w:tcPr>
            <w:tcW w:w="2316" w:type="dxa"/>
            <w:tcBorders>
              <w:top w:val="nil"/>
              <w:left w:val="nil"/>
              <w:bottom w:val="nil"/>
              <w:right w:val="nil"/>
            </w:tcBorders>
            <w:shd w:val="clear" w:color="000000" w:fill="FFFFFF"/>
            <w:noWrap/>
            <w:vAlign w:val="bottom"/>
            <w:hideMark/>
          </w:tcPr>
          <w:p w14:paraId="5994FE0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639" w:type="dxa"/>
            <w:tcBorders>
              <w:top w:val="nil"/>
              <w:left w:val="nil"/>
              <w:bottom w:val="nil"/>
              <w:right w:val="nil"/>
            </w:tcBorders>
            <w:shd w:val="clear" w:color="000000" w:fill="FFFFFF"/>
            <w:noWrap/>
            <w:vAlign w:val="bottom"/>
            <w:hideMark/>
          </w:tcPr>
          <w:p w14:paraId="43E3225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677" w:type="dxa"/>
            <w:tcBorders>
              <w:top w:val="nil"/>
              <w:left w:val="nil"/>
              <w:bottom w:val="nil"/>
              <w:right w:val="nil"/>
            </w:tcBorders>
            <w:shd w:val="clear" w:color="000000" w:fill="FFFFFF"/>
            <w:noWrap/>
            <w:vAlign w:val="bottom"/>
            <w:hideMark/>
          </w:tcPr>
          <w:p w14:paraId="7BAA74B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08" w:type="dxa"/>
            <w:tcBorders>
              <w:top w:val="nil"/>
              <w:left w:val="single" w:sz="8" w:space="0" w:color="auto"/>
              <w:bottom w:val="single" w:sz="4" w:space="0" w:color="auto"/>
              <w:right w:val="single" w:sz="4" w:space="0" w:color="auto"/>
            </w:tcBorders>
            <w:shd w:val="clear" w:color="auto" w:fill="auto"/>
            <w:noWrap/>
            <w:vAlign w:val="bottom"/>
            <w:hideMark/>
          </w:tcPr>
          <w:p w14:paraId="554BB6DE"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Lowest</w:t>
            </w:r>
          </w:p>
        </w:tc>
        <w:tc>
          <w:tcPr>
            <w:tcW w:w="1280" w:type="dxa"/>
            <w:tcBorders>
              <w:top w:val="nil"/>
              <w:left w:val="nil"/>
              <w:bottom w:val="single" w:sz="4" w:space="0" w:color="auto"/>
              <w:right w:val="single" w:sz="8" w:space="0" w:color="auto"/>
            </w:tcBorders>
            <w:shd w:val="clear" w:color="auto" w:fill="auto"/>
            <w:noWrap/>
            <w:vAlign w:val="bottom"/>
            <w:hideMark/>
          </w:tcPr>
          <w:p w14:paraId="54B3333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19</w:t>
            </w:r>
          </w:p>
        </w:tc>
      </w:tr>
      <w:tr w:rsidR="00FC1F1A" w:rsidRPr="00FC1F1A" w14:paraId="0AD7CB91" w14:textId="77777777" w:rsidTr="00FC1F1A">
        <w:trPr>
          <w:trHeight w:val="340"/>
        </w:trPr>
        <w:tc>
          <w:tcPr>
            <w:tcW w:w="2316" w:type="dxa"/>
            <w:tcBorders>
              <w:top w:val="nil"/>
              <w:left w:val="nil"/>
              <w:bottom w:val="nil"/>
              <w:right w:val="nil"/>
            </w:tcBorders>
            <w:shd w:val="clear" w:color="000000" w:fill="FFFFFF"/>
            <w:noWrap/>
            <w:hideMark/>
          </w:tcPr>
          <w:p w14:paraId="525F099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639" w:type="dxa"/>
            <w:tcBorders>
              <w:top w:val="nil"/>
              <w:left w:val="nil"/>
              <w:bottom w:val="nil"/>
              <w:right w:val="nil"/>
            </w:tcBorders>
            <w:shd w:val="clear" w:color="000000" w:fill="FFFFFF"/>
            <w:noWrap/>
            <w:hideMark/>
          </w:tcPr>
          <w:p w14:paraId="22FF38F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677" w:type="dxa"/>
            <w:tcBorders>
              <w:top w:val="nil"/>
              <w:left w:val="nil"/>
              <w:bottom w:val="nil"/>
              <w:right w:val="nil"/>
            </w:tcBorders>
            <w:shd w:val="clear" w:color="000000" w:fill="FFFFFF"/>
            <w:noWrap/>
            <w:hideMark/>
          </w:tcPr>
          <w:p w14:paraId="343989D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08" w:type="dxa"/>
            <w:tcBorders>
              <w:top w:val="nil"/>
              <w:left w:val="single" w:sz="8" w:space="0" w:color="auto"/>
              <w:bottom w:val="single" w:sz="8" w:space="0" w:color="auto"/>
              <w:right w:val="single" w:sz="4" w:space="0" w:color="auto"/>
            </w:tcBorders>
            <w:shd w:val="clear" w:color="auto" w:fill="auto"/>
            <w:noWrap/>
            <w:hideMark/>
          </w:tcPr>
          <w:p w14:paraId="1E6AC239"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Highest</w:t>
            </w:r>
          </w:p>
        </w:tc>
        <w:tc>
          <w:tcPr>
            <w:tcW w:w="1280" w:type="dxa"/>
            <w:tcBorders>
              <w:top w:val="nil"/>
              <w:left w:val="nil"/>
              <w:bottom w:val="single" w:sz="8" w:space="0" w:color="auto"/>
              <w:right w:val="single" w:sz="8" w:space="0" w:color="auto"/>
            </w:tcBorders>
            <w:shd w:val="clear" w:color="auto" w:fill="auto"/>
            <w:noWrap/>
            <w:hideMark/>
          </w:tcPr>
          <w:p w14:paraId="00A9BD8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86</w:t>
            </w:r>
          </w:p>
        </w:tc>
      </w:tr>
    </w:tbl>
    <w:p w14:paraId="72026CA9" w14:textId="77777777" w:rsidR="00FC1F1A" w:rsidRDefault="00FC1F1A" w:rsidP="005867DE">
      <w:pPr>
        <w:rPr>
          <w:rFonts w:ascii="Arial" w:hAnsi="Arial" w:cs="Arial"/>
          <w:b/>
          <w:bCs/>
          <w:sz w:val="28"/>
          <w:szCs w:val="28"/>
        </w:rPr>
      </w:pPr>
    </w:p>
    <w:p w14:paraId="60E67C3D" w14:textId="77777777" w:rsidR="005867DE" w:rsidRDefault="005867DE" w:rsidP="005867DE">
      <w:pPr>
        <w:rPr>
          <w:rFonts w:ascii="Arial" w:hAnsi="Arial" w:cs="Arial"/>
          <w:b/>
          <w:bCs/>
          <w:sz w:val="28"/>
          <w:szCs w:val="28"/>
        </w:rPr>
      </w:pPr>
    </w:p>
    <w:p w14:paraId="25E4D4ED" w14:textId="77777777" w:rsidR="00FC1F1A" w:rsidRDefault="00FC1F1A" w:rsidP="005867DE">
      <w:pPr>
        <w:rPr>
          <w:rFonts w:ascii="Arial" w:hAnsi="Arial" w:cs="Arial"/>
          <w:b/>
          <w:bCs/>
          <w:sz w:val="28"/>
          <w:szCs w:val="28"/>
        </w:rPr>
      </w:pPr>
    </w:p>
    <w:p w14:paraId="0577549B" w14:textId="77777777" w:rsidR="00FC1F1A" w:rsidRDefault="00FC1F1A" w:rsidP="005867DE">
      <w:pPr>
        <w:rPr>
          <w:rFonts w:ascii="Arial" w:hAnsi="Arial" w:cs="Arial"/>
          <w:b/>
          <w:bCs/>
          <w:sz w:val="28"/>
          <w:szCs w:val="28"/>
        </w:rPr>
      </w:pPr>
    </w:p>
    <w:p w14:paraId="5D73EE2C" w14:textId="77777777" w:rsidR="00FC1F1A" w:rsidRDefault="00FC1F1A" w:rsidP="005867DE">
      <w:pPr>
        <w:rPr>
          <w:rFonts w:ascii="Arial" w:hAnsi="Arial" w:cs="Arial"/>
          <w:b/>
          <w:bCs/>
          <w:sz w:val="28"/>
          <w:szCs w:val="28"/>
        </w:rPr>
      </w:pPr>
    </w:p>
    <w:p w14:paraId="5D4E14DB" w14:textId="77777777" w:rsidR="00FC1F1A" w:rsidRDefault="00FC1F1A" w:rsidP="005867DE">
      <w:pPr>
        <w:rPr>
          <w:rFonts w:ascii="Arial" w:hAnsi="Arial" w:cs="Arial"/>
          <w:b/>
          <w:bCs/>
          <w:sz w:val="28"/>
          <w:szCs w:val="28"/>
        </w:rPr>
      </w:pPr>
    </w:p>
    <w:p w14:paraId="18B344DD" w14:textId="77777777" w:rsidR="00FC1F1A" w:rsidRDefault="00FC1F1A" w:rsidP="005867DE">
      <w:pPr>
        <w:rPr>
          <w:rFonts w:ascii="Arial" w:hAnsi="Arial" w:cs="Arial"/>
          <w:b/>
          <w:bCs/>
          <w:sz w:val="28"/>
          <w:szCs w:val="28"/>
        </w:rPr>
      </w:pPr>
    </w:p>
    <w:p w14:paraId="420898AB" w14:textId="77777777" w:rsidR="00FC1F1A" w:rsidRDefault="00FC1F1A" w:rsidP="005867DE">
      <w:pPr>
        <w:rPr>
          <w:rFonts w:ascii="Arial" w:hAnsi="Arial" w:cs="Arial"/>
          <w:b/>
          <w:bCs/>
          <w:sz w:val="28"/>
          <w:szCs w:val="28"/>
        </w:rPr>
      </w:pPr>
    </w:p>
    <w:p w14:paraId="44F114DF" w14:textId="77777777" w:rsidR="00FC1F1A" w:rsidRDefault="00FC1F1A" w:rsidP="005867DE">
      <w:pPr>
        <w:rPr>
          <w:rFonts w:ascii="Arial" w:hAnsi="Arial" w:cs="Arial"/>
          <w:b/>
          <w:bCs/>
          <w:sz w:val="28"/>
          <w:szCs w:val="28"/>
        </w:rPr>
      </w:pPr>
    </w:p>
    <w:tbl>
      <w:tblPr>
        <w:tblW w:w="8620" w:type="dxa"/>
        <w:tblLook w:val="04A0" w:firstRow="1" w:lastRow="0" w:firstColumn="1" w:lastColumn="0" w:noHBand="0" w:noVBand="1"/>
      </w:tblPr>
      <w:tblGrid>
        <w:gridCol w:w="2609"/>
        <w:gridCol w:w="726"/>
        <w:gridCol w:w="1905"/>
        <w:gridCol w:w="2746"/>
        <w:gridCol w:w="644"/>
      </w:tblGrid>
      <w:tr w:rsidR="00FC1F1A" w:rsidRPr="00FC1F1A" w14:paraId="3EA7F842" w14:textId="77777777" w:rsidTr="00FC1F1A">
        <w:trPr>
          <w:trHeight w:val="400"/>
        </w:trPr>
        <w:tc>
          <w:tcPr>
            <w:tcW w:w="8620" w:type="dxa"/>
            <w:gridSpan w:val="5"/>
            <w:tcBorders>
              <w:top w:val="single" w:sz="8" w:space="0" w:color="auto"/>
              <w:left w:val="single" w:sz="8" w:space="0" w:color="auto"/>
              <w:bottom w:val="nil"/>
              <w:right w:val="single" w:sz="8" w:space="0" w:color="000000"/>
            </w:tcBorders>
            <w:shd w:val="clear" w:color="000000" w:fill="DAF2D0"/>
            <w:noWrap/>
            <w:vAlign w:val="bottom"/>
            <w:hideMark/>
          </w:tcPr>
          <w:p w14:paraId="5A63B873"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sz w:val="28"/>
                <w:szCs w:val="28"/>
                <w:lang w:eastAsia="en-GB"/>
                <w14:ligatures w14:val="none"/>
              </w:rPr>
            </w:pPr>
            <w:r w:rsidRPr="00FC1F1A">
              <w:rPr>
                <w:rFonts w:ascii="Aptos Narrow" w:eastAsia="Times New Roman" w:hAnsi="Aptos Narrow" w:cs="Times New Roman"/>
                <w:b/>
                <w:bCs/>
                <w:color w:val="000000"/>
                <w:kern w:val="0"/>
                <w:sz w:val="28"/>
                <w:szCs w:val="28"/>
                <w:lang w:eastAsia="en-GB"/>
                <w14:ligatures w14:val="none"/>
              </w:rPr>
              <w:lastRenderedPageBreak/>
              <w:t>% Registered and published trials with a POC</w:t>
            </w:r>
          </w:p>
        </w:tc>
      </w:tr>
      <w:tr w:rsidR="00FC1F1A" w:rsidRPr="00FC1F1A" w14:paraId="5BE2329B" w14:textId="77777777" w:rsidTr="00FC1F1A">
        <w:trPr>
          <w:trHeight w:val="740"/>
        </w:trPr>
        <w:tc>
          <w:tcPr>
            <w:tcW w:w="2609" w:type="dxa"/>
            <w:tcBorders>
              <w:top w:val="single" w:sz="8" w:space="0" w:color="auto"/>
              <w:left w:val="single" w:sz="8" w:space="0" w:color="auto"/>
              <w:bottom w:val="single" w:sz="8" w:space="0" w:color="auto"/>
              <w:right w:val="nil"/>
            </w:tcBorders>
            <w:shd w:val="clear" w:color="auto" w:fill="auto"/>
            <w:noWrap/>
            <w:hideMark/>
          </w:tcPr>
          <w:p w14:paraId="4CEBC5B5"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Source</w:t>
            </w:r>
          </w:p>
        </w:tc>
        <w:tc>
          <w:tcPr>
            <w:tcW w:w="726" w:type="dxa"/>
            <w:tcBorders>
              <w:top w:val="single" w:sz="8" w:space="0" w:color="auto"/>
              <w:left w:val="nil"/>
              <w:bottom w:val="single" w:sz="8" w:space="0" w:color="auto"/>
              <w:right w:val="nil"/>
            </w:tcBorders>
            <w:shd w:val="clear" w:color="auto" w:fill="auto"/>
            <w:noWrap/>
            <w:hideMark/>
          </w:tcPr>
          <w:p w14:paraId="0C0C8068"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Ref #</w:t>
            </w:r>
          </w:p>
        </w:tc>
        <w:tc>
          <w:tcPr>
            <w:tcW w:w="1905" w:type="dxa"/>
            <w:tcBorders>
              <w:top w:val="single" w:sz="8" w:space="0" w:color="auto"/>
              <w:left w:val="nil"/>
              <w:bottom w:val="single" w:sz="8" w:space="0" w:color="auto"/>
              <w:right w:val="nil"/>
            </w:tcBorders>
            <w:shd w:val="clear" w:color="auto" w:fill="auto"/>
            <w:hideMark/>
          </w:tcPr>
          <w:p w14:paraId="56A6CC7A"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Cited by </w:t>
            </w:r>
            <w:proofErr w:type="spellStart"/>
            <w:r w:rsidRPr="00FC1F1A">
              <w:rPr>
                <w:rFonts w:ascii="Aptos Narrow" w:eastAsia="Times New Roman" w:hAnsi="Aptos Narrow" w:cs="Times New Roman"/>
                <w:b/>
                <w:bCs/>
                <w:color w:val="000000"/>
                <w:kern w:val="0"/>
                <w:lang w:eastAsia="en-GB"/>
                <w14:ligatures w14:val="none"/>
              </w:rPr>
              <w:t>Gartlehner</w:t>
            </w:r>
            <w:proofErr w:type="spellEnd"/>
            <w:r w:rsidRPr="00FC1F1A">
              <w:rPr>
                <w:rFonts w:ascii="Aptos Narrow" w:eastAsia="Times New Roman" w:hAnsi="Aptos Narrow" w:cs="Times New Roman"/>
                <w:b/>
                <w:bCs/>
                <w:color w:val="000000"/>
                <w:kern w:val="0"/>
                <w:lang w:eastAsia="en-GB"/>
                <w14:ligatures w14:val="none"/>
              </w:rPr>
              <w:t>?</w:t>
            </w:r>
          </w:p>
        </w:tc>
        <w:tc>
          <w:tcPr>
            <w:tcW w:w="2746" w:type="dxa"/>
            <w:tcBorders>
              <w:top w:val="single" w:sz="8" w:space="0" w:color="auto"/>
              <w:left w:val="nil"/>
              <w:bottom w:val="single" w:sz="8" w:space="0" w:color="auto"/>
              <w:right w:val="nil"/>
            </w:tcBorders>
            <w:shd w:val="clear" w:color="auto" w:fill="auto"/>
            <w:noWrap/>
            <w:hideMark/>
          </w:tcPr>
          <w:p w14:paraId="57FF5516"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Journal</w:t>
            </w:r>
          </w:p>
        </w:tc>
        <w:tc>
          <w:tcPr>
            <w:tcW w:w="634" w:type="dxa"/>
            <w:tcBorders>
              <w:top w:val="single" w:sz="8" w:space="0" w:color="auto"/>
              <w:left w:val="nil"/>
              <w:bottom w:val="single" w:sz="8" w:space="0" w:color="auto"/>
              <w:right w:val="single" w:sz="8" w:space="0" w:color="auto"/>
            </w:tcBorders>
            <w:shd w:val="clear" w:color="auto" w:fill="auto"/>
            <w:noWrap/>
            <w:hideMark/>
          </w:tcPr>
          <w:p w14:paraId="797014FD" w14:textId="77777777" w:rsidR="00FC1F1A" w:rsidRPr="00FC1F1A" w:rsidRDefault="00FC1F1A" w:rsidP="00FC1F1A">
            <w:pPr>
              <w:spacing w:after="0" w:line="240" w:lineRule="auto"/>
              <w:jc w:val="center"/>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 xml:space="preserve">% </w:t>
            </w:r>
          </w:p>
        </w:tc>
      </w:tr>
      <w:tr w:rsidR="00FC1F1A" w:rsidRPr="00FC1F1A" w14:paraId="1CB56541"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0FBC588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Chan 2004</w:t>
            </w:r>
          </w:p>
        </w:tc>
        <w:tc>
          <w:tcPr>
            <w:tcW w:w="726" w:type="dxa"/>
            <w:tcBorders>
              <w:top w:val="nil"/>
              <w:left w:val="nil"/>
              <w:bottom w:val="nil"/>
              <w:right w:val="nil"/>
            </w:tcBorders>
            <w:shd w:val="clear" w:color="auto" w:fill="auto"/>
            <w:noWrap/>
            <w:vAlign w:val="bottom"/>
            <w:hideMark/>
          </w:tcPr>
          <w:p w14:paraId="479CDBF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w:t>
            </w:r>
          </w:p>
        </w:tc>
        <w:tc>
          <w:tcPr>
            <w:tcW w:w="1905" w:type="dxa"/>
            <w:tcBorders>
              <w:top w:val="nil"/>
              <w:left w:val="nil"/>
              <w:bottom w:val="nil"/>
              <w:right w:val="nil"/>
            </w:tcBorders>
            <w:shd w:val="clear" w:color="auto" w:fill="auto"/>
            <w:noWrap/>
            <w:vAlign w:val="bottom"/>
            <w:hideMark/>
          </w:tcPr>
          <w:p w14:paraId="67AF003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3FA869B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CMAJ</w:t>
            </w:r>
          </w:p>
        </w:tc>
        <w:tc>
          <w:tcPr>
            <w:tcW w:w="634" w:type="dxa"/>
            <w:tcBorders>
              <w:top w:val="nil"/>
              <w:left w:val="nil"/>
              <w:bottom w:val="nil"/>
              <w:right w:val="single" w:sz="8" w:space="0" w:color="auto"/>
            </w:tcBorders>
            <w:shd w:val="clear" w:color="auto" w:fill="auto"/>
            <w:noWrap/>
            <w:vAlign w:val="bottom"/>
            <w:hideMark/>
          </w:tcPr>
          <w:p w14:paraId="3AEC779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40</w:t>
            </w:r>
          </w:p>
        </w:tc>
      </w:tr>
      <w:tr w:rsidR="00FC1F1A" w:rsidRPr="00FC1F1A" w14:paraId="057E1086"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75FA305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Chan 2004</w:t>
            </w:r>
          </w:p>
        </w:tc>
        <w:tc>
          <w:tcPr>
            <w:tcW w:w="726" w:type="dxa"/>
            <w:tcBorders>
              <w:top w:val="nil"/>
              <w:left w:val="nil"/>
              <w:bottom w:val="nil"/>
              <w:right w:val="nil"/>
            </w:tcBorders>
            <w:shd w:val="clear" w:color="auto" w:fill="auto"/>
            <w:noWrap/>
            <w:vAlign w:val="bottom"/>
            <w:hideMark/>
          </w:tcPr>
          <w:p w14:paraId="1A1CC57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w:t>
            </w:r>
          </w:p>
        </w:tc>
        <w:tc>
          <w:tcPr>
            <w:tcW w:w="1905" w:type="dxa"/>
            <w:tcBorders>
              <w:top w:val="nil"/>
              <w:left w:val="nil"/>
              <w:bottom w:val="nil"/>
              <w:right w:val="nil"/>
            </w:tcBorders>
            <w:shd w:val="clear" w:color="auto" w:fill="auto"/>
            <w:noWrap/>
            <w:vAlign w:val="bottom"/>
            <w:hideMark/>
          </w:tcPr>
          <w:p w14:paraId="5CCFE32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2E4A649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JAMA</w:t>
            </w:r>
          </w:p>
        </w:tc>
        <w:tc>
          <w:tcPr>
            <w:tcW w:w="634" w:type="dxa"/>
            <w:tcBorders>
              <w:top w:val="nil"/>
              <w:left w:val="nil"/>
              <w:bottom w:val="nil"/>
              <w:right w:val="single" w:sz="8" w:space="0" w:color="auto"/>
            </w:tcBorders>
            <w:shd w:val="clear" w:color="000000" w:fill="DAF2D0"/>
            <w:noWrap/>
            <w:vAlign w:val="bottom"/>
            <w:hideMark/>
          </w:tcPr>
          <w:p w14:paraId="77013C9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62</w:t>
            </w:r>
          </w:p>
        </w:tc>
      </w:tr>
      <w:tr w:rsidR="00FC1F1A" w:rsidRPr="00FC1F1A" w14:paraId="4577DFF5"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504CA9D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Chen 2019</w:t>
            </w:r>
          </w:p>
        </w:tc>
        <w:tc>
          <w:tcPr>
            <w:tcW w:w="726" w:type="dxa"/>
            <w:tcBorders>
              <w:top w:val="nil"/>
              <w:left w:val="nil"/>
              <w:bottom w:val="nil"/>
              <w:right w:val="nil"/>
            </w:tcBorders>
            <w:shd w:val="clear" w:color="auto" w:fill="auto"/>
            <w:noWrap/>
            <w:vAlign w:val="bottom"/>
            <w:hideMark/>
          </w:tcPr>
          <w:p w14:paraId="281C69A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9</w:t>
            </w:r>
          </w:p>
        </w:tc>
        <w:tc>
          <w:tcPr>
            <w:tcW w:w="1905" w:type="dxa"/>
            <w:tcBorders>
              <w:top w:val="nil"/>
              <w:left w:val="nil"/>
              <w:bottom w:val="nil"/>
              <w:right w:val="nil"/>
            </w:tcBorders>
            <w:shd w:val="clear" w:color="auto" w:fill="auto"/>
            <w:noWrap/>
            <w:vAlign w:val="bottom"/>
            <w:hideMark/>
          </w:tcPr>
          <w:p w14:paraId="650F2A7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Yes</w:t>
            </w:r>
          </w:p>
        </w:tc>
        <w:tc>
          <w:tcPr>
            <w:tcW w:w="2746" w:type="dxa"/>
            <w:tcBorders>
              <w:top w:val="nil"/>
              <w:left w:val="nil"/>
              <w:bottom w:val="nil"/>
              <w:right w:val="nil"/>
            </w:tcBorders>
            <w:shd w:val="clear" w:color="auto" w:fill="auto"/>
            <w:noWrap/>
            <w:vAlign w:val="bottom"/>
            <w:hideMark/>
          </w:tcPr>
          <w:p w14:paraId="11DD643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JAMA</w:t>
            </w:r>
          </w:p>
        </w:tc>
        <w:tc>
          <w:tcPr>
            <w:tcW w:w="634" w:type="dxa"/>
            <w:tcBorders>
              <w:top w:val="nil"/>
              <w:left w:val="nil"/>
              <w:bottom w:val="nil"/>
              <w:right w:val="single" w:sz="8" w:space="0" w:color="auto"/>
            </w:tcBorders>
            <w:shd w:val="clear" w:color="auto" w:fill="auto"/>
            <w:noWrap/>
            <w:vAlign w:val="bottom"/>
            <w:hideMark/>
          </w:tcPr>
          <w:p w14:paraId="755B2A6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33.4</w:t>
            </w:r>
          </w:p>
        </w:tc>
      </w:tr>
      <w:tr w:rsidR="00FC1F1A" w:rsidRPr="00FC1F1A" w14:paraId="58674015"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22D7889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Dwan 2011</w:t>
            </w:r>
          </w:p>
        </w:tc>
        <w:tc>
          <w:tcPr>
            <w:tcW w:w="726" w:type="dxa"/>
            <w:tcBorders>
              <w:top w:val="nil"/>
              <w:left w:val="nil"/>
              <w:bottom w:val="nil"/>
              <w:right w:val="nil"/>
            </w:tcBorders>
            <w:shd w:val="clear" w:color="auto" w:fill="auto"/>
            <w:noWrap/>
            <w:vAlign w:val="bottom"/>
            <w:hideMark/>
          </w:tcPr>
          <w:p w14:paraId="41A06A8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17</w:t>
            </w:r>
          </w:p>
        </w:tc>
        <w:tc>
          <w:tcPr>
            <w:tcW w:w="1905" w:type="dxa"/>
            <w:tcBorders>
              <w:top w:val="nil"/>
              <w:left w:val="nil"/>
              <w:bottom w:val="nil"/>
              <w:right w:val="nil"/>
            </w:tcBorders>
            <w:shd w:val="clear" w:color="auto" w:fill="auto"/>
            <w:noWrap/>
            <w:vAlign w:val="bottom"/>
            <w:hideMark/>
          </w:tcPr>
          <w:p w14:paraId="42240DD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7C34E06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Cochrane</w:t>
            </w:r>
          </w:p>
        </w:tc>
        <w:tc>
          <w:tcPr>
            <w:tcW w:w="634" w:type="dxa"/>
            <w:tcBorders>
              <w:top w:val="nil"/>
              <w:left w:val="nil"/>
              <w:bottom w:val="nil"/>
              <w:right w:val="single" w:sz="8" w:space="0" w:color="auto"/>
            </w:tcBorders>
            <w:shd w:val="clear" w:color="auto" w:fill="auto"/>
            <w:noWrap/>
            <w:vAlign w:val="bottom"/>
            <w:hideMark/>
          </w:tcPr>
          <w:p w14:paraId="1391B8B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31</w:t>
            </w:r>
          </w:p>
        </w:tc>
      </w:tr>
      <w:tr w:rsidR="00FC1F1A" w:rsidRPr="00FC1F1A" w14:paraId="7CD05421"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0C12410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Dwan 2013</w:t>
            </w:r>
          </w:p>
        </w:tc>
        <w:tc>
          <w:tcPr>
            <w:tcW w:w="726" w:type="dxa"/>
            <w:tcBorders>
              <w:top w:val="nil"/>
              <w:left w:val="nil"/>
              <w:bottom w:val="nil"/>
              <w:right w:val="nil"/>
            </w:tcBorders>
            <w:shd w:val="clear" w:color="auto" w:fill="auto"/>
            <w:noWrap/>
            <w:vAlign w:val="bottom"/>
            <w:hideMark/>
          </w:tcPr>
          <w:p w14:paraId="33560D8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18</w:t>
            </w:r>
          </w:p>
        </w:tc>
        <w:tc>
          <w:tcPr>
            <w:tcW w:w="1905" w:type="dxa"/>
            <w:tcBorders>
              <w:top w:val="nil"/>
              <w:left w:val="nil"/>
              <w:bottom w:val="nil"/>
              <w:right w:val="nil"/>
            </w:tcBorders>
            <w:shd w:val="clear" w:color="auto" w:fill="auto"/>
            <w:noWrap/>
            <w:vAlign w:val="bottom"/>
            <w:hideMark/>
          </w:tcPr>
          <w:p w14:paraId="0752A9C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0948CD3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634" w:type="dxa"/>
            <w:tcBorders>
              <w:top w:val="nil"/>
              <w:left w:val="nil"/>
              <w:bottom w:val="nil"/>
              <w:right w:val="single" w:sz="8" w:space="0" w:color="auto"/>
            </w:tcBorders>
            <w:shd w:val="clear" w:color="auto" w:fill="auto"/>
            <w:noWrap/>
            <w:vAlign w:val="bottom"/>
            <w:hideMark/>
          </w:tcPr>
          <w:p w14:paraId="48F5126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40</w:t>
            </w:r>
          </w:p>
        </w:tc>
      </w:tr>
      <w:tr w:rsidR="00FC1F1A" w:rsidRPr="00FC1F1A" w14:paraId="0479535C"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5F387E3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Fleming 2015</w:t>
            </w:r>
          </w:p>
        </w:tc>
        <w:tc>
          <w:tcPr>
            <w:tcW w:w="726" w:type="dxa"/>
            <w:tcBorders>
              <w:top w:val="nil"/>
              <w:left w:val="nil"/>
              <w:bottom w:val="nil"/>
              <w:right w:val="nil"/>
            </w:tcBorders>
            <w:shd w:val="clear" w:color="auto" w:fill="auto"/>
            <w:noWrap/>
            <w:vAlign w:val="bottom"/>
            <w:hideMark/>
          </w:tcPr>
          <w:p w14:paraId="154E99A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21</w:t>
            </w:r>
          </w:p>
        </w:tc>
        <w:tc>
          <w:tcPr>
            <w:tcW w:w="1905" w:type="dxa"/>
            <w:tcBorders>
              <w:top w:val="nil"/>
              <w:left w:val="nil"/>
              <w:bottom w:val="nil"/>
              <w:right w:val="nil"/>
            </w:tcBorders>
            <w:shd w:val="clear" w:color="auto" w:fill="auto"/>
            <w:noWrap/>
            <w:vAlign w:val="bottom"/>
            <w:hideMark/>
          </w:tcPr>
          <w:p w14:paraId="0368C8A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65E6584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634" w:type="dxa"/>
            <w:tcBorders>
              <w:top w:val="nil"/>
              <w:left w:val="nil"/>
              <w:bottom w:val="nil"/>
              <w:right w:val="single" w:sz="8" w:space="0" w:color="auto"/>
            </w:tcBorders>
            <w:shd w:val="clear" w:color="auto" w:fill="auto"/>
            <w:noWrap/>
            <w:vAlign w:val="bottom"/>
            <w:hideMark/>
          </w:tcPr>
          <w:p w14:paraId="50D4882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18</w:t>
            </w:r>
          </w:p>
        </w:tc>
      </w:tr>
      <w:tr w:rsidR="00FC1F1A" w:rsidRPr="00FC1F1A" w14:paraId="70B43861"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3D7FB38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Florez 2023</w:t>
            </w:r>
          </w:p>
        </w:tc>
        <w:tc>
          <w:tcPr>
            <w:tcW w:w="726" w:type="dxa"/>
            <w:tcBorders>
              <w:top w:val="nil"/>
              <w:left w:val="nil"/>
              <w:bottom w:val="nil"/>
              <w:right w:val="nil"/>
            </w:tcBorders>
            <w:shd w:val="clear" w:color="auto" w:fill="auto"/>
            <w:noWrap/>
            <w:vAlign w:val="bottom"/>
            <w:hideMark/>
          </w:tcPr>
          <w:p w14:paraId="6718453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22</w:t>
            </w:r>
          </w:p>
        </w:tc>
        <w:tc>
          <w:tcPr>
            <w:tcW w:w="1905" w:type="dxa"/>
            <w:tcBorders>
              <w:top w:val="nil"/>
              <w:left w:val="nil"/>
              <w:bottom w:val="nil"/>
              <w:right w:val="nil"/>
            </w:tcBorders>
            <w:shd w:val="clear" w:color="auto" w:fill="auto"/>
            <w:noWrap/>
            <w:vAlign w:val="bottom"/>
            <w:hideMark/>
          </w:tcPr>
          <w:p w14:paraId="29237D9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5196997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JAMA</w:t>
            </w:r>
          </w:p>
        </w:tc>
        <w:tc>
          <w:tcPr>
            <w:tcW w:w="634" w:type="dxa"/>
            <w:tcBorders>
              <w:top w:val="nil"/>
              <w:left w:val="nil"/>
              <w:bottom w:val="nil"/>
              <w:right w:val="single" w:sz="8" w:space="0" w:color="auto"/>
            </w:tcBorders>
            <w:shd w:val="clear" w:color="auto" w:fill="auto"/>
            <w:noWrap/>
            <w:vAlign w:val="bottom"/>
            <w:hideMark/>
          </w:tcPr>
          <w:p w14:paraId="198A7B9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19.2</w:t>
            </w:r>
          </w:p>
        </w:tc>
      </w:tr>
      <w:tr w:rsidR="00FC1F1A" w:rsidRPr="00FC1F1A" w14:paraId="4CA8D8E7"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4CE3C9F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Gregory 2020</w:t>
            </w:r>
          </w:p>
        </w:tc>
        <w:tc>
          <w:tcPr>
            <w:tcW w:w="726" w:type="dxa"/>
            <w:tcBorders>
              <w:top w:val="nil"/>
              <w:left w:val="nil"/>
              <w:bottom w:val="nil"/>
              <w:right w:val="nil"/>
            </w:tcBorders>
            <w:shd w:val="clear" w:color="auto" w:fill="auto"/>
            <w:noWrap/>
            <w:vAlign w:val="bottom"/>
            <w:hideMark/>
          </w:tcPr>
          <w:p w14:paraId="59C8C63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27</w:t>
            </w:r>
          </w:p>
        </w:tc>
        <w:tc>
          <w:tcPr>
            <w:tcW w:w="1905" w:type="dxa"/>
            <w:tcBorders>
              <w:top w:val="nil"/>
              <w:left w:val="nil"/>
              <w:bottom w:val="nil"/>
              <w:right w:val="nil"/>
            </w:tcBorders>
            <w:shd w:val="clear" w:color="auto" w:fill="auto"/>
            <w:noWrap/>
            <w:vAlign w:val="bottom"/>
            <w:hideMark/>
          </w:tcPr>
          <w:p w14:paraId="066883D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7295DB5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JHEP Rep</w:t>
            </w:r>
          </w:p>
        </w:tc>
        <w:tc>
          <w:tcPr>
            <w:tcW w:w="634" w:type="dxa"/>
            <w:tcBorders>
              <w:top w:val="nil"/>
              <w:left w:val="nil"/>
              <w:bottom w:val="nil"/>
              <w:right w:val="single" w:sz="8" w:space="0" w:color="auto"/>
            </w:tcBorders>
            <w:shd w:val="clear" w:color="auto" w:fill="auto"/>
            <w:noWrap/>
            <w:vAlign w:val="bottom"/>
            <w:hideMark/>
          </w:tcPr>
          <w:p w14:paraId="7A0C807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30</w:t>
            </w:r>
          </w:p>
        </w:tc>
      </w:tr>
      <w:tr w:rsidR="00FC1F1A" w:rsidRPr="00FC1F1A" w14:paraId="4C205249"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0495EC0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Jones 2015</w:t>
            </w:r>
          </w:p>
        </w:tc>
        <w:tc>
          <w:tcPr>
            <w:tcW w:w="726" w:type="dxa"/>
            <w:tcBorders>
              <w:top w:val="nil"/>
              <w:left w:val="nil"/>
              <w:bottom w:val="nil"/>
              <w:right w:val="nil"/>
            </w:tcBorders>
            <w:shd w:val="clear" w:color="auto" w:fill="auto"/>
            <w:noWrap/>
            <w:vAlign w:val="bottom"/>
            <w:hideMark/>
          </w:tcPr>
          <w:p w14:paraId="068BFD9E"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32</w:t>
            </w:r>
          </w:p>
        </w:tc>
        <w:tc>
          <w:tcPr>
            <w:tcW w:w="1905" w:type="dxa"/>
            <w:tcBorders>
              <w:top w:val="nil"/>
              <w:left w:val="nil"/>
              <w:bottom w:val="nil"/>
              <w:right w:val="nil"/>
            </w:tcBorders>
            <w:shd w:val="clear" w:color="auto" w:fill="auto"/>
            <w:noWrap/>
            <w:vAlign w:val="bottom"/>
            <w:hideMark/>
          </w:tcPr>
          <w:p w14:paraId="438D57A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2068D04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Medicine</w:t>
            </w:r>
          </w:p>
        </w:tc>
        <w:tc>
          <w:tcPr>
            <w:tcW w:w="634" w:type="dxa"/>
            <w:tcBorders>
              <w:top w:val="nil"/>
              <w:left w:val="nil"/>
              <w:bottom w:val="nil"/>
              <w:right w:val="single" w:sz="8" w:space="0" w:color="auto"/>
            </w:tcBorders>
            <w:shd w:val="clear" w:color="auto" w:fill="auto"/>
            <w:noWrap/>
            <w:vAlign w:val="bottom"/>
            <w:hideMark/>
          </w:tcPr>
          <w:p w14:paraId="700A09A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31</w:t>
            </w:r>
          </w:p>
        </w:tc>
      </w:tr>
      <w:tr w:rsidR="00FC1F1A" w:rsidRPr="00FC1F1A" w14:paraId="48935E87"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0F018A7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Killeen 2014</w:t>
            </w:r>
          </w:p>
        </w:tc>
        <w:tc>
          <w:tcPr>
            <w:tcW w:w="726" w:type="dxa"/>
            <w:tcBorders>
              <w:top w:val="nil"/>
              <w:left w:val="nil"/>
              <w:bottom w:val="nil"/>
              <w:right w:val="nil"/>
            </w:tcBorders>
            <w:shd w:val="clear" w:color="auto" w:fill="auto"/>
            <w:noWrap/>
            <w:vAlign w:val="bottom"/>
            <w:hideMark/>
          </w:tcPr>
          <w:p w14:paraId="4929F02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34</w:t>
            </w:r>
          </w:p>
        </w:tc>
        <w:tc>
          <w:tcPr>
            <w:tcW w:w="1905" w:type="dxa"/>
            <w:tcBorders>
              <w:top w:val="nil"/>
              <w:left w:val="nil"/>
              <w:bottom w:val="nil"/>
              <w:right w:val="nil"/>
            </w:tcBorders>
            <w:shd w:val="clear" w:color="auto" w:fill="auto"/>
            <w:noWrap/>
            <w:vAlign w:val="bottom"/>
            <w:hideMark/>
          </w:tcPr>
          <w:p w14:paraId="68EF5B8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4197A6A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Ann surgery</w:t>
            </w:r>
          </w:p>
        </w:tc>
        <w:tc>
          <w:tcPr>
            <w:tcW w:w="634" w:type="dxa"/>
            <w:tcBorders>
              <w:top w:val="nil"/>
              <w:left w:val="nil"/>
              <w:bottom w:val="nil"/>
              <w:right w:val="single" w:sz="8" w:space="0" w:color="auto"/>
            </w:tcBorders>
            <w:shd w:val="clear" w:color="auto" w:fill="auto"/>
            <w:noWrap/>
            <w:vAlign w:val="bottom"/>
            <w:hideMark/>
          </w:tcPr>
          <w:p w14:paraId="71E0651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29</w:t>
            </w:r>
          </w:p>
        </w:tc>
      </w:tr>
      <w:tr w:rsidR="00FC1F1A" w:rsidRPr="00FC1F1A" w14:paraId="1D2B6AC5"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589E30D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Kosa 2018</w:t>
            </w:r>
          </w:p>
        </w:tc>
        <w:tc>
          <w:tcPr>
            <w:tcW w:w="726" w:type="dxa"/>
            <w:tcBorders>
              <w:top w:val="nil"/>
              <w:left w:val="nil"/>
              <w:bottom w:val="nil"/>
              <w:right w:val="nil"/>
            </w:tcBorders>
            <w:shd w:val="clear" w:color="auto" w:fill="auto"/>
            <w:noWrap/>
            <w:vAlign w:val="bottom"/>
            <w:hideMark/>
          </w:tcPr>
          <w:p w14:paraId="47C4931A"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37</w:t>
            </w:r>
          </w:p>
        </w:tc>
        <w:tc>
          <w:tcPr>
            <w:tcW w:w="1905" w:type="dxa"/>
            <w:tcBorders>
              <w:top w:val="nil"/>
              <w:left w:val="nil"/>
              <w:bottom w:val="nil"/>
              <w:right w:val="nil"/>
            </w:tcBorders>
            <w:shd w:val="clear" w:color="auto" w:fill="auto"/>
            <w:noWrap/>
            <w:vAlign w:val="bottom"/>
            <w:hideMark/>
          </w:tcPr>
          <w:p w14:paraId="5B4C34F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1598F6D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Contemp</w:t>
            </w:r>
            <w:proofErr w:type="spellEnd"/>
            <w:r w:rsidRPr="00FC1F1A">
              <w:rPr>
                <w:rFonts w:ascii="Aptos Narrow" w:eastAsia="Times New Roman" w:hAnsi="Aptos Narrow" w:cs="Times New Roman"/>
                <w:color w:val="000000"/>
                <w:kern w:val="0"/>
                <w:lang w:eastAsia="en-GB"/>
                <w14:ligatures w14:val="none"/>
              </w:rPr>
              <w:t xml:space="preserve"> </w:t>
            </w:r>
            <w:proofErr w:type="spellStart"/>
            <w:r w:rsidRPr="00FC1F1A">
              <w:rPr>
                <w:rFonts w:ascii="Aptos Narrow" w:eastAsia="Times New Roman" w:hAnsi="Aptos Narrow" w:cs="Times New Roman"/>
                <w:color w:val="000000"/>
                <w:kern w:val="0"/>
                <w:lang w:eastAsia="en-GB"/>
                <w14:ligatures w14:val="none"/>
              </w:rPr>
              <w:t>ClinTrials</w:t>
            </w:r>
            <w:proofErr w:type="spellEnd"/>
          </w:p>
        </w:tc>
        <w:tc>
          <w:tcPr>
            <w:tcW w:w="634" w:type="dxa"/>
            <w:tcBorders>
              <w:top w:val="nil"/>
              <w:left w:val="nil"/>
              <w:bottom w:val="nil"/>
              <w:right w:val="single" w:sz="8" w:space="0" w:color="auto"/>
            </w:tcBorders>
            <w:shd w:val="clear" w:color="000000" w:fill="DAF2D0"/>
            <w:noWrap/>
            <w:vAlign w:val="bottom"/>
            <w:hideMark/>
          </w:tcPr>
          <w:p w14:paraId="284293C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13</w:t>
            </w:r>
          </w:p>
        </w:tc>
      </w:tr>
      <w:tr w:rsidR="00FC1F1A" w:rsidRPr="00FC1F1A" w14:paraId="0A33EB81"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25ABD39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Li 2018</w:t>
            </w:r>
          </w:p>
        </w:tc>
        <w:tc>
          <w:tcPr>
            <w:tcW w:w="726" w:type="dxa"/>
            <w:tcBorders>
              <w:top w:val="nil"/>
              <w:left w:val="nil"/>
              <w:bottom w:val="nil"/>
              <w:right w:val="nil"/>
            </w:tcBorders>
            <w:shd w:val="clear" w:color="auto" w:fill="auto"/>
            <w:noWrap/>
            <w:vAlign w:val="bottom"/>
            <w:hideMark/>
          </w:tcPr>
          <w:p w14:paraId="4BE23C4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39</w:t>
            </w:r>
          </w:p>
        </w:tc>
        <w:tc>
          <w:tcPr>
            <w:tcW w:w="1905" w:type="dxa"/>
            <w:tcBorders>
              <w:top w:val="nil"/>
              <w:left w:val="nil"/>
              <w:bottom w:val="nil"/>
              <w:right w:val="nil"/>
            </w:tcBorders>
            <w:shd w:val="clear" w:color="auto" w:fill="auto"/>
            <w:noWrap/>
            <w:vAlign w:val="bottom"/>
            <w:hideMark/>
          </w:tcPr>
          <w:p w14:paraId="412E33A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24803D5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BMC Med Res Meth</w:t>
            </w:r>
          </w:p>
        </w:tc>
        <w:tc>
          <w:tcPr>
            <w:tcW w:w="634" w:type="dxa"/>
            <w:tcBorders>
              <w:top w:val="nil"/>
              <w:left w:val="nil"/>
              <w:bottom w:val="nil"/>
              <w:right w:val="single" w:sz="8" w:space="0" w:color="auto"/>
            </w:tcBorders>
            <w:shd w:val="clear" w:color="auto" w:fill="auto"/>
            <w:noWrap/>
            <w:vAlign w:val="bottom"/>
            <w:hideMark/>
          </w:tcPr>
          <w:p w14:paraId="66BD60B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14</w:t>
            </w:r>
          </w:p>
        </w:tc>
      </w:tr>
      <w:tr w:rsidR="00FC1F1A" w:rsidRPr="00FC1F1A" w14:paraId="60062D01"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04DE6EFC"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Pinto 2013</w:t>
            </w:r>
          </w:p>
        </w:tc>
        <w:tc>
          <w:tcPr>
            <w:tcW w:w="726" w:type="dxa"/>
            <w:tcBorders>
              <w:top w:val="nil"/>
              <w:left w:val="nil"/>
              <w:bottom w:val="nil"/>
              <w:right w:val="nil"/>
            </w:tcBorders>
            <w:shd w:val="clear" w:color="auto" w:fill="auto"/>
            <w:noWrap/>
            <w:vAlign w:val="bottom"/>
            <w:hideMark/>
          </w:tcPr>
          <w:p w14:paraId="6454791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47</w:t>
            </w:r>
          </w:p>
        </w:tc>
        <w:tc>
          <w:tcPr>
            <w:tcW w:w="1905" w:type="dxa"/>
            <w:tcBorders>
              <w:top w:val="nil"/>
              <w:left w:val="nil"/>
              <w:bottom w:val="nil"/>
              <w:right w:val="nil"/>
            </w:tcBorders>
            <w:shd w:val="clear" w:color="auto" w:fill="auto"/>
            <w:noWrap/>
            <w:vAlign w:val="bottom"/>
            <w:hideMark/>
          </w:tcPr>
          <w:p w14:paraId="17B61C0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405E2CF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Physical Therapy</w:t>
            </w:r>
          </w:p>
        </w:tc>
        <w:tc>
          <w:tcPr>
            <w:tcW w:w="634" w:type="dxa"/>
            <w:tcBorders>
              <w:top w:val="nil"/>
              <w:left w:val="nil"/>
              <w:bottom w:val="nil"/>
              <w:right w:val="single" w:sz="8" w:space="0" w:color="auto"/>
            </w:tcBorders>
            <w:shd w:val="clear" w:color="auto" w:fill="auto"/>
            <w:noWrap/>
            <w:vAlign w:val="bottom"/>
            <w:hideMark/>
          </w:tcPr>
          <w:p w14:paraId="77F07D5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55</w:t>
            </w:r>
          </w:p>
        </w:tc>
      </w:tr>
      <w:tr w:rsidR="00FC1F1A" w:rsidRPr="00FC1F1A" w14:paraId="539BAE49"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67F95F7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Ramagopalan</w:t>
            </w:r>
            <w:proofErr w:type="spellEnd"/>
            <w:r w:rsidRPr="00FC1F1A">
              <w:rPr>
                <w:rFonts w:ascii="Aptos Narrow" w:eastAsia="Times New Roman" w:hAnsi="Aptos Narrow" w:cs="Times New Roman"/>
                <w:color w:val="000000"/>
                <w:kern w:val="0"/>
                <w:lang w:eastAsia="en-GB"/>
                <w14:ligatures w14:val="none"/>
              </w:rPr>
              <w:t xml:space="preserve"> 2014</w:t>
            </w:r>
          </w:p>
        </w:tc>
        <w:tc>
          <w:tcPr>
            <w:tcW w:w="726" w:type="dxa"/>
            <w:tcBorders>
              <w:top w:val="nil"/>
              <w:left w:val="nil"/>
              <w:bottom w:val="nil"/>
              <w:right w:val="nil"/>
            </w:tcBorders>
            <w:shd w:val="clear" w:color="auto" w:fill="auto"/>
            <w:noWrap/>
            <w:vAlign w:val="bottom"/>
            <w:hideMark/>
          </w:tcPr>
          <w:p w14:paraId="64D166B2"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50</w:t>
            </w:r>
          </w:p>
        </w:tc>
        <w:tc>
          <w:tcPr>
            <w:tcW w:w="1905" w:type="dxa"/>
            <w:tcBorders>
              <w:top w:val="nil"/>
              <w:left w:val="nil"/>
              <w:bottom w:val="nil"/>
              <w:right w:val="nil"/>
            </w:tcBorders>
            <w:shd w:val="clear" w:color="auto" w:fill="auto"/>
            <w:noWrap/>
            <w:vAlign w:val="bottom"/>
            <w:hideMark/>
          </w:tcPr>
          <w:p w14:paraId="505DB984"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36A2EAA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F1000Research</w:t>
            </w:r>
          </w:p>
        </w:tc>
        <w:tc>
          <w:tcPr>
            <w:tcW w:w="634" w:type="dxa"/>
            <w:tcBorders>
              <w:top w:val="nil"/>
              <w:left w:val="nil"/>
              <w:bottom w:val="nil"/>
              <w:right w:val="single" w:sz="8" w:space="0" w:color="auto"/>
            </w:tcBorders>
            <w:shd w:val="clear" w:color="auto" w:fill="auto"/>
            <w:noWrap/>
            <w:vAlign w:val="bottom"/>
            <w:hideMark/>
          </w:tcPr>
          <w:p w14:paraId="2310B92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31.7</w:t>
            </w:r>
          </w:p>
        </w:tc>
      </w:tr>
      <w:tr w:rsidR="00FC1F1A" w:rsidRPr="00FC1F1A" w14:paraId="296C1986"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167A0B4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Riemer 2021</w:t>
            </w:r>
          </w:p>
        </w:tc>
        <w:tc>
          <w:tcPr>
            <w:tcW w:w="726" w:type="dxa"/>
            <w:tcBorders>
              <w:top w:val="nil"/>
              <w:left w:val="nil"/>
              <w:bottom w:val="nil"/>
              <w:right w:val="nil"/>
            </w:tcBorders>
            <w:shd w:val="clear" w:color="auto" w:fill="auto"/>
            <w:noWrap/>
            <w:vAlign w:val="bottom"/>
            <w:hideMark/>
          </w:tcPr>
          <w:p w14:paraId="6310483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53</w:t>
            </w:r>
          </w:p>
        </w:tc>
        <w:tc>
          <w:tcPr>
            <w:tcW w:w="1905" w:type="dxa"/>
            <w:tcBorders>
              <w:top w:val="nil"/>
              <w:left w:val="nil"/>
              <w:bottom w:val="nil"/>
              <w:right w:val="nil"/>
            </w:tcBorders>
            <w:shd w:val="clear" w:color="auto" w:fill="auto"/>
            <w:noWrap/>
            <w:vAlign w:val="bottom"/>
            <w:hideMark/>
          </w:tcPr>
          <w:p w14:paraId="02AF2526"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1430DB0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xml:space="preserve">BMC </w:t>
            </w:r>
            <w:proofErr w:type="spellStart"/>
            <w:r w:rsidRPr="00FC1F1A">
              <w:rPr>
                <w:rFonts w:ascii="Aptos Narrow" w:eastAsia="Times New Roman" w:hAnsi="Aptos Narrow" w:cs="Times New Roman"/>
                <w:color w:val="000000"/>
                <w:kern w:val="0"/>
                <w:lang w:eastAsia="en-GB"/>
                <w14:ligatures w14:val="none"/>
              </w:rPr>
              <w:t>Anesthesiology</w:t>
            </w:r>
            <w:proofErr w:type="spellEnd"/>
          </w:p>
        </w:tc>
        <w:tc>
          <w:tcPr>
            <w:tcW w:w="634" w:type="dxa"/>
            <w:tcBorders>
              <w:top w:val="nil"/>
              <w:left w:val="nil"/>
              <w:bottom w:val="nil"/>
              <w:right w:val="single" w:sz="8" w:space="0" w:color="auto"/>
            </w:tcBorders>
            <w:shd w:val="clear" w:color="auto" w:fill="auto"/>
            <w:noWrap/>
            <w:vAlign w:val="bottom"/>
            <w:hideMark/>
          </w:tcPr>
          <w:p w14:paraId="314E71A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32</w:t>
            </w:r>
          </w:p>
        </w:tc>
      </w:tr>
      <w:tr w:rsidR="00FC1F1A" w:rsidRPr="00FC1F1A" w14:paraId="25554464"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331BE014"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Rosati 2016</w:t>
            </w:r>
          </w:p>
        </w:tc>
        <w:tc>
          <w:tcPr>
            <w:tcW w:w="726" w:type="dxa"/>
            <w:tcBorders>
              <w:top w:val="nil"/>
              <w:left w:val="nil"/>
              <w:bottom w:val="nil"/>
              <w:right w:val="nil"/>
            </w:tcBorders>
            <w:shd w:val="clear" w:color="auto" w:fill="auto"/>
            <w:noWrap/>
            <w:vAlign w:val="bottom"/>
            <w:hideMark/>
          </w:tcPr>
          <w:p w14:paraId="4F70342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56</w:t>
            </w:r>
          </w:p>
        </w:tc>
        <w:tc>
          <w:tcPr>
            <w:tcW w:w="1905" w:type="dxa"/>
            <w:tcBorders>
              <w:top w:val="nil"/>
              <w:left w:val="nil"/>
              <w:bottom w:val="nil"/>
              <w:right w:val="nil"/>
            </w:tcBorders>
            <w:shd w:val="clear" w:color="auto" w:fill="auto"/>
            <w:noWrap/>
            <w:vAlign w:val="bottom"/>
            <w:hideMark/>
          </w:tcPr>
          <w:p w14:paraId="1E8DDB0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4318054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634" w:type="dxa"/>
            <w:tcBorders>
              <w:top w:val="nil"/>
              <w:left w:val="nil"/>
              <w:bottom w:val="nil"/>
              <w:right w:val="single" w:sz="8" w:space="0" w:color="auto"/>
            </w:tcBorders>
            <w:shd w:val="clear" w:color="auto" w:fill="auto"/>
            <w:noWrap/>
            <w:vAlign w:val="bottom"/>
            <w:hideMark/>
          </w:tcPr>
          <w:p w14:paraId="0B8FC3C0"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55</w:t>
            </w:r>
          </w:p>
        </w:tc>
      </w:tr>
      <w:tr w:rsidR="00FC1F1A" w:rsidRPr="00FC1F1A" w14:paraId="11AA6582"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532D672D"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Scott 2015</w:t>
            </w:r>
          </w:p>
        </w:tc>
        <w:tc>
          <w:tcPr>
            <w:tcW w:w="726" w:type="dxa"/>
            <w:tcBorders>
              <w:top w:val="nil"/>
              <w:left w:val="nil"/>
              <w:bottom w:val="nil"/>
              <w:right w:val="nil"/>
            </w:tcBorders>
            <w:shd w:val="clear" w:color="auto" w:fill="auto"/>
            <w:noWrap/>
            <w:vAlign w:val="bottom"/>
            <w:hideMark/>
          </w:tcPr>
          <w:p w14:paraId="0FDC01B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64</w:t>
            </w:r>
          </w:p>
        </w:tc>
        <w:tc>
          <w:tcPr>
            <w:tcW w:w="1905" w:type="dxa"/>
            <w:tcBorders>
              <w:top w:val="nil"/>
              <w:left w:val="nil"/>
              <w:bottom w:val="nil"/>
              <w:right w:val="nil"/>
            </w:tcBorders>
            <w:shd w:val="clear" w:color="auto" w:fill="auto"/>
            <w:noWrap/>
            <w:vAlign w:val="bottom"/>
            <w:hideMark/>
          </w:tcPr>
          <w:p w14:paraId="06399CB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6B3D37B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proofErr w:type="spellStart"/>
            <w:r w:rsidRPr="00FC1F1A">
              <w:rPr>
                <w:rFonts w:ascii="Aptos Narrow" w:eastAsia="Times New Roman" w:hAnsi="Aptos Narrow" w:cs="Times New Roman"/>
                <w:color w:val="000000"/>
                <w:kern w:val="0"/>
                <w:lang w:eastAsia="en-GB"/>
                <w14:ligatures w14:val="none"/>
              </w:rPr>
              <w:t>PLoS</w:t>
            </w:r>
            <w:proofErr w:type="spellEnd"/>
            <w:r w:rsidRPr="00FC1F1A">
              <w:rPr>
                <w:rFonts w:ascii="Aptos Narrow" w:eastAsia="Times New Roman" w:hAnsi="Aptos Narrow" w:cs="Times New Roman"/>
                <w:color w:val="000000"/>
                <w:kern w:val="0"/>
                <w:lang w:eastAsia="en-GB"/>
                <w14:ligatures w14:val="none"/>
              </w:rPr>
              <w:t xml:space="preserve"> ONE</w:t>
            </w:r>
          </w:p>
        </w:tc>
        <w:tc>
          <w:tcPr>
            <w:tcW w:w="634" w:type="dxa"/>
            <w:tcBorders>
              <w:top w:val="nil"/>
              <w:left w:val="nil"/>
              <w:bottom w:val="nil"/>
              <w:right w:val="single" w:sz="8" w:space="0" w:color="auto"/>
            </w:tcBorders>
            <w:shd w:val="clear" w:color="auto" w:fill="auto"/>
            <w:noWrap/>
            <w:vAlign w:val="bottom"/>
            <w:hideMark/>
          </w:tcPr>
          <w:p w14:paraId="2690877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28.3</w:t>
            </w:r>
          </w:p>
        </w:tc>
      </w:tr>
      <w:tr w:rsidR="00FC1F1A" w:rsidRPr="00FC1F1A" w14:paraId="59671545"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5104EE5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Shah 2020</w:t>
            </w:r>
          </w:p>
        </w:tc>
        <w:tc>
          <w:tcPr>
            <w:tcW w:w="726" w:type="dxa"/>
            <w:tcBorders>
              <w:top w:val="nil"/>
              <w:left w:val="nil"/>
              <w:bottom w:val="nil"/>
              <w:right w:val="nil"/>
            </w:tcBorders>
            <w:shd w:val="clear" w:color="auto" w:fill="auto"/>
            <w:noWrap/>
            <w:vAlign w:val="bottom"/>
            <w:hideMark/>
          </w:tcPr>
          <w:p w14:paraId="453754D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66</w:t>
            </w:r>
          </w:p>
        </w:tc>
        <w:tc>
          <w:tcPr>
            <w:tcW w:w="1905" w:type="dxa"/>
            <w:tcBorders>
              <w:top w:val="nil"/>
              <w:left w:val="nil"/>
              <w:bottom w:val="nil"/>
              <w:right w:val="nil"/>
            </w:tcBorders>
            <w:shd w:val="clear" w:color="auto" w:fill="auto"/>
            <w:noWrap/>
            <w:vAlign w:val="bottom"/>
            <w:hideMark/>
          </w:tcPr>
          <w:p w14:paraId="76BEBDE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0E8751A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w:t>
            </w:r>
          </w:p>
        </w:tc>
        <w:tc>
          <w:tcPr>
            <w:tcW w:w="634" w:type="dxa"/>
            <w:tcBorders>
              <w:top w:val="nil"/>
              <w:left w:val="nil"/>
              <w:bottom w:val="nil"/>
              <w:right w:val="single" w:sz="8" w:space="0" w:color="auto"/>
            </w:tcBorders>
            <w:shd w:val="clear" w:color="auto" w:fill="auto"/>
            <w:noWrap/>
            <w:vAlign w:val="bottom"/>
            <w:hideMark/>
          </w:tcPr>
          <w:p w14:paraId="785469A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43</w:t>
            </w:r>
          </w:p>
        </w:tc>
      </w:tr>
      <w:tr w:rsidR="00FC1F1A" w:rsidRPr="00FC1F1A" w14:paraId="0ECBA229" w14:textId="77777777" w:rsidTr="00FC1F1A">
        <w:trPr>
          <w:trHeight w:val="320"/>
        </w:trPr>
        <w:tc>
          <w:tcPr>
            <w:tcW w:w="2609" w:type="dxa"/>
            <w:tcBorders>
              <w:top w:val="nil"/>
              <w:left w:val="single" w:sz="8" w:space="0" w:color="auto"/>
              <w:bottom w:val="nil"/>
              <w:right w:val="nil"/>
            </w:tcBorders>
            <w:shd w:val="clear" w:color="auto" w:fill="auto"/>
            <w:noWrap/>
            <w:vAlign w:val="bottom"/>
            <w:hideMark/>
          </w:tcPr>
          <w:p w14:paraId="62A7E8D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Su 2015</w:t>
            </w:r>
          </w:p>
        </w:tc>
        <w:tc>
          <w:tcPr>
            <w:tcW w:w="726" w:type="dxa"/>
            <w:tcBorders>
              <w:top w:val="nil"/>
              <w:left w:val="nil"/>
              <w:bottom w:val="nil"/>
              <w:right w:val="nil"/>
            </w:tcBorders>
            <w:shd w:val="clear" w:color="auto" w:fill="auto"/>
            <w:noWrap/>
            <w:vAlign w:val="bottom"/>
            <w:hideMark/>
          </w:tcPr>
          <w:p w14:paraId="5E9C1B61"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72</w:t>
            </w:r>
          </w:p>
        </w:tc>
        <w:tc>
          <w:tcPr>
            <w:tcW w:w="1905" w:type="dxa"/>
            <w:tcBorders>
              <w:top w:val="nil"/>
              <w:left w:val="nil"/>
              <w:bottom w:val="nil"/>
              <w:right w:val="nil"/>
            </w:tcBorders>
            <w:shd w:val="clear" w:color="auto" w:fill="auto"/>
            <w:noWrap/>
            <w:vAlign w:val="bottom"/>
            <w:hideMark/>
          </w:tcPr>
          <w:p w14:paraId="25D33693"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32E1732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Trials</w:t>
            </w:r>
          </w:p>
        </w:tc>
        <w:tc>
          <w:tcPr>
            <w:tcW w:w="634" w:type="dxa"/>
            <w:tcBorders>
              <w:top w:val="nil"/>
              <w:left w:val="nil"/>
              <w:bottom w:val="nil"/>
              <w:right w:val="single" w:sz="8" w:space="0" w:color="auto"/>
            </w:tcBorders>
            <w:shd w:val="clear" w:color="auto" w:fill="auto"/>
            <w:noWrap/>
            <w:vAlign w:val="bottom"/>
            <w:hideMark/>
          </w:tcPr>
          <w:p w14:paraId="0E0C7405"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45.1</w:t>
            </w:r>
          </w:p>
        </w:tc>
      </w:tr>
      <w:tr w:rsidR="00FC1F1A" w:rsidRPr="00FC1F1A" w14:paraId="1D59950B" w14:textId="77777777" w:rsidTr="00FC1F1A">
        <w:trPr>
          <w:trHeight w:val="340"/>
        </w:trPr>
        <w:tc>
          <w:tcPr>
            <w:tcW w:w="2609" w:type="dxa"/>
            <w:tcBorders>
              <w:top w:val="nil"/>
              <w:left w:val="single" w:sz="8" w:space="0" w:color="auto"/>
              <w:bottom w:val="nil"/>
              <w:right w:val="nil"/>
            </w:tcBorders>
            <w:shd w:val="clear" w:color="auto" w:fill="auto"/>
            <w:noWrap/>
            <w:vAlign w:val="bottom"/>
            <w:hideMark/>
          </w:tcPr>
          <w:p w14:paraId="3518B72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TARG 2023</w:t>
            </w:r>
          </w:p>
        </w:tc>
        <w:tc>
          <w:tcPr>
            <w:tcW w:w="726" w:type="dxa"/>
            <w:tcBorders>
              <w:top w:val="nil"/>
              <w:left w:val="nil"/>
              <w:bottom w:val="nil"/>
              <w:right w:val="nil"/>
            </w:tcBorders>
            <w:shd w:val="clear" w:color="auto" w:fill="auto"/>
            <w:noWrap/>
            <w:vAlign w:val="bottom"/>
            <w:hideMark/>
          </w:tcPr>
          <w:p w14:paraId="1037AFE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74</w:t>
            </w:r>
          </w:p>
        </w:tc>
        <w:tc>
          <w:tcPr>
            <w:tcW w:w="1905" w:type="dxa"/>
            <w:tcBorders>
              <w:top w:val="nil"/>
              <w:left w:val="nil"/>
              <w:bottom w:val="nil"/>
              <w:right w:val="nil"/>
            </w:tcBorders>
            <w:shd w:val="clear" w:color="auto" w:fill="auto"/>
            <w:noWrap/>
            <w:vAlign w:val="bottom"/>
            <w:hideMark/>
          </w:tcPr>
          <w:p w14:paraId="4364357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p>
        </w:tc>
        <w:tc>
          <w:tcPr>
            <w:tcW w:w="2746" w:type="dxa"/>
            <w:tcBorders>
              <w:top w:val="nil"/>
              <w:left w:val="nil"/>
              <w:bottom w:val="nil"/>
              <w:right w:val="nil"/>
            </w:tcBorders>
            <w:shd w:val="clear" w:color="auto" w:fill="auto"/>
            <w:noWrap/>
            <w:vAlign w:val="bottom"/>
            <w:hideMark/>
          </w:tcPr>
          <w:p w14:paraId="7663FC6E"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 Open</w:t>
            </w:r>
          </w:p>
        </w:tc>
        <w:tc>
          <w:tcPr>
            <w:tcW w:w="634" w:type="dxa"/>
            <w:tcBorders>
              <w:top w:val="nil"/>
              <w:left w:val="nil"/>
              <w:bottom w:val="nil"/>
              <w:right w:val="single" w:sz="8" w:space="0" w:color="auto"/>
            </w:tcBorders>
            <w:shd w:val="clear" w:color="auto" w:fill="auto"/>
            <w:noWrap/>
            <w:vAlign w:val="bottom"/>
            <w:hideMark/>
          </w:tcPr>
          <w:p w14:paraId="74D7FED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29</w:t>
            </w:r>
          </w:p>
        </w:tc>
      </w:tr>
      <w:tr w:rsidR="00FC1F1A" w:rsidRPr="00FC1F1A" w14:paraId="3F577957" w14:textId="77777777" w:rsidTr="00FC1F1A">
        <w:trPr>
          <w:trHeight w:val="340"/>
        </w:trPr>
        <w:tc>
          <w:tcPr>
            <w:tcW w:w="2609" w:type="dxa"/>
            <w:tcBorders>
              <w:top w:val="nil"/>
              <w:left w:val="single" w:sz="8" w:space="0" w:color="auto"/>
              <w:bottom w:val="single" w:sz="8" w:space="0" w:color="auto"/>
              <w:right w:val="nil"/>
            </w:tcBorders>
            <w:shd w:val="clear" w:color="auto" w:fill="auto"/>
            <w:noWrap/>
            <w:vAlign w:val="bottom"/>
            <w:hideMark/>
          </w:tcPr>
          <w:p w14:paraId="10B78D5B"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Weston 2016</w:t>
            </w:r>
          </w:p>
        </w:tc>
        <w:tc>
          <w:tcPr>
            <w:tcW w:w="726" w:type="dxa"/>
            <w:tcBorders>
              <w:top w:val="nil"/>
              <w:left w:val="nil"/>
              <w:bottom w:val="single" w:sz="8" w:space="0" w:color="auto"/>
              <w:right w:val="nil"/>
            </w:tcBorders>
            <w:shd w:val="clear" w:color="auto" w:fill="auto"/>
            <w:noWrap/>
            <w:vAlign w:val="bottom"/>
            <w:hideMark/>
          </w:tcPr>
          <w:p w14:paraId="6CB6A509"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83</w:t>
            </w:r>
          </w:p>
        </w:tc>
        <w:tc>
          <w:tcPr>
            <w:tcW w:w="1905" w:type="dxa"/>
            <w:tcBorders>
              <w:top w:val="nil"/>
              <w:left w:val="nil"/>
              <w:bottom w:val="single" w:sz="8" w:space="0" w:color="auto"/>
              <w:right w:val="nil"/>
            </w:tcBorders>
            <w:shd w:val="clear" w:color="auto" w:fill="auto"/>
            <w:noWrap/>
            <w:vAlign w:val="bottom"/>
            <w:hideMark/>
          </w:tcPr>
          <w:p w14:paraId="35E6475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46" w:type="dxa"/>
            <w:tcBorders>
              <w:top w:val="nil"/>
              <w:left w:val="nil"/>
              <w:bottom w:val="single" w:sz="8" w:space="0" w:color="auto"/>
              <w:right w:val="nil"/>
            </w:tcBorders>
            <w:shd w:val="clear" w:color="auto" w:fill="auto"/>
            <w:noWrap/>
            <w:vAlign w:val="bottom"/>
            <w:hideMark/>
          </w:tcPr>
          <w:p w14:paraId="5E4B1B22"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BMJ Open</w:t>
            </w:r>
          </w:p>
        </w:tc>
        <w:tc>
          <w:tcPr>
            <w:tcW w:w="634" w:type="dxa"/>
            <w:tcBorders>
              <w:top w:val="nil"/>
              <w:left w:val="nil"/>
              <w:bottom w:val="single" w:sz="8" w:space="0" w:color="auto"/>
              <w:right w:val="single" w:sz="8" w:space="0" w:color="auto"/>
            </w:tcBorders>
            <w:shd w:val="clear" w:color="auto" w:fill="auto"/>
            <w:noWrap/>
            <w:vAlign w:val="bottom"/>
            <w:hideMark/>
          </w:tcPr>
          <w:p w14:paraId="025CDB58"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27</w:t>
            </w:r>
          </w:p>
        </w:tc>
      </w:tr>
      <w:tr w:rsidR="00FC1F1A" w:rsidRPr="00FC1F1A" w14:paraId="63EB29DE" w14:textId="77777777" w:rsidTr="00FC1F1A">
        <w:trPr>
          <w:trHeight w:val="320"/>
        </w:trPr>
        <w:tc>
          <w:tcPr>
            <w:tcW w:w="2609" w:type="dxa"/>
            <w:tcBorders>
              <w:top w:val="nil"/>
              <w:left w:val="nil"/>
              <w:bottom w:val="nil"/>
              <w:right w:val="nil"/>
            </w:tcBorders>
            <w:shd w:val="clear" w:color="000000" w:fill="FFFFFF"/>
            <w:noWrap/>
            <w:vAlign w:val="bottom"/>
            <w:hideMark/>
          </w:tcPr>
          <w:p w14:paraId="19D6C531"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726" w:type="dxa"/>
            <w:tcBorders>
              <w:top w:val="nil"/>
              <w:left w:val="nil"/>
              <w:bottom w:val="nil"/>
              <w:right w:val="nil"/>
            </w:tcBorders>
            <w:shd w:val="clear" w:color="000000" w:fill="FFFFFF"/>
            <w:noWrap/>
            <w:vAlign w:val="bottom"/>
            <w:hideMark/>
          </w:tcPr>
          <w:p w14:paraId="5F57B753"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905" w:type="dxa"/>
            <w:tcBorders>
              <w:top w:val="nil"/>
              <w:left w:val="nil"/>
              <w:bottom w:val="nil"/>
              <w:right w:val="nil"/>
            </w:tcBorders>
            <w:shd w:val="clear" w:color="000000" w:fill="FFFFFF"/>
            <w:noWrap/>
            <w:vAlign w:val="bottom"/>
            <w:hideMark/>
          </w:tcPr>
          <w:p w14:paraId="4320D2C7"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46" w:type="dxa"/>
            <w:tcBorders>
              <w:top w:val="nil"/>
              <w:left w:val="single" w:sz="8" w:space="0" w:color="auto"/>
              <w:bottom w:val="single" w:sz="4" w:space="0" w:color="auto"/>
              <w:right w:val="single" w:sz="4" w:space="0" w:color="auto"/>
            </w:tcBorders>
            <w:shd w:val="clear" w:color="auto" w:fill="auto"/>
            <w:noWrap/>
            <w:vAlign w:val="bottom"/>
            <w:hideMark/>
          </w:tcPr>
          <w:p w14:paraId="5D42FE26"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Mean</w:t>
            </w:r>
          </w:p>
        </w:tc>
        <w:tc>
          <w:tcPr>
            <w:tcW w:w="634" w:type="dxa"/>
            <w:tcBorders>
              <w:top w:val="nil"/>
              <w:left w:val="nil"/>
              <w:bottom w:val="single" w:sz="4" w:space="0" w:color="auto"/>
              <w:right w:val="single" w:sz="8" w:space="0" w:color="auto"/>
            </w:tcBorders>
            <w:shd w:val="clear" w:color="auto" w:fill="auto"/>
            <w:noWrap/>
            <w:vAlign w:val="bottom"/>
            <w:hideMark/>
          </w:tcPr>
          <w:p w14:paraId="6E1CDA2F"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34</w:t>
            </w:r>
          </w:p>
        </w:tc>
      </w:tr>
      <w:tr w:rsidR="00FC1F1A" w:rsidRPr="00FC1F1A" w14:paraId="61C0B610" w14:textId="77777777" w:rsidTr="00FC1F1A">
        <w:trPr>
          <w:trHeight w:val="320"/>
        </w:trPr>
        <w:tc>
          <w:tcPr>
            <w:tcW w:w="2609" w:type="dxa"/>
            <w:tcBorders>
              <w:top w:val="nil"/>
              <w:left w:val="nil"/>
              <w:bottom w:val="nil"/>
              <w:right w:val="nil"/>
            </w:tcBorders>
            <w:shd w:val="clear" w:color="000000" w:fill="FFFFFF"/>
            <w:noWrap/>
            <w:vAlign w:val="bottom"/>
            <w:hideMark/>
          </w:tcPr>
          <w:p w14:paraId="4FB21FF6"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726" w:type="dxa"/>
            <w:tcBorders>
              <w:top w:val="nil"/>
              <w:left w:val="nil"/>
              <w:bottom w:val="nil"/>
              <w:right w:val="nil"/>
            </w:tcBorders>
            <w:shd w:val="clear" w:color="000000" w:fill="FFFFFF"/>
            <w:noWrap/>
            <w:vAlign w:val="bottom"/>
            <w:hideMark/>
          </w:tcPr>
          <w:p w14:paraId="7F80F2E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905" w:type="dxa"/>
            <w:tcBorders>
              <w:top w:val="nil"/>
              <w:left w:val="nil"/>
              <w:bottom w:val="nil"/>
              <w:right w:val="nil"/>
            </w:tcBorders>
            <w:shd w:val="clear" w:color="000000" w:fill="FFFFFF"/>
            <w:noWrap/>
            <w:vAlign w:val="bottom"/>
            <w:hideMark/>
          </w:tcPr>
          <w:p w14:paraId="10F4C179"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46" w:type="dxa"/>
            <w:tcBorders>
              <w:top w:val="nil"/>
              <w:left w:val="single" w:sz="8" w:space="0" w:color="auto"/>
              <w:bottom w:val="single" w:sz="4" w:space="0" w:color="auto"/>
              <w:right w:val="single" w:sz="4" w:space="0" w:color="auto"/>
            </w:tcBorders>
            <w:shd w:val="clear" w:color="auto" w:fill="auto"/>
            <w:noWrap/>
            <w:vAlign w:val="bottom"/>
            <w:hideMark/>
          </w:tcPr>
          <w:p w14:paraId="18AF022C"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Median</w:t>
            </w:r>
          </w:p>
        </w:tc>
        <w:tc>
          <w:tcPr>
            <w:tcW w:w="634" w:type="dxa"/>
            <w:tcBorders>
              <w:top w:val="nil"/>
              <w:left w:val="nil"/>
              <w:bottom w:val="single" w:sz="4" w:space="0" w:color="auto"/>
              <w:right w:val="single" w:sz="8" w:space="0" w:color="auto"/>
            </w:tcBorders>
            <w:shd w:val="clear" w:color="auto" w:fill="auto"/>
            <w:noWrap/>
            <w:vAlign w:val="bottom"/>
            <w:hideMark/>
          </w:tcPr>
          <w:p w14:paraId="0CF302D7"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31</w:t>
            </w:r>
          </w:p>
        </w:tc>
      </w:tr>
      <w:tr w:rsidR="00FC1F1A" w:rsidRPr="00FC1F1A" w14:paraId="466A65C7" w14:textId="77777777" w:rsidTr="00FC1F1A">
        <w:trPr>
          <w:trHeight w:val="340"/>
        </w:trPr>
        <w:tc>
          <w:tcPr>
            <w:tcW w:w="2609" w:type="dxa"/>
            <w:tcBorders>
              <w:top w:val="nil"/>
              <w:left w:val="nil"/>
              <w:bottom w:val="nil"/>
              <w:right w:val="nil"/>
            </w:tcBorders>
            <w:shd w:val="clear" w:color="000000" w:fill="FFFFFF"/>
            <w:noWrap/>
            <w:vAlign w:val="bottom"/>
            <w:hideMark/>
          </w:tcPr>
          <w:p w14:paraId="39157A5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726" w:type="dxa"/>
            <w:tcBorders>
              <w:top w:val="nil"/>
              <w:left w:val="nil"/>
              <w:bottom w:val="nil"/>
              <w:right w:val="nil"/>
            </w:tcBorders>
            <w:shd w:val="clear" w:color="000000" w:fill="FFFFFF"/>
            <w:noWrap/>
            <w:vAlign w:val="bottom"/>
            <w:hideMark/>
          </w:tcPr>
          <w:p w14:paraId="08038FD0"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905" w:type="dxa"/>
            <w:tcBorders>
              <w:top w:val="nil"/>
              <w:left w:val="nil"/>
              <w:bottom w:val="nil"/>
              <w:right w:val="nil"/>
            </w:tcBorders>
            <w:shd w:val="clear" w:color="000000" w:fill="FFFFFF"/>
            <w:noWrap/>
            <w:vAlign w:val="bottom"/>
            <w:hideMark/>
          </w:tcPr>
          <w:p w14:paraId="0BB0CC1F"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46" w:type="dxa"/>
            <w:tcBorders>
              <w:top w:val="nil"/>
              <w:left w:val="single" w:sz="8" w:space="0" w:color="auto"/>
              <w:bottom w:val="single" w:sz="4" w:space="0" w:color="auto"/>
              <w:right w:val="single" w:sz="4" w:space="0" w:color="auto"/>
            </w:tcBorders>
            <w:shd w:val="clear" w:color="auto" w:fill="auto"/>
            <w:noWrap/>
            <w:vAlign w:val="bottom"/>
            <w:hideMark/>
          </w:tcPr>
          <w:p w14:paraId="18938586"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Lowest</w:t>
            </w:r>
          </w:p>
        </w:tc>
        <w:tc>
          <w:tcPr>
            <w:tcW w:w="634" w:type="dxa"/>
            <w:tcBorders>
              <w:top w:val="nil"/>
              <w:left w:val="nil"/>
              <w:bottom w:val="single" w:sz="4" w:space="0" w:color="auto"/>
              <w:right w:val="single" w:sz="8" w:space="0" w:color="auto"/>
            </w:tcBorders>
            <w:shd w:val="clear" w:color="auto" w:fill="auto"/>
            <w:noWrap/>
            <w:vAlign w:val="bottom"/>
            <w:hideMark/>
          </w:tcPr>
          <w:p w14:paraId="6E762B5C"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13</w:t>
            </w:r>
          </w:p>
        </w:tc>
      </w:tr>
      <w:tr w:rsidR="00FC1F1A" w:rsidRPr="00FC1F1A" w14:paraId="4DF166CC" w14:textId="77777777" w:rsidTr="00FC1F1A">
        <w:trPr>
          <w:trHeight w:val="340"/>
        </w:trPr>
        <w:tc>
          <w:tcPr>
            <w:tcW w:w="2609" w:type="dxa"/>
            <w:tcBorders>
              <w:top w:val="nil"/>
              <w:left w:val="nil"/>
              <w:bottom w:val="nil"/>
              <w:right w:val="nil"/>
            </w:tcBorders>
            <w:shd w:val="clear" w:color="000000" w:fill="FFFFFF"/>
            <w:noWrap/>
            <w:vAlign w:val="bottom"/>
            <w:hideMark/>
          </w:tcPr>
          <w:p w14:paraId="7ACF58C8"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726" w:type="dxa"/>
            <w:tcBorders>
              <w:top w:val="nil"/>
              <w:left w:val="nil"/>
              <w:bottom w:val="nil"/>
              <w:right w:val="nil"/>
            </w:tcBorders>
            <w:shd w:val="clear" w:color="000000" w:fill="FFFFFF"/>
            <w:noWrap/>
            <w:vAlign w:val="bottom"/>
            <w:hideMark/>
          </w:tcPr>
          <w:p w14:paraId="7F8DFA85"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1905" w:type="dxa"/>
            <w:tcBorders>
              <w:top w:val="nil"/>
              <w:left w:val="nil"/>
              <w:bottom w:val="nil"/>
              <w:right w:val="nil"/>
            </w:tcBorders>
            <w:shd w:val="clear" w:color="000000" w:fill="FFFFFF"/>
            <w:noWrap/>
            <w:vAlign w:val="bottom"/>
            <w:hideMark/>
          </w:tcPr>
          <w:p w14:paraId="04D0C8EA" w14:textId="77777777" w:rsidR="00FC1F1A" w:rsidRPr="00FC1F1A" w:rsidRDefault="00FC1F1A" w:rsidP="00FC1F1A">
            <w:pPr>
              <w:spacing w:after="0" w:line="240" w:lineRule="auto"/>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 </w:t>
            </w:r>
          </w:p>
        </w:tc>
        <w:tc>
          <w:tcPr>
            <w:tcW w:w="2746" w:type="dxa"/>
            <w:tcBorders>
              <w:top w:val="nil"/>
              <w:left w:val="single" w:sz="8" w:space="0" w:color="auto"/>
              <w:bottom w:val="single" w:sz="8" w:space="0" w:color="auto"/>
              <w:right w:val="single" w:sz="4" w:space="0" w:color="auto"/>
            </w:tcBorders>
            <w:shd w:val="clear" w:color="auto" w:fill="auto"/>
            <w:noWrap/>
            <w:vAlign w:val="bottom"/>
            <w:hideMark/>
          </w:tcPr>
          <w:p w14:paraId="58B87194" w14:textId="77777777" w:rsidR="00FC1F1A" w:rsidRPr="00FC1F1A" w:rsidRDefault="00FC1F1A" w:rsidP="00FC1F1A">
            <w:pPr>
              <w:spacing w:after="0" w:line="240" w:lineRule="auto"/>
              <w:rPr>
                <w:rFonts w:ascii="Aptos Narrow" w:eastAsia="Times New Roman" w:hAnsi="Aptos Narrow" w:cs="Times New Roman"/>
                <w:b/>
                <w:bCs/>
                <w:color w:val="000000"/>
                <w:kern w:val="0"/>
                <w:lang w:eastAsia="en-GB"/>
                <w14:ligatures w14:val="none"/>
              </w:rPr>
            </w:pPr>
            <w:r w:rsidRPr="00FC1F1A">
              <w:rPr>
                <w:rFonts w:ascii="Aptos Narrow" w:eastAsia="Times New Roman" w:hAnsi="Aptos Narrow" w:cs="Times New Roman"/>
                <w:b/>
                <w:bCs/>
                <w:color w:val="000000"/>
                <w:kern w:val="0"/>
                <w:lang w:eastAsia="en-GB"/>
                <w14:ligatures w14:val="none"/>
              </w:rPr>
              <w:t>Highest</w:t>
            </w:r>
          </w:p>
        </w:tc>
        <w:tc>
          <w:tcPr>
            <w:tcW w:w="634" w:type="dxa"/>
            <w:tcBorders>
              <w:top w:val="nil"/>
              <w:left w:val="nil"/>
              <w:bottom w:val="single" w:sz="8" w:space="0" w:color="auto"/>
              <w:right w:val="single" w:sz="8" w:space="0" w:color="auto"/>
            </w:tcBorders>
            <w:shd w:val="clear" w:color="auto" w:fill="auto"/>
            <w:noWrap/>
            <w:vAlign w:val="bottom"/>
            <w:hideMark/>
          </w:tcPr>
          <w:p w14:paraId="36EA19ED" w14:textId="77777777" w:rsidR="00FC1F1A" w:rsidRPr="00FC1F1A" w:rsidRDefault="00FC1F1A" w:rsidP="00FC1F1A">
            <w:pPr>
              <w:spacing w:after="0" w:line="240" w:lineRule="auto"/>
              <w:jc w:val="center"/>
              <w:rPr>
                <w:rFonts w:ascii="Aptos Narrow" w:eastAsia="Times New Roman" w:hAnsi="Aptos Narrow" w:cs="Times New Roman"/>
                <w:color w:val="000000"/>
                <w:kern w:val="0"/>
                <w:lang w:eastAsia="en-GB"/>
                <w14:ligatures w14:val="none"/>
              </w:rPr>
            </w:pPr>
            <w:r w:rsidRPr="00FC1F1A">
              <w:rPr>
                <w:rFonts w:ascii="Aptos Narrow" w:eastAsia="Times New Roman" w:hAnsi="Aptos Narrow" w:cs="Times New Roman"/>
                <w:color w:val="000000"/>
                <w:kern w:val="0"/>
                <w:lang w:eastAsia="en-GB"/>
                <w14:ligatures w14:val="none"/>
              </w:rPr>
              <w:t>62</w:t>
            </w:r>
          </w:p>
        </w:tc>
      </w:tr>
    </w:tbl>
    <w:p w14:paraId="16A6132B" w14:textId="77777777" w:rsidR="005867DE" w:rsidRPr="00F05F08" w:rsidRDefault="005867DE" w:rsidP="005867DE">
      <w:pPr>
        <w:rPr>
          <w:rFonts w:ascii="Arial" w:hAnsi="Arial" w:cs="Arial"/>
          <w:b/>
          <w:bCs/>
          <w:sz w:val="28"/>
          <w:szCs w:val="28"/>
        </w:rPr>
      </w:pPr>
    </w:p>
    <w:p w14:paraId="35C0B23C" w14:textId="77777777" w:rsidR="005867DE" w:rsidRDefault="005867DE"/>
    <w:p w14:paraId="270325C0" w14:textId="77777777" w:rsidR="005867DE" w:rsidRDefault="005867DE"/>
    <w:p w14:paraId="52CB25EC" w14:textId="77777777" w:rsidR="00A15E24" w:rsidRDefault="00A15E24"/>
    <w:p w14:paraId="3BDE12D9" w14:textId="77777777" w:rsidR="00A15E24" w:rsidRDefault="00A15E24"/>
    <w:p w14:paraId="1A38D4C7" w14:textId="77777777" w:rsidR="00A15E24" w:rsidRDefault="00A15E24"/>
    <w:p w14:paraId="0390B8CF" w14:textId="77777777" w:rsidR="00A15E24" w:rsidRDefault="00A15E24"/>
    <w:p w14:paraId="6141AC01" w14:textId="77777777" w:rsidR="00A15E24" w:rsidRDefault="00A15E24"/>
    <w:p w14:paraId="0C1CC8C0" w14:textId="77777777" w:rsidR="00A15E24" w:rsidRDefault="00A15E24"/>
    <w:p w14:paraId="690255A2" w14:textId="1A0E1284" w:rsidR="00A15E24" w:rsidRDefault="00A15E24" w:rsidP="00A15E24">
      <w:pPr>
        <w:spacing w:line="480" w:lineRule="auto"/>
        <w:rPr>
          <w:rFonts w:ascii="Arial" w:hAnsi="Arial" w:cs="Arial"/>
          <w:color w:val="000000" w:themeColor="text1"/>
        </w:rPr>
      </w:pPr>
      <w:r>
        <w:rPr>
          <w:rFonts w:ascii="Arial" w:hAnsi="Arial" w:cs="Arial"/>
          <w:color w:val="000000" w:themeColor="text1"/>
        </w:rPr>
        <w:lastRenderedPageBreak/>
        <w:t>T</w:t>
      </w:r>
      <w:r>
        <w:rPr>
          <w:rFonts w:ascii="Arial" w:hAnsi="Arial" w:cs="Arial"/>
          <w:color w:val="000000" w:themeColor="text1"/>
        </w:rPr>
        <w:t xml:space="preserve">en papers assessing the </w:t>
      </w:r>
      <w:r w:rsidRPr="00B035EA">
        <w:rPr>
          <w:rFonts w:ascii="Arial" w:hAnsi="Arial" w:cs="Arial"/>
          <w:color w:val="000000" w:themeColor="text1"/>
        </w:rPr>
        <w:t>impact o</w:t>
      </w:r>
      <w:r>
        <w:rPr>
          <w:rFonts w:ascii="Arial" w:hAnsi="Arial" w:cs="Arial"/>
          <w:color w:val="000000" w:themeColor="text1"/>
        </w:rPr>
        <w:t xml:space="preserve">f </w:t>
      </w:r>
      <w:r>
        <w:rPr>
          <w:rFonts w:ascii="Arial" w:hAnsi="Arial" w:cs="Arial"/>
          <w:color w:val="000000" w:themeColor="text1"/>
        </w:rPr>
        <w:t xml:space="preserve">trial </w:t>
      </w:r>
      <w:r>
        <w:rPr>
          <w:rFonts w:ascii="Arial" w:hAnsi="Arial" w:cs="Arial"/>
          <w:color w:val="000000" w:themeColor="text1"/>
        </w:rPr>
        <w:t>registration on</w:t>
      </w:r>
      <w:r w:rsidRPr="00B035EA">
        <w:rPr>
          <w:rFonts w:ascii="Arial" w:hAnsi="Arial" w:cs="Arial"/>
          <w:color w:val="000000" w:themeColor="text1"/>
        </w:rPr>
        <w:t xml:space="preserve"> effect size estimates</w:t>
      </w:r>
      <w:r>
        <w:t xml:space="preserve"> </w:t>
      </w:r>
      <w:r>
        <w:rPr>
          <w:rFonts w:ascii="Arial" w:hAnsi="Arial" w:cs="Arial"/>
          <w:color w:val="000000" w:themeColor="text1"/>
        </w:rPr>
        <w:t>were identified</w:t>
      </w:r>
      <w:r>
        <w:rPr>
          <w:rFonts w:ascii="Arial" w:hAnsi="Arial" w:cs="Arial"/>
          <w:color w:val="000000" w:themeColor="text1"/>
        </w:rPr>
        <w:t>:</w:t>
      </w:r>
    </w:p>
    <w:p w14:paraId="11C2EBEC" w14:textId="77777777" w:rsidR="00A15E24" w:rsidRDefault="00A15E24">
      <w:pPr>
        <w:rPr>
          <w:rFonts w:ascii="Arial" w:hAnsi="Arial" w:cs="Arial"/>
          <w:color w:val="000000" w:themeColor="text1"/>
        </w:rPr>
      </w:pPr>
    </w:p>
    <w:tbl>
      <w:tblPr>
        <w:tblStyle w:val="TableGrid"/>
        <w:tblW w:w="0" w:type="auto"/>
        <w:tblInd w:w="421" w:type="dxa"/>
        <w:tblLook w:val="04A0" w:firstRow="1" w:lastRow="0" w:firstColumn="1" w:lastColumn="0" w:noHBand="0" w:noVBand="1"/>
      </w:tblPr>
      <w:tblGrid>
        <w:gridCol w:w="2409"/>
        <w:gridCol w:w="1418"/>
      </w:tblGrid>
      <w:tr w:rsidR="00A15E24" w:rsidRPr="00A15E24" w14:paraId="59850297" w14:textId="77777777" w:rsidTr="00A15E24">
        <w:tc>
          <w:tcPr>
            <w:tcW w:w="2409" w:type="dxa"/>
          </w:tcPr>
          <w:p w14:paraId="02108D59" w14:textId="229411F9" w:rsidR="00A15E24" w:rsidRPr="00A15E24" w:rsidRDefault="00A15E24" w:rsidP="00A15E24">
            <w:pPr>
              <w:spacing w:line="480" w:lineRule="auto"/>
              <w:rPr>
                <w:rFonts w:ascii="Arial" w:hAnsi="Arial" w:cs="Arial"/>
                <w:b/>
                <w:bCs/>
              </w:rPr>
            </w:pPr>
            <w:r w:rsidRPr="00A15E24">
              <w:rPr>
                <w:rFonts w:ascii="Arial" w:hAnsi="Arial" w:cs="Arial"/>
                <w:b/>
                <w:bCs/>
              </w:rPr>
              <w:t>Source</w:t>
            </w:r>
          </w:p>
        </w:tc>
        <w:tc>
          <w:tcPr>
            <w:tcW w:w="1418" w:type="dxa"/>
          </w:tcPr>
          <w:p w14:paraId="500B388B" w14:textId="65BAE07C" w:rsidR="00A15E24" w:rsidRPr="00A15E24" w:rsidRDefault="00A15E24" w:rsidP="00A15E24">
            <w:pPr>
              <w:spacing w:line="480" w:lineRule="auto"/>
              <w:rPr>
                <w:rFonts w:ascii="Arial" w:hAnsi="Arial" w:cs="Arial"/>
                <w:b/>
                <w:bCs/>
              </w:rPr>
            </w:pPr>
            <w:r w:rsidRPr="00A15E24">
              <w:rPr>
                <w:rFonts w:ascii="Arial" w:hAnsi="Arial" w:cs="Arial"/>
                <w:b/>
                <w:bCs/>
              </w:rPr>
              <w:t>Ref #</w:t>
            </w:r>
          </w:p>
        </w:tc>
      </w:tr>
      <w:tr w:rsidR="00A15E24" w:rsidRPr="00A15E24" w14:paraId="5D24DD93" w14:textId="77777777" w:rsidTr="00A15E24">
        <w:tc>
          <w:tcPr>
            <w:tcW w:w="2409" w:type="dxa"/>
          </w:tcPr>
          <w:p w14:paraId="5EC14062" w14:textId="421F3B4A" w:rsidR="00A15E24" w:rsidRPr="00A15E24" w:rsidRDefault="00A15E24" w:rsidP="00A15E24">
            <w:pPr>
              <w:spacing w:line="480" w:lineRule="auto"/>
              <w:rPr>
                <w:rFonts w:ascii="Arial" w:hAnsi="Arial" w:cs="Arial"/>
              </w:rPr>
            </w:pPr>
            <w:proofErr w:type="spellStart"/>
            <w:r w:rsidRPr="00A15E24">
              <w:rPr>
                <w:rFonts w:ascii="Arial" w:hAnsi="Arial" w:cs="Arial"/>
              </w:rPr>
              <w:t>Dechartres</w:t>
            </w:r>
            <w:proofErr w:type="spellEnd"/>
            <w:r w:rsidRPr="00A15E24">
              <w:rPr>
                <w:rFonts w:ascii="Arial" w:hAnsi="Arial" w:cs="Arial"/>
              </w:rPr>
              <w:t xml:space="preserve"> 2016</w:t>
            </w:r>
          </w:p>
        </w:tc>
        <w:tc>
          <w:tcPr>
            <w:tcW w:w="1418" w:type="dxa"/>
          </w:tcPr>
          <w:p w14:paraId="36CFCE29" w14:textId="1181487F" w:rsidR="00A15E24" w:rsidRPr="00A15E24" w:rsidRDefault="00A15E24" w:rsidP="00A15E24">
            <w:pPr>
              <w:spacing w:line="480" w:lineRule="auto"/>
              <w:rPr>
                <w:rFonts w:ascii="Arial" w:hAnsi="Arial" w:cs="Arial"/>
              </w:rPr>
            </w:pPr>
            <w:r w:rsidRPr="00A15E24">
              <w:rPr>
                <w:rFonts w:ascii="Arial" w:hAnsi="Arial" w:cs="Arial"/>
              </w:rPr>
              <w:t>11</w:t>
            </w:r>
          </w:p>
        </w:tc>
      </w:tr>
      <w:tr w:rsidR="00A15E24" w:rsidRPr="00A15E24" w14:paraId="1A393B33" w14:textId="77777777" w:rsidTr="00A15E24">
        <w:tc>
          <w:tcPr>
            <w:tcW w:w="2409" w:type="dxa"/>
          </w:tcPr>
          <w:p w14:paraId="6A5532B5" w14:textId="2A9F8492" w:rsidR="00A15E24" w:rsidRPr="00A15E24" w:rsidRDefault="00A15E24" w:rsidP="00A15E24">
            <w:pPr>
              <w:spacing w:line="480" w:lineRule="auto"/>
              <w:rPr>
                <w:rFonts w:ascii="Arial" w:hAnsi="Arial" w:cs="Arial"/>
              </w:rPr>
            </w:pPr>
            <w:r w:rsidRPr="00A15E24">
              <w:rPr>
                <w:rFonts w:ascii="Arial" w:hAnsi="Arial" w:cs="Arial"/>
              </w:rPr>
              <w:t>Papageorgiou</w:t>
            </w:r>
            <w:r w:rsidRPr="00A15E24">
              <w:rPr>
                <w:rFonts w:ascii="Arial" w:hAnsi="Arial" w:cs="Arial"/>
              </w:rPr>
              <w:t xml:space="preserve"> 2018</w:t>
            </w:r>
          </w:p>
        </w:tc>
        <w:tc>
          <w:tcPr>
            <w:tcW w:w="1418" w:type="dxa"/>
          </w:tcPr>
          <w:p w14:paraId="61872F94" w14:textId="54F2ACBB" w:rsidR="00A15E24" w:rsidRPr="00A15E24" w:rsidRDefault="00A15E24" w:rsidP="00A15E24">
            <w:pPr>
              <w:spacing w:line="480" w:lineRule="auto"/>
              <w:rPr>
                <w:rFonts w:ascii="Arial" w:hAnsi="Arial" w:cs="Arial"/>
              </w:rPr>
            </w:pPr>
            <w:r w:rsidRPr="00A15E24">
              <w:rPr>
                <w:rFonts w:ascii="Arial" w:hAnsi="Arial" w:cs="Arial"/>
              </w:rPr>
              <w:t>46</w:t>
            </w:r>
          </w:p>
        </w:tc>
      </w:tr>
      <w:tr w:rsidR="00A15E24" w:rsidRPr="00A15E24" w14:paraId="15ADD09D" w14:textId="77777777" w:rsidTr="00A15E24">
        <w:tc>
          <w:tcPr>
            <w:tcW w:w="2409" w:type="dxa"/>
          </w:tcPr>
          <w:p w14:paraId="7F8EC9A4" w14:textId="4828D4ED" w:rsidR="00A15E24" w:rsidRPr="00A15E24" w:rsidRDefault="00A15E24" w:rsidP="00A15E24">
            <w:pPr>
              <w:spacing w:line="480" w:lineRule="auto"/>
              <w:rPr>
                <w:rFonts w:ascii="Arial" w:hAnsi="Arial" w:cs="Arial"/>
              </w:rPr>
            </w:pPr>
            <w:proofErr w:type="spellStart"/>
            <w:r w:rsidRPr="00A15E24">
              <w:rPr>
                <w:rFonts w:ascii="Arial" w:hAnsi="Arial" w:cs="Arial"/>
              </w:rPr>
              <w:t>Polanin</w:t>
            </w:r>
            <w:proofErr w:type="spellEnd"/>
            <w:r w:rsidRPr="00A15E24">
              <w:rPr>
                <w:rFonts w:ascii="Arial" w:hAnsi="Arial" w:cs="Arial"/>
              </w:rPr>
              <w:t xml:space="preserve"> 2016</w:t>
            </w:r>
          </w:p>
        </w:tc>
        <w:tc>
          <w:tcPr>
            <w:tcW w:w="1418" w:type="dxa"/>
          </w:tcPr>
          <w:p w14:paraId="23DAA30C" w14:textId="39F0291C" w:rsidR="00A15E24" w:rsidRPr="00A15E24" w:rsidRDefault="00A15E24" w:rsidP="00A15E24">
            <w:pPr>
              <w:spacing w:line="480" w:lineRule="auto"/>
              <w:rPr>
                <w:rFonts w:ascii="Arial" w:hAnsi="Arial" w:cs="Arial"/>
              </w:rPr>
            </w:pPr>
            <w:r w:rsidRPr="00A15E24">
              <w:rPr>
                <w:rFonts w:ascii="Arial" w:hAnsi="Arial" w:cs="Arial"/>
              </w:rPr>
              <w:t>48</w:t>
            </w:r>
          </w:p>
        </w:tc>
      </w:tr>
      <w:tr w:rsidR="00A15E24" w:rsidRPr="00A15E24" w14:paraId="428120D5" w14:textId="77777777" w:rsidTr="00A15E24">
        <w:tc>
          <w:tcPr>
            <w:tcW w:w="2409" w:type="dxa"/>
          </w:tcPr>
          <w:p w14:paraId="20A0E5BA" w14:textId="258361AA" w:rsidR="00A15E24" w:rsidRPr="00A15E24" w:rsidRDefault="00A15E24" w:rsidP="00A15E24">
            <w:pPr>
              <w:spacing w:line="480" w:lineRule="auto"/>
              <w:rPr>
                <w:rFonts w:ascii="Arial" w:hAnsi="Arial" w:cs="Arial"/>
              </w:rPr>
            </w:pPr>
            <w:r w:rsidRPr="00A15E24">
              <w:rPr>
                <w:rFonts w:ascii="Arial" w:hAnsi="Arial" w:cs="Arial"/>
              </w:rPr>
              <w:t>Rasmussen 2009</w:t>
            </w:r>
          </w:p>
        </w:tc>
        <w:tc>
          <w:tcPr>
            <w:tcW w:w="1418" w:type="dxa"/>
          </w:tcPr>
          <w:p w14:paraId="5799CE03" w14:textId="4CAA06E4" w:rsidR="00A15E24" w:rsidRPr="00A15E24" w:rsidRDefault="00A15E24" w:rsidP="00A15E24">
            <w:pPr>
              <w:spacing w:line="480" w:lineRule="auto"/>
              <w:rPr>
                <w:rFonts w:ascii="Arial" w:hAnsi="Arial" w:cs="Arial"/>
              </w:rPr>
            </w:pPr>
            <w:r>
              <w:rPr>
                <w:rFonts w:ascii="Arial" w:hAnsi="Arial" w:cs="Arial"/>
              </w:rPr>
              <w:t>51</w:t>
            </w:r>
          </w:p>
        </w:tc>
      </w:tr>
      <w:tr w:rsidR="00A15E24" w:rsidRPr="00A15E24" w14:paraId="1BCE14A6" w14:textId="77777777" w:rsidTr="00A15E24">
        <w:tc>
          <w:tcPr>
            <w:tcW w:w="2409" w:type="dxa"/>
          </w:tcPr>
          <w:p w14:paraId="6ED559C0" w14:textId="11807965" w:rsidR="00A15E24" w:rsidRPr="00A15E24" w:rsidRDefault="00A15E24" w:rsidP="00A15E24">
            <w:pPr>
              <w:spacing w:line="480" w:lineRule="auto"/>
              <w:rPr>
                <w:rFonts w:ascii="Arial" w:hAnsi="Arial" w:cs="Arial"/>
              </w:rPr>
            </w:pPr>
            <w:r w:rsidRPr="00A15E24">
              <w:rPr>
                <w:rFonts w:ascii="Arial" w:hAnsi="Arial" w:cs="Arial"/>
              </w:rPr>
              <w:t>Roest 2015</w:t>
            </w:r>
          </w:p>
        </w:tc>
        <w:tc>
          <w:tcPr>
            <w:tcW w:w="1418" w:type="dxa"/>
          </w:tcPr>
          <w:p w14:paraId="09E11ACE" w14:textId="2B1DF4FF" w:rsidR="00A15E24" w:rsidRPr="00A15E24" w:rsidRDefault="00A15E24" w:rsidP="00A15E24">
            <w:pPr>
              <w:spacing w:line="480" w:lineRule="auto"/>
              <w:rPr>
                <w:rFonts w:ascii="Arial" w:hAnsi="Arial" w:cs="Arial"/>
              </w:rPr>
            </w:pPr>
            <w:r>
              <w:rPr>
                <w:rFonts w:ascii="Arial" w:hAnsi="Arial" w:cs="Arial"/>
              </w:rPr>
              <w:t>55</w:t>
            </w:r>
          </w:p>
        </w:tc>
      </w:tr>
      <w:tr w:rsidR="00A15E24" w:rsidRPr="00A15E24" w14:paraId="717E1D5D" w14:textId="77777777" w:rsidTr="00A15E24">
        <w:tc>
          <w:tcPr>
            <w:tcW w:w="2409" w:type="dxa"/>
          </w:tcPr>
          <w:p w14:paraId="4BFAE68A" w14:textId="665148EF" w:rsidR="00A15E24" w:rsidRPr="00A15E24" w:rsidRDefault="00A15E24" w:rsidP="00A15E24">
            <w:pPr>
              <w:spacing w:line="480" w:lineRule="auto"/>
              <w:rPr>
                <w:rFonts w:ascii="Arial" w:hAnsi="Arial" w:cs="Arial"/>
              </w:rPr>
            </w:pPr>
            <w:r w:rsidRPr="00A15E24">
              <w:rPr>
                <w:rFonts w:ascii="Arial" w:hAnsi="Arial" w:cs="Arial"/>
              </w:rPr>
              <w:t>Schafer 2019</w:t>
            </w:r>
          </w:p>
        </w:tc>
        <w:tc>
          <w:tcPr>
            <w:tcW w:w="1418" w:type="dxa"/>
          </w:tcPr>
          <w:p w14:paraId="736B2BD9" w14:textId="1355CDC6" w:rsidR="00A15E24" w:rsidRPr="00A15E24" w:rsidRDefault="00A15E24" w:rsidP="00A15E24">
            <w:pPr>
              <w:spacing w:line="480" w:lineRule="auto"/>
              <w:rPr>
                <w:rFonts w:ascii="Arial" w:hAnsi="Arial" w:cs="Arial"/>
              </w:rPr>
            </w:pPr>
            <w:r>
              <w:rPr>
                <w:rFonts w:ascii="Arial" w:hAnsi="Arial" w:cs="Arial"/>
              </w:rPr>
              <w:t>60</w:t>
            </w:r>
          </w:p>
        </w:tc>
      </w:tr>
      <w:tr w:rsidR="00A15E24" w:rsidRPr="00A15E24" w14:paraId="38B61857" w14:textId="77777777" w:rsidTr="00A15E24">
        <w:tc>
          <w:tcPr>
            <w:tcW w:w="2409" w:type="dxa"/>
          </w:tcPr>
          <w:p w14:paraId="4F3402C0" w14:textId="277FCFF6" w:rsidR="00A15E24" w:rsidRPr="00A15E24" w:rsidRDefault="00A15E24" w:rsidP="00A15E24">
            <w:pPr>
              <w:spacing w:line="480" w:lineRule="auto"/>
              <w:rPr>
                <w:rFonts w:ascii="Arial" w:hAnsi="Arial" w:cs="Arial"/>
              </w:rPr>
            </w:pPr>
            <w:r w:rsidRPr="00A15E24">
              <w:rPr>
                <w:rFonts w:ascii="Arial" w:hAnsi="Arial" w:cs="Arial"/>
              </w:rPr>
              <w:t>Schmucker 2017</w:t>
            </w:r>
          </w:p>
        </w:tc>
        <w:tc>
          <w:tcPr>
            <w:tcW w:w="1418" w:type="dxa"/>
          </w:tcPr>
          <w:p w14:paraId="195A4FDA" w14:textId="3DDBD93F" w:rsidR="00A15E24" w:rsidRPr="00A15E24" w:rsidRDefault="00A15E24" w:rsidP="00A15E24">
            <w:pPr>
              <w:spacing w:line="480" w:lineRule="auto"/>
              <w:rPr>
                <w:rFonts w:ascii="Arial" w:hAnsi="Arial" w:cs="Arial"/>
              </w:rPr>
            </w:pPr>
            <w:r>
              <w:rPr>
                <w:rFonts w:ascii="Arial" w:hAnsi="Arial" w:cs="Arial"/>
              </w:rPr>
              <w:t>63</w:t>
            </w:r>
          </w:p>
        </w:tc>
      </w:tr>
      <w:tr w:rsidR="00A15E24" w:rsidRPr="00A15E24" w14:paraId="5B8004B9" w14:textId="77777777" w:rsidTr="00A15E24">
        <w:tc>
          <w:tcPr>
            <w:tcW w:w="2409" w:type="dxa"/>
          </w:tcPr>
          <w:p w14:paraId="59CA1B76" w14:textId="288CE59B" w:rsidR="00A15E24" w:rsidRPr="00A15E24" w:rsidRDefault="00A15E24" w:rsidP="00A15E24">
            <w:pPr>
              <w:spacing w:line="480" w:lineRule="auto"/>
              <w:rPr>
                <w:rFonts w:ascii="Arial" w:hAnsi="Arial" w:cs="Arial"/>
              </w:rPr>
            </w:pPr>
            <w:proofErr w:type="spellStart"/>
            <w:r w:rsidRPr="00A15E24">
              <w:rPr>
                <w:rFonts w:ascii="Arial" w:hAnsi="Arial" w:cs="Arial"/>
              </w:rPr>
              <w:t>Seehra</w:t>
            </w:r>
            <w:proofErr w:type="spellEnd"/>
            <w:r w:rsidRPr="00A15E24">
              <w:rPr>
                <w:rFonts w:ascii="Arial" w:hAnsi="Arial" w:cs="Arial"/>
              </w:rPr>
              <w:t xml:space="preserve"> 2023</w:t>
            </w:r>
          </w:p>
        </w:tc>
        <w:tc>
          <w:tcPr>
            <w:tcW w:w="1418" w:type="dxa"/>
          </w:tcPr>
          <w:p w14:paraId="398C6EB6" w14:textId="0818BF5E" w:rsidR="00A15E24" w:rsidRPr="00A15E24" w:rsidRDefault="00A15E24" w:rsidP="00A15E24">
            <w:pPr>
              <w:spacing w:line="480" w:lineRule="auto"/>
              <w:rPr>
                <w:rFonts w:ascii="Arial" w:hAnsi="Arial" w:cs="Arial"/>
              </w:rPr>
            </w:pPr>
            <w:r>
              <w:rPr>
                <w:rFonts w:ascii="Arial" w:hAnsi="Arial" w:cs="Arial"/>
              </w:rPr>
              <w:t>65</w:t>
            </w:r>
          </w:p>
        </w:tc>
      </w:tr>
      <w:tr w:rsidR="00A15E24" w:rsidRPr="00A15E24" w14:paraId="13B0F59A" w14:textId="77777777" w:rsidTr="00A15E24">
        <w:tc>
          <w:tcPr>
            <w:tcW w:w="2409" w:type="dxa"/>
          </w:tcPr>
          <w:p w14:paraId="0E396A74" w14:textId="07F20137" w:rsidR="00A15E24" w:rsidRPr="00A15E24" w:rsidRDefault="00A15E24" w:rsidP="00A15E24">
            <w:pPr>
              <w:spacing w:line="480" w:lineRule="auto"/>
              <w:rPr>
                <w:rFonts w:ascii="Arial" w:hAnsi="Arial" w:cs="Arial"/>
              </w:rPr>
            </w:pPr>
            <w:r w:rsidRPr="00A15E24">
              <w:rPr>
                <w:rFonts w:ascii="Arial" w:hAnsi="Arial" w:cs="Arial"/>
              </w:rPr>
              <w:t>Shaw 2018</w:t>
            </w:r>
          </w:p>
        </w:tc>
        <w:tc>
          <w:tcPr>
            <w:tcW w:w="1418" w:type="dxa"/>
          </w:tcPr>
          <w:p w14:paraId="4BB5ACBF" w14:textId="107438CC" w:rsidR="00A15E24" w:rsidRPr="00A15E24" w:rsidRDefault="00A15E24" w:rsidP="00A15E24">
            <w:pPr>
              <w:spacing w:line="480" w:lineRule="auto"/>
              <w:rPr>
                <w:rFonts w:ascii="Arial" w:hAnsi="Arial" w:cs="Arial"/>
              </w:rPr>
            </w:pPr>
            <w:r>
              <w:rPr>
                <w:rFonts w:ascii="Arial" w:hAnsi="Arial" w:cs="Arial"/>
              </w:rPr>
              <w:t>67</w:t>
            </w:r>
          </w:p>
        </w:tc>
      </w:tr>
      <w:tr w:rsidR="00A15E24" w:rsidRPr="00A15E24" w14:paraId="5F82E6BF" w14:textId="77777777" w:rsidTr="00A15E24">
        <w:tc>
          <w:tcPr>
            <w:tcW w:w="2409" w:type="dxa"/>
          </w:tcPr>
          <w:p w14:paraId="06CAE319" w14:textId="595E9D5C" w:rsidR="00A15E24" w:rsidRPr="00A15E24" w:rsidRDefault="00A15E24" w:rsidP="00A15E24">
            <w:pPr>
              <w:spacing w:line="480" w:lineRule="auto"/>
              <w:rPr>
                <w:rFonts w:ascii="Arial" w:hAnsi="Arial" w:cs="Arial"/>
              </w:rPr>
            </w:pPr>
            <w:r w:rsidRPr="00A15E24">
              <w:rPr>
                <w:rFonts w:ascii="Arial" w:hAnsi="Arial" w:cs="Arial"/>
              </w:rPr>
              <w:t>Turner 2012</w:t>
            </w:r>
          </w:p>
        </w:tc>
        <w:tc>
          <w:tcPr>
            <w:tcW w:w="1418" w:type="dxa"/>
          </w:tcPr>
          <w:p w14:paraId="3076FADE" w14:textId="69B9723E" w:rsidR="00A15E24" w:rsidRPr="00A15E24" w:rsidRDefault="00A15E24" w:rsidP="00A15E24">
            <w:pPr>
              <w:spacing w:line="480" w:lineRule="auto"/>
              <w:rPr>
                <w:rFonts w:ascii="Arial" w:hAnsi="Arial" w:cs="Arial"/>
              </w:rPr>
            </w:pPr>
            <w:r>
              <w:rPr>
                <w:rFonts w:ascii="Arial" w:hAnsi="Arial" w:cs="Arial"/>
              </w:rPr>
              <w:t>79</w:t>
            </w:r>
          </w:p>
        </w:tc>
      </w:tr>
    </w:tbl>
    <w:p w14:paraId="1E995A80" w14:textId="199C06F0" w:rsidR="00A15E24" w:rsidRDefault="00A15E24">
      <w:r>
        <w:t xml:space="preserve"> </w:t>
      </w:r>
    </w:p>
    <w:p w14:paraId="34CDB7BB" w14:textId="77777777" w:rsidR="005867DE" w:rsidRDefault="005867DE"/>
    <w:p w14:paraId="6572F57E" w14:textId="77777777" w:rsidR="005867DE" w:rsidRDefault="005867DE"/>
    <w:p w14:paraId="7F39E60E" w14:textId="77777777" w:rsidR="005867DE" w:rsidRDefault="005867DE"/>
    <w:p w14:paraId="67D8D2B8" w14:textId="77777777" w:rsidR="005867DE" w:rsidRDefault="005867DE"/>
    <w:p w14:paraId="5A26FF47" w14:textId="77777777" w:rsidR="00A15E24" w:rsidRDefault="00A15E24"/>
    <w:p w14:paraId="45449FB1" w14:textId="77777777" w:rsidR="00A15E24" w:rsidRDefault="00A15E24"/>
    <w:p w14:paraId="7FFA95B1" w14:textId="77777777" w:rsidR="00A15E24" w:rsidRDefault="00A15E24"/>
    <w:p w14:paraId="7D2B5117" w14:textId="77777777" w:rsidR="00A15E24" w:rsidRDefault="00A15E24"/>
    <w:p w14:paraId="1058F3D3" w14:textId="77777777" w:rsidR="00A15E24" w:rsidRDefault="00A15E24"/>
    <w:p w14:paraId="4832AF0D" w14:textId="77777777" w:rsidR="005867DE" w:rsidRDefault="005867DE"/>
    <w:p w14:paraId="4BC38043" w14:textId="77777777" w:rsidR="005867DE" w:rsidRDefault="005867DE"/>
    <w:p w14:paraId="57D23A43" w14:textId="19D0F6D3" w:rsidR="00431B61" w:rsidRPr="00A15E24" w:rsidRDefault="005867DE">
      <w:pPr>
        <w:rPr>
          <w:rFonts w:ascii="Arial" w:hAnsi="Arial" w:cs="Arial"/>
          <w:b/>
          <w:bCs/>
          <w:sz w:val="28"/>
          <w:szCs w:val="28"/>
        </w:rPr>
      </w:pPr>
      <w:r w:rsidRPr="00A15E24">
        <w:rPr>
          <w:rFonts w:ascii="Arial" w:hAnsi="Arial" w:cs="Arial"/>
          <w:b/>
          <w:bCs/>
          <w:sz w:val="28"/>
          <w:szCs w:val="28"/>
        </w:rPr>
        <w:lastRenderedPageBreak/>
        <w:t>Reference</w:t>
      </w:r>
      <w:r w:rsidR="00431B61" w:rsidRPr="00A15E24">
        <w:rPr>
          <w:rFonts w:ascii="Arial" w:hAnsi="Arial" w:cs="Arial"/>
          <w:b/>
          <w:bCs/>
          <w:sz w:val="28"/>
          <w:szCs w:val="28"/>
        </w:rPr>
        <w:t>s</w:t>
      </w:r>
    </w:p>
    <w:p w14:paraId="711BC739" w14:textId="6515CB18" w:rsidR="00F520DC" w:rsidRPr="00F520DC" w:rsidRDefault="00C87B04" w:rsidP="00F520DC">
      <w:pPr>
        <w:pStyle w:val="Bibliography"/>
      </w:pPr>
      <w:r>
        <w:fldChar w:fldCharType="begin"/>
      </w:r>
      <w:r>
        <w:instrText xml:space="preserve"> ADDIN ZOTERO_BIBL {"uncited":[],"omitted":[],"custom":[]} CSL_BIBLIOGRAPHY </w:instrText>
      </w:r>
      <w:r>
        <w:fldChar w:fldCharType="separate"/>
      </w:r>
      <w:r w:rsidR="00F520DC" w:rsidRPr="00F520DC">
        <w:t>1.</w:t>
      </w:r>
      <w:r w:rsidR="00F520DC" w:rsidRPr="00F520DC">
        <w:tab/>
        <w:t>Al-Durra, M., Nolan, R. P., Seto, E. &amp; Cafazzo, J. A. Prospective registration and reporting of trial number in randomised clinical trials: global cross</w:t>
      </w:r>
      <w:r w:rsidR="00780943">
        <w:t>-</w:t>
      </w:r>
      <w:r w:rsidR="00F520DC" w:rsidRPr="00F520DC">
        <w:t xml:space="preserve">sectional study of the adoption of ICMJE and Declaration of Helsinki recommendations. </w:t>
      </w:r>
      <w:r w:rsidR="00F520DC" w:rsidRPr="00F520DC">
        <w:rPr>
          <w:i/>
          <w:iCs/>
        </w:rPr>
        <w:t>BMJ</w:t>
      </w:r>
      <w:r w:rsidR="00F520DC" w:rsidRPr="00F520DC">
        <w:t xml:space="preserve"> </w:t>
      </w:r>
      <w:r w:rsidR="00F520DC" w:rsidRPr="00F520DC">
        <w:rPr>
          <w:b/>
          <w:bCs/>
        </w:rPr>
        <w:t>369</w:t>
      </w:r>
      <w:r w:rsidR="00F520DC" w:rsidRPr="00F520DC">
        <w:t>, m982 (2020).</w:t>
      </w:r>
    </w:p>
    <w:p w14:paraId="51B6C87F" w14:textId="77777777" w:rsidR="00F520DC" w:rsidRPr="00F520DC" w:rsidRDefault="00F520DC" w:rsidP="00F520DC">
      <w:pPr>
        <w:pStyle w:val="Bibliography"/>
      </w:pPr>
      <w:r w:rsidRPr="00F520DC">
        <w:t>2.</w:t>
      </w:r>
      <w:r w:rsidRPr="00F520DC">
        <w:tab/>
        <w:t xml:space="preserve">Ayorinde, A. A. </w:t>
      </w:r>
      <w:r w:rsidRPr="00F520DC">
        <w:rPr>
          <w:i/>
          <w:iCs/>
        </w:rPr>
        <w:t>et al.</w:t>
      </w:r>
      <w:r w:rsidRPr="00F520DC">
        <w:t xml:space="preserve"> Publication and related biases in health services research: a systematic review of empirical evidence. </w:t>
      </w:r>
      <w:r w:rsidRPr="00F520DC">
        <w:rPr>
          <w:i/>
          <w:iCs/>
        </w:rPr>
        <w:t>BMC Medical Research Methodology</w:t>
      </w:r>
      <w:r w:rsidRPr="00F520DC">
        <w:t xml:space="preserve"> </w:t>
      </w:r>
      <w:r w:rsidRPr="00F520DC">
        <w:rPr>
          <w:b/>
          <w:bCs/>
        </w:rPr>
        <w:t>20</w:t>
      </w:r>
      <w:r w:rsidRPr="00F520DC">
        <w:t>, 137 (2020).</w:t>
      </w:r>
    </w:p>
    <w:p w14:paraId="6C369477" w14:textId="77777777" w:rsidR="00F520DC" w:rsidRPr="00F520DC" w:rsidRDefault="00F520DC" w:rsidP="00F520DC">
      <w:pPr>
        <w:pStyle w:val="Bibliography"/>
      </w:pPr>
      <w:r w:rsidRPr="00F520DC">
        <w:t>3.</w:t>
      </w:r>
      <w:r w:rsidRPr="00F520DC">
        <w:tab/>
        <w:t>Baudard, M., Yavchitz, A., Ravaud, P., Perrodeau, E. &amp; Boutron, I. Impact of searching clinical trial registries in systematic reviews of pharmaceutical treatments: methodological systematic review and reanalysis of meta-analyses. (2017) doi:10.1136/bmj.j448.</w:t>
      </w:r>
    </w:p>
    <w:p w14:paraId="04EA7B64" w14:textId="77777777" w:rsidR="00F520DC" w:rsidRPr="00F520DC" w:rsidRDefault="00F520DC" w:rsidP="00F520DC">
      <w:pPr>
        <w:pStyle w:val="Bibliography"/>
      </w:pPr>
      <w:r w:rsidRPr="00F520DC">
        <w:t>4.</w:t>
      </w:r>
      <w:r w:rsidRPr="00F520DC">
        <w:tab/>
        <w:t xml:space="preserve">Blümle, A. </w:t>
      </w:r>
      <w:r w:rsidRPr="00F520DC">
        <w:rPr>
          <w:i/>
          <w:iCs/>
        </w:rPr>
        <w:t>et al.</w:t>
      </w:r>
      <w:r w:rsidRPr="00F520DC">
        <w:t xml:space="preserve"> Investigator initiated trials versus industry sponsored trials - translation of randomized controlled trials into clinical practice (IMPACT). </w:t>
      </w:r>
      <w:r w:rsidRPr="00F520DC">
        <w:rPr>
          <w:i/>
          <w:iCs/>
        </w:rPr>
        <w:t>BMC Medical Research Methodology</w:t>
      </w:r>
      <w:r w:rsidRPr="00F520DC">
        <w:t xml:space="preserve"> </w:t>
      </w:r>
      <w:r w:rsidRPr="00F520DC">
        <w:rPr>
          <w:b/>
          <w:bCs/>
        </w:rPr>
        <w:t>21</w:t>
      </w:r>
      <w:r w:rsidRPr="00F520DC">
        <w:t>, 182 (2021).</w:t>
      </w:r>
    </w:p>
    <w:p w14:paraId="328C5CDB" w14:textId="77777777" w:rsidR="00F520DC" w:rsidRPr="00F520DC" w:rsidRDefault="00F520DC" w:rsidP="00F520DC">
      <w:pPr>
        <w:pStyle w:val="Bibliography"/>
      </w:pPr>
      <w:r w:rsidRPr="00F520DC">
        <w:t>5.</w:t>
      </w:r>
      <w:r w:rsidRPr="00F520DC">
        <w:tab/>
        <w:t xml:space="preserve">Chan, A.-W., Hróbjartsson, A., Haahr, M. T., Gøtzsche, P. C. &amp; Altman, D. G. Empirical Evidence for Selective Reporting of Outcomes in Randomized TrialsComparison of Protocols to Published Articles. </w:t>
      </w:r>
      <w:r w:rsidRPr="00F520DC">
        <w:rPr>
          <w:i/>
          <w:iCs/>
        </w:rPr>
        <w:t>JAMA</w:t>
      </w:r>
      <w:r w:rsidRPr="00F520DC">
        <w:t xml:space="preserve"> </w:t>
      </w:r>
      <w:r w:rsidRPr="00F520DC">
        <w:rPr>
          <w:b/>
          <w:bCs/>
        </w:rPr>
        <w:t>291</w:t>
      </w:r>
      <w:r w:rsidRPr="00F520DC">
        <w:t>, 2457–2465 (2004).</w:t>
      </w:r>
    </w:p>
    <w:p w14:paraId="4DD319DF" w14:textId="77777777" w:rsidR="00F520DC" w:rsidRPr="00F520DC" w:rsidRDefault="00F520DC" w:rsidP="00F520DC">
      <w:pPr>
        <w:pStyle w:val="Bibliography"/>
      </w:pPr>
      <w:r w:rsidRPr="00F520DC">
        <w:t>6.</w:t>
      </w:r>
      <w:r w:rsidRPr="00F520DC">
        <w:tab/>
        <w:t xml:space="preserve">Chan, A.-W., Krleza-Jerić, K., Schmid, I. &amp; Altman, D. G. Outcome reporting bias in randomized trials funded by the Canadian Institutes of Health Research. </w:t>
      </w:r>
      <w:r w:rsidRPr="00F520DC">
        <w:rPr>
          <w:i/>
          <w:iCs/>
        </w:rPr>
        <w:t>CMAJ</w:t>
      </w:r>
      <w:r w:rsidRPr="00F520DC">
        <w:t xml:space="preserve"> </w:t>
      </w:r>
      <w:r w:rsidRPr="00F520DC">
        <w:rPr>
          <w:b/>
          <w:bCs/>
        </w:rPr>
        <w:t>171</w:t>
      </w:r>
      <w:r w:rsidRPr="00F520DC">
        <w:t>, 735–740 (2004).</w:t>
      </w:r>
    </w:p>
    <w:p w14:paraId="36945176" w14:textId="77777777" w:rsidR="00F520DC" w:rsidRPr="00F520DC" w:rsidRDefault="00F520DC" w:rsidP="00F520DC">
      <w:pPr>
        <w:pStyle w:val="Bibliography"/>
      </w:pPr>
      <w:r w:rsidRPr="00F520DC">
        <w:t>7.</w:t>
      </w:r>
      <w:r w:rsidRPr="00F520DC">
        <w:tab/>
        <w:t xml:space="preserve">Chapman, P. B. </w:t>
      </w:r>
      <w:r w:rsidRPr="00F520DC">
        <w:rPr>
          <w:i/>
          <w:iCs/>
        </w:rPr>
        <w:t>et al.</w:t>
      </w:r>
      <w:r w:rsidRPr="00F520DC">
        <w:t xml:space="preserve"> Time to publication of oncology trials and why some trials are never published. </w:t>
      </w:r>
      <w:r w:rsidRPr="00F520DC">
        <w:rPr>
          <w:i/>
          <w:iCs/>
        </w:rPr>
        <w:t>PLOS ONE</w:t>
      </w:r>
      <w:r w:rsidRPr="00F520DC">
        <w:t xml:space="preserve"> </w:t>
      </w:r>
      <w:r w:rsidRPr="00F520DC">
        <w:rPr>
          <w:b/>
          <w:bCs/>
        </w:rPr>
        <w:t>12</w:t>
      </w:r>
      <w:r w:rsidRPr="00F520DC">
        <w:t>, e0184025 (2017).</w:t>
      </w:r>
    </w:p>
    <w:p w14:paraId="7305E059" w14:textId="77777777" w:rsidR="00F520DC" w:rsidRPr="00F520DC" w:rsidRDefault="00F520DC" w:rsidP="00F520DC">
      <w:pPr>
        <w:pStyle w:val="Bibliography"/>
      </w:pPr>
      <w:r w:rsidRPr="00F520DC">
        <w:lastRenderedPageBreak/>
        <w:t>8.</w:t>
      </w:r>
      <w:r w:rsidRPr="00F520DC">
        <w:tab/>
        <w:t xml:space="preserve">Chen, R. </w:t>
      </w:r>
      <w:r w:rsidRPr="00F520DC">
        <w:rPr>
          <w:i/>
          <w:iCs/>
        </w:rPr>
        <w:t>et al.</w:t>
      </w:r>
      <w:r w:rsidRPr="00F520DC">
        <w:t xml:space="preserve"> Publication and reporting of clinical trial results: cross sectional analysis across academic medical centers. </w:t>
      </w:r>
      <w:r w:rsidRPr="00F520DC">
        <w:rPr>
          <w:i/>
          <w:iCs/>
        </w:rPr>
        <w:t>BMJ</w:t>
      </w:r>
      <w:r w:rsidRPr="00F520DC">
        <w:t xml:space="preserve"> </w:t>
      </w:r>
      <w:r w:rsidRPr="00F520DC">
        <w:rPr>
          <w:b/>
          <w:bCs/>
        </w:rPr>
        <w:t>352</w:t>
      </w:r>
      <w:r w:rsidRPr="00F520DC">
        <w:t>, i637 (2016).</w:t>
      </w:r>
    </w:p>
    <w:p w14:paraId="437CB749" w14:textId="77777777" w:rsidR="00F520DC" w:rsidRPr="00F520DC" w:rsidRDefault="00F520DC" w:rsidP="00F520DC">
      <w:pPr>
        <w:pStyle w:val="Bibliography"/>
      </w:pPr>
      <w:r w:rsidRPr="00F520DC">
        <w:t>9.</w:t>
      </w:r>
      <w:r w:rsidRPr="00F520DC">
        <w:tab/>
        <w:t xml:space="preserve">Chen, T. </w:t>
      </w:r>
      <w:r w:rsidRPr="00F520DC">
        <w:rPr>
          <w:i/>
          <w:iCs/>
        </w:rPr>
        <w:t>et al.</w:t>
      </w:r>
      <w:r w:rsidRPr="00F520DC">
        <w:t xml:space="preserve"> Comparison of Clinical Trial Changes in Primary Outcome and Reported Intervention Effect Size Between Trial Registration and Publication. </w:t>
      </w:r>
      <w:r w:rsidRPr="00F520DC">
        <w:rPr>
          <w:i/>
          <w:iCs/>
        </w:rPr>
        <w:t>JAMA Netw Open</w:t>
      </w:r>
      <w:r w:rsidRPr="00F520DC">
        <w:t xml:space="preserve"> </w:t>
      </w:r>
      <w:r w:rsidRPr="00F520DC">
        <w:rPr>
          <w:b/>
          <w:bCs/>
        </w:rPr>
        <w:t>2</w:t>
      </w:r>
      <w:r w:rsidRPr="00F520DC">
        <w:t>, e197242 (2019).</w:t>
      </w:r>
    </w:p>
    <w:p w14:paraId="2290363A" w14:textId="42A192AA" w:rsidR="00F520DC" w:rsidRPr="00F520DC" w:rsidRDefault="00F520DC" w:rsidP="00F520DC">
      <w:pPr>
        <w:pStyle w:val="Bibliography"/>
      </w:pPr>
      <w:r w:rsidRPr="00F520DC">
        <w:t>10.</w:t>
      </w:r>
      <w:r w:rsidR="009673B3">
        <w:t xml:space="preserve"> </w:t>
      </w:r>
      <w:r w:rsidRPr="00F520DC">
        <w:t xml:space="preserve">Cuijpers, P., Smit, F., Bohlmeijer, E., Hollon, S. D. &amp; Andersson, G. Efficacy of cognitive–behavioural therapy and other psychological treatments for adult depression: meta-analytic study of publication bias. </w:t>
      </w:r>
      <w:r w:rsidRPr="00F520DC">
        <w:rPr>
          <w:i/>
          <w:iCs/>
        </w:rPr>
        <w:t>The British Journal of Psychiatry</w:t>
      </w:r>
      <w:r w:rsidRPr="00F520DC">
        <w:t xml:space="preserve"> </w:t>
      </w:r>
      <w:r w:rsidRPr="00F520DC">
        <w:rPr>
          <w:b/>
          <w:bCs/>
        </w:rPr>
        <w:t>196</w:t>
      </w:r>
      <w:r w:rsidRPr="00F520DC">
        <w:t>, 173–178 (2010).</w:t>
      </w:r>
    </w:p>
    <w:p w14:paraId="117D0639" w14:textId="2E301D77" w:rsidR="00F520DC" w:rsidRPr="00F520DC" w:rsidRDefault="00F520DC" w:rsidP="00F520DC">
      <w:pPr>
        <w:pStyle w:val="Bibliography"/>
      </w:pPr>
      <w:r w:rsidRPr="00F520DC">
        <w:t>11.</w:t>
      </w:r>
      <w:r w:rsidR="009673B3">
        <w:t xml:space="preserve"> </w:t>
      </w:r>
      <w:r w:rsidRPr="00F520DC">
        <w:t xml:space="preserve">Dechartres, A., Ravaud, P., Atal, I., Riveros, C. &amp; Boutron, I. Association between trial registration and treatment effect estimates: a meta-epidemiological study. </w:t>
      </w:r>
      <w:r w:rsidRPr="00F520DC">
        <w:rPr>
          <w:i/>
          <w:iCs/>
        </w:rPr>
        <w:t>BMC Medicine</w:t>
      </w:r>
      <w:r w:rsidRPr="00F520DC">
        <w:t xml:space="preserve"> </w:t>
      </w:r>
      <w:r w:rsidRPr="00F520DC">
        <w:rPr>
          <w:b/>
          <w:bCs/>
        </w:rPr>
        <w:t>14</w:t>
      </w:r>
      <w:r w:rsidRPr="00F520DC">
        <w:t>, 100 (2016).</w:t>
      </w:r>
    </w:p>
    <w:p w14:paraId="04646033" w14:textId="6D1A3655" w:rsidR="00F520DC" w:rsidRPr="00F520DC" w:rsidRDefault="00F520DC" w:rsidP="00F520DC">
      <w:pPr>
        <w:pStyle w:val="Bibliography"/>
      </w:pPr>
      <w:r w:rsidRPr="00F520DC">
        <w:t>12.</w:t>
      </w:r>
      <w:r w:rsidR="009673B3">
        <w:t xml:space="preserve"> </w:t>
      </w:r>
      <w:r w:rsidRPr="00F520DC">
        <w:t>DeVito, N. J., Bacon, S. &amp; Goldacre, B. FDAAA TrialsTracker: A live informatics tool to monitor compliance with FDA requirements to report clinical trial results. 266452 Preprint at https://doi.org/10.1101/266452 (2019).</w:t>
      </w:r>
    </w:p>
    <w:p w14:paraId="19CB2D71" w14:textId="111E1B12" w:rsidR="00F520DC" w:rsidRPr="00F520DC" w:rsidRDefault="00F520DC" w:rsidP="00F520DC">
      <w:pPr>
        <w:pStyle w:val="Bibliography"/>
      </w:pPr>
      <w:r w:rsidRPr="00F520DC">
        <w:t>13.</w:t>
      </w:r>
      <w:r w:rsidR="009673B3">
        <w:t xml:space="preserve"> </w:t>
      </w:r>
      <w:r w:rsidRPr="00F520DC">
        <w:t xml:space="preserve">DeVito, N. J., Bacon, S. &amp; Goldacre, B. Compliance with legal requirement to report clinical trial results on ClinicalTrials.gov: a cohort study. </w:t>
      </w:r>
      <w:r w:rsidRPr="00F520DC">
        <w:rPr>
          <w:i/>
          <w:iCs/>
        </w:rPr>
        <w:t>The Lancet</w:t>
      </w:r>
      <w:r w:rsidRPr="00F520DC">
        <w:t xml:space="preserve"> </w:t>
      </w:r>
      <w:r w:rsidRPr="00F520DC">
        <w:rPr>
          <w:b/>
          <w:bCs/>
        </w:rPr>
        <w:t>395</w:t>
      </w:r>
      <w:r w:rsidRPr="00F520DC">
        <w:t>, 361–369 (2020).</w:t>
      </w:r>
    </w:p>
    <w:p w14:paraId="229B0246" w14:textId="0A69B476" w:rsidR="00F520DC" w:rsidRPr="00F520DC" w:rsidRDefault="00F520DC" w:rsidP="00F520DC">
      <w:pPr>
        <w:pStyle w:val="Bibliography"/>
      </w:pPr>
      <w:r w:rsidRPr="00F520DC">
        <w:t>14.</w:t>
      </w:r>
      <w:r w:rsidR="009673B3">
        <w:t xml:space="preserve"> </w:t>
      </w:r>
      <w:r w:rsidRPr="00F520DC">
        <w:t xml:space="preserve">Doshi, P., Dickersin, K., Healy, D., Vedula, S. S. &amp; Jefferson, T. Restoring invisible and abandoned trials: a call for people to publish the findings. </w:t>
      </w:r>
      <w:r w:rsidRPr="00F520DC">
        <w:rPr>
          <w:i/>
          <w:iCs/>
        </w:rPr>
        <w:t>BMJ</w:t>
      </w:r>
      <w:r w:rsidRPr="00F520DC">
        <w:t xml:space="preserve"> </w:t>
      </w:r>
      <w:r w:rsidRPr="00F520DC">
        <w:rPr>
          <w:b/>
          <w:bCs/>
        </w:rPr>
        <w:t>346</w:t>
      </w:r>
      <w:r w:rsidRPr="00F520DC">
        <w:t>, f2865 (2013).</w:t>
      </w:r>
    </w:p>
    <w:p w14:paraId="2FB2F014" w14:textId="7C77B9C8" w:rsidR="00F520DC" w:rsidRPr="00F520DC" w:rsidRDefault="00F520DC" w:rsidP="00F520DC">
      <w:pPr>
        <w:pStyle w:val="Bibliography"/>
      </w:pPr>
      <w:r w:rsidRPr="00F520DC">
        <w:t>15.</w:t>
      </w:r>
      <w:r w:rsidR="009673B3">
        <w:t xml:space="preserve"> </w:t>
      </w:r>
      <w:r w:rsidRPr="00F520DC">
        <w:t xml:space="preserve">Driessen, E., Hollon, S. D., Bockting, C. L. H., Cuijpers, P. &amp; Turner, E. H. Does Publication Bias Inflate the Apparent Efficacy of Psychological Treatment for Major Depressive Disorder? A Systematic Review and Meta-Analysis of US National Institutes of Health-Funded Trials. </w:t>
      </w:r>
      <w:r w:rsidRPr="00F520DC">
        <w:rPr>
          <w:i/>
          <w:iCs/>
        </w:rPr>
        <w:t>PLOS ONE</w:t>
      </w:r>
      <w:r w:rsidRPr="00F520DC">
        <w:t xml:space="preserve"> </w:t>
      </w:r>
      <w:r w:rsidRPr="00F520DC">
        <w:rPr>
          <w:b/>
          <w:bCs/>
        </w:rPr>
        <w:t>10</w:t>
      </w:r>
      <w:r w:rsidRPr="00F520DC">
        <w:t>, e0137864 (2015).</w:t>
      </w:r>
    </w:p>
    <w:p w14:paraId="7EB0EF07" w14:textId="7E3ACD95" w:rsidR="00F520DC" w:rsidRPr="00F520DC" w:rsidRDefault="00F520DC" w:rsidP="00F520DC">
      <w:pPr>
        <w:pStyle w:val="Bibliography"/>
      </w:pPr>
      <w:r w:rsidRPr="00F520DC">
        <w:lastRenderedPageBreak/>
        <w:t>16.</w:t>
      </w:r>
      <w:r w:rsidR="009673B3">
        <w:t xml:space="preserve"> </w:t>
      </w:r>
      <w:r w:rsidRPr="00F520DC">
        <w:t xml:space="preserve">Dwan, K. </w:t>
      </w:r>
      <w:r w:rsidRPr="00F520DC">
        <w:rPr>
          <w:i/>
          <w:iCs/>
        </w:rPr>
        <w:t>et al.</w:t>
      </w:r>
      <w:r w:rsidRPr="00F520DC">
        <w:t xml:space="preserve"> Systematic Review of the Empirical Evidence of Study Publication Bias and Outcome Reporting Bias. </w:t>
      </w:r>
      <w:r w:rsidRPr="00F520DC">
        <w:rPr>
          <w:i/>
          <w:iCs/>
        </w:rPr>
        <w:t>PLOS ONE</w:t>
      </w:r>
      <w:r w:rsidRPr="00F520DC">
        <w:t xml:space="preserve"> </w:t>
      </w:r>
      <w:r w:rsidRPr="00F520DC">
        <w:rPr>
          <w:b/>
          <w:bCs/>
        </w:rPr>
        <w:t>3</w:t>
      </w:r>
      <w:r w:rsidRPr="00F520DC">
        <w:t>, e3081 (2008).</w:t>
      </w:r>
    </w:p>
    <w:p w14:paraId="64CECF7C" w14:textId="2E9A5FAA" w:rsidR="00F520DC" w:rsidRPr="00F520DC" w:rsidRDefault="00F520DC" w:rsidP="00F520DC">
      <w:pPr>
        <w:pStyle w:val="Bibliography"/>
      </w:pPr>
      <w:r w:rsidRPr="00F520DC">
        <w:t>17.</w:t>
      </w:r>
      <w:r w:rsidR="009673B3">
        <w:t xml:space="preserve"> </w:t>
      </w:r>
      <w:r w:rsidRPr="00F520DC">
        <w:t xml:space="preserve">Dwan, K. </w:t>
      </w:r>
      <w:r w:rsidRPr="00F520DC">
        <w:rPr>
          <w:i/>
          <w:iCs/>
        </w:rPr>
        <w:t>et al.</w:t>
      </w:r>
      <w:r w:rsidRPr="00F520DC">
        <w:t xml:space="preserve"> Comparison of protocols and registry entries to published reports for randomised controlled trials. </w:t>
      </w:r>
      <w:r w:rsidRPr="00F520DC">
        <w:rPr>
          <w:i/>
          <w:iCs/>
        </w:rPr>
        <w:t>Cochrane Database Syst Rev</w:t>
      </w:r>
      <w:r w:rsidRPr="00F520DC">
        <w:t xml:space="preserve"> </w:t>
      </w:r>
      <w:r w:rsidRPr="00F520DC">
        <w:rPr>
          <w:b/>
          <w:bCs/>
        </w:rPr>
        <w:t>2011</w:t>
      </w:r>
      <w:r w:rsidRPr="00F520DC">
        <w:t>, MR000031 (2011).</w:t>
      </w:r>
    </w:p>
    <w:p w14:paraId="6CFAB01F" w14:textId="157AC2A2" w:rsidR="00F520DC" w:rsidRPr="00F520DC" w:rsidRDefault="00F520DC" w:rsidP="00F520DC">
      <w:pPr>
        <w:pStyle w:val="Bibliography"/>
      </w:pPr>
      <w:r w:rsidRPr="00F520DC">
        <w:t>18.</w:t>
      </w:r>
      <w:r w:rsidR="009673B3">
        <w:t xml:space="preserve"> </w:t>
      </w:r>
      <w:r w:rsidRPr="00F520DC">
        <w:t xml:space="preserve">Dwan, K., Gamble, C., Williamson, P. R. &amp; Kirkham, J. J. Systematic Review of the Empirical Evidence of Study Publication Bias and Outcome Reporting Bias — An Updated Review. </w:t>
      </w:r>
      <w:r w:rsidRPr="00F520DC">
        <w:rPr>
          <w:i/>
          <w:iCs/>
        </w:rPr>
        <w:t>PLOS ONE</w:t>
      </w:r>
      <w:r w:rsidRPr="00F520DC">
        <w:t xml:space="preserve"> </w:t>
      </w:r>
      <w:r w:rsidRPr="00F520DC">
        <w:rPr>
          <w:b/>
          <w:bCs/>
        </w:rPr>
        <w:t>8</w:t>
      </w:r>
      <w:r w:rsidRPr="00F520DC">
        <w:t>, e66844 (2013).</w:t>
      </w:r>
    </w:p>
    <w:p w14:paraId="68437A90" w14:textId="317449DC" w:rsidR="00F520DC" w:rsidRPr="00F520DC" w:rsidRDefault="00F520DC" w:rsidP="00F520DC">
      <w:pPr>
        <w:pStyle w:val="Bibliography"/>
      </w:pPr>
      <w:r w:rsidRPr="00F520DC">
        <w:t>19.</w:t>
      </w:r>
      <w:r w:rsidR="009673B3">
        <w:t xml:space="preserve"> </w:t>
      </w:r>
      <w:r w:rsidRPr="00F520DC">
        <w:t xml:space="preserve">Emdin, C. </w:t>
      </w:r>
      <w:r w:rsidRPr="00F520DC">
        <w:rPr>
          <w:i/>
          <w:iCs/>
        </w:rPr>
        <w:t>et al.</w:t>
      </w:r>
      <w:r w:rsidRPr="00F520DC">
        <w:t xml:space="preserve"> Association of Cardiovascular Trial Registration With Positive Study Findings: Epidemiological Study of Randomized Trials (ESORT). </w:t>
      </w:r>
      <w:r w:rsidRPr="00F520DC">
        <w:rPr>
          <w:i/>
          <w:iCs/>
        </w:rPr>
        <w:t>JAMA Internal Medicine</w:t>
      </w:r>
      <w:r w:rsidRPr="00F520DC">
        <w:t xml:space="preserve"> </w:t>
      </w:r>
      <w:r w:rsidRPr="00F520DC">
        <w:rPr>
          <w:b/>
          <w:bCs/>
        </w:rPr>
        <w:t>175</w:t>
      </w:r>
      <w:r w:rsidRPr="00F520DC">
        <w:t>, 304–307 (2015).</w:t>
      </w:r>
    </w:p>
    <w:p w14:paraId="7FC1D654" w14:textId="6D57C4E3" w:rsidR="00F520DC" w:rsidRPr="00F520DC" w:rsidRDefault="00F520DC" w:rsidP="00F520DC">
      <w:pPr>
        <w:pStyle w:val="Bibliography"/>
      </w:pPr>
      <w:r w:rsidRPr="00F520DC">
        <w:t>20.</w:t>
      </w:r>
      <w:r w:rsidR="009673B3">
        <w:t xml:space="preserve"> </w:t>
      </w:r>
      <w:r w:rsidRPr="00F520DC">
        <w:t xml:space="preserve">Farquhar, C. M. </w:t>
      </w:r>
      <w:r w:rsidRPr="00F520DC">
        <w:rPr>
          <w:i/>
          <w:iCs/>
        </w:rPr>
        <w:t>et al.</w:t>
      </w:r>
      <w:r w:rsidRPr="00F520DC">
        <w:t xml:space="preserve"> Clinical trial registration was not an indicator for low risk of bias. </w:t>
      </w:r>
      <w:r w:rsidRPr="00F520DC">
        <w:rPr>
          <w:i/>
          <w:iCs/>
        </w:rPr>
        <w:t>J Clin Epidemiol</w:t>
      </w:r>
      <w:r w:rsidRPr="00F520DC">
        <w:t xml:space="preserve"> </w:t>
      </w:r>
      <w:r w:rsidRPr="00F520DC">
        <w:rPr>
          <w:b/>
          <w:bCs/>
        </w:rPr>
        <w:t>84</w:t>
      </w:r>
      <w:r w:rsidRPr="00F520DC">
        <w:t>, 47–53 (2017).</w:t>
      </w:r>
    </w:p>
    <w:p w14:paraId="4A48438F" w14:textId="57530B29" w:rsidR="00F520DC" w:rsidRPr="00F520DC" w:rsidRDefault="00F520DC" w:rsidP="00F520DC">
      <w:pPr>
        <w:pStyle w:val="Bibliography"/>
      </w:pPr>
      <w:r w:rsidRPr="00F520DC">
        <w:t>21.</w:t>
      </w:r>
      <w:r w:rsidR="009673B3">
        <w:t xml:space="preserve"> </w:t>
      </w:r>
      <w:r w:rsidRPr="00F520DC">
        <w:t xml:space="preserve">Fleming, P. S., Koletsi, D., Dwan, K. &amp; Pandis, N. Outcome Discrepancies and Selective Reporting: Impacting the Leading Journals? </w:t>
      </w:r>
      <w:r w:rsidRPr="00F520DC">
        <w:rPr>
          <w:i/>
          <w:iCs/>
        </w:rPr>
        <w:t>PLOS ONE</w:t>
      </w:r>
      <w:r w:rsidRPr="00F520DC">
        <w:t xml:space="preserve"> </w:t>
      </w:r>
      <w:r w:rsidRPr="00F520DC">
        <w:rPr>
          <w:b/>
          <w:bCs/>
        </w:rPr>
        <w:t>10</w:t>
      </w:r>
      <w:r w:rsidRPr="00F520DC">
        <w:t>, e0127495 (2015).</w:t>
      </w:r>
    </w:p>
    <w:p w14:paraId="5154A621" w14:textId="587D36CD" w:rsidR="00F520DC" w:rsidRPr="00F520DC" w:rsidRDefault="00F520DC" w:rsidP="00F520DC">
      <w:pPr>
        <w:pStyle w:val="Bibliography"/>
      </w:pPr>
      <w:r w:rsidRPr="00F520DC">
        <w:t>22.</w:t>
      </w:r>
      <w:r w:rsidR="009673B3">
        <w:t xml:space="preserve"> </w:t>
      </w:r>
      <w:r w:rsidRPr="00F520DC">
        <w:t xml:space="preserve">Florez, M. A. </w:t>
      </w:r>
      <w:r w:rsidRPr="00F520DC">
        <w:rPr>
          <w:i/>
          <w:iCs/>
        </w:rPr>
        <w:t>et al.</w:t>
      </w:r>
      <w:r w:rsidRPr="00F520DC">
        <w:t xml:space="preserve"> Incidence of Primary End Point Changes Among Active Cancer Phase 3 Randomized Clinical Trials. </w:t>
      </w:r>
      <w:r w:rsidRPr="00F520DC">
        <w:rPr>
          <w:i/>
          <w:iCs/>
        </w:rPr>
        <w:t>JAMA Network Open</w:t>
      </w:r>
      <w:r w:rsidRPr="00F520DC">
        <w:t xml:space="preserve"> </w:t>
      </w:r>
      <w:r w:rsidRPr="00F520DC">
        <w:rPr>
          <w:b/>
          <w:bCs/>
        </w:rPr>
        <w:t>6</w:t>
      </w:r>
      <w:r w:rsidRPr="00F520DC">
        <w:t>, e2313819 (2023).</w:t>
      </w:r>
    </w:p>
    <w:p w14:paraId="37763062" w14:textId="29FF399F" w:rsidR="00F520DC" w:rsidRPr="00F520DC" w:rsidRDefault="00F520DC" w:rsidP="00F520DC">
      <w:pPr>
        <w:pStyle w:val="Bibliography"/>
      </w:pPr>
      <w:r w:rsidRPr="00F520DC">
        <w:t>23.</w:t>
      </w:r>
      <w:r w:rsidR="009673B3">
        <w:t xml:space="preserve"> </w:t>
      </w:r>
      <w:r w:rsidRPr="00F520DC">
        <w:t xml:space="preserve">Goldacre, B. </w:t>
      </w:r>
      <w:r w:rsidRPr="00F520DC">
        <w:rPr>
          <w:i/>
          <w:iCs/>
        </w:rPr>
        <w:t>et al.</w:t>
      </w:r>
      <w:r w:rsidRPr="00F520DC">
        <w:t xml:space="preserve"> Compliance with requirement to report results on the EU Clinical Trials Register: cohort study and web resource. </w:t>
      </w:r>
      <w:r w:rsidRPr="00F520DC">
        <w:rPr>
          <w:i/>
          <w:iCs/>
        </w:rPr>
        <w:t>BMJ</w:t>
      </w:r>
      <w:r w:rsidRPr="00F520DC">
        <w:t xml:space="preserve"> </w:t>
      </w:r>
      <w:r w:rsidRPr="00F520DC">
        <w:rPr>
          <w:b/>
          <w:bCs/>
        </w:rPr>
        <w:t>362</w:t>
      </w:r>
      <w:r w:rsidRPr="00F520DC">
        <w:t>, k3218 (2018).</w:t>
      </w:r>
    </w:p>
    <w:p w14:paraId="4C2AE4C3" w14:textId="51C6975B" w:rsidR="00F520DC" w:rsidRPr="00F520DC" w:rsidRDefault="00F520DC" w:rsidP="00F520DC">
      <w:pPr>
        <w:pStyle w:val="Bibliography"/>
      </w:pPr>
      <w:r w:rsidRPr="00F520DC">
        <w:t>24.</w:t>
      </w:r>
      <w:r w:rsidR="009673B3">
        <w:t xml:space="preserve"> </w:t>
      </w:r>
      <w:r w:rsidRPr="00F520DC">
        <w:t xml:space="preserve">Gopal, A. D. </w:t>
      </w:r>
      <w:r w:rsidRPr="00F520DC">
        <w:rPr>
          <w:i/>
          <w:iCs/>
        </w:rPr>
        <w:t>et al.</w:t>
      </w:r>
      <w:r w:rsidRPr="00F520DC">
        <w:t xml:space="preserve"> Adherence to the International Committee of Medical Journal Editors’ (ICMJE) prospective registration policy and implications for outcome integrity: a cross-sectional analysis of trials published in high-impact specialty society journals. </w:t>
      </w:r>
      <w:r w:rsidRPr="00F520DC">
        <w:rPr>
          <w:i/>
          <w:iCs/>
        </w:rPr>
        <w:t>Trials</w:t>
      </w:r>
      <w:r w:rsidRPr="00F520DC">
        <w:t xml:space="preserve"> </w:t>
      </w:r>
      <w:r w:rsidRPr="00F520DC">
        <w:rPr>
          <w:b/>
          <w:bCs/>
        </w:rPr>
        <w:t>19</w:t>
      </w:r>
      <w:r w:rsidRPr="00F520DC">
        <w:t>, 448 (2018).</w:t>
      </w:r>
    </w:p>
    <w:p w14:paraId="2496D96B" w14:textId="5F447137" w:rsidR="00F520DC" w:rsidRPr="00F520DC" w:rsidRDefault="00F520DC" w:rsidP="00F520DC">
      <w:pPr>
        <w:pStyle w:val="Bibliography"/>
      </w:pPr>
      <w:r w:rsidRPr="00F520DC">
        <w:lastRenderedPageBreak/>
        <w:t>25.</w:t>
      </w:r>
      <w:r w:rsidR="009673B3">
        <w:t xml:space="preserve"> </w:t>
      </w:r>
      <w:r w:rsidRPr="00F520DC">
        <w:t xml:space="preserve">Gordon, D. </w:t>
      </w:r>
      <w:r w:rsidRPr="00F520DC">
        <w:rPr>
          <w:i/>
          <w:iCs/>
        </w:rPr>
        <w:t>et al.</w:t>
      </w:r>
      <w:r w:rsidRPr="00F520DC">
        <w:t xml:space="preserve"> Publication of Trials Funded by the National Heart, Lung, and Blood Institute. </w:t>
      </w:r>
      <w:r w:rsidRPr="00F520DC">
        <w:rPr>
          <w:i/>
          <w:iCs/>
        </w:rPr>
        <w:t>New England Journal of Medicine</w:t>
      </w:r>
      <w:r w:rsidRPr="00F520DC">
        <w:t xml:space="preserve"> </w:t>
      </w:r>
      <w:r w:rsidRPr="00F520DC">
        <w:rPr>
          <w:b/>
          <w:bCs/>
        </w:rPr>
        <w:t>369</w:t>
      </w:r>
      <w:r w:rsidRPr="00F520DC">
        <w:t>, 1926–1934 (2013).</w:t>
      </w:r>
    </w:p>
    <w:p w14:paraId="4A1FA9C6" w14:textId="61C36E16" w:rsidR="00F520DC" w:rsidRPr="00F520DC" w:rsidRDefault="00F520DC" w:rsidP="00F520DC">
      <w:pPr>
        <w:pStyle w:val="Bibliography"/>
      </w:pPr>
      <w:r w:rsidRPr="00F520DC">
        <w:t>26.</w:t>
      </w:r>
      <w:r w:rsidR="009673B3">
        <w:t xml:space="preserve"> </w:t>
      </w:r>
      <w:r w:rsidR="00F05F08">
        <w:t xml:space="preserve">Gordon, D. </w:t>
      </w:r>
      <w:r w:rsidR="00F05F08">
        <w:rPr>
          <w:i/>
          <w:iCs/>
        </w:rPr>
        <w:t xml:space="preserve">et al. </w:t>
      </w:r>
      <w:r w:rsidRPr="00F05F08">
        <w:t>Publication</w:t>
      </w:r>
      <w:r w:rsidRPr="00F520DC">
        <w:t xml:space="preserve"> of Trials Funded by the National Heart, Lung, and Blood Institute. </w:t>
      </w:r>
      <w:r w:rsidRPr="00F520DC">
        <w:rPr>
          <w:i/>
          <w:iCs/>
        </w:rPr>
        <w:t>New England Journal of Medicine</w:t>
      </w:r>
      <w:r w:rsidRPr="00F520DC">
        <w:t xml:space="preserve"> </w:t>
      </w:r>
      <w:r w:rsidRPr="00F520DC">
        <w:rPr>
          <w:b/>
          <w:bCs/>
        </w:rPr>
        <w:t>370</w:t>
      </w:r>
      <w:r w:rsidRPr="00F520DC">
        <w:t>, 781–782 (2014).</w:t>
      </w:r>
    </w:p>
    <w:p w14:paraId="3BC0EAD8" w14:textId="0FBBA82F" w:rsidR="00F520DC" w:rsidRPr="00F520DC" w:rsidRDefault="00F520DC" w:rsidP="00F520DC">
      <w:pPr>
        <w:pStyle w:val="Bibliography"/>
      </w:pPr>
      <w:r w:rsidRPr="00F520DC">
        <w:t>27.</w:t>
      </w:r>
      <w:r w:rsidR="009673B3">
        <w:t xml:space="preserve"> </w:t>
      </w:r>
      <w:r w:rsidRPr="00F520DC">
        <w:t xml:space="preserve">Grégory, J., Créquit, P., Vilgrain, V., Boutron, I. &amp; Ronot, M. Published trials of TACE for HCC are often not registered and subject to outcome reporting bias. </w:t>
      </w:r>
      <w:r w:rsidRPr="00F520DC">
        <w:rPr>
          <w:i/>
          <w:iCs/>
        </w:rPr>
        <w:t>JHEP Rep</w:t>
      </w:r>
      <w:r w:rsidRPr="00F520DC">
        <w:t xml:space="preserve"> </w:t>
      </w:r>
      <w:r w:rsidRPr="00F520DC">
        <w:rPr>
          <w:b/>
          <w:bCs/>
        </w:rPr>
        <w:t>3</w:t>
      </w:r>
      <w:r w:rsidRPr="00F520DC">
        <w:t>, 100196 (2021).</w:t>
      </w:r>
    </w:p>
    <w:p w14:paraId="72FE391B" w14:textId="1EF4A8F9" w:rsidR="00F520DC" w:rsidRPr="00F520DC" w:rsidRDefault="00F520DC" w:rsidP="00F520DC">
      <w:pPr>
        <w:pStyle w:val="Bibliography"/>
      </w:pPr>
      <w:r w:rsidRPr="00F520DC">
        <w:t>28.</w:t>
      </w:r>
      <w:r w:rsidR="009673B3">
        <w:t xml:space="preserve"> </w:t>
      </w:r>
      <w:r w:rsidRPr="00F520DC">
        <w:t xml:space="preserve">Hamm, M. P. </w:t>
      </w:r>
      <w:r w:rsidRPr="00F520DC">
        <w:rPr>
          <w:i/>
          <w:iCs/>
        </w:rPr>
        <w:t>et al.</w:t>
      </w:r>
      <w:r w:rsidRPr="00F520DC">
        <w:t xml:space="preserve"> A descriptive analysis of a representative sample of pediatric randomized controlled trials published in 2007. </w:t>
      </w:r>
      <w:r w:rsidRPr="00F520DC">
        <w:rPr>
          <w:i/>
          <w:iCs/>
        </w:rPr>
        <w:t>BMC Pediatr</w:t>
      </w:r>
      <w:r w:rsidRPr="00F520DC">
        <w:t xml:space="preserve"> </w:t>
      </w:r>
      <w:r w:rsidRPr="00F520DC">
        <w:rPr>
          <w:b/>
          <w:bCs/>
        </w:rPr>
        <w:t>10</w:t>
      </w:r>
      <w:r w:rsidRPr="00F520DC">
        <w:t>, 96 (2010).</w:t>
      </w:r>
    </w:p>
    <w:p w14:paraId="1DE1BC71" w14:textId="2F9739DE" w:rsidR="00F520DC" w:rsidRPr="00F520DC" w:rsidRDefault="00F520DC" w:rsidP="00F520DC">
      <w:pPr>
        <w:pStyle w:val="Bibliography"/>
      </w:pPr>
      <w:r w:rsidRPr="00F520DC">
        <w:t>29.</w:t>
      </w:r>
      <w:r w:rsidR="009673B3">
        <w:t xml:space="preserve"> </w:t>
      </w:r>
      <w:r w:rsidRPr="00F520DC">
        <w:t xml:space="preserve">Harriman, S. L. &amp; Patel, J. When are clinical trials registered? An analysis of prospective versus retrospective registration. </w:t>
      </w:r>
      <w:r w:rsidRPr="00F520DC">
        <w:rPr>
          <w:i/>
          <w:iCs/>
        </w:rPr>
        <w:t>Trials</w:t>
      </w:r>
      <w:r w:rsidRPr="00F520DC">
        <w:t xml:space="preserve"> </w:t>
      </w:r>
      <w:r w:rsidRPr="00F520DC">
        <w:rPr>
          <w:b/>
          <w:bCs/>
        </w:rPr>
        <w:t>17</w:t>
      </w:r>
      <w:r w:rsidRPr="00F520DC">
        <w:t>, 187 (2016).</w:t>
      </w:r>
    </w:p>
    <w:p w14:paraId="780709A6" w14:textId="5B22AB3B" w:rsidR="00F520DC" w:rsidRPr="00F520DC" w:rsidRDefault="00F520DC" w:rsidP="00F520DC">
      <w:pPr>
        <w:pStyle w:val="Bibliography"/>
      </w:pPr>
      <w:r w:rsidRPr="00F520DC">
        <w:t>30.</w:t>
      </w:r>
      <w:r w:rsidR="009673B3">
        <w:t xml:space="preserve"> </w:t>
      </w:r>
      <w:r w:rsidRPr="00F520DC">
        <w:t xml:space="preserve">Hart, B., Lundh, A. &amp; Bero, L. Effect of reporting bias on meta-analyses of drug trials: reanalysis of meta-analyses. </w:t>
      </w:r>
      <w:r w:rsidRPr="00F520DC">
        <w:rPr>
          <w:i/>
          <w:iCs/>
        </w:rPr>
        <w:t>BMJ</w:t>
      </w:r>
      <w:r w:rsidRPr="00F520DC">
        <w:t xml:space="preserve"> </w:t>
      </w:r>
      <w:r w:rsidRPr="00F520DC">
        <w:rPr>
          <w:b/>
          <w:bCs/>
        </w:rPr>
        <w:t>344</w:t>
      </w:r>
      <w:r w:rsidRPr="00F520DC">
        <w:t>, d7202 (2012).</w:t>
      </w:r>
    </w:p>
    <w:p w14:paraId="410A13E6" w14:textId="66F4F0BF" w:rsidR="00F520DC" w:rsidRPr="00F520DC" w:rsidRDefault="00F520DC" w:rsidP="00F520DC">
      <w:pPr>
        <w:pStyle w:val="Bibliography"/>
      </w:pPr>
      <w:r w:rsidRPr="00F520DC">
        <w:t>31.</w:t>
      </w:r>
      <w:r w:rsidR="009673B3">
        <w:t xml:space="preserve"> </w:t>
      </w:r>
      <w:r w:rsidRPr="00F520DC">
        <w:t xml:space="preserve">Heneghan, C., Goldacre, B. &amp; Mahtani, K. R. Why clinical trial outcomes fail to translate into benefits for patients. </w:t>
      </w:r>
      <w:r w:rsidRPr="00F520DC">
        <w:rPr>
          <w:i/>
          <w:iCs/>
        </w:rPr>
        <w:t>Trials</w:t>
      </w:r>
      <w:r w:rsidRPr="00F520DC">
        <w:t xml:space="preserve"> </w:t>
      </w:r>
      <w:r w:rsidRPr="00F520DC">
        <w:rPr>
          <w:b/>
          <w:bCs/>
        </w:rPr>
        <w:t>18</w:t>
      </w:r>
      <w:r w:rsidRPr="00F520DC">
        <w:t>, 122 (2017).</w:t>
      </w:r>
    </w:p>
    <w:p w14:paraId="3AAA3C4A" w14:textId="5CFBC379" w:rsidR="00F520DC" w:rsidRPr="00F520DC" w:rsidRDefault="00F520DC" w:rsidP="00F520DC">
      <w:pPr>
        <w:pStyle w:val="Bibliography"/>
      </w:pPr>
      <w:r w:rsidRPr="00F520DC">
        <w:t>32.</w:t>
      </w:r>
      <w:r w:rsidR="009673B3">
        <w:t xml:space="preserve"> </w:t>
      </w:r>
      <w:r w:rsidRPr="00F520DC">
        <w:t xml:space="preserve">Jones, C. W., Keil, L. G., Holland, W. C., Caughey, M. C. &amp; Platts-Mills, T. F. Comparison of registered and published outcomes in randomized controlled trials: a systematic review. </w:t>
      </w:r>
      <w:r w:rsidRPr="00F520DC">
        <w:rPr>
          <w:i/>
          <w:iCs/>
        </w:rPr>
        <w:t>BMC Medicine</w:t>
      </w:r>
      <w:r w:rsidRPr="00F520DC">
        <w:t xml:space="preserve"> </w:t>
      </w:r>
      <w:r w:rsidRPr="00F520DC">
        <w:rPr>
          <w:b/>
          <w:bCs/>
        </w:rPr>
        <w:t>13</w:t>
      </w:r>
      <w:r w:rsidRPr="00F520DC">
        <w:t>, 282 (2015).</w:t>
      </w:r>
    </w:p>
    <w:p w14:paraId="2FD7C5A4" w14:textId="6EDE306C" w:rsidR="00F520DC" w:rsidRPr="00F520DC" w:rsidRDefault="00F520DC" w:rsidP="00F520DC">
      <w:pPr>
        <w:pStyle w:val="Bibliography"/>
      </w:pPr>
      <w:r w:rsidRPr="00F520DC">
        <w:t>33.</w:t>
      </w:r>
      <w:r w:rsidR="009673B3">
        <w:t xml:space="preserve"> </w:t>
      </w:r>
      <w:r w:rsidRPr="00F520DC">
        <w:t xml:space="preserve">Kaplan, R. M. &amp; Irvin, V. L. Likelihood of Null Effects of Large NHLBI Clinical Trials Has Increased over Time. </w:t>
      </w:r>
      <w:r w:rsidRPr="00F520DC">
        <w:rPr>
          <w:i/>
          <w:iCs/>
        </w:rPr>
        <w:t>PLOS ONE</w:t>
      </w:r>
      <w:r w:rsidRPr="00F520DC">
        <w:t xml:space="preserve"> </w:t>
      </w:r>
      <w:r w:rsidRPr="00F520DC">
        <w:rPr>
          <w:b/>
          <w:bCs/>
        </w:rPr>
        <w:t>10</w:t>
      </w:r>
      <w:r w:rsidRPr="00F520DC">
        <w:t>, e0132382 (2015).</w:t>
      </w:r>
    </w:p>
    <w:p w14:paraId="03C5E77E" w14:textId="2D4DD79D" w:rsidR="00F520DC" w:rsidRPr="00F520DC" w:rsidRDefault="00F520DC" w:rsidP="00F520DC">
      <w:pPr>
        <w:pStyle w:val="Bibliography"/>
      </w:pPr>
      <w:r w:rsidRPr="00F520DC">
        <w:t>34.</w:t>
      </w:r>
      <w:r w:rsidR="009673B3">
        <w:t xml:space="preserve"> </w:t>
      </w:r>
      <w:r w:rsidRPr="00F520DC">
        <w:t xml:space="preserve">Killeen, S., Sourallous, P., Hunter, I. A., Hartley, J. E. &amp; Grady, H. L. O. Registration rates, adequacy of registration, and a comparison of registered and published primary outcomes in randomized controlled trials published in surgery journals. </w:t>
      </w:r>
      <w:r w:rsidRPr="00F520DC">
        <w:rPr>
          <w:i/>
          <w:iCs/>
        </w:rPr>
        <w:t>Ann Surg</w:t>
      </w:r>
      <w:r w:rsidRPr="00F520DC">
        <w:t xml:space="preserve"> </w:t>
      </w:r>
      <w:r w:rsidRPr="00F520DC">
        <w:rPr>
          <w:b/>
          <w:bCs/>
        </w:rPr>
        <w:t>259</w:t>
      </w:r>
      <w:r w:rsidRPr="00F520DC">
        <w:t>, 193–196 (2014).</w:t>
      </w:r>
    </w:p>
    <w:p w14:paraId="5A4E881E" w14:textId="4F503FA0" w:rsidR="00F520DC" w:rsidRPr="00F520DC" w:rsidRDefault="00F520DC" w:rsidP="00F520DC">
      <w:pPr>
        <w:pStyle w:val="Bibliography"/>
      </w:pPr>
      <w:r w:rsidRPr="00F520DC">
        <w:lastRenderedPageBreak/>
        <w:t>35.</w:t>
      </w:r>
      <w:r w:rsidR="009673B3">
        <w:t xml:space="preserve"> </w:t>
      </w:r>
      <w:r w:rsidRPr="00F520DC">
        <w:t xml:space="preserve">Kirkham, J. J. </w:t>
      </w:r>
      <w:r w:rsidRPr="00F520DC">
        <w:rPr>
          <w:i/>
          <w:iCs/>
        </w:rPr>
        <w:t>et al.</w:t>
      </w:r>
      <w:r w:rsidRPr="00F520DC">
        <w:t xml:space="preserve"> The impact of outcome reporting bias in randomised controlled trials on a cohort of systematic reviews. </w:t>
      </w:r>
      <w:r w:rsidRPr="00F520DC">
        <w:rPr>
          <w:i/>
          <w:iCs/>
        </w:rPr>
        <w:t>BMJ</w:t>
      </w:r>
      <w:r w:rsidRPr="00F520DC">
        <w:t xml:space="preserve"> </w:t>
      </w:r>
      <w:r w:rsidRPr="00F520DC">
        <w:rPr>
          <w:b/>
          <w:bCs/>
        </w:rPr>
        <w:t>340</w:t>
      </w:r>
      <w:r w:rsidRPr="00F520DC">
        <w:t>, c365 (2010).</w:t>
      </w:r>
    </w:p>
    <w:p w14:paraId="11C8BB59" w14:textId="75F2C1AF" w:rsidR="00F520DC" w:rsidRPr="00F520DC" w:rsidRDefault="00F520DC" w:rsidP="00F520DC">
      <w:pPr>
        <w:pStyle w:val="Bibliography"/>
      </w:pPr>
      <w:r w:rsidRPr="00F520DC">
        <w:t>36.</w:t>
      </w:r>
      <w:r w:rsidR="009673B3">
        <w:t xml:space="preserve"> </w:t>
      </w:r>
      <w:r w:rsidRPr="00F520DC">
        <w:t xml:space="preserve">Klatte, K. </w:t>
      </w:r>
      <w:r w:rsidRPr="00F520DC">
        <w:rPr>
          <w:i/>
          <w:iCs/>
        </w:rPr>
        <w:t>et al.</w:t>
      </w:r>
      <w:r w:rsidRPr="00F520DC">
        <w:t xml:space="preserve"> Towards full clinical trial registration and results publication: longitudinal meta-research study in Northwestern and Central Switzerland. </w:t>
      </w:r>
      <w:r w:rsidRPr="00F520DC">
        <w:rPr>
          <w:i/>
          <w:iCs/>
        </w:rPr>
        <w:t>BMC Medical Research Methodology</w:t>
      </w:r>
      <w:r w:rsidRPr="00F520DC">
        <w:t xml:space="preserve"> </w:t>
      </w:r>
      <w:r w:rsidRPr="00F520DC">
        <w:rPr>
          <w:b/>
          <w:bCs/>
        </w:rPr>
        <w:t>23</w:t>
      </w:r>
      <w:r w:rsidRPr="00F520DC">
        <w:t>, 27 (2023).</w:t>
      </w:r>
    </w:p>
    <w:p w14:paraId="5CC7EDA4" w14:textId="78683802" w:rsidR="00F520DC" w:rsidRPr="00F520DC" w:rsidRDefault="00F520DC" w:rsidP="00F520DC">
      <w:pPr>
        <w:pStyle w:val="Bibliography"/>
      </w:pPr>
      <w:r w:rsidRPr="00F520DC">
        <w:t>37.</w:t>
      </w:r>
      <w:r w:rsidR="009673B3">
        <w:t xml:space="preserve"> </w:t>
      </w:r>
      <w:r w:rsidR="00F05F08">
        <w:t xml:space="preserve">Kosa, SD. </w:t>
      </w:r>
      <w:r w:rsidR="00F05F08">
        <w:rPr>
          <w:i/>
          <w:iCs/>
        </w:rPr>
        <w:t xml:space="preserve">et </w:t>
      </w:r>
      <w:r w:rsidR="00F05F08" w:rsidRPr="00F05F08">
        <w:t>al</w:t>
      </w:r>
      <w:r w:rsidR="00F05F08">
        <w:t xml:space="preserve">. </w:t>
      </w:r>
      <w:r w:rsidRPr="00F05F08">
        <w:t>Agreement</w:t>
      </w:r>
      <w:r w:rsidRPr="00F520DC">
        <w:t xml:space="preserve"> in reporting between trial publications and current clinical trial registry in high impact journals: A methodological review. </w:t>
      </w:r>
      <w:r w:rsidRPr="00F520DC">
        <w:rPr>
          <w:i/>
          <w:iCs/>
        </w:rPr>
        <w:t>Contemporary Clinical Trials</w:t>
      </w:r>
      <w:r w:rsidRPr="00F520DC">
        <w:t xml:space="preserve"> </w:t>
      </w:r>
      <w:r w:rsidRPr="00F520DC">
        <w:rPr>
          <w:b/>
          <w:bCs/>
        </w:rPr>
        <w:t>65</w:t>
      </w:r>
      <w:r w:rsidRPr="00F520DC">
        <w:t>, 144–150 (2018).</w:t>
      </w:r>
    </w:p>
    <w:p w14:paraId="7CF4A223" w14:textId="14D5FDB8" w:rsidR="00F520DC" w:rsidRPr="00F520DC" w:rsidRDefault="00F520DC" w:rsidP="00F520DC">
      <w:pPr>
        <w:pStyle w:val="Bibliography"/>
      </w:pPr>
      <w:r w:rsidRPr="00F520DC">
        <w:t>38.</w:t>
      </w:r>
      <w:r w:rsidR="009673B3">
        <w:t xml:space="preserve"> </w:t>
      </w:r>
      <w:r w:rsidRPr="00F520DC">
        <w:t>Oncology, T</w:t>
      </w:r>
      <w:r w:rsidR="009673B3">
        <w:t xml:space="preserve">he </w:t>
      </w:r>
      <w:r w:rsidRPr="00F520DC">
        <w:t>L</w:t>
      </w:r>
      <w:r w:rsidR="009673B3">
        <w:t>ancet</w:t>
      </w:r>
      <w:r w:rsidRPr="00F520DC">
        <w:t xml:space="preserve">. Clinical trial registry reporting: a transparent solution needed. </w:t>
      </w:r>
      <w:r w:rsidRPr="00F520DC">
        <w:rPr>
          <w:i/>
          <w:iCs/>
        </w:rPr>
        <w:t>The Lancet Oncology</w:t>
      </w:r>
      <w:r w:rsidRPr="00F520DC">
        <w:t xml:space="preserve"> </w:t>
      </w:r>
      <w:r w:rsidRPr="00F520DC">
        <w:rPr>
          <w:b/>
          <w:bCs/>
        </w:rPr>
        <w:t>20</w:t>
      </w:r>
      <w:r w:rsidRPr="00F520DC">
        <w:t>, 741 (2019).</w:t>
      </w:r>
    </w:p>
    <w:p w14:paraId="4FFD18B1" w14:textId="0F4F9E6E" w:rsidR="00F520DC" w:rsidRPr="00F520DC" w:rsidRDefault="00F520DC" w:rsidP="00F520DC">
      <w:pPr>
        <w:pStyle w:val="Bibliography"/>
      </w:pPr>
      <w:r w:rsidRPr="00F520DC">
        <w:t>39.</w:t>
      </w:r>
      <w:r w:rsidR="009673B3">
        <w:t xml:space="preserve"> </w:t>
      </w:r>
      <w:r w:rsidRPr="00F520DC">
        <w:t xml:space="preserve">Li, G. </w:t>
      </w:r>
      <w:r w:rsidRPr="00F520DC">
        <w:rPr>
          <w:i/>
          <w:iCs/>
        </w:rPr>
        <w:t>et al.</w:t>
      </w:r>
      <w:r w:rsidRPr="00F520DC">
        <w:t xml:space="preserve"> A systematic review of comparisons between protocols or registrations and full reports in primary biomedical research. </w:t>
      </w:r>
      <w:r w:rsidRPr="00F520DC">
        <w:rPr>
          <w:i/>
          <w:iCs/>
        </w:rPr>
        <w:t>BMC Med Res Methodol</w:t>
      </w:r>
      <w:r w:rsidRPr="00F520DC">
        <w:t xml:space="preserve"> </w:t>
      </w:r>
      <w:r w:rsidRPr="00F520DC">
        <w:rPr>
          <w:b/>
          <w:bCs/>
        </w:rPr>
        <w:t>18</w:t>
      </w:r>
      <w:r w:rsidRPr="00F520DC">
        <w:t>, 9 (2018).</w:t>
      </w:r>
    </w:p>
    <w:p w14:paraId="3BA9216E" w14:textId="76F21157" w:rsidR="00F520DC" w:rsidRPr="00F520DC" w:rsidRDefault="00F520DC" w:rsidP="00F520DC">
      <w:pPr>
        <w:pStyle w:val="Bibliography"/>
      </w:pPr>
      <w:r w:rsidRPr="00F520DC">
        <w:t>40.</w:t>
      </w:r>
      <w:r w:rsidR="009673B3">
        <w:t xml:space="preserve"> </w:t>
      </w:r>
      <w:r w:rsidRPr="00F520DC">
        <w:t xml:space="preserve">Liebeskind, D. S., Kidwell, C. S., Sayre, J. W. &amp; Saver, J. L. Evidence of publication bias in reporting acute stroke clinical trials. </w:t>
      </w:r>
      <w:r w:rsidRPr="00F520DC">
        <w:rPr>
          <w:i/>
          <w:iCs/>
        </w:rPr>
        <w:t>Neurology</w:t>
      </w:r>
      <w:r w:rsidRPr="00F520DC">
        <w:t xml:space="preserve"> </w:t>
      </w:r>
      <w:r w:rsidRPr="00F520DC">
        <w:rPr>
          <w:b/>
          <w:bCs/>
        </w:rPr>
        <w:t>67</w:t>
      </w:r>
      <w:r w:rsidRPr="00F520DC">
        <w:t>, 973–979 (2006).</w:t>
      </w:r>
    </w:p>
    <w:p w14:paraId="62745EB6" w14:textId="1C036465" w:rsidR="00F520DC" w:rsidRPr="00F520DC" w:rsidRDefault="00F520DC" w:rsidP="00F520DC">
      <w:pPr>
        <w:pStyle w:val="Bibliography"/>
      </w:pPr>
      <w:r w:rsidRPr="00F520DC">
        <w:t>41.</w:t>
      </w:r>
      <w:r w:rsidR="009673B3">
        <w:t xml:space="preserve"> </w:t>
      </w:r>
      <w:r w:rsidRPr="00F520DC">
        <w:t xml:space="preserve">Lindsley, K., Fusco, N., Li, T., Scholten, R. &amp; Hooft, L. Clinical trial registration was associated with lower risk of bias compared with non-registered trials among trials included in systematic reviews. </w:t>
      </w:r>
      <w:r w:rsidRPr="00F520DC">
        <w:rPr>
          <w:i/>
          <w:iCs/>
        </w:rPr>
        <w:t>J Clin Epidemiol</w:t>
      </w:r>
      <w:r w:rsidRPr="00F520DC">
        <w:t xml:space="preserve"> </w:t>
      </w:r>
      <w:r w:rsidRPr="00F520DC">
        <w:rPr>
          <w:b/>
          <w:bCs/>
        </w:rPr>
        <w:t>145</w:t>
      </w:r>
      <w:r w:rsidRPr="00F520DC">
        <w:t>, 164–173 (2022).</w:t>
      </w:r>
    </w:p>
    <w:p w14:paraId="25625F95" w14:textId="33DB897D" w:rsidR="00F520DC" w:rsidRPr="00F520DC" w:rsidRDefault="00F520DC" w:rsidP="00F520DC">
      <w:pPr>
        <w:pStyle w:val="Bibliography"/>
      </w:pPr>
      <w:r w:rsidRPr="00F520DC">
        <w:t>42.</w:t>
      </w:r>
      <w:r w:rsidR="009673B3">
        <w:t xml:space="preserve"> </w:t>
      </w:r>
      <w:r w:rsidRPr="00F520DC">
        <w:t>Loder, E., Loder, S. &amp; Cook, S. Characteristics and publication fate of unregistered and retrospectively registered clinical trials submitted to The BMJ over 4 years. (2018) doi:10.1136/bmjopen-2017-020037.</w:t>
      </w:r>
    </w:p>
    <w:p w14:paraId="49F9AD72" w14:textId="27930209" w:rsidR="00F520DC" w:rsidRPr="00F520DC" w:rsidRDefault="00F520DC" w:rsidP="00F520DC">
      <w:pPr>
        <w:pStyle w:val="Bibliography"/>
      </w:pPr>
      <w:r w:rsidRPr="00F520DC">
        <w:t>43.</w:t>
      </w:r>
      <w:r w:rsidR="009673B3">
        <w:t xml:space="preserve"> </w:t>
      </w:r>
      <w:r w:rsidRPr="00F520DC">
        <w:t xml:space="preserve">Mathieu, S., Boutron, I., Moher, D., Altman, D. G. &amp; Ravaud, P. Comparison of registered and published primary outcomes in randomized controlled trials. </w:t>
      </w:r>
      <w:r w:rsidRPr="00F520DC">
        <w:rPr>
          <w:i/>
          <w:iCs/>
        </w:rPr>
        <w:t>JAMA</w:t>
      </w:r>
      <w:r w:rsidRPr="00F520DC">
        <w:t xml:space="preserve"> </w:t>
      </w:r>
      <w:r w:rsidRPr="00F520DC">
        <w:rPr>
          <w:b/>
          <w:bCs/>
        </w:rPr>
        <w:t>302</w:t>
      </w:r>
      <w:r w:rsidRPr="00F520DC">
        <w:t>, 977–984 (2009).</w:t>
      </w:r>
    </w:p>
    <w:p w14:paraId="0A7FD1D9" w14:textId="2319C3B3" w:rsidR="00F520DC" w:rsidRPr="00F520DC" w:rsidRDefault="00F520DC" w:rsidP="00F520DC">
      <w:pPr>
        <w:pStyle w:val="Bibliography"/>
      </w:pPr>
      <w:r w:rsidRPr="00F520DC">
        <w:lastRenderedPageBreak/>
        <w:t>44.</w:t>
      </w:r>
      <w:r w:rsidR="009673B3">
        <w:t xml:space="preserve"> </w:t>
      </w:r>
      <w:r w:rsidRPr="00F520DC">
        <w:t xml:space="preserve">Mitra-Majumdar, M. &amp; Kesselheim, A. S. Reporting bias in clinical trials: Progress toward transparency and next steps. </w:t>
      </w:r>
      <w:r w:rsidRPr="00F520DC">
        <w:rPr>
          <w:i/>
          <w:iCs/>
        </w:rPr>
        <w:t>PLOS Medicine</w:t>
      </w:r>
      <w:r w:rsidRPr="00F520DC">
        <w:t xml:space="preserve"> </w:t>
      </w:r>
      <w:r w:rsidRPr="00F520DC">
        <w:rPr>
          <w:b/>
          <w:bCs/>
        </w:rPr>
        <w:t>19</w:t>
      </w:r>
      <w:r w:rsidRPr="00F520DC">
        <w:t>, e1003894 (2022).</w:t>
      </w:r>
    </w:p>
    <w:p w14:paraId="64A226BB" w14:textId="6B7C2266" w:rsidR="00F520DC" w:rsidRPr="00F520DC" w:rsidRDefault="00F520DC" w:rsidP="00F520DC">
      <w:pPr>
        <w:pStyle w:val="Bibliography"/>
      </w:pPr>
      <w:r w:rsidRPr="00F520DC">
        <w:t>45.</w:t>
      </w:r>
      <w:r w:rsidR="009673B3">
        <w:t xml:space="preserve"> </w:t>
      </w:r>
      <w:r w:rsidRPr="00F520DC">
        <w:t xml:space="preserve">Odutayo, A. </w:t>
      </w:r>
      <w:r w:rsidRPr="00F520DC">
        <w:rPr>
          <w:i/>
          <w:iCs/>
        </w:rPr>
        <w:t>et al.</w:t>
      </w:r>
      <w:r w:rsidRPr="00F520DC">
        <w:t xml:space="preserve"> Association between trial registration and positive study findings: cross sectional study (Epidemiological Study of Randomized Trials—ESORT). </w:t>
      </w:r>
      <w:r w:rsidRPr="00F520DC">
        <w:rPr>
          <w:i/>
          <w:iCs/>
        </w:rPr>
        <w:t>BMJ</w:t>
      </w:r>
      <w:r w:rsidRPr="00F520DC">
        <w:t xml:space="preserve"> </w:t>
      </w:r>
      <w:r w:rsidRPr="00F520DC">
        <w:rPr>
          <w:b/>
          <w:bCs/>
        </w:rPr>
        <w:t>356</w:t>
      </w:r>
      <w:r w:rsidRPr="00F520DC">
        <w:t>, j917 (2017).</w:t>
      </w:r>
    </w:p>
    <w:p w14:paraId="3BB4B6EA" w14:textId="0BE12DE3" w:rsidR="00F520DC" w:rsidRPr="00F520DC" w:rsidRDefault="00F520DC" w:rsidP="00F520DC">
      <w:pPr>
        <w:pStyle w:val="Bibliography"/>
      </w:pPr>
      <w:r w:rsidRPr="00F520DC">
        <w:t>46.</w:t>
      </w:r>
      <w:r w:rsidR="009673B3">
        <w:t xml:space="preserve"> </w:t>
      </w:r>
      <w:r w:rsidRPr="00F520DC">
        <w:t xml:space="preserve">Papageorgiou, S. N., Xavier, G. M., Cobourne, M. T. &amp; Eliades, T. Registered trials report less beneficial treatment effects than unregistered ones: a meta-epidemiological study in orthodontics. </w:t>
      </w:r>
      <w:r w:rsidRPr="00F520DC">
        <w:rPr>
          <w:i/>
          <w:iCs/>
        </w:rPr>
        <w:t>Journal of Clinical Epidemiology</w:t>
      </w:r>
      <w:r w:rsidRPr="00F520DC">
        <w:t xml:space="preserve"> </w:t>
      </w:r>
      <w:r w:rsidRPr="00F520DC">
        <w:rPr>
          <w:b/>
          <w:bCs/>
        </w:rPr>
        <w:t>100</w:t>
      </w:r>
      <w:r w:rsidRPr="00F520DC">
        <w:t>, 44–52 (2018).</w:t>
      </w:r>
    </w:p>
    <w:p w14:paraId="1EDA06D3" w14:textId="12C577C8" w:rsidR="00F520DC" w:rsidRPr="00F520DC" w:rsidRDefault="00F520DC" w:rsidP="00F520DC">
      <w:pPr>
        <w:pStyle w:val="Bibliography"/>
      </w:pPr>
      <w:r w:rsidRPr="00F520DC">
        <w:t>47.</w:t>
      </w:r>
      <w:r w:rsidR="009673B3">
        <w:t xml:space="preserve"> </w:t>
      </w:r>
      <w:r w:rsidRPr="00F520DC">
        <w:t xml:space="preserve">Pinto, R. Z. </w:t>
      </w:r>
      <w:r w:rsidRPr="00F520DC">
        <w:rPr>
          <w:i/>
          <w:iCs/>
        </w:rPr>
        <w:t>et al.</w:t>
      </w:r>
      <w:r w:rsidRPr="00F520DC">
        <w:t xml:space="preserve"> Many randomized trials of physical therapy interventions are not adequately registered: a survey of 200 published trials. </w:t>
      </w:r>
      <w:r w:rsidRPr="00F520DC">
        <w:rPr>
          <w:i/>
          <w:iCs/>
        </w:rPr>
        <w:t>Phys Ther</w:t>
      </w:r>
      <w:r w:rsidRPr="00F520DC">
        <w:t xml:space="preserve"> </w:t>
      </w:r>
      <w:r w:rsidRPr="00F520DC">
        <w:rPr>
          <w:b/>
          <w:bCs/>
        </w:rPr>
        <w:t>93</w:t>
      </w:r>
      <w:r w:rsidRPr="00F520DC">
        <w:t>, 299–309 (2013).</w:t>
      </w:r>
    </w:p>
    <w:p w14:paraId="2D44A1FF" w14:textId="1F4A6627" w:rsidR="00F520DC" w:rsidRPr="00F520DC" w:rsidRDefault="00F520DC" w:rsidP="00F520DC">
      <w:pPr>
        <w:pStyle w:val="Bibliography"/>
      </w:pPr>
      <w:r w:rsidRPr="00F520DC">
        <w:t>48.</w:t>
      </w:r>
      <w:r w:rsidR="009673B3">
        <w:t xml:space="preserve"> </w:t>
      </w:r>
      <w:r w:rsidRPr="00F520DC">
        <w:t xml:space="preserve">Polanin, J. R., Tanner-Smith, E. E. &amp; Hennessy, E. A. Estimating the Difference Between Published and Unpublished Effect Sizes: A Meta-Review. </w:t>
      </w:r>
      <w:r w:rsidRPr="00F520DC">
        <w:rPr>
          <w:i/>
          <w:iCs/>
        </w:rPr>
        <w:t>Review of Educational Research</w:t>
      </w:r>
      <w:r w:rsidRPr="00F520DC">
        <w:t xml:space="preserve"> </w:t>
      </w:r>
      <w:r w:rsidRPr="00F520DC">
        <w:rPr>
          <w:b/>
          <w:bCs/>
        </w:rPr>
        <w:t>86</w:t>
      </w:r>
      <w:r w:rsidRPr="00F520DC">
        <w:t>, 207–236 (2016).</w:t>
      </w:r>
    </w:p>
    <w:p w14:paraId="3D078935" w14:textId="4DE25695" w:rsidR="00F520DC" w:rsidRPr="00F520DC" w:rsidRDefault="00F520DC" w:rsidP="00F520DC">
      <w:pPr>
        <w:pStyle w:val="Bibliography"/>
      </w:pPr>
      <w:r w:rsidRPr="00F520DC">
        <w:t>49.</w:t>
      </w:r>
      <w:r w:rsidR="009673B3">
        <w:t xml:space="preserve"> </w:t>
      </w:r>
      <w:r w:rsidRPr="00F520DC">
        <w:t xml:space="preserve">Purgar, M., Glasziou, P., Klanjscek, T., Nakagawa, S. &amp; Culina, A. Supporting study registration to reduce research waste. </w:t>
      </w:r>
      <w:r w:rsidRPr="00F520DC">
        <w:rPr>
          <w:i/>
          <w:iCs/>
        </w:rPr>
        <w:t>Nat Ecol Evol</w:t>
      </w:r>
      <w:r w:rsidRPr="00F520DC">
        <w:t xml:space="preserve"> </w:t>
      </w:r>
      <w:r w:rsidRPr="00F520DC">
        <w:rPr>
          <w:b/>
          <w:bCs/>
        </w:rPr>
        <w:t>8</w:t>
      </w:r>
      <w:r w:rsidRPr="00F520DC">
        <w:t>, 1391–1399 (2024).</w:t>
      </w:r>
    </w:p>
    <w:p w14:paraId="65277A5D" w14:textId="1A4AF5B9" w:rsidR="00F520DC" w:rsidRPr="00F520DC" w:rsidRDefault="00F520DC" w:rsidP="00F520DC">
      <w:pPr>
        <w:pStyle w:val="Bibliography"/>
      </w:pPr>
      <w:r w:rsidRPr="00F520DC">
        <w:t>50.</w:t>
      </w:r>
      <w:r w:rsidR="009673B3">
        <w:t xml:space="preserve"> </w:t>
      </w:r>
      <w:r w:rsidRPr="00F520DC">
        <w:t xml:space="preserve">Ramagopalan, S. V. </w:t>
      </w:r>
      <w:r w:rsidRPr="00F520DC">
        <w:rPr>
          <w:i/>
          <w:iCs/>
        </w:rPr>
        <w:t>et al.</w:t>
      </w:r>
      <w:r w:rsidRPr="00F520DC">
        <w:t xml:space="preserve"> Prevalence of primary outcome changes in clinical trials registered on ClinicalTrials.gov: a cross-sectional study. Preprint at https://doi.org/10.12688/f1000research.3784.1 (2014).</w:t>
      </w:r>
    </w:p>
    <w:p w14:paraId="368E1FE5" w14:textId="44342F39" w:rsidR="00F520DC" w:rsidRPr="00F520DC" w:rsidRDefault="00F520DC" w:rsidP="00F520DC">
      <w:pPr>
        <w:pStyle w:val="Bibliography"/>
      </w:pPr>
      <w:r w:rsidRPr="00F520DC">
        <w:t>51.</w:t>
      </w:r>
      <w:r w:rsidR="009673B3">
        <w:t xml:space="preserve"> </w:t>
      </w:r>
      <w:r w:rsidRPr="00F520DC">
        <w:t xml:space="preserve">Rasmussen, N., Lee, K. &amp; Bero, L. Association of trial registration with the results and conclusions of published trials of new oncology drugs. </w:t>
      </w:r>
      <w:r w:rsidRPr="00F520DC">
        <w:rPr>
          <w:i/>
          <w:iCs/>
        </w:rPr>
        <w:t>Trials</w:t>
      </w:r>
      <w:r w:rsidRPr="00F520DC">
        <w:t xml:space="preserve"> </w:t>
      </w:r>
      <w:r w:rsidRPr="00F520DC">
        <w:rPr>
          <w:b/>
          <w:bCs/>
        </w:rPr>
        <w:t>10</w:t>
      </w:r>
      <w:r w:rsidRPr="00F520DC">
        <w:t>, 116 (2009).</w:t>
      </w:r>
    </w:p>
    <w:p w14:paraId="056A736E" w14:textId="431A8B27" w:rsidR="00F520DC" w:rsidRPr="00F520DC" w:rsidRDefault="00F520DC" w:rsidP="00F520DC">
      <w:pPr>
        <w:pStyle w:val="Bibliography"/>
      </w:pPr>
      <w:r w:rsidRPr="00F520DC">
        <w:t>52.</w:t>
      </w:r>
      <w:r w:rsidR="009673B3">
        <w:t xml:space="preserve"> </w:t>
      </w:r>
      <w:r w:rsidRPr="00F520DC">
        <w:t xml:space="preserve">Riedel, N. </w:t>
      </w:r>
      <w:r w:rsidRPr="00F520DC">
        <w:rPr>
          <w:i/>
          <w:iCs/>
        </w:rPr>
        <w:t>et al.</w:t>
      </w:r>
      <w:r w:rsidRPr="00F520DC">
        <w:t xml:space="preserve"> Results dissemination from completed clinical trials conducted at German university medical centers remained delayed and incomplete. The 2014 -2017 cohort. </w:t>
      </w:r>
      <w:r w:rsidRPr="00F520DC">
        <w:rPr>
          <w:i/>
          <w:iCs/>
        </w:rPr>
        <w:t>J Clin Epidemiol</w:t>
      </w:r>
      <w:r w:rsidRPr="00F520DC">
        <w:t xml:space="preserve"> </w:t>
      </w:r>
      <w:r w:rsidRPr="00F520DC">
        <w:rPr>
          <w:b/>
          <w:bCs/>
        </w:rPr>
        <w:t>144</w:t>
      </w:r>
      <w:r w:rsidRPr="00F520DC">
        <w:t>, 1–7 (2022).</w:t>
      </w:r>
    </w:p>
    <w:p w14:paraId="5FDAF144" w14:textId="34B42BA8" w:rsidR="00F520DC" w:rsidRPr="00F520DC" w:rsidRDefault="00F520DC" w:rsidP="00F520DC">
      <w:pPr>
        <w:pStyle w:val="Bibliography"/>
      </w:pPr>
      <w:r w:rsidRPr="00F520DC">
        <w:lastRenderedPageBreak/>
        <w:t>53.</w:t>
      </w:r>
      <w:r w:rsidR="009673B3">
        <w:t xml:space="preserve"> </w:t>
      </w:r>
      <w:r w:rsidRPr="00F520DC">
        <w:t xml:space="preserve">Riemer, M. </w:t>
      </w:r>
      <w:r w:rsidRPr="00F520DC">
        <w:rPr>
          <w:i/>
          <w:iCs/>
        </w:rPr>
        <w:t>et al.</w:t>
      </w:r>
      <w:r w:rsidRPr="00F520DC">
        <w:t xml:space="preserve"> Trial registration and selective outcome reporting in 585 clinical trials investigating drugs for prevention of postoperative nausea and vomiting. </w:t>
      </w:r>
      <w:r w:rsidRPr="00F520DC">
        <w:rPr>
          <w:i/>
          <w:iCs/>
        </w:rPr>
        <w:t>BMC Anesthesiology</w:t>
      </w:r>
      <w:r w:rsidRPr="00F520DC">
        <w:t xml:space="preserve"> </w:t>
      </w:r>
      <w:r w:rsidRPr="00F520DC">
        <w:rPr>
          <w:b/>
          <w:bCs/>
        </w:rPr>
        <w:t>21</w:t>
      </w:r>
      <w:r w:rsidRPr="00F520DC">
        <w:t>, 249 (2021).</w:t>
      </w:r>
    </w:p>
    <w:p w14:paraId="6D66A148" w14:textId="1842203D" w:rsidR="00F520DC" w:rsidRPr="00F520DC" w:rsidRDefault="00F520DC" w:rsidP="00F520DC">
      <w:pPr>
        <w:pStyle w:val="Bibliography"/>
      </w:pPr>
      <w:r w:rsidRPr="00F520DC">
        <w:t>54.</w:t>
      </w:r>
      <w:r w:rsidR="009673B3">
        <w:t xml:space="preserve"> </w:t>
      </w:r>
      <w:r w:rsidRPr="00F520DC">
        <w:t xml:space="preserve">Riveros, C. </w:t>
      </w:r>
      <w:r w:rsidRPr="00F520DC">
        <w:rPr>
          <w:i/>
          <w:iCs/>
        </w:rPr>
        <w:t>et al.</w:t>
      </w:r>
      <w:r w:rsidRPr="00F520DC">
        <w:t xml:space="preserve"> Timing and Completeness of Trial Results Posted at ClinicalTrials.gov and Published in Journals. </w:t>
      </w:r>
      <w:r w:rsidRPr="00F520DC">
        <w:rPr>
          <w:i/>
          <w:iCs/>
        </w:rPr>
        <w:t>PLOS Medicine</w:t>
      </w:r>
      <w:r w:rsidRPr="00F520DC">
        <w:t xml:space="preserve"> </w:t>
      </w:r>
      <w:r w:rsidRPr="00F520DC">
        <w:rPr>
          <w:b/>
          <w:bCs/>
        </w:rPr>
        <w:t>10</w:t>
      </w:r>
      <w:r w:rsidRPr="00F520DC">
        <w:t>, e1001566 (2013).</w:t>
      </w:r>
    </w:p>
    <w:p w14:paraId="1546305C" w14:textId="6C7B460A" w:rsidR="00F520DC" w:rsidRPr="00F520DC" w:rsidRDefault="00F520DC" w:rsidP="00F520DC">
      <w:pPr>
        <w:pStyle w:val="Bibliography"/>
      </w:pPr>
      <w:r w:rsidRPr="00F520DC">
        <w:t>55.</w:t>
      </w:r>
      <w:r w:rsidR="009673B3">
        <w:t xml:space="preserve"> </w:t>
      </w:r>
      <w:r w:rsidRPr="00F520DC">
        <w:t xml:space="preserve">Roest, A. M. </w:t>
      </w:r>
      <w:r w:rsidRPr="00F520DC">
        <w:rPr>
          <w:i/>
          <w:iCs/>
        </w:rPr>
        <w:t>et al.</w:t>
      </w:r>
      <w:r w:rsidRPr="00F520DC">
        <w:t xml:space="preserve"> Reporting Bias in Clinical Trials Investigating the Efficacy of Second-Generation Antidepressants in the Treatment of Anxiety Disorders: A Report of 2 Meta-analyses. </w:t>
      </w:r>
      <w:r w:rsidRPr="00F520DC">
        <w:rPr>
          <w:i/>
          <w:iCs/>
        </w:rPr>
        <w:t>JAMA Psychiatry</w:t>
      </w:r>
      <w:r w:rsidRPr="00F520DC">
        <w:t xml:space="preserve"> </w:t>
      </w:r>
      <w:r w:rsidRPr="00F520DC">
        <w:rPr>
          <w:b/>
          <w:bCs/>
        </w:rPr>
        <w:t>72</w:t>
      </w:r>
      <w:r w:rsidRPr="00F520DC">
        <w:t>, 500–510 (2015).</w:t>
      </w:r>
    </w:p>
    <w:p w14:paraId="40B9EDCC" w14:textId="004176CE" w:rsidR="00F520DC" w:rsidRPr="00F520DC" w:rsidRDefault="00F520DC" w:rsidP="00F520DC">
      <w:pPr>
        <w:pStyle w:val="Bibliography"/>
      </w:pPr>
      <w:r w:rsidRPr="00F520DC">
        <w:t>56.</w:t>
      </w:r>
      <w:r w:rsidR="009673B3">
        <w:t xml:space="preserve"> </w:t>
      </w:r>
      <w:r w:rsidRPr="00F520DC">
        <w:t xml:space="preserve">Rosati, P. </w:t>
      </w:r>
      <w:r w:rsidRPr="00F520DC">
        <w:rPr>
          <w:i/>
          <w:iCs/>
        </w:rPr>
        <w:t>et al.</w:t>
      </w:r>
      <w:r w:rsidRPr="00F520DC">
        <w:t xml:space="preserve"> Major discrepancies between what clinical trial registries record and paediatric randomised controlled trials publish. </w:t>
      </w:r>
      <w:r w:rsidRPr="00F520DC">
        <w:rPr>
          <w:i/>
          <w:iCs/>
        </w:rPr>
        <w:t>Trials</w:t>
      </w:r>
      <w:r w:rsidRPr="00F520DC">
        <w:t xml:space="preserve"> </w:t>
      </w:r>
      <w:r w:rsidRPr="00F520DC">
        <w:rPr>
          <w:b/>
          <w:bCs/>
        </w:rPr>
        <w:t>17</w:t>
      </w:r>
      <w:r w:rsidRPr="00F520DC">
        <w:t>, 430 (2016).</w:t>
      </w:r>
    </w:p>
    <w:p w14:paraId="37E483AD" w14:textId="7FE94397" w:rsidR="00F520DC" w:rsidRPr="00F520DC" w:rsidRDefault="00F520DC" w:rsidP="00F520DC">
      <w:pPr>
        <w:pStyle w:val="Bibliography"/>
      </w:pPr>
      <w:r w:rsidRPr="00F520DC">
        <w:t>57.</w:t>
      </w:r>
      <w:r w:rsidR="009673B3">
        <w:t xml:space="preserve"> </w:t>
      </w:r>
      <w:r w:rsidRPr="00F520DC">
        <w:t xml:space="preserve">Ross, J. S., Mulvey, G. K., Hines, E. M., Nissen, S. E. &amp; Krumholz, H. M. Trial Publication after Registration in ClinicalTrials.Gov: A Cross-Sectional Analysis. </w:t>
      </w:r>
      <w:r w:rsidRPr="00F520DC">
        <w:rPr>
          <w:i/>
          <w:iCs/>
        </w:rPr>
        <w:t>PLOS Medicine</w:t>
      </w:r>
      <w:r w:rsidRPr="00F520DC">
        <w:t xml:space="preserve"> </w:t>
      </w:r>
      <w:r w:rsidRPr="00F520DC">
        <w:rPr>
          <w:b/>
          <w:bCs/>
        </w:rPr>
        <w:t>6</w:t>
      </w:r>
      <w:r w:rsidRPr="00F520DC">
        <w:t>, e1000144 (2009).</w:t>
      </w:r>
    </w:p>
    <w:p w14:paraId="549C5226" w14:textId="62638A8B" w:rsidR="00F520DC" w:rsidRPr="00F520DC" w:rsidRDefault="00F520DC" w:rsidP="00F520DC">
      <w:pPr>
        <w:pStyle w:val="Bibliography"/>
      </w:pPr>
      <w:r w:rsidRPr="00F520DC">
        <w:t>58.</w:t>
      </w:r>
      <w:r w:rsidR="009673B3">
        <w:t xml:space="preserve"> </w:t>
      </w:r>
      <w:r w:rsidRPr="00F520DC">
        <w:t xml:space="preserve">Ross, J. S. </w:t>
      </w:r>
      <w:r w:rsidRPr="00F520DC">
        <w:rPr>
          <w:i/>
          <w:iCs/>
        </w:rPr>
        <w:t>et al.</w:t>
      </w:r>
      <w:r w:rsidRPr="00F520DC">
        <w:t xml:space="preserve"> Publication of NIH funded trials registered in ClinicalTrials.gov: cross sectional analysis. </w:t>
      </w:r>
      <w:r w:rsidRPr="00F520DC">
        <w:rPr>
          <w:i/>
          <w:iCs/>
        </w:rPr>
        <w:t>BMJ</w:t>
      </w:r>
      <w:r w:rsidRPr="00F520DC">
        <w:t xml:space="preserve"> </w:t>
      </w:r>
      <w:r w:rsidRPr="00F520DC">
        <w:rPr>
          <w:b/>
          <w:bCs/>
        </w:rPr>
        <w:t>344</w:t>
      </w:r>
      <w:r w:rsidRPr="00F520DC">
        <w:t>, d7292 (2012).</w:t>
      </w:r>
    </w:p>
    <w:p w14:paraId="0C084E87" w14:textId="2A2D59AA" w:rsidR="00F520DC" w:rsidRPr="00F520DC" w:rsidRDefault="00F520DC" w:rsidP="00F520DC">
      <w:pPr>
        <w:pStyle w:val="Bibliography"/>
      </w:pPr>
      <w:r w:rsidRPr="00F520DC">
        <w:t>59.</w:t>
      </w:r>
      <w:r w:rsidR="009673B3">
        <w:t xml:space="preserve"> </w:t>
      </w:r>
      <w:r w:rsidRPr="00F520DC">
        <w:t xml:space="preserve">Saito, H. &amp; Gill, C. J. How frequently do the results from completed US clinical trials enter the public domain?--A statistical analysis of the ClinicalTrials.gov database. </w:t>
      </w:r>
      <w:r w:rsidRPr="00F520DC">
        <w:rPr>
          <w:i/>
          <w:iCs/>
        </w:rPr>
        <w:t>PLoS One</w:t>
      </w:r>
      <w:r w:rsidRPr="00F520DC">
        <w:t xml:space="preserve"> </w:t>
      </w:r>
      <w:r w:rsidRPr="00F520DC">
        <w:rPr>
          <w:b/>
          <w:bCs/>
        </w:rPr>
        <w:t>9</w:t>
      </w:r>
      <w:r w:rsidRPr="00F520DC">
        <w:t>, e101826 (2014).</w:t>
      </w:r>
    </w:p>
    <w:p w14:paraId="35B958E6" w14:textId="25A3BEEC" w:rsidR="00F520DC" w:rsidRPr="00F520DC" w:rsidRDefault="00F520DC" w:rsidP="00F520DC">
      <w:pPr>
        <w:pStyle w:val="Bibliography"/>
      </w:pPr>
      <w:r w:rsidRPr="00F520DC">
        <w:t>60.</w:t>
      </w:r>
      <w:r w:rsidR="009673B3">
        <w:t xml:space="preserve"> </w:t>
      </w:r>
      <w:r w:rsidRPr="00F520DC">
        <w:t xml:space="preserve">Schäfer, T. &amp; Schwarz, M. A. The Meaningfulness of Effect Sizes in Psychological Research: Differences Between Sub-Disciplines and the Impact of Potential Biases. </w:t>
      </w:r>
      <w:r w:rsidRPr="00F520DC">
        <w:rPr>
          <w:i/>
          <w:iCs/>
        </w:rPr>
        <w:t>Front. Psychol.</w:t>
      </w:r>
      <w:r w:rsidRPr="00F520DC">
        <w:t xml:space="preserve"> </w:t>
      </w:r>
      <w:r w:rsidRPr="00F520DC">
        <w:rPr>
          <w:b/>
          <w:bCs/>
        </w:rPr>
        <w:t>10</w:t>
      </w:r>
      <w:r w:rsidRPr="00F520DC">
        <w:t>, (2019).</w:t>
      </w:r>
    </w:p>
    <w:p w14:paraId="229450D0" w14:textId="549EB97B" w:rsidR="00F520DC" w:rsidRPr="00F520DC" w:rsidRDefault="00F520DC" w:rsidP="00F520DC">
      <w:pPr>
        <w:pStyle w:val="Bibliography"/>
      </w:pPr>
      <w:r w:rsidRPr="00F520DC">
        <w:t>61.</w:t>
      </w:r>
      <w:r w:rsidR="009673B3">
        <w:t xml:space="preserve"> </w:t>
      </w:r>
      <w:r w:rsidRPr="00F520DC">
        <w:t xml:space="preserve">Scheel, A. M., Schijen, M. R. M. J. &amp; Lakens, D. An Excess of Positive Results: Comparing the Standard Psychology Literature With Registered Reports. </w:t>
      </w:r>
      <w:r w:rsidRPr="00F520DC">
        <w:rPr>
          <w:i/>
          <w:iCs/>
        </w:rPr>
        <w:t>Advances in Methods and Practices in Psychological Science</w:t>
      </w:r>
      <w:r w:rsidRPr="00F520DC">
        <w:t xml:space="preserve"> </w:t>
      </w:r>
      <w:r w:rsidRPr="00F520DC">
        <w:rPr>
          <w:b/>
          <w:bCs/>
        </w:rPr>
        <w:t>4</w:t>
      </w:r>
      <w:r w:rsidRPr="00F520DC">
        <w:t>, 25152459211007467 (2021).</w:t>
      </w:r>
    </w:p>
    <w:p w14:paraId="2EED0C90" w14:textId="42DD92C5" w:rsidR="00F520DC" w:rsidRPr="00F520DC" w:rsidRDefault="00F520DC" w:rsidP="00F520DC">
      <w:pPr>
        <w:pStyle w:val="Bibliography"/>
      </w:pPr>
      <w:r w:rsidRPr="00F520DC">
        <w:lastRenderedPageBreak/>
        <w:t>62.</w:t>
      </w:r>
      <w:r w:rsidR="009673B3">
        <w:t xml:space="preserve"> </w:t>
      </w:r>
      <w:r w:rsidRPr="00F520DC">
        <w:t xml:space="preserve">Schmucker, C. </w:t>
      </w:r>
      <w:r w:rsidRPr="00F520DC">
        <w:rPr>
          <w:i/>
          <w:iCs/>
        </w:rPr>
        <w:t>et al.</w:t>
      </w:r>
      <w:r w:rsidRPr="00F520DC">
        <w:t xml:space="preserve"> Extent of non-publication in cohorts of studies approved by research ethics committees or included in trial registries. </w:t>
      </w:r>
      <w:r w:rsidRPr="00F520DC">
        <w:rPr>
          <w:i/>
          <w:iCs/>
        </w:rPr>
        <w:t>PLoS One</w:t>
      </w:r>
      <w:r w:rsidRPr="00F520DC">
        <w:t xml:space="preserve"> </w:t>
      </w:r>
      <w:r w:rsidRPr="00F520DC">
        <w:rPr>
          <w:b/>
          <w:bCs/>
        </w:rPr>
        <w:t>9</w:t>
      </w:r>
      <w:r w:rsidRPr="00F520DC">
        <w:t>, e114023 (2014).</w:t>
      </w:r>
    </w:p>
    <w:p w14:paraId="5707B159" w14:textId="47C99C07" w:rsidR="00F520DC" w:rsidRPr="00F520DC" w:rsidRDefault="00F520DC" w:rsidP="00F520DC">
      <w:pPr>
        <w:pStyle w:val="Bibliography"/>
      </w:pPr>
      <w:r w:rsidRPr="00F520DC">
        <w:t>63.</w:t>
      </w:r>
      <w:r w:rsidR="009673B3">
        <w:t xml:space="preserve"> </w:t>
      </w:r>
      <w:r w:rsidRPr="00F520DC">
        <w:t xml:space="preserve">Schmucker, C. M. </w:t>
      </w:r>
      <w:r w:rsidRPr="00F520DC">
        <w:rPr>
          <w:i/>
          <w:iCs/>
        </w:rPr>
        <w:t>et al.</w:t>
      </w:r>
      <w:r w:rsidRPr="00F520DC">
        <w:t xml:space="preserve"> Systematic review finds that study data not published in full text articles have unclear impact on meta-analyses results in medical research. </w:t>
      </w:r>
      <w:r w:rsidRPr="00F520DC">
        <w:rPr>
          <w:i/>
          <w:iCs/>
        </w:rPr>
        <w:t>PLoS One</w:t>
      </w:r>
      <w:r w:rsidRPr="00F520DC">
        <w:t xml:space="preserve"> </w:t>
      </w:r>
      <w:r w:rsidRPr="00F520DC">
        <w:rPr>
          <w:b/>
          <w:bCs/>
        </w:rPr>
        <w:t>12</w:t>
      </w:r>
      <w:r w:rsidRPr="00F520DC">
        <w:t>, e0176210 (2017).</w:t>
      </w:r>
    </w:p>
    <w:p w14:paraId="5D2B96A5" w14:textId="1AC05463" w:rsidR="00F520DC" w:rsidRPr="00F520DC" w:rsidRDefault="00F520DC" w:rsidP="00F520DC">
      <w:pPr>
        <w:pStyle w:val="Bibliography"/>
      </w:pPr>
      <w:r w:rsidRPr="00F520DC">
        <w:t>64.</w:t>
      </w:r>
      <w:r w:rsidR="009673B3">
        <w:t xml:space="preserve"> </w:t>
      </w:r>
      <w:r w:rsidRPr="00F520DC">
        <w:t xml:space="preserve">Scott, A., Rucklidge, J. J. &amp; Mulder, R. T. Is Mandatory Prospective Trial Registration Working to Prevent Publication of Unregistered Trials and Selective Outcome Reporting? An Observational Study of Five Psychiatry Journals That Mandate Prospective Clinical Trial Registration. </w:t>
      </w:r>
      <w:r w:rsidRPr="00F520DC">
        <w:rPr>
          <w:i/>
          <w:iCs/>
        </w:rPr>
        <w:t>PLoS One</w:t>
      </w:r>
      <w:r w:rsidRPr="00F520DC">
        <w:t xml:space="preserve"> </w:t>
      </w:r>
      <w:r w:rsidRPr="00F520DC">
        <w:rPr>
          <w:b/>
          <w:bCs/>
        </w:rPr>
        <w:t>10</w:t>
      </w:r>
      <w:r w:rsidRPr="00F520DC">
        <w:t>, e0133718 (2015).</w:t>
      </w:r>
    </w:p>
    <w:p w14:paraId="6C3F26AF" w14:textId="74BFC8EB" w:rsidR="00F520DC" w:rsidRPr="00F520DC" w:rsidRDefault="00F520DC" w:rsidP="00F520DC">
      <w:pPr>
        <w:pStyle w:val="Bibliography"/>
      </w:pPr>
      <w:r w:rsidRPr="00F520DC">
        <w:t>65.</w:t>
      </w:r>
      <w:r w:rsidR="00886597">
        <w:t xml:space="preserve"> </w:t>
      </w:r>
      <w:r w:rsidRPr="00F520DC">
        <w:t xml:space="preserve">Seehra, J., Khraishi, H. &amp; Pandis, N. Studies with statistically significant effect estimates are more frequently published compared to non-significant estimates in oral health journals. </w:t>
      </w:r>
      <w:r w:rsidRPr="00F520DC">
        <w:rPr>
          <w:i/>
          <w:iCs/>
        </w:rPr>
        <w:t>BMC Medical Research Methodology</w:t>
      </w:r>
      <w:r w:rsidRPr="00F520DC">
        <w:t xml:space="preserve"> </w:t>
      </w:r>
      <w:r w:rsidRPr="00F520DC">
        <w:rPr>
          <w:b/>
          <w:bCs/>
        </w:rPr>
        <w:t>23</w:t>
      </w:r>
      <w:r w:rsidRPr="00F520DC">
        <w:t>, 6 (2023).</w:t>
      </w:r>
    </w:p>
    <w:p w14:paraId="4DBBF33F" w14:textId="1B12F2EA" w:rsidR="00F520DC" w:rsidRPr="00F520DC" w:rsidRDefault="00F520DC" w:rsidP="00F520DC">
      <w:pPr>
        <w:pStyle w:val="Bibliography"/>
      </w:pPr>
      <w:r w:rsidRPr="00F520DC">
        <w:t>66.</w:t>
      </w:r>
      <w:r w:rsidR="00886597">
        <w:t xml:space="preserve"> </w:t>
      </w:r>
      <w:r w:rsidRPr="00F520DC">
        <w:t xml:space="preserve">Shah, K. </w:t>
      </w:r>
      <w:r w:rsidRPr="00F520DC">
        <w:rPr>
          <w:i/>
          <w:iCs/>
        </w:rPr>
        <w:t>et al.</w:t>
      </w:r>
      <w:r w:rsidRPr="00F520DC">
        <w:t xml:space="preserve"> Outcome reporting bias in Cochrane systematic reviews: a cross-sectional analysis. </w:t>
      </w:r>
      <w:r w:rsidRPr="00F520DC">
        <w:rPr>
          <w:i/>
          <w:iCs/>
        </w:rPr>
        <w:t>BMJ Open</w:t>
      </w:r>
      <w:r w:rsidRPr="00F520DC">
        <w:t xml:space="preserve"> </w:t>
      </w:r>
      <w:r w:rsidRPr="00F520DC">
        <w:rPr>
          <w:b/>
          <w:bCs/>
        </w:rPr>
        <w:t>10</w:t>
      </w:r>
      <w:r w:rsidRPr="00F520DC">
        <w:t>, e032497 (2020).</w:t>
      </w:r>
    </w:p>
    <w:p w14:paraId="3E6F927A" w14:textId="5F8E978B" w:rsidR="00F520DC" w:rsidRPr="00F520DC" w:rsidRDefault="00F520DC" w:rsidP="00F520DC">
      <w:pPr>
        <w:pStyle w:val="Bibliography"/>
      </w:pPr>
      <w:r w:rsidRPr="00F520DC">
        <w:t>67.</w:t>
      </w:r>
      <w:r w:rsidR="00886597">
        <w:t xml:space="preserve"> </w:t>
      </w:r>
      <w:r w:rsidRPr="00F520DC">
        <w:t xml:space="preserve">Shaw, R., Ni, M., Pillar, M. &amp; Tejani, A. M. Are antidepressant and antipsychotic drug trials registered? A cross-sectional analysis of registration and reporting of methodologic characteristics. </w:t>
      </w:r>
      <w:r w:rsidRPr="00F520DC">
        <w:rPr>
          <w:i/>
          <w:iCs/>
        </w:rPr>
        <w:t>Account Res</w:t>
      </w:r>
      <w:r w:rsidRPr="00F520DC">
        <w:t xml:space="preserve"> </w:t>
      </w:r>
      <w:r w:rsidRPr="00F520DC">
        <w:rPr>
          <w:b/>
          <w:bCs/>
        </w:rPr>
        <w:t>25</w:t>
      </w:r>
      <w:r w:rsidRPr="00F520DC">
        <w:t>, 301–309 (2018).</w:t>
      </w:r>
    </w:p>
    <w:p w14:paraId="59531CF3" w14:textId="6F930C21" w:rsidR="00F520DC" w:rsidRPr="00F520DC" w:rsidRDefault="00F520DC" w:rsidP="00F520DC">
      <w:pPr>
        <w:pStyle w:val="Bibliography"/>
      </w:pPr>
      <w:r w:rsidRPr="00F520DC">
        <w:t>68.</w:t>
      </w:r>
      <w:r w:rsidR="00886597">
        <w:t xml:space="preserve"> </w:t>
      </w:r>
      <w:r w:rsidRPr="00F520DC">
        <w:t xml:space="preserve">Showell, M. </w:t>
      </w:r>
      <w:r w:rsidRPr="00F520DC">
        <w:rPr>
          <w:i/>
          <w:iCs/>
        </w:rPr>
        <w:t>et al.</w:t>
      </w:r>
      <w:r w:rsidRPr="00F520DC">
        <w:t xml:space="preserve"> Publication bias in trials registered in the Australian New Zealand Clinical Trials Registry: Is it a problem? A cross-sectional study. </w:t>
      </w:r>
      <w:r w:rsidRPr="00F520DC">
        <w:rPr>
          <w:i/>
          <w:iCs/>
        </w:rPr>
        <w:t>PLOS ONE</w:t>
      </w:r>
      <w:r w:rsidRPr="00F520DC">
        <w:t xml:space="preserve"> </w:t>
      </w:r>
      <w:r w:rsidRPr="00F520DC">
        <w:rPr>
          <w:b/>
          <w:bCs/>
        </w:rPr>
        <w:t>18</w:t>
      </w:r>
      <w:r w:rsidRPr="00F520DC">
        <w:t>, e0279926 (2023).</w:t>
      </w:r>
    </w:p>
    <w:p w14:paraId="648A6CD1" w14:textId="389C0223" w:rsidR="00F520DC" w:rsidRPr="00F520DC" w:rsidRDefault="00F520DC" w:rsidP="00F520DC">
      <w:pPr>
        <w:pStyle w:val="Bibliography"/>
      </w:pPr>
      <w:r w:rsidRPr="00F520DC">
        <w:t>69.</w:t>
      </w:r>
      <w:r w:rsidR="00886597">
        <w:t xml:space="preserve"> </w:t>
      </w:r>
      <w:r w:rsidRPr="00F520DC">
        <w:t xml:space="preserve">Song, F. </w:t>
      </w:r>
      <w:r w:rsidRPr="00F520DC">
        <w:rPr>
          <w:i/>
          <w:iCs/>
        </w:rPr>
        <w:t>et al.</w:t>
      </w:r>
      <w:r w:rsidRPr="00F520DC">
        <w:t xml:space="preserve"> Extent of publication bias in different categories of research cohorts: a meta-analysis of empirical studies. </w:t>
      </w:r>
      <w:r w:rsidRPr="00F520DC">
        <w:rPr>
          <w:i/>
          <w:iCs/>
        </w:rPr>
        <w:t>BMC Medical Research Methodology</w:t>
      </w:r>
      <w:r w:rsidRPr="00F520DC">
        <w:t xml:space="preserve"> </w:t>
      </w:r>
      <w:r w:rsidRPr="00F520DC">
        <w:rPr>
          <w:b/>
          <w:bCs/>
        </w:rPr>
        <w:t>9</w:t>
      </w:r>
      <w:r w:rsidRPr="00F520DC">
        <w:t>, 79 (2009).</w:t>
      </w:r>
    </w:p>
    <w:p w14:paraId="2D7D8643" w14:textId="3A541044" w:rsidR="00F520DC" w:rsidRPr="00F520DC" w:rsidRDefault="00F520DC" w:rsidP="00F520DC">
      <w:pPr>
        <w:pStyle w:val="Bibliography"/>
      </w:pPr>
      <w:r w:rsidRPr="00F520DC">
        <w:lastRenderedPageBreak/>
        <w:t>70.</w:t>
      </w:r>
      <w:r w:rsidR="00886597">
        <w:t xml:space="preserve"> </w:t>
      </w:r>
      <w:r w:rsidRPr="00F520DC">
        <w:t xml:space="preserve">Song, F. </w:t>
      </w:r>
      <w:r w:rsidRPr="00F520DC">
        <w:rPr>
          <w:i/>
          <w:iCs/>
        </w:rPr>
        <w:t>et al.</w:t>
      </w:r>
      <w:r w:rsidRPr="00F520DC">
        <w:t xml:space="preserve"> Dissemination and publication of research findings: an updated review of related biases. </w:t>
      </w:r>
      <w:r w:rsidRPr="00F520DC">
        <w:rPr>
          <w:i/>
          <w:iCs/>
        </w:rPr>
        <w:t>Health Technol Assess</w:t>
      </w:r>
      <w:r w:rsidRPr="00F520DC">
        <w:t xml:space="preserve"> </w:t>
      </w:r>
      <w:r w:rsidRPr="00F520DC">
        <w:rPr>
          <w:b/>
          <w:bCs/>
        </w:rPr>
        <w:t>14</w:t>
      </w:r>
      <w:r w:rsidRPr="00F520DC">
        <w:t>, iii, ix–xi, 1–193 (2010).</w:t>
      </w:r>
    </w:p>
    <w:p w14:paraId="4394873D" w14:textId="262F41D0" w:rsidR="00F520DC" w:rsidRPr="00F520DC" w:rsidRDefault="00F520DC" w:rsidP="00F520DC">
      <w:pPr>
        <w:pStyle w:val="Bibliography"/>
      </w:pPr>
      <w:r w:rsidRPr="00F520DC">
        <w:t>71.</w:t>
      </w:r>
      <w:r w:rsidR="00886597">
        <w:t xml:space="preserve"> </w:t>
      </w:r>
      <w:r w:rsidRPr="00F520DC">
        <w:t xml:space="preserve">Sterne, J. A., Egger, M. &amp; Smith, G. D. Systematic reviews in health care: Investigating and dealing with publication and other biases in meta-analysis. </w:t>
      </w:r>
      <w:r w:rsidRPr="00F520DC">
        <w:rPr>
          <w:i/>
          <w:iCs/>
        </w:rPr>
        <w:t>BMJ</w:t>
      </w:r>
      <w:r w:rsidRPr="00F520DC">
        <w:t xml:space="preserve"> </w:t>
      </w:r>
      <w:r w:rsidRPr="00F520DC">
        <w:rPr>
          <w:b/>
          <w:bCs/>
        </w:rPr>
        <w:t>323</w:t>
      </w:r>
      <w:r w:rsidRPr="00F520DC">
        <w:t>, 101–105 (2001).</w:t>
      </w:r>
    </w:p>
    <w:p w14:paraId="34151344" w14:textId="5D823706" w:rsidR="00F520DC" w:rsidRPr="00F520DC" w:rsidRDefault="00F520DC" w:rsidP="00F520DC">
      <w:pPr>
        <w:pStyle w:val="Bibliography"/>
      </w:pPr>
      <w:r w:rsidRPr="00F520DC">
        <w:t>72.</w:t>
      </w:r>
      <w:r w:rsidR="00886597">
        <w:t xml:space="preserve"> </w:t>
      </w:r>
      <w:r w:rsidRPr="00F520DC">
        <w:t xml:space="preserve">Su, C.-X. </w:t>
      </w:r>
      <w:r w:rsidRPr="00F520DC">
        <w:rPr>
          <w:i/>
          <w:iCs/>
        </w:rPr>
        <w:t>et al.</w:t>
      </w:r>
      <w:r w:rsidRPr="00F520DC">
        <w:t xml:space="preserve"> Empirical evidence for outcome reporting bias in randomized clinical trials of acupuncture: comparison of registered records and subsequent publications. </w:t>
      </w:r>
      <w:r w:rsidRPr="00F520DC">
        <w:rPr>
          <w:i/>
          <w:iCs/>
        </w:rPr>
        <w:t>Trials</w:t>
      </w:r>
      <w:r w:rsidRPr="00F520DC">
        <w:t xml:space="preserve"> </w:t>
      </w:r>
      <w:r w:rsidRPr="00F520DC">
        <w:rPr>
          <w:b/>
          <w:bCs/>
        </w:rPr>
        <w:t>16</w:t>
      </w:r>
      <w:r w:rsidRPr="00F520DC">
        <w:t>, 28 (2015).</w:t>
      </w:r>
    </w:p>
    <w:p w14:paraId="2790E4F5" w14:textId="117E33D1" w:rsidR="00F520DC" w:rsidRPr="00F520DC" w:rsidRDefault="00F520DC" w:rsidP="00F520DC">
      <w:pPr>
        <w:pStyle w:val="Bibliography"/>
      </w:pPr>
      <w:r w:rsidRPr="00F520DC">
        <w:t>73.</w:t>
      </w:r>
      <w:r w:rsidR="00886597">
        <w:t xml:space="preserve"> </w:t>
      </w:r>
      <w:r w:rsidRPr="00F520DC">
        <w:t xml:space="preserve">Tan, A. C. </w:t>
      </w:r>
      <w:r w:rsidRPr="00F520DC">
        <w:rPr>
          <w:i/>
          <w:iCs/>
        </w:rPr>
        <w:t>et al.</w:t>
      </w:r>
      <w:r w:rsidRPr="00F520DC">
        <w:t xml:space="preserve"> Prevalence of trial registration varies by study characteristics and risk of bias. </w:t>
      </w:r>
      <w:r w:rsidRPr="00F520DC">
        <w:rPr>
          <w:i/>
          <w:iCs/>
        </w:rPr>
        <w:t>J Clin Epidemiol</w:t>
      </w:r>
      <w:r w:rsidRPr="00F520DC">
        <w:t xml:space="preserve"> </w:t>
      </w:r>
      <w:r w:rsidRPr="00F520DC">
        <w:rPr>
          <w:b/>
          <w:bCs/>
        </w:rPr>
        <w:t>113</w:t>
      </w:r>
      <w:r w:rsidRPr="00F520DC">
        <w:t>, 64–74 (2019).</w:t>
      </w:r>
    </w:p>
    <w:p w14:paraId="7CAC48E4" w14:textId="2E746AF6" w:rsidR="00F520DC" w:rsidRPr="00F520DC" w:rsidRDefault="00F520DC" w:rsidP="00F520DC">
      <w:pPr>
        <w:pStyle w:val="Bibliography"/>
      </w:pPr>
      <w:r w:rsidRPr="00F520DC">
        <w:t>74.</w:t>
      </w:r>
      <w:r w:rsidR="00886597">
        <w:t xml:space="preserve"> TARG Meta Research Group</w:t>
      </w:r>
      <w:r w:rsidRPr="00F520DC">
        <w:t xml:space="preserve"> &amp; Collaborators. Estimating the prevalence of discrepancies between study registrations and publications: a systematic review and meta-analyses. (2023) doi:10.1136/bmjopen-2023-076264.</w:t>
      </w:r>
    </w:p>
    <w:p w14:paraId="78755460" w14:textId="5A5CECF3" w:rsidR="00F520DC" w:rsidRPr="00F520DC" w:rsidRDefault="00F520DC" w:rsidP="00F520DC">
      <w:pPr>
        <w:pStyle w:val="Bibliography"/>
      </w:pPr>
      <w:r w:rsidRPr="00F520DC">
        <w:t>75.</w:t>
      </w:r>
      <w:r w:rsidR="00886597">
        <w:t xml:space="preserve"> </w:t>
      </w:r>
      <w:r w:rsidRPr="00F520DC">
        <w:t xml:space="preserve">Bruckner, T. Clinical trial reporting by European universities – best and worst performers. </w:t>
      </w:r>
      <w:r w:rsidRPr="00F520DC">
        <w:rPr>
          <w:i/>
          <w:iCs/>
        </w:rPr>
        <w:t>TranspariMED</w:t>
      </w:r>
      <w:r w:rsidRPr="00F520DC">
        <w:t xml:space="preserve"> https://www.transparimed.org/single-post/2020/09/24/clinical-trial-reporting-by-european-universities (2020).</w:t>
      </w:r>
    </w:p>
    <w:p w14:paraId="4832E953" w14:textId="6D6E4E80" w:rsidR="00F520DC" w:rsidRPr="00F520DC" w:rsidRDefault="00F520DC" w:rsidP="00F520DC">
      <w:pPr>
        <w:pStyle w:val="Bibliography"/>
      </w:pPr>
      <w:r w:rsidRPr="00F520DC">
        <w:t>76.</w:t>
      </w:r>
      <w:r w:rsidR="00886597">
        <w:t xml:space="preserve"> </w:t>
      </w:r>
      <w:r w:rsidRPr="00F520DC">
        <w:t xml:space="preserve">Bruckner, T. Austria: 273 clinical trials of medicines are missing results. </w:t>
      </w:r>
      <w:r w:rsidRPr="00F520DC">
        <w:rPr>
          <w:i/>
          <w:iCs/>
        </w:rPr>
        <w:t>TranspariMED</w:t>
      </w:r>
      <w:r w:rsidRPr="00F520DC">
        <w:t xml:space="preserve"> https://www.transparimed.org/single-post/2020/02/25/austria-clinical-trials-eudract (2020).</w:t>
      </w:r>
    </w:p>
    <w:p w14:paraId="642DF821" w14:textId="45AAAF81" w:rsidR="00F520DC" w:rsidRPr="00F520DC" w:rsidRDefault="00F520DC" w:rsidP="00F520DC">
      <w:pPr>
        <w:pStyle w:val="Bibliography"/>
      </w:pPr>
      <w:r w:rsidRPr="00F520DC">
        <w:t>77.</w:t>
      </w:r>
      <w:r w:rsidR="00886597">
        <w:t xml:space="preserve"> </w:t>
      </w:r>
      <w:r w:rsidRPr="00F520DC">
        <w:t xml:space="preserve">Bruckner, T. NIH blocks projects of two researchers who fail to make clinical trial results public. </w:t>
      </w:r>
      <w:r w:rsidRPr="00F520DC">
        <w:rPr>
          <w:i/>
          <w:iCs/>
        </w:rPr>
        <w:t>TranspariMED</w:t>
      </w:r>
      <w:r w:rsidRPr="00F520DC">
        <w:t xml:space="preserve"> https://www.transparimed.org/single-post/gao-audit-nih (2023).</w:t>
      </w:r>
    </w:p>
    <w:p w14:paraId="5295082B" w14:textId="05DFB12D" w:rsidR="00F520DC" w:rsidRPr="00F520DC" w:rsidRDefault="00F520DC" w:rsidP="00F520DC">
      <w:pPr>
        <w:pStyle w:val="Bibliography"/>
      </w:pPr>
      <w:r w:rsidRPr="00F520DC">
        <w:t>78.</w:t>
      </w:r>
      <w:r w:rsidR="00886597">
        <w:t xml:space="preserve"> </w:t>
      </w:r>
      <w:r w:rsidRPr="00F520DC">
        <w:t xml:space="preserve">Trinquart, L., Dunn, A. G. &amp; Bourgeois, F. T. Registration of published randomized trials: a systematic review and meta-analysis. </w:t>
      </w:r>
      <w:r w:rsidRPr="00F520DC">
        <w:rPr>
          <w:i/>
          <w:iCs/>
        </w:rPr>
        <w:t>BMC Medicine</w:t>
      </w:r>
      <w:r w:rsidRPr="00F520DC">
        <w:t xml:space="preserve"> </w:t>
      </w:r>
      <w:r w:rsidRPr="00F520DC">
        <w:rPr>
          <w:b/>
          <w:bCs/>
        </w:rPr>
        <w:t>16</w:t>
      </w:r>
      <w:r w:rsidRPr="00F520DC">
        <w:t>, 173 (2018).</w:t>
      </w:r>
    </w:p>
    <w:p w14:paraId="3A672EF7" w14:textId="252C1802" w:rsidR="00F520DC" w:rsidRPr="00F520DC" w:rsidRDefault="00F520DC" w:rsidP="00F520DC">
      <w:pPr>
        <w:pStyle w:val="Bibliography"/>
      </w:pPr>
      <w:r w:rsidRPr="00F520DC">
        <w:lastRenderedPageBreak/>
        <w:t>79.</w:t>
      </w:r>
      <w:r w:rsidR="00886597">
        <w:t xml:space="preserve"> </w:t>
      </w:r>
      <w:r w:rsidRPr="00F520DC">
        <w:t xml:space="preserve">Turner, E. H., Knoepflmacher, D. &amp; Shapley, L. Publication Bias in Antipsychotic Trials: An Analysis of Efficacy Comparing the Published Literature to the US Food and Drug Administration Database. </w:t>
      </w:r>
      <w:r w:rsidRPr="00F520DC">
        <w:rPr>
          <w:i/>
          <w:iCs/>
        </w:rPr>
        <w:t>PLOS Medicine</w:t>
      </w:r>
      <w:r w:rsidRPr="00F520DC">
        <w:t xml:space="preserve"> </w:t>
      </w:r>
      <w:r w:rsidRPr="00F520DC">
        <w:rPr>
          <w:b/>
          <w:bCs/>
        </w:rPr>
        <w:t>9</w:t>
      </w:r>
      <w:r w:rsidRPr="00F520DC">
        <w:t>, e1001189 (2012).</w:t>
      </w:r>
    </w:p>
    <w:p w14:paraId="23818F4D" w14:textId="045D9AF6" w:rsidR="00F520DC" w:rsidRPr="00F520DC" w:rsidRDefault="00F520DC" w:rsidP="00F520DC">
      <w:pPr>
        <w:pStyle w:val="Bibliography"/>
      </w:pPr>
      <w:r w:rsidRPr="00F520DC">
        <w:t>80.</w:t>
      </w:r>
      <w:r w:rsidR="00886597">
        <w:t xml:space="preserve"> </w:t>
      </w:r>
      <w:r w:rsidRPr="00F520DC">
        <w:t xml:space="preserve">Turner, E. H., Cipriani, A., Furukawa, T. A., Salanti, G. &amp; Vries, Y. A. de. Selective publication of antidepressant trials and its influence on apparent efficacy: Updated comparisons and meta-analyses of newer versus older trials. </w:t>
      </w:r>
      <w:r w:rsidRPr="00F520DC">
        <w:rPr>
          <w:i/>
          <w:iCs/>
        </w:rPr>
        <w:t>PLOS Medicine</w:t>
      </w:r>
      <w:r w:rsidRPr="00F520DC">
        <w:t xml:space="preserve"> </w:t>
      </w:r>
      <w:r w:rsidRPr="00F520DC">
        <w:rPr>
          <w:b/>
          <w:bCs/>
        </w:rPr>
        <w:t>19</w:t>
      </w:r>
      <w:r w:rsidRPr="00F520DC">
        <w:t>, e1003886 (2022).</w:t>
      </w:r>
    </w:p>
    <w:p w14:paraId="3C634115" w14:textId="44207CC3" w:rsidR="00F520DC" w:rsidRPr="00F520DC" w:rsidRDefault="00F520DC" w:rsidP="00F520DC">
      <w:pPr>
        <w:pStyle w:val="Bibliography"/>
      </w:pPr>
      <w:r w:rsidRPr="00F520DC">
        <w:t>81.</w:t>
      </w:r>
      <w:r w:rsidR="00886597">
        <w:t xml:space="preserve"> </w:t>
      </w:r>
      <w:r w:rsidRPr="00F520DC">
        <w:t xml:space="preserve">Viergever, R. F. &amp; Ghersi, D. The Quality of Registration of Clinical Trials. </w:t>
      </w:r>
      <w:r w:rsidRPr="00F520DC">
        <w:rPr>
          <w:i/>
          <w:iCs/>
        </w:rPr>
        <w:t>PLOS ONE</w:t>
      </w:r>
      <w:r w:rsidRPr="00F520DC">
        <w:t xml:space="preserve"> </w:t>
      </w:r>
      <w:r w:rsidRPr="00F520DC">
        <w:rPr>
          <w:b/>
          <w:bCs/>
        </w:rPr>
        <w:t>6</w:t>
      </w:r>
      <w:r w:rsidRPr="00F520DC">
        <w:t>, e14701 (2011).</w:t>
      </w:r>
    </w:p>
    <w:p w14:paraId="46C4A0BD" w14:textId="37C96C9F" w:rsidR="00F520DC" w:rsidRPr="00F520DC" w:rsidRDefault="00F520DC" w:rsidP="00F520DC">
      <w:pPr>
        <w:pStyle w:val="Bibliography"/>
      </w:pPr>
      <w:r w:rsidRPr="00F520DC">
        <w:t>82.</w:t>
      </w:r>
      <w:r w:rsidR="00886597">
        <w:t xml:space="preserve"> </w:t>
      </w:r>
      <w:r w:rsidRPr="00F520DC">
        <w:t xml:space="preserve">Viergever, R. F. &amp; Li, K. Trends in global clinical trial registration: an analysis of numbers of registered clinical trials in different parts of the world from 2004 to 2013. </w:t>
      </w:r>
      <w:r w:rsidRPr="00F520DC">
        <w:rPr>
          <w:i/>
          <w:iCs/>
        </w:rPr>
        <w:t>BMJ Open</w:t>
      </w:r>
      <w:r w:rsidRPr="00F520DC">
        <w:t xml:space="preserve"> </w:t>
      </w:r>
      <w:r w:rsidRPr="00F520DC">
        <w:rPr>
          <w:b/>
          <w:bCs/>
        </w:rPr>
        <w:t>5</w:t>
      </w:r>
      <w:r w:rsidRPr="00F520DC">
        <w:t>, e008932 (2015).</w:t>
      </w:r>
    </w:p>
    <w:p w14:paraId="005751E6" w14:textId="7E2C1471" w:rsidR="00F520DC" w:rsidRPr="00F520DC" w:rsidRDefault="00F520DC" w:rsidP="00F520DC">
      <w:pPr>
        <w:pStyle w:val="Bibliography"/>
      </w:pPr>
      <w:r w:rsidRPr="00F520DC">
        <w:t>83.</w:t>
      </w:r>
      <w:r w:rsidR="00886597">
        <w:t xml:space="preserve"> </w:t>
      </w:r>
      <w:r w:rsidRPr="00F520DC">
        <w:t xml:space="preserve">Weston, J. </w:t>
      </w:r>
      <w:r w:rsidRPr="00F520DC">
        <w:rPr>
          <w:i/>
          <w:iCs/>
        </w:rPr>
        <w:t>et al.</w:t>
      </w:r>
      <w:r w:rsidRPr="00F520DC">
        <w:t xml:space="preserve"> Feasibility study to examine discrepancy rates in prespecified and reported outcomes in articles submitted to The BMJ. </w:t>
      </w:r>
      <w:r w:rsidRPr="00F520DC">
        <w:rPr>
          <w:i/>
          <w:iCs/>
        </w:rPr>
        <w:t>BMJ Open</w:t>
      </w:r>
      <w:r w:rsidRPr="00F520DC">
        <w:t xml:space="preserve"> </w:t>
      </w:r>
      <w:r w:rsidRPr="00F520DC">
        <w:rPr>
          <w:b/>
          <w:bCs/>
        </w:rPr>
        <w:t>6</w:t>
      </w:r>
      <w:r w:rsidRPr="00F520DC">
        <w:t>, e010075 (2016).</w:t>
      </w:r>
    </w:p>
    <w:p w14:paraId="30ED92DD" w14:textId="6EB04C45" w:rsidR="00F520DC" w:rsidRPr="00F520DC" w:rsidRDefault="00F520DC" w:rsidP="00F520DC">
      <w:pPr>
        <w:pStyle w:val="Bibliography"/>
      </w:pPr>
      <w:r w:rsidRPr="00F520DC">
        <w:t>84.</w:t>
      </w:r>
      <w:r w:rsidR="00886597">
        <w:t xml:space="preserve"> </w:t>
      </w:r>
      <w:r w:rsidRPr="00F520DC">
        <w:t xml:space="preserve">Wieschowski, S. </w:t>
      </w:r>
      <w:r w:rsidRPr="00F520DC">
        <w:rPr>
          <w:i/>
          <w:iCs/>
        </w:rPr>
        <w:t>et al.</w:t>
      </w:r>
      <w:r w:rsidRPr="00F520DC">
        <w:t xml:space="preserve"> Result dissemination from clinical trials conducted at German university medical centers was delayed and incomplete. </w:t>
      </w:r>
      <w:r w:rsidRPr="00F520DC">
        <w:rPr>
          <w:i/>
          <w:iCs/>
        </w:rPr>
        <w:t>J Clin Epidemiol</w:t>
      </w:r>
      <w:r w:rsidRPr="00F520DC">
        <w:t xml:space="preserve"> </w:t>
      </w:r>
      <w:r w:rsidRPr="00F520DC">
        <w:rPr>
          <w:b/>
          <w:bCs/>
        </w:rPr>
        <w:t>115</w:t>
      </w:r>
      <w:r w:rsidRPr="00F520DC">
        <w:t>, 37–45 (2019).</w:t>
      </w:r>
    </w:p>
    <w:p w14:paraId="2527E581" w14:textId="2CD2BD86" w:rsidR="00F520DC" w:rsidRPr="00F520DC" w:rsidRDefault="00F520DC" w:rsidP="00F520DC">
      <w:pPr>
        <w:pStyle w:val="Bibliography"/>
      </w:pPr>
      <w:r w:rsidRPr="00F520DC">
        <w:t>85.</w:t>
      </w:r>
      <w:r w:rsidR="00886597">
        <w:t xml:space="preserve"> </w:t>
      </w:r>
      <w:r w:rsidRPr="00F520DC">
        <w:t xml:space="preserve">Williams, R. J., Tse, T., DiPiazza, K. &amp; Zarin, D. A. Terminated Trials in the ClinicalTrials.gov Results Database: Evaluation of Availability of Primary Outcome Data and Reasons for Termination. </w:t>
      </w:r>
      <w:r w:rsidRPr="00F520DC">
        <w:rPr>
          <w:i/>
          <w:iCs/>
        </w:rPr>
        <w:t>PLoS One</w:t>
      </w:r>
      <w:r w:rsidRPr="00F520DC">
        <w:t xml:space="preserve"> </w:t>
      </w:r>
      <w:r w:rsidRPr="00F520DC">
        <w:rPr>
          <w:b/>
          <w:bCs/>
        </w:rPr>
        <w:t>10</w:t>
      </w:r>
      <w:r w:rsidRPr="00F520DC">
        <w:t>, e0127242 (2015).</w:t>
      </w:r>
    </w:p>
    <w:p w14:paraId="069C5717" w14:textId="20E0F838" w:rsidR="00F520DC" w:rsidRPr="00F520DC" w:rsidRDefault="00F520DC" w:rsidP="00F520DC">
      <w:pPr>
        <w:pStyle w:val="Bibliography"/>
      </w:pPr>
      <w:r w:rsidRPr="00F520DC">
        <w:t>86.</w:t>
      </w:r>
      <w:r w:rsidR="00886597">
        <w:t xml:space="preserve"> </w:t>
      </w:r>
      <w:r w:rsidRPr="00F520DC">
        <w:t xml:space="preserve">Won, J., Kim, S., Bae, I. &amp; Lee, H. Trial registration as a safeguard against outcome reporting bias and spin? A case study of randomized controlled trials of acupuncture. </w:t>
      </w:r>
      <w:r w:rsidRPr="00F520DC">
        <w:rPr>
          <w:i/>
          <w:iCs/>
        </w:rPr>
        <w:t>PLOS ONE</w:t>
      </w:r>
      <w:r w:rsidRPr="00F520DC">
        <w:t xml:space="preserve"> </w:t>
      </w:r>
      <w:r w:rsidRPr="00F520DC">
        <w:rPr>
          <w:b/>
          <w:bCs/>
        </w:rPr>
        <w:t>14</w:t>
      </w:r>
      <w:r w:rsidRPr="00F520DC">
        <w:t>, e0223305 (2019).</w:t>
      </w:r>
    </w:p>
    <w:p w14:paraId="36C5BCF0" w14:textId="04814B60" w:rsidR="00F520DC" w:rsidRPr="00F520DC" w:rsidRDefault="00F520DC" w:rsidP="00F520DC">
      <w:pPr>
        <w:pStyle w:val="Bibliography"/>
      </w:pPr>
      <w:r w:rsidRPr="00F520DC">
        <w:lastRenderedPageBreak/>
        <w:t>87.</w:t>
      </w:r>
      <w:r w:rsidR="00886597">
        <w:t xml:space="preserve"> </w:t>
      </w:r>
      <w:r w:rsidRPr="00F520DC">
        <w:t xml:space="preserve">Ye, Q.-M. </w:t>
      </w:r>
      <w:r w:rsidRPr="00F520DC">
        <w:rPr>
          <w:i/>
          <w:iCs/>
        </w:rPr>
        <w:t>et al.</w:t>
      </w:r>
      <w:r w:rsidRPr="00F520DC">
        <w:t xml:space="preserve"> Quality assessment and its influencing factors of lung cancer clinical research registration: a cross-sectional analysis. </w:t>
      </w:r>
      <w:r w:rsidRPr="00F520DC">
        <w:rPr>
          <w:i/>
          <w:iCs/>
        </w:rPr>
        <w:t>J Thorac Dis</w:t>
      </w:r>
      <w:r w:rsidRPr="00F520DC">
        <w:t xml:space="preserve"> </w:t>
      </w:r>
      <w:r w:rsidRPr="00F520DC">
        <w:rPr>
          <w:b/>
          <w:bCs/>
        </w:rPr>
        <w:t>14</w:t>
      </w:r>
      <w:r w:rsidRPr="00F520DC">
        <w:t>, 3471–3487 (2022).</w:t>
      </w:r>
    </w:p>
    <w:p w14:paraId="5AEE03C6" w14:textId="6E45D647" w:rsidR="00F520DC" w:rsidRPr="00F520DC" w:rsidRDefault="00F520DC" w:rsidP="00F520DC">
      <w:pPr>
        <w:pStyle w:val="Bibliography"/>
      </w:pPr>
      <w:r w:rsidRPr="00F520DC">
        <w:t>88.</w:t>
      </w:r>
      <w:r w:rsidR="00886597">
        <w:t xml:space="preserve"> </w:t>
      </w:r>
      <w:r w:rsidRPr="00F520DC">
        <w:t xml:space="preserve">Zarin, D. A., Tse, T., Williams, R. J., Califf, R. M. &amp; Ide, N. C. The ClinicalTrials.gov results database--update and key issues. </w:t>
      </w:r>
      <w:r w:rsidRPr="00F520DC">
        <w:rPr>
          <w:i/>
          <w:iCs/>
        </w:rPr>
        <w:t>N Engl J Med</w:t>
      </w:r>
      <w:r w:rsidRPr="00F520DC">
        <w:t xml:space="preserve"> </w:t>
      </w:r>
      <w:r w:rsidRPr="00F520DC">
        <w:rPr>
          <w:b/>
          <w:bCs/>
        </w:rPr>
        <w:t>364</w:t>
      </w:r>
      <w:r w:rsidRPr="00F520DC">
        <w:t>, 852–860 (2011).</w:t>
      </w:r>
    </w:p>
    <w:p w14:paraId="7813B2CB" w14:textId="3DE8FDC5" w:rsidR="00F520DC" w:rsidRPr="00F520DC" w:rsidRDefault="00F520DC" w:rsidP="00F520DC">
      <w:pPr>
        <w:pStyle w:val="Bibliography"/>
      </w:pPr>
      <w:r w:rsidRPr="00F520DC">
        <w:t>89.</w:t>
      </w:r>
      <w:r w:rsidR="00886597">
        <w:t xml:space="preserve"> </w:t>
      </w:r>
      <w:r w:rsidRPr="00F520DC">
        <w:t xml:space="preserve">Zarin, D. A., Tse, T., Williams, R. J. &amp; Rajakannan, T. Update on Trial Registration 11 Years after the ICMJE Policy Was Established. </w:t>
      </w:r>
      <w:r w:rsidRPr="00F520DC">
        <w:rPr>
          <w:i/>
          <w:iCs/>
        </w:rPr>
        <w:t>N Engl J Med</w:t>
      </w:r>
      <w:r w:rsidRPr="00F520DC">
        <w:t xml:space="preserve"> </w:t>
      </w:r>
      <w:r w:rsidRPr="00F520DC">
        <w:rPr>
          <w:b/>
          <w:bCs/>
        </w:rPr>
        <w:t>376</w:t>
      </w:r>
      <w:r w:rsidRPr="00F520DC">
        <w:t>, 383–391 (2017).</w:t>
      </w:r>
    </w:p>
    <w:p w14:paraId="6EC9C338" w14:textId="26BF1D38" w:rsidR="00C87B04" w:rsidRDefault="00C87B04" w:rsidP="00F520DC">
      <w:pPr>
        <w:pStyle w:val="Bibliography"/>
      </w:pPr>
      <w:r>
        <w:fldChar w:fldCharType="end"/>
      </w:r>
    </w:p>
    <w:sectPr w:rsidR="00C87B04">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30304" w14:textId="77777777" w:rsidR="005C1F4C" w:rsidRDefault="005C1F4C" w:rsidP="005867DE">
      <w:pPr>
        <w:spacing w:after="0" w:line="240" w:lineRule="auto"/>
      </w:pPr>
      <w:r>
        <w:separator/>
      </w:r>
    </w:p>
  </w:endnote>
  <w:endnote w:type="continuationSeparator" w:id="0">
    <w:p w14:paraId="3092EE6C" w14:textId="77777777" w:rsidR="005C1F4C" w:rsidRDefault="005C1F4C" w:rsidP="00586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Narrow">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7877004"/>
      <w:docPartObj>
        <w:docPartGallery w:val="Page Numbers (Bottom of Page)"/>
        <w:docPartUnique/>
      </w:docPartObj>
    </w:sdtPr>
    <w:sdtContent>
      <w:p w14:paraId="210887B8" w14:textId="681C8137" w:rsidR="005867DE" w:rsidRDefault="005867DE" w:rsidP="009A19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B62078" w14:textId="77777777" w:rsidR="005867DE" w:rsidRDefault="005867DE" w:rsidP="005867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8113553"/>
      <w:docPartObj>
        <w:docPartGallery w:val="Page Numbers (Bottom of Page)"/>
        <w:docPartUnique/>
      </w:docPartObj>
    </w:sdtPr>
    <w:sdtContent>
      <w:p w14:paraId="15336E42" w14:textId="5BE7F401" w:rsidR="005867DE" w:rsidRDefault="005867DE" w:rsidP="009A19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14A60F" w14:textId="77777777" w:rsidR="005867DE" w:rsidRDefault="005867DE" w:rsidP="005867D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0A830" w14:textId="77777777" w:rsidR="005C1F4C" w:rsidRDefault="005C1F4C" w:rsidP="005867DE">
      <w:pPr>
        <w:spacing w:after="0" w:line="240" w:lineRule="auto"/>
      </w:pPr>
      <w:r>
        <w:separator/>
      </w:r>
    </w:p>
  </w:footnote>
  <w:footnote w:type="continuationSeparator" w:id="0">
    <w:p w14:paraId="68B528AD" w14:textId="77777777" w:rsidR="005C1F4C" w:rsidRDefault="005C1F4C" w:rsidP="005867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C35CAD"/>
    <w:multiLevelType w:val="hybridMultilevel"/>
    <w:tmpl w:val="34C49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5450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B04"/>
    <w:rsid w:val="000C425C"/>
    <w:rsid w:val="00140580"/>
    <w:rsid w:val="00183CE5"/>
    <w:rsid w:val="0020401C"/>
    <w:rsid w:val="00246B9C"/>
    <w:rsid w:val="00257ACC"/>
    <w:rsid w:val="00323343"/>
    <w:rsid w:val="003245CC"/>
    <w:rsid w:val="00431B61"/>
    <w:rsid w:val="0046355F"/>
    <w:rsid w:val="00465EEA"/>
    <w:rsid w:val="004914C1"/>
    <w:rsid w:val="004B2B39"/>
    <w:rsid w:val="00562BA7"/>
    <w:rsid w:val="005867DE"/>
    <w:rsid w:val="005A25F5"/>
    <w:rsid w:val="005C1F4C"/>
    <w:rsid w:val="00605D9E"/>
    <w:rsid w:val="00626729"/>
    <w:rsid w:val="006D5A51"/>
    <w:rsid w:val="00777274"/>
    <w:rsid w:val="00780943"/>
    <w:rsid w:val="00860B50"/>
    <w:rsid w:val="00886597"/>
    <w:rsid w:val="008E7550"/>
    <w:rsid w:val="00927437"/>
    <w:rsid w:val="009673B3"/>
    <w:rsid w:val="00A013B6"/>
    <w:rsid w:val="00A0256F"/>
    <w:rsid w:val="00A15E24"/>
    <w:rsid w:val="00AD3D85"/>
    <w:rsid w:val="00B17241"/>
    <w:rsid w:val="00B75703"/>
    <w:rsid w:val="00BA6577"/>
    <w:rsid w:val="00C80A12"/>
    <w:rsid w:val="00C87B04"/>
    <w:rsid w:val="00CB3E35"/>
    <w:rsid w:val="00CC032A"/>
    <w:rsid w:val="00CC216D"/>
    <w:rsid w:val="00CC55AC"/>
    <w:rsid w:val="00D6044B"/>
    <w:rsid w:val="00D84053"/>
    <w:rsid w:val="00DF0E6F"/>
    <w:rsid w:val="00E15C9C"/>
    <w:rsid w:val="00E646AF"/>
    <w:rsid w:val="00F05F08"/>
    <w:rsid w:val="00F062BD"/>
    <w:rsid w:val="00F520DC"/>
    <w:rsid w:val="00F644D2"/>
    <w:rsid w:val="00F91EA1"/>
    <w:rsid w:val="00FC1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D7A0889"/>
  <w15:chartTrackingRefBased/>
  <w15:docId w15:val="{AB81D530-DACF-B845-A017-849DE31C4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7B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7B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7B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7B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7B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7B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7B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7B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7B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B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7B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7B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7B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7B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7B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7B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7B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7B04"/>
    <w:rPr>
      <w:rFonts w:eastAsiaTheme="majorEastAsia" w:cstheme="majorBidi"/>
      <w:color w:val="272727" w:themeColor="text1" w:themeTint="D8"/>
    </w:rPr>
  </w:style>
  <w:style w:type="paragraph" w:styleId="Title">
    <w:name w:val="Title"/>
    <w:basedOn w:val="Normal"/>
    <w:next w:val="Normal"/>
    <w:link w:val="TitleChar"/>
    <w:uiPriority w:val="10"/>
    <w:qFormat/>
    <w:rsid w:val="00C87B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7B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7B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7B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7B04"/>
    <w:pPr>
      <w:spacing w:before="160"/>
      <w:jc w:val="center"/>
    </w:pPr>
    <w:rPr>
      <w:i/>
      <w:iCs/>
      <w:color w:val="404040" w:themeColor="text1" w:themeTint="BF"/>
    </w:rPr>
  </w:style>
  <w:style w:type="character" w:customStyle="1" w:styleId="QuoteChar">
    <w:name w:val="Quote Char"/>
    <w:basedOn w:val="DefaultParagraphFont"/>
    <w:link w:val="Quote"/>
    <w:uiPriority w:val="29"/>
    <w:rsid w:val="00C87B04"/>
    <w:rPr>
      <w:i/>
      <w:iCs/>
      <w:color w:val="404040" w:themeColor="text1" w:themeTint="BF"/>
    </w:rPr>
  </w:style>
  <w:style w:type="paragraph" w:styleId="ListParagraph">
    <w:name w:val="List Paragraph"/>
    <w:basedOn w:val="Normal"/>
    <w:uiPriority w:val="34"/>
    <w:qFormat/>
    <w:rsid w:val="00C87B04"/>
    <w:pPr>
      <w:ind w:left="720"/>
      <w:contextualSpacing/>
    </w:pPr>
  </w:style>
  <w:style w:type="character" w:styleId="IntenseEmphasis">
    <w:name w:val="Intense Emphasis"/>
    <w:basedOn w:val="DefaultParagraphFont"/>
    <w:uiPriority w:val="21"/>
    <w:qFormat/>
    <w:rsid w:val="00C87B04"/>
    <w:rPr>
      <w:i/>
      <w:iCs/>
      <w:color w:val="0F4761" w:themeColor="accent1" w:themeShade="BF"/>
    </w:rPr>
  </w:style>
  <w:style w:type="paragraph" w:styleId="IntenseQuote">
    <w:name w:val="Intense Quote"/>
    <w:basedOn w:val="Normal"/>
    <w:next w:val="Normal"/>
    <w:link w:val="IntenseQuoteChar"/>
    <w:uiPriority w:val="30"/>
    <w:qFormat/>
    <w:rsid w:val="00C87B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7B04"/>
    <w:rPr>
      <w:i/>
      <w:iCs/>
      <w:color w:val="0F4761" w:themeColor="accent1" w:themeShade="BF"/>
    </w:rPr>
  </w:style>
  <w:style w:type="character" w:styleId="IntenseReference">
    <w:name w:val="Intense Reference"/>
    <w:basedOn w:val="DefaultParagraphFont"/>
    <w:uiPriority w:val="32"/>
    <w:qFormat/>
    <w:rsid w:val="00C87B04"/>
    <w:rPr>
      <w:b/>
      <w:bCs/>
      <w:smallCaps/>
      <w:color w:val="0F4761" w:themeColor="accent1" w:themeShade="BF"/>
      <w:spacing w:val="5"/>
    </w:rPr>
  </w:style>
  <w:style w:type="paragraph" w:styleId="Bibliography">
    <w:name w:val="Bibliography"/>
    <w:basedOn w:val="Normal"/>
    <w:next w:val="Normal"/>
    <w:uiPriority w:val="37"/>
    <w:unhideWhenUsed/>
    <w:rsid w:val="00C87B04"/>
    <w:pPr>
      <w:tabs>
        <w:tab w:val="left" w:pos="260"/>
      </w:tabs>
      <w:spacing w:after="0" w:line="480" w:lineRule="auto"/>
      <w:ind w:left="264" w:hanging="264"/>
    </w:pPr>
  </w:style>
  <w:style w:type="paragraph" w:styleId="Footer">
    <w:name w:val="footer"/>
    <w:basedOn w:val="Normal"/>
    <w:link w:val="FooterChar"/>
    <w:uiPriority w:val="99"/>
    <w:unhideWhenUsed/>
    <w:rsid w:val="005867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7DE"/>
  </w:style>
  <w:style w:type="character" w:styleId="PageNumber">
    <w:name w:val="page number"/>
    <w:basedOn w:val="DefaultParagraphFont"/>
    <w:uiPriority w:val="99"/>
    <w:semiHidden/>
    <w:unhideWhenUsed/>
    <w:rsid w:val="005867DE"/>
  </w:style>
  <w:style w:type="table" w:styleId="TableGrid">
    <w:name w:val="Table Grid"/>
    <w:basedOn w:val="TableNormal"/>
    <w:uiPriority w:val="39"/>
    <w:rsid w:val="00A15E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143309">
      <w:bodyDiv w:val="1"/>
      <w:marLeft w:val="0"/>
      <w:marRight w:val="0"/>
      <w:marTop w:val="0"/>
      <w:marBottom w:val="0"/>
      <w:divBdr>
        <w:top w:val="none" w:sz="0" w:space="0" w:color="auto"/>
        <w:left w:val="none" w:sz="0" w:space="0" w:color="auto"/>
        <w:bottom w:val="none" w:sz="0" w:space="0" w:color="auto"/>
        <w:right w:val="none" w:sz="0" w:space="0" w:color="auto"/>
      </w:divBdr>
    </w:div>
    <w:div w:id="1389499407">
      <w:bodyDiv w:val="1"/>
      <w:marLeft w:val="0"/>
      <w:marRight w:val="0"/>
      <w:marTop w:val="0"/>
      <w:marBottom w:val="0"/>
      <w:divBdr>
        <w:top w:val="none" w:sz="0" w:space="0" w:color="auto"/>
        <w:left w:val="none" w:sz="0" w:space="0" w:color="auto"/>
        <w:bottom w:val="none" w:sz="0" w:space="0" w:color="auto"/>
        <w:right w:val="none" w:sz="0" w:space="0" w:color="auto"/>
      </w:divBdr>
    </w:div>
    <w:div w:id="1493058103">
      <w:bodyDiv w:val="1"/>
      <w:marLeft w:val="0"/>
      <w:marRight w:val="0"/>
      <w:marTop w:val="0"/>
      <w:marBottom w:val="0"/>
      <w:divBdr>
        <w:top w:val="none" w:sz="0" w:space="0" w:color="auto"/>
        <w:left w:val="none" w:sz="0" w:space="0" w:color="auto"/>
        <w:bottom w:val="none" w:sz="0" w:space="0" w:color="auto"/>
        <w:right w:val="none" w:sz="0" w:space="0" w:color="auto"/>
      </w:divBdr>
    </w:div>
    <w:div w:id="1805535804">
      <w:bodyDiv w:val="1"/>
      <w:marLeft w:val="0"/>
      <w:marRight w:val="0"/>
      <w:marTop w:val="0"/>
      <w:marBottom w:val="0"/>
      <w:divBdr>
        <w:top w:val="none" w:sz="0" w:space="0" w:color="auto"/>
        <w:left w:val="none" w:sz="0" w:space="0" w:color="auto"/>
        <w:bottom w:val="none" w:sz="0" w:space="0" w:color="auto"/>
        <w:right w:val="none" w:sz="0" w:space="0" w:color="auto"/>
      </w:divBdr>
    </w:div>
    <w:div w:id="1852334275">
      <w:bodyDiv w:val="1"/>
      <w:marLeft w:val="0"/>
      <w:marRight w:val="0"/>
      <w:marTop w:val="0"/>
      <w:marBottom w:val="0"/>
      <w:divBdr>
        <w:top w:val="none" w:sz="0" w:space="0" w:color="auto"/>
        <w:left w:val="none" w:sz="0" w:space="0" w:color="auto"/>
        <w:bottom w:val="none" w:sz="0" w:space="0" w:color="auto"/>
        <w:right w:val="none" w:sz="0" w:space="0" w:color="auto"/>
      </w:divBdr>
    </w:div>
    <w:div w:id="2054691309">
      <w:bodyDiv w:val="1"/>
      <w:marLeft w:val="0"/>
      <w:marRight w:val="0"/>
      <w:marTop w:val="0"/>
      <w:marBottom w:val="0"/>
      <w:divBdr>
        <w:top w:val="none" w:sz="0" w:space="0" w:color="auto"/>
        <w:left w:val="none" w:sz="0" w:space="0" w:color="auto"/>
        <w:bottom w:val="none" w:sz="0" w:space="0" w:color="auto"/>
        <w:right w:val="none" w:sz="0" w:space="0" w:color="auto"/>
      </w:divBdr>
    </w:div>
    <w:div w:id="212634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18</Pages>
  <Words>3833</Words>
  <Characters>20622</Characters>
  <Application>Microsoft Office Word</Application>
  <DocSecurity>0</DocSecurity>
  <Lines>937</Lines>
  <Paragraphs>627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Angelina Mosley</dc:creator>
  <cp:keywords/>
  <dc:description/>
  <cp:lastModifiedBy>Angelina Mosley</cp:lastModifiedBy>
  <cp:revision>4</cp:revision>
  <dcterms:created xsi:type="dcterms:W3CDTF">2025-06-12T11:54:00Z</dcterms:created>
  <dcterms:modified xsi:type="dcterms:W3CDTF">2025-06-16T12:12:00Z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id="pLFcRtJw"/&gt;&lt;style id="http://www.zotero.org/styles/nature" hasBibliography="1" bibliographyStyleHasBeenSet="1"/&gt;&lt;prefs&gt;&lt;pref name="fieldType" value="Field"/&gt;&lt;/prefs&gt;&lt;/data&gt;</vt:lpwstr>
  </property>
</Properties>
</file>