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2209F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2280" cy="8855710"/>
            <wp:effectExtent l="0" t="0" r="5080" b="13970"/>
            <wp:docPr id="1" name="图片 1" descr="Figure S1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FFE53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305" cy="6852285"/>
            <wp:effectExtent l="0" t="0" r="8255" b="5715"/>
            <wp:docPr id="2" name="图片 2" descr="Figure S1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（2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19970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Fig. S1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 Molecular characterization of CoHSP70. (A) Nucleotide sequence of 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0"/>
          <w:szCs w:val="20"/>
          <w:lang w:val="en-US" w:eastAsia="zh-CN" w:bidi="ar"/>
        </w:rPr>
        <w:t>CoHsp70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. (B) Amino acid sequence of CoHSP70. </w:t>
      </w:r>
      <w:r>
        <w:rPr>
          <w:rFonts w:hint="default" w:ascii="Times New Roman" w:hAnsi="Times New Roman" w:eastAsia="Segoe UI" w:cs="Times New Roman"/>
          <w:color w:val="1C1F23"/>
          <w:kern w:val="0"/>
          <w:sz w:val="20"/>
          <w:szCs w:val="20"/>
          <w:shd w:val="clear" w:fill="FFFFFF"/>
          <w:lang w:val="en-US" w:eastAsia="zh-CN" w:bidi="ar"/>
        </w:rPr>
        <w:t>(</w:t>
      </w:r>
      <w:r>
        <w:rPr>
          <w:rFonts w:hint="default" w:ascii="Times New Roman" w:hAnsi="Times New Roman" w:eastAsia="宋体" w:cs="Times New Roman"/>
          <w:color w:val="1C1F23"/>
          <w:kern w:val="0"/>
          <w:sz w:val="20"/>
          <w:szCs w:val="20"/>
          <w:shd w:val="clear" w:fill="FFFFFF"/>
          <w:lang w:val="en-US" w:eastAsia="zh-CN" w:bidi="ar"/>
        </w:rPr>
        <w:t>C</w:t>
      </w:r>
      <w:r>
        <w:rPr>
          <w:rFonts w:hint="default" w:ascii="Times New Roman" w:hAnsi="Times New Roman" w:eastAsia="Segoe UI" w:cs="Times New Roman"/>
          <w:color w:val="1C1F23"/>
          <w:kern w:val="0"/>
          <w:sz w:val="20"/>
          <w:szCs w:val="20"/>
          <w:shd w:val="clear" w:fill="FFFFFF"/>
          <w:lang w:val="en-US" w:eastAsia="zh-CN" w:bidi="ar"/>
        </w:rPr>
        <w:t xml:space="preserve">) The secondary structure of CoHSP70. </w:t>
      </w:r>
      <w:r>
        <w:rPr>
          <w:rFonts w:hint="default" w:ascii="Times New Roman" w:hAnsi="Times New Roman" w:eastAsia="Segoe UI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 xml:space="preserve">Start codon (ATG) and the stop codon (TAA) was in grey.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>T</w:t>
      </w:r>
      <w:r>
        <w:rPr>
          <w:rFonts w:hint="default" w:ascii="Times New Roman" w:hAnsi="Times New Roman" w:eastAsia="Segoe UI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>he three family signature sequence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>s</w:t>
      </w:r>
      <w:r>
        <w:rPr>
          <w:rFonts w:hint="default" w:ascii="Times New Roman" w:hAnsi="Times New Roman" w:eastAsia="Segoe UI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>are</w:t>
      </w:r>
      <w:r>
        <w:rPr>
          <w:rFonts w:hint="default" w:ascii="Times New Roman" w:hAnsi="Times New Roman" w:eastAsia="Segoe UI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 xml:space="preserve"> underlined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>. T</w:t>
      </w:r>
      <w:r>
        <w:rPr>
          <w:rFonts w:hint="default" w:ascii="Times New Roman" w:hAnsi="Times New Roman" w:eastAsia="Segoe UI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>he cytosolic HSP70-specific motif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 xml:space="preserve"> </w:t>
      </w:r>
      <w:r>
        <w:rPr>
          <w:rFonts w:hint="default" w:ascii="Times New Roman" w:hAnsi="Times New Roman" w:eastAsia="Segoe UI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>is boxed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shd w:val="clear" w:fill="FFFFFF"/>
          <w:lang w:val="en-US" w:eastAsia="zh-CN" w:bidi="ar"/>
        </w:rPr>
        <w:t>.</w:t>
      </w:r>
    </w:p>
    <w:p w14:paraId="672CFD67">
      <w:pPr>
        <w:rPr>
          <w:rFonts w:hint="eastAsia" w:eastAsiaTheme="minorEastAsia"/>
          <w:lang w:eastAsia="zh-CN"/>
        </w:rPr>
      </w:pPr>
    </w:p>
    <w:p w14:paraId="24E8F086">
      <w:pPr>
        <w:rPr>
          <w:rFonts w:hint="eastAsia" w:eastAsiaTheme="minorEastAsia"/>
          <w:lang w:eastAsia="zh-CN"/>
        </w:rPr>
      </w:pPr>
    </w:p>
    <w:p w14:paraId="1D5A239C">
      <w:pPr>
        <w:rPr>
          <w:rFonts w:hint="eastAsia" w:eastAsiaTheme="minorEastAsia"/>
          <w:lang w:eastAsia="zh-CN"/>
        </w:rPr>
      </w:pPr>
    </w:p>
    <w:p w14:paraId="15E465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5316855"/>
            <wp:effectExtent l="0" t="0" r="6985" b="1905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0C91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Fig. S2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 Phylogenetic tree of 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0"/>
          <w:szCs w:val="20"/>
          <w:lang w:val="en-US" w:eastAsia="zh-CN" w:bidi="ar"/>
        </w:rPr>
        <w:t>CoHsp70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 across 61 species from six taxonomic classes, constructed using the neighbor-joining (NJ) method in MEGA-11.</w:t>
      </w:r>
    </w:p>
    <w:p w14:paraId="0A56BDB2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Segoe UI">
    <w:panose1 w:val="020B0502040204020203"/>
    <w:charset w:val="00"/>
    <w:family w:val="auto"/>
    <w:pitch w:val="variable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FC1659"/>
    <w:rsid w:val="5BFC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2025-06-04T12:16:00Z</dcterms:created>
  <dc:creator>Pawn</dc:creator>
  <cp:lastModifiedBy>Pawn</cp:lastModifiedBy>
  <dcterms:modified xsi:type="dcterms:W3CDTF">2025-06-04T12:20:33Z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01B1ADD65221417386214CD1DE5105B5_11</vt:lpwstr>
  </property>
  <property fmtid="{D5CDD505-2E9C-101B-9397-08002B2CF9AE}" pid="4" name="KSOTemplateDocerSaveRecord">
    <vt:lpwstr>eyJoZGlkIjoiZmRlYTQxYWViZGQ0MGU2NmJlMTlmM2IzMzBjNzc5MGEiLCJ1c2VySWQiOiI1MDg4NDgyMDIifQ==</vt:lpwstr>
  </property>
</Properties>
</file>