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EE87E" w14:textId="77777777" w:rsidR="00DD62CA" w:rsidRDefault="00DD62CA" w:rsidP="00DD62CA">
      <w:pPr>
        <w:spacing w:before="11" w:line="272" w:lineRule="exact"/>
        <w:textAlignment w:val="baseline"/>
        <w:rPr>
          <w:rFonts w:ascii="Arial" w:eastAsia="Arial" w:hAnsi="Arial"/>
          <w:b/>
          <w:color w:val="000000"/>
          <w:spacing w:val="-1"/>
          <w:sz w:val="24"/>
        </w:rPr>
      </w:pPr>
      <w:r>
        <w:rPr>
          <w:rFonts w:ascii="Arial" w:eastAsia="Arial" w:hAnsi="Arial"/>
          <w:b/>
          <w:color w:val="000000"/>
          <w:spacing w:val="-1"/>
          <w:sz w:val="24"/>
        </w:rPr>
        <w:t>Supplemental Figure 1</w:t>
      </w:r>
    </w:p>
    <w:p w14:paraId="600A2AA6" w14:textId="77777777" w:rsidR="00DD62CA" w:rsidRDefault="00DD62CA" w:rsidP="00DD62CA">
      <w:pPr>
        <w:spacing w:before="3" w:line="419" w:lineRule="exact"/>
        <w:jc w:val="both"/>
        <w:textAlignment w:val="baseline"/>
        <w:rPr>
          <w:rFonts w:ascii="Arial" w:eastAsia="Arial" w:hAnsi="Arial"/>
          <w:color w:val="000000"/>
          <w:sz w:val="24"/>
        </w:rPr>
      </w:pPr>
      <w:r>
        <w:rPr>
          <w:rFonts w:ascii="Arial" w:eastAsia="Arial" w:hAnsi="Arial"/>
          <w:color w:val="000000"/>
          <w:sz w:val="24"/>
        </w:rPr>
        <w:t xml:space="preserve">A. Representative images of CAM nodules and tumors derived from D2.0R cells treated with DMSO (control) or with different concentrations (1,5,10 </w:t>
      </w:r>
      <w:r>
        <w:rPr>
          <w:rFonts w:ascii="Tahoma" w:eastAsia="Tahoma" w:hAnsi="Tahoma"/>
          <w:color w:val="000000"/>
        </w:rPr>
        <w:t>.i</w:t>
      </w:r>
      <w:r>
        <w:rPr>
          <w:rFonts w:ascii="Arial" w:eastAsia="Arial" w:hAnsi="Arial"/>
          <w:color w:val="000000"/>
          <w:sz w:val="24"/>
        </w:rPr>
        <w:t>M) of 1,4 DPCA. Nodules and tumors (n=5 CAMs per group) were harvested 6 days after inoculation and cells were counted per each tumor. Group comparisons were assessed using one-way ANOVA with Dunnett’s post-hoc test to identify differences relative to the control group.</w:t>
      </w:r>
    </w:p>
    <w:p w14:paraId="01130C55" w14:textId="77777777" w:rsidR="00DD62CA" w:rsidRDefault="00DD62CA" w:rsidP="00DD62CA">
      <w:pPr>
        <w:spacing w:before="3" w:line="419" w:lineRule="exact"/>
        <w:jc w:val="both"/>
        <w:textAlignment w:val="baseline"/>
        <w:rPr>
          <w:rFonts w:ascii="Arial" w:eastAsia="Arial" w:hAnsi="Arial"/>
          <w:color w:val="000000"/>
          <w:sz w:val="24"/>
        </w:rPr>
      </w:pPr>
      <w:r>
        <w:rPr>
          <w:rFonts w:ascii="Arial" w:eastAsia="Arial" w:hAnsi="Arial"/>
          <w:color w:val="000000"/>
          <w:sz w:val="24"/>
        </w:rPr>
        <w:t xml:space="preserve">B. Representative immunofluorescence images of P4HA2 (green), PDIA3 as an ER marker (red) and DAPI (blue) showing the specific endoplasmic reticulum localization and expression of P4HA2 (green) in D-HEp3 and T-HEp3 cells in CAMs. Scale bars: 10 </w:t>
      </w:r>
      <w:r>
        <w:rPr>
          <w:rFonts w:ascii="Tahoma" w:eastAsia="Tahoma" w:hAnsi="Tahoma"/>
          <w:color w:val="000000"/>
        </w:rPr>
        <w:t>.i</w:t>
      </w:r>
      <w:r>
        <w:rPr>
          <w:rFonts w:ascii="Arial" w:eastAsia="Arial" w:hAnsi="Arial"/>
          <w:color w:val="000000"/>
          <w:sz w:val="24"/>
        </w:rPr>
        <w:t>m.</w:t>
      </w:r>
    </w:p>
    <w:p w14:paraId="52CCCD2E" w14:textId="77777777" w:rsidR="00DD62CA" w:rsidRDefault="00DD62CA" w:rsidP="00DD62CA">
      <w:pPr>
        <w:spacing w:line="427" w:lineRule="exact"/>
        <w:jc w:val="both"/>
        <w:textAlignment w:val="baseline"/>
        <w:rPr>
          <w:rFonts w:ascii="Arial" w:eastAsia="Arial" w:hAnsi="Arial"/>
          <w:color w:val="000000"/>
          <w:sz w:val="24"/>
        </w:rPr>
      </w:pPr>
      <w:r>
        <w:rPr>
          <w:rFonts w:ascii="Arial" w:eastAsia="Arial" w:hAnsi="Arial"/>
          <w:color w:val="000000"/>
          <w:sz w:val="24"/>
        </w:rPr>
        <w:t xml:space="preserve">C. Western blot analysis of P4HA2 protein levels in D-HEp-3 (dormant), R-HEp3 (re-awaken) and T-HEp-3 (proliferative) cells. </w:t>
      </w:r>
      <w:r>
        <w:rPr>
          <w:rFonts w:ascii="Arial Narrow" w:eastAsia="Arial Narrow" w:hAnsi="Arial Narrow"/>
          <w:color w:val="000000"/>
          <w:sz w:val="26"/>
        </w:rPr>
        <w:t>13</w:t>
      </w:r>
      <w:r>
        <w:rPr>
          <w:rFonts w:ascii="Arial" w:eastAsia="Arial" w:hAnsi="Arial"/>
          <w:color w:val="000000"/>
          <w:sz w:val="24"/>
        </w:rPr>
        <w:t>-actin was used as loading control.</w:t>
      </w:r>
    </w:p>
    <w:p w14:paraId="15E82F50" w14:textId="77777777" w:rsidR="00DD62CA" w:rsidRDefault="00DD62CA" w:rsidP="00DD62CA">
      <w:pPr>
        <w:spacing w:before="10" w:line="419" w:lineRule="exact"/>
        <w:jc w:val="both"/>
        <w:textAlignment w:val="baseline"/>
        <w:rPr>
          <w:rFonts w:ascii="Arial" w:eastAsia="Arial" w:hAnsi="Arial"/>
          <w:color w:val="000000"/>
          <w:sz w:val="24"/>
        </w:rPr>
      </w:pPr>
      <w:r>
        <w:rPr>
          <w:rFonts w:ascii="Arial" w:eastAsia="Arial" w:hAnsi="Arial"/>
          <w:color w:val="000000"/>
          <w:sz w:val="24"/>
        </w:rPr>
        <w:t>D. Representative images of DTCs stained for P4HA2 (red) and the breast tumor marker HER2 (green) in grossly uninvolved (GU) lung and liver tissues collected from the rapid autopsy of a HER2+ metastatic breast cancer patient. DAPI was used for nuclei counterstaining. Scale bar: 20</w:t>
      </w:r>
      <w:r>
        <w:rPr>
          <w:rFonts w:ascii="Tahoma" w:eastAsia="Tahoma" w:hAnsi="Tahoma"/>
          <w:color w:val="000000"/>
        </w:rPr>
        <w:t>.i</w:t>
      </w:r>
      <w:r>
        <w:rPr>
          <w:rFonts w:ascii="Arial" w:eastAsia="Arial" w:hAnsi="Arial"/>
          <w:color w:val="000000"/>
          <w:sz w:val="24"/>
        </w:rPr>
        <w:t>m.</w:t>
      </w:r>
    </w:p>
    <w:p w14:paraId="076BC797" w14:textId="77777777" w:rsidR="00DD62CA" w:rsidRDefault="00DD62CA" w:rsidP="00DD62CA">
      <w:pPr>
        <w:spacing w:before="565" w:line="272" w:lineRule="exact"/>
        <w:textAlignment w:val="baseline"/>
        <w:rPr>
          <w:rFonts w:ascii="Arial" w:eastAsia="Arial" w:hAnsi="Arial"/>
          <w:b/>
          <w:color w:val="000000"/>
          <w:sz w:val="24"/>
        </w:rPr>
      </w:pPr>
      <w:r>
        <w:rPr>
          <w:rFonts w:ascii="Arial" w:eastAsia="Arial" w:hAnsi="Arial"/>
          <w:b/>
          <w:color w:val="000000"/>
          <w:sz w:val="24"/>
        </w:rPr>
        <w:t>Supplemental Figure 2</w:t>
      </w:r>
    </w:p>
    <w:p w14:paraId="4CD48FD2" w14:textId="77777777" w:rsidR="00DD62CA" w:rsidRDefault="00DD62CA" w:rsidP="00DD62CA">
      <w:pPr>
        <w:numPr>
          <w:ilvl w:val="0"/>
          <w:numId w:val="1"/>
        </w:numPr>
        <w:spacing w:line="424" w:lineRule="exact"/>
        <w:jc w:val="both"/>
        <w:textAlignment w:val="baseline"/>
        <w:rPr>
          <w:rFonts w:ascii="Arial" w:eastAsia="Arial" w:hAnsi="Arial"/>
          <w:color w:val="000000"/>
          <w:sz w:val="24"/>
        </w:rPr>
      </w:pPr>
      <w:r>
        <w:rPr>
          <w:rFonts w:ascii="Arial" w:eastAsia="Arial" w:hAnsi="Arial"/>
          <w:color w:val="000000"/>
          <w:sz w:val="24"/>
        </w:rPr>
        <w:t xml:space="preserve">Western blot analysis for P4HA2 in D-HEp3 cells expressing siRNA control compared with D-HEp3 expressing 3 different siRNAs for P4HA2. </w:t>
      </w:r>
      <w:r>
        <w:rPr>
          <w:rFonts w:ascii="Arial Narrow" w:eastAsia="Arial Narrow" w:hAnsi="Arial Narrow"/>
          <w:color w:val="000000"/>
          <w:sz w:val="26"/>
        </w:rPr>
        <w:t>13</w:t>
      </w:r>
      <w:r>
        <w:rPr>
          <w:rFonts w:ascii="Arial" w:eastAsia="Arial" w:hAnsi="Arial"/>
          <w:color w:val="000000"/>
          <w:sz w:val="24"/>
        </w:rPr>
        <w:t>-actin as loading control.</w:t>
      </w:r>
    </w:p>
    <w:p w14:paraId="119E4C53" w14:textId="77777777" w:rsidR="00DD62CA" w:rsidRDefault="00DD62CA" w:rsidP="00DD62CA">
      <w:pPr>
        <w:numPr>
          <w:ilvl w:val="0"/>
          <w:numId w:val="1"/>
        </w:numPr>
        <w:spacing w:line="427" w:lineRule="exact"/>
        <w:ind w:right="576"/>
        <w:textAlignment w:val="baseline"/>
        <w:rPr>
          <w:rFonts w:ascii="Arial" w:eastAsia="Arial" w:hAnsi="Arial"/>
          <w:color w:val="000000"/>
          <w:sz w:val="24"/>
        </w:rPr>
      </w:pPr>
      <w:r>
        <w:rPr>
          <w:rFonts w:ascii="Arial" w:eastAsia="Arial" w:hAnsi="Arial"/>
          <w:color w:val="000000"/>
          <w:sz w:val="24"/>
        </w:rPr>
        <w:t xml:space="preserve">Western blot analysis for P4HA2 in D-HEp3 cells expressing shRNA control compared with D-HEp3 expressing 3 different shRNAs for P4HA2. </w:t>
      </w:r>
      <w:r>
        <w:rPr>
          <w:rFonts w:ascii="Arial Narrow" w:eastAsia="Arial Narrow" w:hAnsi="Arial Narrow"/>
          <w:color w:val="000000"/>
          <w:sz w:val="26"/>
        </w:rPr>
        <w:t>13</w:t>
      </w:r>
      <w:r>
        <w:rPr>
          <w:rFonts w:ascii="Arial" w:eastAsia="Arial" w:hAnsi="Arial"/>
          <w:color w:val="000000"/>
          <w:sz w:val="24"/>
        </w:rPr>
        <w:t>-actin as loading control.</w:t>
      </w:r>
    </w:p>
    <w:p w14:paraId="00E2C840" w14:textId="77777777" w:rsidR="00DD62CA" w:rsidRDefault="00DD62CA" w:rsidP="00DD62CA">
      <w:pPr>
        <w:spacing w:before="16" w:line="419" w:lineRule="exact"/>
        <w:ind w:right="288"/>
        <w:textAlignment w:val="baseline"/>
        <w:rPr>
          <w:rFonts w:ascii="Arial" w:eastAsia="Arial" w:hAnsi="Arial"/>
          <w:color w:val="000000"/>
          <w:sz w:val="24"/>
        </w:rPr>
      </w:pPr>
      <w:r>
        <w:rPr>
          <w:rFonts w:ascii="Arial" w:eastAsia="Arial" w:hAnsi="Arial"/>
          <w:color w:val="000000"/>
          <w:sz w:val="24"/>
        </w:rPr>
        <w:t xml:space="preserve">C: Western blot analysis for P4HA2 in D2.0R cells expressing control shRNA compared with D2.0R expressing 2 different shRNAs for P4HA2. </w:t>
      </w:r>
      <w:r>
        <w:rPr>
          <w:rFonts w:ascii="Arial Narrow" w:eastAsia="Arial Narrow" w:hAnsi="Arial Narrow"/>
          <w:color w:val="000000"/>
          <w:sz w:val="26"/>
        </w:rPr>
        <w:t>13</w:t>
      </w:r>
      <w:r>
        <w:rPr>
          <w:rFonts w:ascii="Arial" w:eastAsia="Arial" w:hAnsi="Arial"/>
          <w:color w:val="000000"/>
          <w:sz w:val="24"/>
        </w:rPr>
        <w:t>-actin as loading control.</w:t>
      </w:r>
    </w:p>
    <w:p w14:paraId="1728E64A" w14:textId="77777777" w:rsidR="00DD62CA" w:rsidRDefault="00DD62CA" w:rsidP="00DD62CA">
      <w:pPr>
        <w:spacing w:line="416" w:lineRule="exact"/>
        <w:jc w:val="both"/>
        <w:textAlignment w:val="baseline"/>
        <w:rPr>
          <w:rFonts w:ascii="Arial" w:eastAsia="Arial" w:hAnsi="Arial"/>
          <w:color w:val="000000"/>
          <w:sz w:val="24"/>
        </w:rPr>
      </w:pPr>
      <w:r>
        <w:rPr>
          <w:rFonts w:ascii="Arial" w:eastAsia="Arial" w:hAnsi="Arial"/>
          <w:color w:val="000000"/>
          <w:sz w:val="24"/>
        </w:rPr>
        <w:t>D. Representative images of control D-HEp3 nodules and P4HA2 KD tumors from CAM assay after 6 days of inoculation. Lower panel: Number of cells in CAMs from D-HEp3 cells previously transiently transfected for 48 hours with siRNA Control or 3 different siRNAs for P4HA2. For each experimental group 12 CAMs were analyzed. For statistical comparison between groups was used the Dunnett’s test was used.</w:t>
      </w:r>
    </w:p>
    <w:p w14:paraId="171770B7" w14:textId="77777777" w:rsidR="00DD62CA" w:rsidRDefault="00DD62CA" w:rsidP="00DD62CA">
      <w:pPr>
        <w:spacing w:line="413" w:lineRule="exact"/>
        <w:jc w:val="both"/>
        <w:textAlignment w:val="baseline"/>
        <w:rPr>
          <w:rFonts w:ascii="Arial" w:eastAsia="Arial" w:hAnsi="Arial"/>
          <w:color w:val="000000"/>
          <w:sz w:val="24"/>
        </w:rPr>
      </w:pPr>
      <w:r>
        <w:rPr>
          <w:rFonts w:ascii="Arial" w:eastAsia="Arial" w:hAnsi="Arial"/>
          <w:color w:val="000000"/>
          <w:sz w:val="24"/>
        </w:rPr>
        <w:t>E. Percentage of PHH3 posite cells measured by immunofluorescence in control and P4HA2-depleted primary tumors in mice. n&gt;10000 cells per condition from 3 different tumors.</w:t>
      </w:r>
    </w:p>
    <w:p w14:paraId="794BD490" w14:textId="77777777" w:rsidR="00DD62CA" w:rsidRDefault="00DD62CA" w:rsidP="00DD62CA">
      <w:pPr>
        <w:spacing w:line="414" w:lineRule="exact"/>
        <w:jc w:val="both"/>
        <w:textAlignment w:val="baseline"/>
        <w:rPr>
          <w:rFonts w:ascii="Arial" w:eastAsia="Arial" w:hAnsi="Arial"/>
          <w:color w:val="000000"/>
          <w:sz w:val="24"/>
        </w:rPr>
      </w:pPr>
      <w:r>
        <w:rPr>
          <w:rFonts w:ascii="Arial" w:eastAsia="Arial" w:hAnsi="Arial"/>
          <w:color w:val="000000"/>
          <w:sz w:val="24"/>
        </w:rPr>
        <w:t>F. Tumor volume measurements at 12 days after tumor inoculation for D-HEp3 shRNA Control and D-HEp3 shRNA P4HA2 injected orthotopically in the intrascapular space of athymic nude mice. Group comparisons were assessed using one-way ANOVA with Dunnett’s post-hoc test to identify differences relative to the control group.</w:t>
      </w:r>
    </w:p>
    <w:p w14:paraId="6D2683B8" w14:textId="77777777" w:rsidR="00DD62CA" w:rsidRDefault="00DD62CA" w:rsidP="00DD62CA">
      <w:pPr>
        <w:sectPr w:rsidR="00DD62CA" w:rsidSect="00DD62CA">
          <w:pgSz w:w="12240" w:h="15840"/>
          <w:pgMar w:top="720" w:right="707" w:bottom="984" w:left="713" w:header="720" w:footer="720" w:gutter="0"/>
          <w:cols w:space="720"/>
        </w:sectPr>
      </w:pPr>
    </w:p>
    <w:p w14:paraId="7998258C" w14:textId="77777777" w:rsidR="00DD62CA" w:rsidRDefault="00DD62CA" w:rsidP="00DD62CA">
      <w:pPr>
        <w:numPr>
          <w:ilvl w:val="0"/>
          <w:numId w:val="2"/>
        </w:numPr>
        <w:spacing w:line="430" w:lineRule="exact"/>
        <w:jc w:val="both"/>
        <w:textAlignment w:val="baseline"/>
        <w:rPr>
          <w:rFonts w:ascii="Arial" w:eastAsia="Arial" w:hAnsi="Arial"/>
          <w:color w:val="000000"/>
          <w:sz w:val="24"/>
        </w:rPr>
      </w:pPr>
      <w:r>
        <w:rPr>
          <w:rFonts w:ascii="Arial" w:eastAsia="Arial" w:hAnsi="Arial"/>
          <w:color w:val="000000"/>
          <w:sz w:val="24"/>
        </w:rPr>
        <w:lastRenderedPageBreak/>
        <w:t>Tumor latency analysis (from the experiment in F), defined as the time to reach a tumor volume of 100 mm</w:t>
      </w:r>
      <w:r>
        <w:rPr>
          <w:rFonts w:ascii="Lucida Console" w:eastAsia="Lucida Console" w:hAnsi="Lucida Console"/>
          <w:color w:val="000000"/>
          <w:sz w:val="24"/>
          <w:vertAlign w:val="superscript"/>
        </w:rPr>
        <w:t>3</w:t>
      </w:r>
      <w:r>
        <w:rPr>
          <w:rFonts w:ascii="Arial" w:eastAsia="Arial" w:hAnsi="Arial"/>
          <w:color w:val="000000"/>
          <w:sz w:val="24"/>
        </w:rPr>
        <w:t>. Statistical significance was assessed using Dunnett’s multiple comparisons test.</w:t>
      </w:r>
    </w:p>
    <w:p w14:paraId="5CE567DD" w14:textId="77777777" w:rsidR="00DD62CA" w:rsidRDefault="00DD62CA" w:rsidP="00DD62CA">
      <w:pPr>
        <w:numPr>
          <w:ilvl w:val="0"/>
          <w:numId w:val="2"/>
        </w:numPr>
        <w:spacing w:before="29" w:line="414" w:lineRule="exact"/>
        <w:jc w:val="both"/>
        <w:textAlignment w:val="baseline"/>
        <w:rPr>
          <w:rFonts w:ascii="Arial" w:eastAsia="Arial" w:hAnsi="Arial"/>
          <w:color w:val="000000"/>
          <w:sz w:val="24"/>
        </w:rPr>
      </w:pPr>
      <w:r>
        <w:rPr>
          <w:rFonts w:ascii="Arial" w:eastAsia="Arial" w:hAnsi="Arial"/>
          <w:color w:val="000000"/>
          <w:sz w:val="24"/>
        </w:rPr>
        <w:t>Representative images of D2.0R control nodules and P4HA2 KD tumors in CAM. Graph represents number of cells from D2.0R control nodules (n=7 CAMs) and from D2.0R P4HA2 knockdown tumors (n=7 CAMs). The groups were statistically compared using Dunnett’s test.</w:t>
      </w:r>
    </w:p>
    <w:p w14:paraId="67CE7ACD" w14:textId="329DD036" w:rsidR="00DD62CA" w:rsidRDefault="00DD62CA" w:rsidP="00DD62CA">
      <w:pPr>
        <w:tabs>
          <w:tab w:val="left" w:pos="216"/>
        </w:tabs>
        <w:spacing w:line="421" w:lineRule="exact"/>
        <w:jc w:val="both"/>
        <w:textAlignment w:val="baseline"/>
        <w:rPr>
          <w:rFonts w:ascii="Arial" w:eastAsia="Arial" w:hAnsi="Arial"/>
          <w:color w:val="000000"/>
          <w:sz w:val="24"/>
        </w:rPr>
      </w:pPr>
      <w:r>
        <w:rPr>
          <w:rFonts w:ascii="Arial" w:eastAsia="Arial" w:hAnsi="Arial"/>
          <w:color w:val="000000"/>
          <w:sz w:val="24"/>
        </w:rPr>
        <w:t>I. Immunofluorescence images of single cells from D2.0R control and micrometastasis from P4HA2 knockdown cells in mice lungs. Scale bar: 50</w:t>
      </w:r>
      <w:r>
        <w:rPr>
          <w:rFonts w:ascii="Verdana" w:eastAsia="Verdana" w:hAnsi="Verdana"/>
          <w:color w:val="000000"/>
          <w:sz w:val="23"/>
        </w:rPr>
        <w:t>µ</w:t>
      </w:r>
      <w:r>
        <w:rPr>
          <w:rFonts w:ascii="Arial" w:eastAsia="Arial" w:hAnsi="Arial"/>
          <w:color w:val="000000"/>
          <w:sz w:val="24"/>
        </w:rPr>
        <w:t>m. Analysis of number of clusters per field (defined as a group of more than 20 cells) is shown. Data represent analysis from 5 mice per group (n=25 fields per condition).</w:t>
      </w:r>
    </w:p>
    <w:p w14:paraId="7749EB6D" w14:textId="25DA78F9" w:rsidR="00DD62CA" w:rsidRPr="00DD62CA" w:rsidRDefault="00DD62CA" w:rsidP="00DD62CA">
      <w:pPr>
        <w:spacing w:line="421" w:lineRule="exact"/>
        <w:jc w:val="both"/>
        <w:textAlignment w:val="baseline"/>
        <w:rPr>
          <w:rFonts w:ascii="Arial" w:eastAsia="Arial" w:hAnsi="Arial"/>
          <w:color w:val="000000"/>
          <w:sz w:val="24"/>
        </w:rPr>
      </w:pPr>
      <w:r>
        <w:rPr>
          <w:rFonts w:ascii="Arial" w:eastAsia="Arial" w:hAnsi="Arial"/>
          <w:color w:val="000000"/>
          <w:sz w:val="24"/>
        </w:rPr>
        <w:t>J.</w:t>
      </w:r>
      <w:r w:rsidRPr="00DD62CA">
        <w:rPr>
          <w:rFonts w:ascii="Arial" w:eastAsia="Arial" w:hAnsi="Arial"/>
          <w:color w:val="000000"/>
          <w:sz w:val="24"/>
        </w:rPr>
        <w:t xml:space="preserve">Western blot analysis of P4HA2 protein levels in T-HEp3 control and P4HA2 overexpressing cells. </w:t>
      </w:r>
      <w:r w:rsidRPr="00DD62CA">
        <w:rPr>
          <w:rFonts w:ascii="Arial Narrow" w:eastAsia="Arial Narrow" w:hAnsi="Arial Narrow"/>
          <w:color w:val="000000"/>
          <w:sz w:val="29"/>
        </w:rPr>
        <w:t>b</w:t>
      </w:r>
      <w:r w:rsidRPr="00DD62CA">
        <w:rPr>
          <w:rFonts w:ascii="Arial" w:eastAsia="Arial" w:hAnsi="Arial"/>
          <w:color w:val="000000"/>
          <w:sz w:val="24"/>
        </w:rPr>
        <w:t>-actin as loading control.</w:t>
      </w:r>
    </w:p>
    <w:p w14:paraId="69D9B672" w14:textId="698824EA" w:rsidR="00DD62CA" w:rsidRDefault="00DD62CA" w:rsidP="00DD62CA">
      <w:pPr>
        <w:spacing w:before="8" w:line="414" w:lineRule="exact"/>
        <w:jc w:val="both"/>
        <w:textAlignment w:val="baseline"/>
        <w:rPr>
          <w:rFonts w:ascii="Arial" w:eastAsia="Arial" w:hAnsi="Arial"/>
          <w:color w:val="000000"/>
          <w:sz w:val="24"/>
        </w:rPr>
      </w:pPr>
      <w:r>
        <w:rPr>
          <w:rFonts w:ascii="Arial" w:eastAsia="Arial" w:hAnsi="Arial"/>
          <w:color w:val="000000"/>
          <w:sz w:val="24"/>
        </w:rPr>
        <w:t>K.Representative images of T-HEp3 control and P4HA2 overexpressing (OE) tumors in CAM. Graph represents number of cells from T-HEp3 tumors (n=11 CAMs) and from P4HA2 OE tumors (n=11 CAMs). The groups were statistically compared using Dunnett’s test.</w:t>
      </w:r>
    </w:p>
    <w:p w14:paraId="60392B5F" w14:textId="77777777" w:rsidR="00DD62CA" w:rsidRDefault="00DD62CA" w:rsidP="00DD62CA">
      <w:pPr>
        <w:spacing w:before="557" w:line="272" w:lineRule="exact"/>
        <w:textAlignment w:val="baseline"/>
        <w:rPr>
          <w:rFonts w:ascii="Arial" w:eastAsia="Arial" w:hAnsi="Arial"/>
          <w:b/>
          <w:color w:val="000000"/>
          <w:sz w:val="24"/>
        </w:rPr>
      </w:pPr>
      <w:r>
        <w:rPr>
          <w:rFonts w:ascii="Arial" w:eastAsia="Arial" w:hAnsi="Arial"/>
          <w:b/>
          <w:color w:val="000000"/>
          <w:sz w:val="24"/>
        </w:rPr>
        <w:t>Supplemental Figure 3</w:t>
      </w:r>
    </w:p>
    <w:p w14:paraId="0C41D44D" w14:textId="77777777" w:rsidR="00DD62CA" w:rsidRDefault="00DD62CA" w:rsidP="00DD62CA">
      <w:pPr>
        <w:numPr>
          <w:ilvl w:val="0"/>
          <w:numId w:val="3"/>
        </w:numPr>
        <w:spacing w:before="1" w:line="414" w:lineRule="exact"/>
        <w:jc w:val="both"/>
        <w:textAlignment w:val="baseline"/>
        <w:rPr>
          <w:rFonts w:ascii="Arial" w:eastAsia="Arial" w:hAnsi="Arial"/>
          <w:color w:val="000000"/>
          <w:sz w:val="24"/>
        </w:rPr>
      </w:pPr>
      <w:r>
        <w:rPr>
          <w:rFonts w:ascii="Arial" w:eastAsia="Arial" w:hAnsi="Arial"/>
          <w:color w:val="000000"/>
          <w:sz w:val="24"/>
        </w:rPr>
        <w:t xml:space="preserve">Volcano plot analysis of differential gene expression between control and P4HA2 KD tumors in mice. Each point represents a gene plotted by log2(fold change) and log10(adjusted </w:t>
      </w:r>
      <w:r>
        <w:rPr>
          <w:rFonts w:ascii="Arial" w:eastAsia="Arial" w:hAnsi="Arial"/>
          <w:i/>
          <w:color w:val="000000"/>
          <w:sz w:val="24"/>
        </w:rPr>
        <w:t>p</w:t>
      </w:r>
      <w:r>
        <w:rPr>
          <w:rFonts w:ascii="Arial" w:eastAsia="Arial" w:hAnsi="Arial"/>
          <w:color w:val="000000"/>
          <w:sz w:val="24"/>
        </w:rPr>
        <w:t>-value). Red indicates significantly upregulated genes and blue indicates significantly downregulated genes (</w:t>
      </w:r>
      <w:r>
        <w:rPr>
          <w:rFonts w:ascii="Arial" w:eastAsia="Arial" w:hAnsi="Arial"/>
          <w:i/>
          <w:color w:val="000000"/>
          <w:sz w:val="24"/>
        </w:rPr>
        <w:t xml:space="preserve">adjusted p </w:t>
      </w:r>
      <w:r>
        <w:rPr>
          <w:rFonts w:ascii="Arial" w:eastAsia="Arial" w:hAnsi="Arial"/>
          <w:color w:val="000000"/>
          <w:sz w:val="24"/>
        </w:rPr>
        <w:t>&lt; 0.05, log2FC &gt; 1).</w:t>
      </w:r>
    </w:p>
    <w:p w14:paraId="547A39F4" w14:textId="77777777" w:rsidR="00DD62CA" w:rsidRDefault="00DD62CA" w:rsidP="00DD62CA">
      <w:pPr>
        <w:numPr>
          <w:ilvl w:val="0"/>
          <w:numId w:val="3"/>
        </w:numPr>
        <w:spacing w:before="1" w:line="414" w:lineRule="exact"/>
        <w:jc w:val="both"/>
        <w:textAlignment w:val="baseline"/>
        <w:rPr>
          <w:rFonts w:ascii="Arial" w:eastAsia="Arial" w:hAnsi="Arial"/>
          <w:color w:val="000000"/>
          <w:spacing w:val="-3"/>
          <w:sz w:val="24"/>
        </w:rPr>
      </w:pPr>
      <w:r>
        <w:rPr>
          <w:rFonts w:ascii="Arial" w:eastAsia="Arial" w:hAnsi="Arial"/>
          <w:color w:val="000000"/>
          <w:spacing w:val="-3"/>
          <w:sz w:val="24"/>
        </w:rPr>
        <w:t>GO enrichment analysis of differentially expressed genes between P4HA2 KD and control orthotopic tumors, using WebGestalt (WEB-based Gene Set Analysis Toolkit,</w:t>
      </w:r>
      <w:r>
        <w:rPr>
          <w:rFonts w:ascii="Arial" w:eastAsia="Arial" w:hAnsi="Arial"/>
          <w:color w:val="0000FF"/>
          <w:spacing w:val="-3"/>
          <w:sz w:val="24"/>
          <w:u w:val="single"/>
        </w:rPr>
        <w:t xml:space="preserve"> </w:t>
      </w:r>
      <w:hyperlink r:id="rId5">
        <w:r>
          <w:rPr>
            <w:rFonts w:ascii="Arial" w:eastAsia="Arial" w:hAnsi="Arial"/>
            <w:color w:val="0000FF"/>
            <w:spacing w:val="-3"/>
            <w:sz w:val="24"/>
            <w:u w:val="single"/>
          </w:rPr>
          <w:t>www.webgestalt.org</w:t>
        </w:r>
      </w:hyperlink>
      <w:hyperlink r:id="rId6">
        <w:r>
          <w:rPr>
            <w:rFonts w:ascii="Arial" w:eastAsia="Arial" w:hAnsi="Arial"/>
            <w:color w:val="0000FF"/>
            <w:spacing w:val="-3"/>
            <w:sz w:val="24"/>
            <w:u w:val="single"/>
          </w:rPr>
          <w:t>.</w:t>
        </w:r>
      </w:hyperlink>
      <w:r>
        <w:rPr>
          <w:rFonts w:ascii="Arial" w:eastAsia="Arial" w:hAnsi="Arial"/>
          <w:color w:val="000000"/>
          <w:spacing w:val="-3"/>
          <w:sz w:val="24"/>
        </w:rPr>
        <w:t xml:space="preserve"> Bar plot</w:t>
      </w:r>
    </w:p>
    <w:p w14:paraId="700E3761" w14:textId="77777777" w:rsidR="00DD62CA" w:rsidRDefault="00DD62CA" w:rsidP="00DD62CA">
      <w:pPr>
        <w:tabs>
          <w:tab w:val="left" w:pos="1224"/>
          <w:tab w:val="left" w:pos="2808"/>
          <w:tab w:val="left" w:pos="4536"/>
          <w:tab w:val="left" w:pos="5904"/>
          <w:tab w:val="left" w:pos="7056"/>
          <w:tab w:val="right" w:pos="10872"/>
        </w:tabs>
        <w:spacing w:line="413" w:lineRule="exact"/>
        <w:jc w:val="both"/>
        <w:textAlignment w:val="baseline"/>
        <w:rPr>
          <w:rFonts w:ascii="Arial" w:eastAsia="Arial" w:hAnsi="Arial"/>
          <w:color w:val="000000"/>
          <w:sz w:val="24"/>
        </w:rPr>
      </w:pPr>
      <w:r>
        <w:rPr>
          <w:rFonts w:ascii="Arial" w:eastAsia="Arial" w:hAnsi="Arial"/>
          <w:color w:val="000000"/>
          <w:sz w:val="24"/>
        </w:rPr>
        <w:t>displays</w:t>
      </w:r>
      <w:r>
        <w:rPr>
          <w:rFonts w:ascii="Arial" w:eastAsia="Arial" w:hAnsi="Arial"/>
          <w:color w:val="000000"/>
          <w:sz w:val="24"/>
        </w:rPr>
        <w:tab/>
        <w:t>significantly</w:t>
      </w:r>
      <w:r>
        <w:rPr>
          <w:rFonts w:ascii="Arial" w:eastAsia="Arial" w:hAnsi="Arial"/>
          <w:color w:val="000000"/>
          <w:sz w:val="24"/>
        </w:rPr>
        <w:tab/>
        <w:t>dysregualted</w:t>
      </w:r>
      <w:r>
        <w:rPr>
          <w:rFonts w:ascii="Arial" w:eastAsia="Arial" w:hAnsi="Arial"/>
          <w:color w:val="000000"/>
          <w:sz w:val="24"/>
        </w:rPr>
        <w:tab/>
        <w:t>biological</w:t>
      </w:r>
      <w:r>
        <w:rPr>
          <w:rFonts w:ascii="Arial" w:eastAsia="Arial" w:hAnsi="Arial"/>
          <w:color w:val="000000"/>
          <w:sz w:val="24"/>
        </w:rPr>
        <w:tab/>
        <w:t>process</w:t>
      </w:r>
      <w:r>
        <w:rPr>
          <w:rFonts w:ascii="Arial" w:eastAsia="Arial" w:hAnsi="Arial"/>
          <w:color w:val="000000"/>
          <w:sz w:val="24"/>
        </w:rPr>
        <w:tab/>
        <w:t>categories.</w:t>
      </w:r>
      <w:r>
        <w:rPr>
          <w:rFonts w:ascii="Arial" w:eastAsia="Arial" w:hAnsi="Arial"/>
          <w:color w:val="000000"/>
          <w:sz w:val="24"/>
        </w:rPr>
        <w:tab/>
        <w:t xml:space="preserve">Notably, extracellular </w:t>
      </w:r>
      <w:r>
        <w:rPr>
          <w:rFonts w:ascii="Arial" w:eastAsia="Arial" w:hAnsi="Arial"/>
          <w:color w:val="000000"/>
          <w:sz w:val="24"/>
        </w:rPr>
        <w:br/>
        <w:t xml:space="preserve">matrix and collagen-containing extracellular matrix were among the most enriched terms, highlighting alterations in matrix-related pathways. Enrichment based on genes with adjusted </w:t>
      </w:r>
      <w:r>
        <w:rPr>
          <w:rFonts w:ascii="Arial" w:eastAsia="Arial" w:hAnsi="Arial"/>
          <w:i/>
          <w:color w:val="000000"/>
          <w:sz w:val="24"/>
        </w:rPr>
        <w:t xml:space="preserve">p </w:t>
      </w:r>
      <w:r>
        <w:rPr>
          <w:rFonts w:ascii="Arial" w:eastAsia="Arial" w:hAnsi="Arial"/>
          <w:color w:val="000000"/>
          <w:sz w:val="24"/>
        </w:rPr>
        <w:t>&lt; 0.05.</w:t>
      </w:r>
    </w:p>
    <w:p w14:paraId="6C6F7A19" w14:textId="77777777" w:rsidR="00DD62CA" w:rsidRDefault="00DD62CA" w:rsidP="00DD62CA">
      <w:pPr>
        <w:numPr>
          <w:ilvl w:val="0"/>
          <w:numId w:val="3"/>
        </w:numPr>
        <w:spacing w:before="3" w:line="414" w:lineRule="exact"/>
        <w:jc w:val="both"/>
        <w:textAlignment w:val="baseline"/>
        <w:rPr>
          <w:rFonts w:ascii="Arial" w:eastAsia="Arial" w:hAnsi="Arial"/>
          <w:color w:val="000000"/>
          <w:sz w:val="24"/>
        </w:rPr>
      </w:pPr>
      <w:r>
        <w:rPr>
          <w:rFonts w:ascii="Arial" w:eastAsia="Arial" w:hAnsi="Arial"/>
          <w:color w:val="000000"/>
          <w:sz w:val="24"/>
        </w:rPr>
        <w:t>Hematoxylin and eosin staining of D-HEp3 shRNA control nodules and D-HEp3 shRNA P4HA2-depleted awakened tumors used for MSI.</w:t>
      </w:r>
    </w:p>
    <w:p w14:paraId="0BAC06A6" w14:textId="77777777" w:rsidR="00DD62CA" w:rsidRDefault="00DD62CA" w:rsidP="00DD62CA">
      <w:pPr>
        <w:numPr>
          <w:ilvl w:val="0"/>
          <w:numId w:val="3"/>
        </w:numPr>
        <w:spacing w:line="414" w:lineRule="exact"/>
        <w:jc w:val="both"/>
        <w:textAlignment w:val="baseline"/>
        <w:rPr>
          <w:rFonts w:ascii="Arial" w:eastAsia="Arial" w:hAnsi="Arial"/>
          <w:color w:val="000000"/>
          <w:sz w:val="24"/>
        </w:rPr>
      </w:pPr>
      <w:r>
        <w:rPr>
          <w:rFonts w:ascii="Arial" w:eastAsia="Arial" w:hAnsi="Arial"/>
          <w:color w:val="000000"/>
          <w:sz w:val="24"/>
        </w:rPr>
        <w:t>Image segmentation on 19-plex Collagen peptides. Heuristic spatial clustering produces localized ECM proteomes. Segmentation image analysis was produced from mass spectra data images by machine learning classification. Spectral colorized by (segmentation classification) localization within tissue. A legend of the cluster analysis is shown on the right.</w:t>
      </w:r>
    </w:p>
    <w:p w14:paraId="6187C1A1" w14:textId="77777777" w:rsidR="00DD62CA" w:rsidRDefault="00DD62CA" w:rsidP="00DD62CA">
      <w:pPr>
        <w:numPr>
          <w:ilvl w:val="0"/>
          <w:numId w:val="3"/>
        </w:numPr>
        <w:spacing w:line="412" w:lineRule="exact"/>
        <w:jc w:val="both"/>
        <w:textAlignment w:val="baseline"/>
        <w:rPr>
          <w:rFonts w:ascii="Arial" w:eastAsia="Arial" w:hAnsi="Arial"/>
          <w:color w:val="000000"/>
          <w:sz w:val="24"/>
        </w:rPr>
      </w:pPr>
      <w:r>
        <w:rPr>
          <w:rFonts w:ascii="Arial" w:eastAsia="Arial" w:hAnsi="Arial"/>
          <w:color w:val="000000"/>
          <w:sz w:val="24"/>
        </w:rPr>
        <w:t>Features ranked by their contributions to classification. Right: Pairwise score plot for top 5 components of the principal component analysis.</w:t>
      </w:r>
    </w:p>
    <w:p w14:paraId="301C2797" w14:textId="77777777" w:rsidR="00DD62CA" w:rsidRDefault="00DD62CA" w:rsidP="00DD62CA">
      <w:pPr>
        <w:sectPr w:rsidR="00DD62CA" w:rsidSect="00DD62CA">
          <w:pgSz w:w="12240" w:h="15840"/>
          <w:pgMar w:top="580" w:right="705" w:bottom="1064" w:left="715" w:header="720" w:footer="720" w:gutter="0"/>
          <w:cols w:space="720"/>
        </w:sectPr>
      </w:pPr>
    </w:p>
    <w:p w14:paraId="43278720" w14:textId="77777777" w:rsidR="00DD62CA" w:rsidRDefault="00DD62CA" w:rsidP="00DD62CA">
      <w:pPr>
        <w:spacing w:before="11" w:line="272" w:lineRule="exact"/>
        <w:textAlignment w:val="baseline"/>
        <w:rPr>
          <w:rFonts w:ascii="Arial" w:eastAsia="Arial" w:hAnsi="Arial"/>
          <w:b/>
          <w:color w:val="000000"/>
          <w:sz w:val="24"/>
        </w:rPr>
      </w:pPr>
      <w:r>
        <w:rPr>
          <w:rFonts w:ascii="Arial" w:eastAsia="Arial" w:hAnsi="Arial"/>
          <w:b/>
          <w:color w:val="000000"/>
          <w:sz w:val="24"/>
        </w:rPr>
        <w:lastRenderedPageBreak/>
        <w:t>Supplemental Figure 4</w:t>
      </w:r>
    </w:p>
    <w:p w14:paraId="5E77A419" w14:textId="77777777" w:rsidR="00DD62CA" w:rsidRDefault="00DD62CA" w:rsidP="00DD62CA">
      <w:pPr>
        <w:numPr>
          <w:ilvl w:val="0"/>
          <w:numId w:val="4"/>
        </w:numPr>
        <w:spacing w:before="28" w:line="414" w:lineRule="exact"/>
        <w:jc w:val="both"/>
        <w:textAlignment w:val="baseline"/>
        <w:rPr>
          <w:rFonts w:ascii="Arial" w:eastAsia="Arial" w:hAnsi="Arial"/>
          <w:color w:val="000000"/>
          <w:sz w:val="24"/>
        </w:rPr>
      </w:pPr>
      <w:r>
        <w:rPr>
          <w:rFonts w:ascii="Arial" w:eastAsia="Arial" w:hAnsi="Arial"/>
          <w:color w:val="000000"/>
          <w:sz w:val="24"/>
        </w:rPr>
        <w:t xml:space="preserve">Representative immunofluorescence images and quantification for phospho-PERK (red) and DAPI as counterstaining for nuclei (blue) of D-HEp3 shRNA control compared with D-HEp-3 P4HA2 KD cells </w:t>
      </w:r>
      <w:r>
        <w:rPr>
          <w:rFonts w:ascii="Arial" w:eastAsia="Arial" w:hAnsi="Arial"/>
          <w:i/>
          <w:color w:val="000000"/>
          <w:sz w:val="24"/>
        </w:rPr>
        <w:t xml:space="preserve">in vivo </w:t>
      </w:r>
      <w:r>
        <w:rPr>
          <w:rFonts w:ascii="Arial" w:eastAsia="Arial" w:hAnsi="Arial"/>
          <w:color w:val="000000"/>
          <w:sz w:val="24"/>
        </w:rPr>
        <w:t>in CAM assays. Scale bar: 50</w:t>
      </w:r>
      <w:r>
        <w:rPr>
          <w:rFonts w:ascii="Tahoma" w:eastAsia="Tahoma" w:hAnsi="Tahoma"/>
          <w:color w:val="000000"/>
        </w:rPr>
        <w:t>.i</w:t>
      </w:r>
      <w:r>
        <w:rPr>
          <w:rFonts w:ascii="Arial" w:eastAsia="Arial" w:hAnsi="Arial"/>
          <w:color w:val="000000"/>
          <w:sz w:val="24"/>
        </w:rPr>
        <w:t>m.The graph shows the quantification of phospho-PERK intensity per cell (n= 60 cells were measured per group). Statistical analysis was performed using an unpaired two-tailed t-test.</w:t>
      </w:r>
    </w:p>
    <w:p w14:paraId="2EDF4C3E" w14:textId="77777777" w:rsidR="00DD62CA" w:rsidRDefault="00DD62CA" w:rsidP="00DD62CA">
      <w:pPr>
        <w:numPr>
          <w:ilvl w:val="0"/>
          <w:numId w:val="4"/>
        </w:numPr>
        <w:spacing w:line="422" w:lineRule="exact"/>
        <w:jc w:val="both"/>
        <w:textAlignment w:val="baseline"/>
        <w:rPr>
          <w:rFonts w:ascii="Arial" w:eastAsia="Arial" w:hAnsi="Arial"/>
          <w:color w:val="000000"/>
          <w:sz w:val="24"/>
        </w:rPr>
      </w:pPr>
      <w:r>
        <w:rPr>
          <w:rFonts w:ascii="Arial" w:eastAsia="Arial" w:hAnsi="Arial"/>
          <w:color w:val="000000"/>
          <w:sz w:val="24"/>
        </w:rPr>
        <w:t>Representative immunofluorescence images of PDIA3 (ER marker) in D-HEp-3 shRNA control cells and D-HEp-3 P4HA2 KD cells. Scale bar: 10</w:t>
      </w:r>
      <w:r>
        <w:rPr>
          <w:rFonts w:ascii="Tahoma" w:eastAsia="Tahoma" w:hAnsi="Tahoma"/>
          <w:color w:val="000000"/>
        </w:rPr>
        <w:t>.i</w:t>
      </w:r>
      <w:r>
        <w:rPr>
          <w:rFonts w:ascii="Arial" w:eastAsia="Arial" w:hAnsi="Arial"/>
          <w:color w:val="000000"/>
          <w:sz w:val="24"/>
        </w:rPr>
        <w:t>m. Quantification of PDIA3 staining intensity per cell (n=40 cells per group). Statistical analysis was conducted using an unpaired two-tailed t-test.</w:t>
      </w:r>
    </w:p>
    <w:p w14:paraId="477CB559" w14:textId="77777777" w:rsidR="00DD62CA" w:rsidRDefault="00DD62CA" w:rsidP="00DD62CA">
      <w:pPr>
        <w:numPr>
          <w:ilvl w:val="0"/>
          <w:numId w:val="4"/>
        </w:numPr>
        <w:spacing w:line="414" w:lineRule="exact"/>
        <w:jc w:val="both"/>
        <w:textAlignment w:val="baseline"/>
        <w:rPr>
          <w:rFonts w:ascii="Arial" w:eastAsia="Arial" w:hAnsi="Arial"/>
          <w:color w:val="000000"/>
          <w:sz w:val="24"/>
        </w:rPr>
      </w:pPr>
      <w:r>
        <w:rPr>
          <w:rFonts w:ascii="Arial" w:eastAsia="Arial" w:hAnsi="Arial"/>
          <w:color w:val="000000"/>
          <w:sz w:val="24"/>
        </w:rPr>
        <w:t>Western blot analysis panel of the different collagens (Col4A1, Col4A2, Col5A1, Col6A1 and Col12A1) in D-HEp3 shRNA control and P4HA2 KD cells upon treatment with ammonium chloride and leupeptin for 6 hours in control and P4HA2-depleted D-Hep3. Ponceau staining was used as loading control.</w:t>
      </w:r>
    </w:p>
    <w:p w14:paraId="1645F479" w14:textId="77777777" w:rsidR="00DD62CA" w:rsidRDefault="00DD62CA" w:rsidP="00DD62CA">
      <w:pPr>
        <w:numPr>
          <w:ilvl w:val="0"/>
          <w:numId w:val="4"/>
        </w:numPr>
        <w:spacing w:line="424" w:lineRule="exact"/>
        <w:jc w:val="both"/>
        <w:textAlignment w:val="baseline"/>
        <w:rPr>
          <w:rFonts w:ascii="Arial" w:eastAsia="Arial" w:hAnsi="Arial"/>
          <w:color w:val="000000"/>
          <w:sz w:val="24"/>
        </w:rPr>
      </w:pPr>
      <w:r>
        <w:rPr>
          <w:rFonts w:ascii="Arial" w:eastAsia="Arial" w:hAnsi="Arial"/>
          <w:color w:val="000000"/>
          <w:sz w:val="24"/>
        </w:rPr>
        <w:t>Representative images of LAMP1 (lysosomal markers) in red and COL5A1 (green) in control and P4HA2 KD cells. DAPI (blue) used as nuclei staining. Scale bar: 10</w:t>
      </w:r>
      <w:r>
        <w:rPr>
          <w:rFonts w:ascii="Tahoma" w:eastAsia="Tahoma" w:hAnsi="Tahoma"/>
          <w:color w:val="000000"/>
        </w:rPr>
        <w:t>.i</w:t>
      </w:r>
      <w:r>
        <w:rPr>
          <w:rFonts w:ascii="Arial" w:eastAsia="Arial" w:hAnsi="Arial"/>
          <w:color w:val="000000"/>
          <w:sz w:val="24"/>
        </w:rPr>
        <w:t>m.</w:t>
      </w:r>
    </w:p>
    <w:p w14:paraId="14C070F8" w14:textId="77777777" w:rsidR="00DD62CA" w:rsidRDefault="00DD62CA" w:rsidP="00DD62CA">
      <w:pPr>
        <w:numPr>
          <w:ilvl w:val="0"/>
          <w:numId w:val="4"/>
        </w:numPr>
        <w:spacing w:before="8" w:line="414" w:lineRule="exact"/>
        <w:jc w:val="both"/>
        <w:textAlignment w:val="baseline"/>
        <w:rPr>
          <w:rFonts w:ascii="Arial" w:eastAsia="Arial" w:hAnsi="Arial"/>
          <w:color w:val="000000"/>
          <w:sz w:val="24"/>
        </w:rPr>
      </w:pPr>
      <w:r>
        <w:rPr>
          <w:rFonts w:ascii="Arial" w:eastAsia="Arial" w:hAnsi="Arial"/>
          <w:color w:val="000000"/>
          <w:sz w:val="24"/>
        </w:rPr>
        <w:t>Western blot analysis of COL5A1 protein levels upon proteasome inhibition (MG132 treatment for 6 hours) in D-HEp3 shRNA control cells compared to D-HEp-3 P4HA2 KD cells. Ponceau staining was used as a loading control.</w:t>
      </w:r>
    </w:p>
    <w:p w14:paraId="35BA979C" w14:textId="77777777" w:rsidR="00DD62CA" w:rsidRDefault="00DD62CA" w:rsidP="00DD62CA">
      <w:pPr>
        <w:spacing w:before="2" w:line="414" w:lineRule="exact"/>
        <w:jc w:val="both"/>
        <w:textAlignment w:val="baseline"/>
        <w:rPr>
          <w:rFonts w:ascii="Arial" w:eastAsia="Arial" w:hAnsi="Arial"/>
          <w:color w:val="000000"/>
          <w:sz w:val="24"/>
        </w:rPr>
      </w:pPr>
      <w:r>
        <w:rPr>
          <w:rFonts w:ascii="Arial" w:eastAsia="Arial" w:hAnsi="Arial"/>
          <w:color w:val="000000"/>
          <w:sz w:val="24"/>
        </w:rPr>
        <w:t>E. Western blot analysis of COL5A1 in D-HEp3 cells control and upon transient transfection of small interfering RNA targeting COL5A1. Ponceau staining was used as a loading control.</w:t>
      </w:r>
    </w:p>
    <w:p w14:paraId="52571A61" w14:textId="77777777" w:rsidR="00DD62CA" w:rsidRDefault="00DD62CA" w:rsidP="00DD62CA">
      <w:pPr>
        <w:spacing w:before="553" w:line="272" w:lineRule="exact"/>
        <w:textAlignment w:val="baseline"/>
        <w:rPr>
          <w:rFonts w:ascii="Arial" w:eastAsia="Arial" w:hAnsi="Arial"/>
          <w:b/>
          <w:color w:val="000000"/>
          <w:sz w:val="24"/>
        </w:rPr>
      </w:pPr>
      <w:r>
        <w:rPr>
          <w:rFonts w:ascii="Arial" w:eastAsia="Arial" w:hAnsi="Arial"/>
          <w:b/>
          <w:color w:val="000000"/>
          <w:sz w:val="24"/>
        </w:rPr>
        <w:t>Supplemental Figure 5</w:t>
      </w:r>
    </w:p>
    <w:p w14:paraId="729BEBDA" w14:textId="77777777" w:rsidR="00DD62CA" w:rsidRDefault="00DD62CA" w:rsidP="00DD62CA">
      <w:pPr>
        <w:numPr>
          <w:ilvl w:val="0"/>
          <w:numId w:val="5"/>
        </w:numPr>
        <w:spacing w:before="2" w:line="414" w:lineRule="exact"/>
        <w:jc w:val="both"/>
        <w:textAlignment w:val="baseline"/>
        <w:rPr>
          <w:rFonts w:ascii="Arial" w:eastAsia="Arial" w:hAnsi="Arial"/>
          <w:color w:val="000000"/>
          <w:sz w:val="24"/>
        </w:rPr>
      </w:pPr>
      <w:r>
        <w:rPr>
          <w:rFonts w:ascii="Arial" w:eastAsia="Arial" w:hAnsi="Arial"/>
          <w:color w:val="000000"/>
          <w:sz w:val="24"/>
        </w:rPr>
        <w:t>Example of raw images and 3D-rendered processed Z-stack images collected via Airyscan high resolution imaging and used for ML pipeline for D-HEp3 TOM 20 and DAPI staining. 3D-rendered nuclei and mitochondria objects are shown.</w:t>
      </w:r>
    </w:p>
    <w:p w14:paraId="62B40A9F" w14:textId="77777777" w:rsidR="00DD62CA" w:rsidRDefault="00DD62CA" w:rsidP="00DD62CA">
      <w:pPr>
        <w:numPr>
          <w:ilvl w:val="0"/>
          <w:numId w:val="5"/>
        </w:numPr>
        <w:spacing w:line="414" w:lineRule="exact"/>
        <w:jc w:val="both"/>
        <w:textAlignment w:val="baseline"/>
        <w:rPr>
          <w:rFonts w:ascii="Arial" w:eastAsia="Arial" w:hAnsi="Arial"/>
          <w:color w:val="000000"/>
          <w:sz w:val="24"/>
        </w:rPr>
      </w:pPr>
      <w:r>
        <w:rPr>
          <w:rFonts w:ascii="Arial" w:eastAsia="Arial" w:hAnsi="Arial"/>
          <w:color w:val="000000"/>
          <w:sz w:val="24"/>
        </w:rPr>
        <w:t>Left: Plot shows the median of each cell line’s rendered mitochondria object number of single cells using TOM20 immunofluorescence staining, airyscan confocal microscopy and 3D rendering IMARIS image analysis software. Right: Similar analysis was used to plot the average volume per cell (μm</w:t>
      </w:r>
      <w:r>
        <w:rPr>
          <w:rFonts w:ascii="Arial" w:eastAsia="Arial" w:hAnsi="Arial"/>
          <w:color w:val="000000"/>
          <w:sz w:val="24"/>
          <w:vertAlign w:val="superscript"/>
        </w:rPr>
        <w:t>3</w:t>
      </w:r>
      <w:r>
        <w:rPr>
          <w:rFonts w:ascii="Arial" w:eastAsia="Arial" w:hAnsi="Arial"/>
          <w:color w:val="000000"/>
          <w:sz w:val="24"/>
        </w:rPr>
        <w:t>) of Tom20 mitochondrial 3D rendered objects.</w:t>
      </w:r>
    </w:p>
    <w:p w14:paraId="30085C7D" w14:textId="77777777" w:rsidR="00DD62CA" w:rsidRDefault="00DD62CA" w:rsidP="00DD62CA">
      <w:pPr>
        <w:numPr>
          <w:ilvl w:val="0"/>
          <w:numId w:val="5"/>
        </w:numPr>
        <w:spacing w:line="413" w:lineRule="exact"/>
        <w:jc w:val="both"/>
        <w:textAlignment w:val="baseline"/>
        <w:rPr>
          <w:rFonts w:ascii="Arial" w:eastAsia="Arial" w:hAnsi="Arial"/>
          <w:color w:val="000000"/>
          <w:spacing w:val="-3"/>
          <w:sz w:val="24"/>
        </w:rPr>
      </w:pPr>
      <w:r>
        <w:rPr>
          <w:rFonts w:ascii="Arial" w:eastAsia="Arial" w:hAnsi="Arial"/>
          <w:color w:val="000000"/>
          <w:spacing w:val="-3"/>
          <w:sz w:val="24"/>
        </w:rPr>
        <w:t>ML Random Forest analysis based on topology (TPG) mitochondrial object parameters. Machine learning (ML) Random Forest algorithm shows high classification accuracy when using the topology parameter group (TPG, which includes the distance between mitochondrial objects and distance between mitochondrial and nucleus objects) comparing: top;D-HEp3 shRNA control, D-HEp3 P4HA2 shRNA2, D-HEp3 P4HA2 shRNA2 and T-Hep3; middle: D-HEp shRNA control, D-HEp3 P4HA2 shRNA</w:t>
      </w:r>
    </w:p>
    <w:p w14:paraId="4BD1025F" w14:textId="77777777" w:rsidR="00DD62CA" w:rsidRDefault="00DD62CA" w:rsidP="00DD62CA">
      <w:pPr>
        <w:sectPr w:rsidR="00DD62CA" w:rsidSect="00DD62CA">
          <w:pgSz w:w="12240" w:h="15840"/>
          <w:pgMar w:top="720" w:right="705" w:bottom="684" w:left="715" w:header="720" w:footer="720" w:gutter="0"/>
          <w:cols w:space="720"/>
        </w:sectPr>
      </w:pPr>
    </w:p>
    <w:p w14:paraId="2C54E3FC" w14:textId="77777777" w:rsidR="00DD62CA" w:rsidRDefault="00DD62CA" w:rsidP="00DD62CA">
      <w:pPr>
        <w:spacing w:before="19" w:line="413" w:lineRule="exact"/>
        <w:jc w:val="both"/>
        <w:textAlignment w:val="baseline"/>
        <w:rPr>
          <w:rFonts w:ascii="Arial" w:eastAsia="Arial" w:hAnsi="Arial"/>
          <w:color w:val="000000"/>
          <w:sz w:val="24"/>
        </w:rPr>
      </w:pPr>
      <w:r>
        <w:rPr>
          <w:rFonts w:ascii="Arial" w:eastAsia="Arial" w:hAnsi="Arial"/>
          <w:color w:val="000000"/>
          <w:sz w:val="24"/>
        </w:rPr>
        <w:lastRenderedPageBreak/>
        <w:t>2, D-HEp3 P4HA shRNA3 and bottom: T-HEp3, D-HEp3 P4HA2 shRNA2, D-HEp3 P4HA2 shRNA3. T-HEp3 cells are included as proliferative cell line to compare with P4HA2 KD cells. Confusion matrix and t-SNE plots show classification of these 4 cellular states using the Random Forest machine learning algorithm</w:t>
      </w:r>
      <w:r>
        <w:rPr>
          <w:rFonts w:ascii="Arial" w:eastAsia="Arial" w:hAnsi="Arial"/>
          <w:b/>
          <w:color w:val="000000"/>
          <w:sz w:val="26"/>
        </w:rPr>
        <w:t xml:space="preserve">. </w:t>
      </w:r>
      <w:r>
        <w:rPr>
          <w:rFonts w:ascii="Arial" w:eastAsia="Arial" w:hAnsi="Arial"/>
          <w:color w:val="000000"/>
          <w:sz w:val="24"/>
        </w:rPr>
        <w:t>Left: Confusion matrices based on the classification results of the Random Forest ML models of mitochondria for the TPG features. Each row corresponds to the true (known) label and column corresponds to the label predicted by the deep learning (DL) models. The main diagonal refers to correctly classified data points. The off-diagonal numbers represent incorrectly classified (mis-classified) data points. (right panels). Right: T-SNE plots showing the high level of organization and clustering of the organelle objects per cell condition based on TPG features.</w:t>
      </w:r>
    </w:p>
    <w:p w14:paraId="4FBAFC7C" w14:textId="77777777" w:rsidR="00DD62CA" w:rsidRDefault="00DD62CA" w:rsidP="00DD62CA">
      <w:pPr>
        <w:numPr>
          <w:ilvl w:val="0"/>
          <w:numId w:val="5"/>
        </w:numPr>
        <w:tabs>
          <w:tab w:val="left" w:pos="288"/>
        </w:tabs>
        <w:spacing w:before="11" w:line="413" w:lineRule="exact"/>
        <w:jc w:val="both"/>
        <w:textAlignment w:val="baseline"/>
        <w:rPr>
          <w:rFonts w:ascii="Arial" w:eastAsia="Arial" w:hAnsi="Arial"/>
          <w:color w:val="000000"/>
          <w:sz w:val="24"/>
        </w:rPr>
      </w:pPr>
      <w:r>
        <w:rPr>
          <w:rFonts w:ascii="Arial" w:eastAsia="Arial" w:hAnsi="Arial"/>
          <w:color w:val="000000"/>
          <w:sz w:val="24"/>
        </w:rPr>
        <w:t>ML Random Forest analysis based on morphology (MPG) parameters. Machine learning (ML) Random Forest algorithm shows lower classification accuracy when using the morphology parameter group (MPG, which includes various mitochondrial object features related to their shape and size) comparing: Top: D-HEp3 shRNA control, D-HEp3 P4HA2shRNA2, D-HEp3 P4HA2 shRNA3 and T-Hep3 ; middle: D-HEp shRNA control, D-HEp3 P4HA2shRNA2, D-HEp3 P4HA2 shRNA3 and bottom: T-HEp3, D-HEp3 P4HA2shRNA2 and D-HEp3 P4HA2 shRNA3. T-Hep3 cells are included as proliferative cell line to compare with P4HA2 KD cells. Confusion matrix and t-SNE plots show classification of these 4 cellular states using the Random Forest machine learning algorithm</w:t>
      </w:r>
      <w:r>
        <w:rPr>
          <w:rFonts w:ascii="Arial" w:eastAsia="Arial" w:hAnsi="Arial"/>
          <w:b/>
          <w:color w:val="000000"/>
          <w:sz w:val="26"/>
        </w:rPr>
        <w:t xml:space="preserve">. </w:t>
      </w:r>
      <w:r>
        <w:rPr>
          <w:rFonts w:ascii="Arial" w:eastAsia="Arial" w:hAnsi="Arial"/>
          <w:color w:val="000000"/>
          <w:sz w:val="24"/>
        </w:rPr>
        <w:t>Left panels: Confusion matrices based on the classification results of the Random Forest ML models of mitochondria for the MPG features. Each row corresponds to the true (known) label and column corresponds to the label predicted by the deep learning (DL) models. The main diagonal refers to correctly classified data points. The off-diagonal numbers represent incorrectly classified (mis-classified) data points. (right panels). Righ: T-SNE plots showing the reduced organization and clustering of the organelle objects per cell condition based on MPG features.</w:t>
      </w:r>
    </w:p>
    <w:p w14:paraId="5374F4E4" w14:textId="77777777" w:rsidR="00DD62CA" w:rsidRDefault="00DD62CA" w:rsidP="00DD62CA">
      <w:pPr>
        <w:numPr>
          <w:ilvl w:val="0"/>
          <w:numId w:val="5"/>
        </w:numPr>
        <w:tabs>
          <w:tab w:val="left" w:pos="288"/>
        </w:tabs>
        <w:spacing w:before="4" w:line="413" w:lineRule="exact"/>
        <w:jc w:val="both"/>
        <w:textAlignment w:val="baseline"/>
        <w:rPr>
          <w:rFonts w:ascii="Arial" w:eastAsia="Arial" w:hAnsi="Arial"/>
          <w:color w:val="000000"/>
          <w:sz w:val="24"/>
        </w:rPr>
      </w:pPr>
      <w:r>
        <w:rPr>
          <w:rFonts w:ascii="Arial" w:eastAsia="Arial" w:hAnsi="Arial"/>
          <w:color w:val="000000"/>
          <w:sz w:val="24"/>
        </w:rPr>
        <w:t>Confocal fluorescent images of D-HEp3 shRNA Control, P4HA2 shRNA1, and P4HA2 shRNA3 cells stably expressing mt-mKeima in basal conditions. Green fluorescence (488 nm), mitochondria. Red fluorescence (561 nm), mitophagy. Scale bar, 10 μm. Increased green/red colocalization indicates augmented mitophagic flux.</w:t>
      </w:r>
    </w:p>
    <w:p w14:paraId="48E3B27C" w14:textId="77777777" w:rsidR="00DD62CA" w:rsidRDefault="00DD62CA" w:rsidP="00DD62CA">
      <w:pPr>
        <w:numPr>
          <w:ilvl w:val="0"/>
          <w:numId w:val="5"/>
        </w:numPr>
        <w:tabs>
          <w:tab w:val="left" w:pos="288"/>
        </w:tabs>
        <w:spacing w:before="292" w:line="412" w:lineRule="exact"/>
        <w:jc w:val="both"/>
        <w:textAlignment w:val="baseline"/>
        <w:rPr>
          <w:rFonts w:ascii="Arial" w:eastAsia="Arial" w:hAnsi="Arial"/>
          <w:color w:val="000000"/>
          <w:sz w:val="24"/>
        </w:rPr>
      </w:pPr>
      <w:r>
        <w:rPr>
          <w:rFonts w:ascii="Arial" w:eastAsia="Arial" w:hAnsi="Arial"/>
          <w:color w:val="000000"/>
          <w:sz w:val="24"/>
        </w:rPr>
        <w:t>P4HA2 knockdown increases mitophagic flux in D-HEP3 cells. Quantification of the red (561 nm, acidic mitolysosomes)/green (488 nm, mitochondria) fluorescence ratio in mt-mKeima-expressing cells under basal conditions. P4HA2-depleted cells (shRNA1 and shRNA3) show a significant increase in the red/green ratio (Manders M1 colocalization) compared to shRNA Control, indicating enhanced mitophagic flux. Data represent mean ± SD of 20 cells per condition. Statistical significance was determined by one-way ANOVA with Tukey’s post hoc test.</w:t>
      </w:r>
    </w:p>
    <w:p w14:paraId="624308D9" w14:textId="77777777" w:rsidR="00DD62CA" w:rsidRDefault="00DD62CA" w:rsidP="00DD62CA">
      <w:pPr>
        <w:sectPr w:rsidR="00DD62CA" w:rsidSect="00DD62CA">
          <w:pgSz w:w="12240" w:h="15840"/>
          <w:pgMar w:top="580" w:right="703" w:bottom="904" w:left="717" w:header="720" w:footer="720" w:gutter="0"/>
          <w:cols w:space="720"/>
        </w:sectPr>
      </w:pPr>
    </w:p>
    <w:p w14:paraId="40B769D0" w14:textId="77777777" w:rsidR="00DD62CA" w:rsidRDefault="00DD62CA" w:rsidP="00DD62CA">
      <w:pPr>
        <w:spacing w:before="11" w:line="272" w:lineRule="exact"/>
        <w:textAlignment w:val="baseline"/>
        <w:rPr>
          <w:rFonts w:ascii="Arial" w:eastAsia="Arial" w:hAnsi="Arial"/>
          <w:b/>
          <w:color w:val="000000"/>
          <w:sz w:val="24"/>
        </w:rPr>
      </w:pPr>
      <w:r>
        <w:rPr>
          <w:rFonts w:ascii="Arial" w:eastAsia="Arial" w:hAnsi="Arial"/>
          <w:b/>
          <w:color w:val="000000"/>
          <w:sz w:val="24"/>
        </w:rPr>
        <w:lastRenderedPageBreak/>
        <w:t>Supplemental Figure 6</w:t>
      </w:r>
    </w:p>
    <w:p w14:paraId="57632980" w14:textId="77777777" w:rsidR="00DD62CA" w:rsidRDefault="00DD62CA" w:rsidP="00DD62CA">
      <w:pPr>
        <w:spacing w:before="279" w:line="414" w:lineRule="exact"/>
        <w:jc w:val="both"/>
        <w:textAlignment w:val="baseline"/>
        <w:rPr>
          <w:rFonts w:ascii="Arial" w:eastAsia="Arial" w:hAnsi="Arial"/>
          <w:color w:val="000000"/>
          <w:sz w:val="24"/>
        </w:rPr>
      </w:pPr>
      <w:r>
        <w:rPr>
          <w:rFonts w:ascii="Arial" w:eastAsia="Arial" w:hAnsi="Arial"/>
          <w:color w:val="000000"/>
          <w:sz w:val="24"/>
        </w:rPr>
        <w:t>A-B. Graphs show L-Glutamine and Succinate measurements in control CTR shRNA and P4HA2 KD cells (n=4). Group comparisons were assessed using one-way ANOVA with Dunnett’s post-hoc test to identify differences relative to the control group.</w:t>
      </w:r>
    </w:p>
    <w:p w14:paraId="123C04A5" w14:textId="77777777" w:rsidR="00DD62CA" w:rsidRDefault="00DD62CA" w:rsidP="00DD62CA">
      <w:pPr>
        <w:numPr>
          <w:ilvl w:val="0"/>
          <w:numId w:val="6"/>
        </w:numPr>
        <w:spacing w:before="6" w:line="414" w:lineRule="exact"/>
        <w:jc w:val="both"/>
        <w:textAlignment w:val="baseline"/>
        <w:rPr>
          <w:rFonts w:ascii="Arial" w:eastAsia="Arial" w:hAnsi="Arial"/>
          <w:color w:val="000000"/>
          <w:sz w:val="24"/>
        </w:rPr>
      </w:pPr>
      <w:r>
        <w:rPr>
          <w:rFonts w:ascii="Arial" w:eastAsia="Arial" w:hAnsi="Arial"/>
          <w:color w:val="000000"/>
          <w:sz w:val="24"/>
        </w:rPr>
        <w:t>NAD</w:t>
      </w:r>
      <w:r>
        <w:rPr>
          <w:rFonts w:ascii="Cambria Math" w:eastAsia="Cambria Math" w:hAnsi="Cambria Math"/>
          <w:color w:val="000000"/>
          <w:sz w:val="24"/>
        </w:rPr>
        <w:t>+</w:t>
      </w:r>
      <w:r>
        <w:rPr>
          <w:rFonts w:ascii="Arial" w:eastAsia="Arial" w:hAnsi="Arial"/>
          <w:color w:val="000000"/>
          <w:sz w:val="24"/>
        </w:rPr>
        <w:t>/NADH ratio (RLU: relative luminescence units) measurement in T-HEp3 (proliferative), R-HEp3 (re-awaken) and D-HEp3 (dormant) cell lines (n=4). Group comparisons were assessed using one-way ANOVA with Dunnett’s post-hoc test to identify differences relative to the control group.</w:t>
      </w:r>
    </w:p>
    <w:p w14:paraId="238AEC0F" w14:textId="77777777" w:rsidR="00DD62CA" w:rsidRDefault="00DD62CA" w:rsidP="00DD62CA">
      <w:pPr>
        <w:numPr>
          <w:ilvl w:val="0"/>
          <w:numId w:val="6"/>
        </w:numPr>
        <w:spacing w:before="10" w:line="414" w:lineRule="exact"/>
        <w:jc w:val="both"/>
        <w:textAlignment w:val="baseline"/>
        <w:rPr>
          <w:rFonts w:ascii="Arial" w:eastAsia="Arial" w:hAnsi="Arial"/>
          <w:color w:val="000000"/>
          <w:sz w:val="24"/>
        </w:rPr>
      </w:pPr>
      <w:r>
        <w:rPr>
          <w:rFonts w:ascii="Arial" w:eastAsia="Arial" w:hAnsi="Arial"/>
          <w:color w:val="000000"/>
          <w:sz w:val="24"/>
        </w:rPr>
        <w:t>NAD</w:t>
      </w:r>
      <w:r>
        <w:rPr>
          <w:rFonts w:ascii="Cambria Math" w:eastAsia="Cambria Math" w:hAnsi="Cambria Math"/>
          <w:color w:val="000000"/>
          <w:sz w:val="24"/>
        </w:rPr>
        <w:t>+</w:t>
      </w:r>
      <w:r>
        <w:rPr>
          <w:rFonts w:ascii="Arial" w:eastAsia="Arial" w:hAnsi="Arial"/>
          <w:color w:val="000000"/>
          <w:sz w:val="24"/>
        </w:rPr>
        <w:t>/NADH ratio (as relative luminescence units RLU) measurement in T-HEp3 and D-HEp3 cells treated with Proline (Pro) for 48 hours or PBS used as vehicle. A one-way ANOVA was performed to evaluate differences among groups, with Dunnett’s test used post hoc to compare each treatment group to the control group (n=4).</w:t>
      </w:r>
    </w:p>
    <w:p w14:paraId="238EC52E" w14:textId="77777777" w:rsidR="00DD62CA" w:rsidRDefault="00DD62CA" w:rsidP="00DD62CA">
      <w:pPr>
        <w:numPr>
          <w:ilvl w:val="0"/>
          <w:numId w:val="6"/>
        </w:numPr>
        <w:spacing w:before="1" w:line="414" w:lineRule="exact"/>
        <w:jc w:val="both"/>
        <w:textAlignment w:val="baseline"/>
        <w:rPr>
          <w:rFonts w:ascii="Arial" w:eastAsia="Arial" w:hAnsi="Arial"/>
          <w:color w:val="000000"/>
          <w:spacing w:val="-2"/>
          <w:sz w:val="24"/>
        </w:rPr>
      </w:pPr>
      <w:r>
        <w:rPr>
          <w:rFonts w:ascii="Arial" w:eastAsia="Arial" w:hAnsi="Arial"/>
          <w:color w:val="000000"/>
          <w:spacing w:val="-2"/>
          <w:sz w:val="24"/>
        </w:rPr>
        <w:t>Representative images of CAM nodules and tumors derived from D-HEp-3 shRNA control, D-HEp3 P4HA2 KD, D-HEp3 shRNA control with or without supplementation of proline for 48 hours and D-HEp3 shRNA transiently tranfected with P5CDH (ALDH4A1) siRNA with or without proline treatment. Tumors were harvested after 6 days after CAM inoculation. The bar graph shows the number of cells per nodules/tumor derived from each condition. Statistical analysis was performed using the Dunn’s multiple comparison test. (Number of CAMs analyzed: 9 D-HEp3 9 shRNA,P4HA2 shRNA, 9 D-HEp3 shRNA +Proline, 8 D-HEp3 9 shRNA +siP5CDH, 10 D-HEp3 9 shRNA +siP5CDH +Proline)</w:t>
      </w:r>
    </w:p>
    <w:p w14:paraId="372F455C" w14:textId="77777777" w:rsidR="00DD62CA" w:rsidRDefault="00DD62CA" w:rsidP="00DD62CA">
      <w:pPr>
        <w:numPr>
          <w:ilvl w:val="0"/>
          <w:numId w:val="6"/>
        </w:numPr>
        <w:spacing w:line="422" w:lineRule="exact"/>
        <w:jc w:val="both"/>
        <w:textAlignment w:val="baseline"/>
        <w:rPr>
          <w:rFonts w:ascii="Arial" w:eastAsia="Arial" w:hAnsi="Arial"/>
          <w:color w:val="000000"/>
          <w:sz w:val="24"/>
        </w:rPr>
      </w:pPr>
      <w:r>
        <w:rPr>
          <w:rFonts w:ascii="Arial" w:eastAsia="Arial" w:hAnsi="Arial"/>
          <w:color w:val="000000"/>
          <w:sz w:val="24"/>
        </w:rPr>
        <w:t xml:space="preserve">Upper panel: Scheme of the experimental design for </w:t>
      </w:r>
      <w:r>
        <w:rPr>
          <w:rFonts w:ascii="Arial" w:eastAsia="Arial" w:hAnsi="Arial"/>
          <w:i/>
          <w:color w:val="000000"/>
          <w:sz w:val="24"/>
        </w:rPr>
        <w:t xml:space="preserve">in vivo </w:t>
      </w:r>
      <w:r>
        <w:rPr>
          <w:rFonts w:ascii="Arial" w:eastAsia="Arial" w:hAnsi="Arial"/>
          <w:color w:val="000000"/>
          <w:sz w:val="24"/>
        </w:rPr>
        <w:t>lung metastasis assay with proline supplementation</w:t>
      </w:r>
      <w:r>
        <w:rPr>
          <w:rFonts w:ascii="Cambria" w:eastAsia="Cambria" w:hAnsi="Cambria"/>
          <w:color w:val="000000"/>
          <w:sz w:val="31"/>
        </w:rPr>
        <w:t xml:space="preserve">. </w:t>
      </w:r>
      <w:r>
        <w:rPr>
          <w:rFonts w:ascii="Arial" w:eastAsia="Arial" w:hAnsi="Arial"/>
          <w:color w:val="000000"/>
          <w:sz w:val="24"/>
        </w:rPr>
        <w:t>Lower panel: Hematoxylin and eosin staining of lung sections from mice injected via tail vain with D-HEp3 shRNA control cells, proline supplemented D-HEp3 shRNA control cells, or D-HEp3 with P4HA2 KD cells. Scale bar: 5mm. The graph shows the number of lung metastases per mouse following tail vein injection of D-HEp3 P4HA2 KD and D-HEp3 shRNA control cells, with or without 300mM proline supplementation for 21 days. Group comparisons were performed using one-way ANOVA with Dunnett’s post-hoc test relative to the control group.</w:t>
      </w:r>
    </w:p>
    <w:p w14:paraId="56E2CD4D" w14:textId="77777777" w:rsidR="00DD62CA" w:rsidRDefault="00DD62CA" w:rsidP="00DD62CA">
      <w:pPr>
        <w:spacing w:before="558" w:line="272" w:lineRule="exact"/>
        <w:textAlignment w:val="baseline"/>
        <w:rPr>
          <w:rFonts w:ascii="Arial" w:eastAsia="Arial" w:hAnsi="Arial"/>
          <w:b/>
          <w:color w:val="000000"/>
          <w:sz w:val="24"/>
        </w:rPr>
      </w:pPr>
    </w:p>
    <w:p w14:paraId="19C291ED"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PMingLiU">
    <w:altName w:val="新細明體"/>
    <w:panose1 w:val="02010601000101010101"/>
    <w:charset w:val="88"/>
    <w:family w:val="auto"/>
    <w:pitch w:val="variable"/>
    <w:sig w:usb0="00000001" w:usb1="08080000" w:usb2="00000010" w:usb3="00000000" w:csb0="00100000"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E7C02"/>
    <w:multiLevelType w:val="multilevel"/>
    <w:tmpl w:val="320EB2CC"/>
    <w:lvl w:ilvl="0">
      <w:start w:val="3"/>
      <w:numFmt w:val="upperLetter"/>
      <w:lvlText w:val="%1."/>
      <w:lvlJc w:val="left"/>
      <w:pPr>
        <w:tabs>
          <w:tab w:val="left" w:pos="36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040F41"/>
    <w:multiLevelType w:val="multilevel"/>
    <w:tmpl w:val="E6B8B518"/>
    <w:lvl w:ilvl="0">
      <w:start w:val="1"/>
      <w:numFmt w:val="upperLetter"/>
      <w:lvlText w:val="%1."/>
      <w:lvlJc w:val="left"/>
      <w:pPr>
        <w:tabs>
          <w:tab w:val="left" w:pos="288"/>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42D4016"/>
    <w:multiLevelType w:val="multilevel"/>
    <w:tmpl w:val="8B72018C"/>
    <w:lvl w:ilvl="0">
      <w:start w:val="1"/>
      <w:numFmt w:val="upperLetter"/>
      <w:lvlText w:val="%1."/>
      <w:lvlJc w:val="left"/>
      <w:pPr>
        <w:tabs>
          <w:tab w:val="left" w:pos="36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D5B7261"/>
    <w:multiLevelType w:val="hybridMultilevel"/>
    <w:tmpl w:val="64185928"/>
    <w:lvl w:ilvl="0" w:tplc="04090015">
      <w:start w:val="10"/>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832C3F"/>
    <w:multiLevelType w:val="multilevel"/>
    <w:tmpl w:val="333A97D8"/>
    <w:lvl w:ilvl="0">
      <w:start w:val="1"/>
      <w:numFmt w:val="upperLetter"/>
      <w:lvlText w:val="%1."/>
      <w:lvlJc w:val="left"/>
      <w:pPr>
        <w:tabs>
          <w:tab w:val="left" w:pos="36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BA634A1"/>
    <w:multiLevelType w:val="multilevel"/>
    <w:tmpl w:val="5FA6E8B6"/>
    <w:lvl w:ilvl="0">
      <w:start w:val="1"/>
      <w:numFmt w:val="upperLetter"/>
      <w:lvlText w:val="%1."/>
      <w:lvlJc w:val="left"/>
      <w:pPr>
        <w:tabs>
          <w:tab w:val="left" w:pos="36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6A3F3FC6"/>
    <w:multiLevelType w:val="multilevel"/>
    <w:tmpl w:val="B2B081E8"/>
    <w:lvl w:ilvl="0">
      <w:start w:val="7"/>
      <w:numFmt w:val="upperLetter"/>
      <w:lvlText w:val="%1."/>
      <w:lvlJc w:val="left"/>
      <w:pPr>
        <w:tabs>
          <w:tab w:val="left" w:pos="360"/>
        </w:tabs>
      </w:pPr>
      <w:rPr>
        <w:rFonts w:ascii="Arial" w:eastAsia="Arial" w:hAnsi="Arial"/>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514955738">
    <w:abstractNumId w:val="1"/>
  </w:num>
  <w:num w:numId="2" w16cid:durableId="81031362">
    <w:abstractNumId w:val="6"/>
  </w:num>
  <w:num w:numId="3" w16cid:durableId="248854425">
    <w:abstractNumId w:val="5"/>
  </w:num>
  <w:num w:numId="4" w16cid:durableId="1368489338">
    <w:abstractNumId w:val="2"/>
  </w:num>
  <w:num w:numId="5" w16cid:durableId="1902056746">
    <w:abstractNumId w:val="4"/>
  </w:num>
  <w:num w:numId="6" w16cid:durableId="424496268">
    <w:abstractNumId w:val="0"/>
  </w:num>
  <w:num w:numId="7" w16cid:durableId="3038973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2CA"/>
    <w:rsid w:val="00156A6D"/>
    <w:rsid w:val="005E4AB2"/>
    <w:rsid w:val="00720271"/>
    <w:rsid w:val="00732981"/>
    <w:rsid w:val="00A96173"/>
    <w:rsid w:val="00AC0449"/>
    <w:rsid w:val="00AD604E"/>
    <w:rsid w:val="00B34282"/>
    <w:rsid w:val="00DD62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9B310"/>
  <w15:chartTrackingRefBased/>
  <w15:docId w15:val="{44B8E824-39AC-45C1-8632-93963D5B8A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62CA"/>
    <w:pPr>
      <w:spacing w:after="0" w:line="240" w:lineRule="auto"/>
    </w:pPr>
    <w:rPr>
      <w:rFonts w:ascii="Times New Roman" w:eastAsia="PMingLiU" w:hAnsi="Times New Roman" w:cs="Times New Roman"/>
      <w:kern w:val="0"/>
      <w:sz w:val="22"/>
      <w:szCs w:val="22"/>
      <w14:ligatures w14:val="none"/>
    </w:rPr>
  </w:style>
  <w:style w:type="paragraph" w:styleId="Heading1">
    <w:name w:val="heading 1"/>
    <w:basedOn w:val="Normal"/>
    <w:next w:val="Normal"/>
    <w:link w:val="Heading1Char"/>
    <w:uiPriority w:val="9"/>
    <w:qFormat/>
    <w:rsid w:val="00DD62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D62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62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62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62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62C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62C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62C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62C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62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D62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62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62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62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62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62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62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62CA"/>
    <w:rPr>
      <w:rFonts w:eastAsiaTheme="majorEastAsia" w:cstheme="majorBidi"/>
      <w:color w:val="272727" w:themeColor="text1" w:themeTint="D8"/>
    </w:rPr>
  </w:style>
  <w:style w:type="paragraph" w:styleId="Title">
    <w:name w:val="Title"/>
    <w:basedOn w:val="Normal"/>
    <w:next w:val="Normal"/>
    <w:link w:val="TitleChar"/>
    <w:uiPriority w:val="10"/>
    <w:qFormat/>
    <w:rsid w:val="00DD62C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62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62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62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62CA"/>
    <w:pPr>
      <w:spacing w:before="160"/>
      <w:jc w:val="center"/>
    </w:pPr>
    <w:rPr>
      <w:i/>
      <w:iCs/>
      <w:color w:val="404040" w:themeColor="text1" w:themeTint="BF"/>
    </w:rPr>
  </w:style>
  <w:style w:type="character" w:customStyle="1" w:styleId="QuoteChar">
    <w:name w:val="Quote Char"/>
    <w:basedOn w:val="DefaultParagraphFont"/>
    <w:link w:val="Quote"/>
    <w:uiPriority w:val="29"/>
    <w:rsid w:val="00DD62CA"/>
    <w:rPr>
      <w:i/>
      <w:iCs/>
      <w:color w:val="404040" w:themeColor="text1" w:themeTint="BF"/>
    </w:rPr>
  </w:style>
  <w:style w:type="paragraph" w:styleId="ListParagraph">
    <w:name w:val="List Paragraph"/>
    <w:basedOn w:val="Normal"/>
    <w:uiPriority w:val="34"/>
    <w:qFormat/>
    <w:rsid w:val="00DD62CA"/>
    <w:pPr>
      <w:ind w:left="720"/>
      <w:contextualSpacing/>
    </w:pPr>
  </w:style>
  <w:style w:type="character" w:styleId="IntenseEmphasis">
    <w:name w:val="Intense Emphasis"/>
    <w:basedOn w:val="DefaultParagraphFont"/>
    <w:uiPriority w:val="21"/>
    <w:qFormat/>
    <w:rsid w:val="00DD62CA"/>
    <w:rPr>
      <w:i/>
      <w:iCs/>
      <w:color w:val="0F4761" w:themeColor="accent1" w:themeShade="BF"/>
    </w:rPr>
  </w:style>
  <w:style w:type="paragraph" w:styleId="IntenseQuote">
    <w:name w:val="Intense Quote"/>
    <w:basedOn w:val="Normal"/>
    <w:next w:val="Normal"/>
    <w:link w:val="IntenseQuoteChar"/>
    <w:uiPriority w:val="30"/>
    <w:qFormat/>
    <w:rsid w:val="00DD62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62CA"/>
    <w:rPr>
      <w:i/>
      <w:iCs/>
      <w:color w:val="0F4761" w:themeColor="accent1" w:themeShade="BF"/>
    </w:rPr>
  </w:style>
  <w:style w:type="character" w:styleId="IntenseReference">
    <w:name w:val="Intense Reference"/>
    <w:basedOn w:val="DefaultParagraphFont"/>
    <w:uiPriority w:val="32"/>
    <w:qFormat/>
    <w:rsid w:val="00DD62C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ebgestalt.org/" TargetMode="External"/><Relationship Id="rId5" Type="http://schemas.openxmlformats.org/officeDocument/2006/relationships/hyperlink" Target="http://www.webgestalt.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1938</Words>
  <Characters>11048</Characters>
  <Application>Microsoft Office Word</Application>
  <DocSecurity>0</DocSecurity>
  <Lines>92</Lines>
  <Paragraphs>25</Paragraphs>
  <ScaleCrop>false</ScaleCrop>
  <Company>Springer Nature</Company>
  <LinksUpToDate>false</LinksUpToDate>
  <CharactersWithSpaces>12961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2025-07-10T03:39:00Z</dcterms:created>
  <dcterms:modified xsi:type="dcterms:W3CDTF">2025-07-10T03:46:00Z</dcterms:modified>
</cp:coreProperties>
</file>