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998DE" w14:textId="77777777" w:rsidR="0076748B" w:rsidRDefault="0076748B" w:rsidP="0076748B">
      <w:pPr>
        <w:spacing w:before="13" w:line="320" w:lineRule="exact"/>
        <w:textAlignment w:val="baseline"/>
        <w:rPr>
          <w:rFonts w:ascii="Arial" w:eastAsia="Arial" w:hAnsi="Arial"/>
          <w:b/>
          <w:color w:val="000000"/>
          <w:sz w:val="28"/>
        </w:rPr>
      </w:pPr>
      <w:r>
        <w:rPr>
          <w:rFonts w:ascii="Arial" w:eastAsia="Arial" w:hAnsi="Arial"/>
          <w:b/>
          <w:color w:val="000000"/>
          <w:sz w:val="28"/>
        </w:rPr>
        <w:t>Supplemental Figure Legends</w:t>
      </w:r>
    </w:p>
    <w:p w14:paraId="3E9A2509" w14:textId="77777777" w:rsidR="0076748B" w:rsidRDefault="0076748B" w:rsidP="0076748B">
      <w:pPr>
        <w:spacing w:before="39" w:line="552" w:lineRule="exact"/>
        <w:textAlignment w:val="baseline"/>
        <w:rPr>
          <w:rFonts w:ascii="Arial" w:eastAsia="Arial" w:hAnsi="Arial"/>
          <w:b/>
          <w:color w:val="000000"/>
          <w:sz w:val="24"/>
        </w:rPr>
      </w:pPr>
      <w:r>
        <w:rPr>
          <w:rFonts w:ascii="Arial" w:eastAsia="Arial" w:hAnsi="Arial"/>
          <w:b/>
          <w:color w:val="000000"/>
          <w:sz w:val="24"/>
        </w:rPr>
        <w:t xml:space="preserve">Figure S1. Additional meta information for the atlas (a). </w:t>
      </w:r>
      <w:r>
        <w:rPr>
          <w:rFonts w:ascii="Arial" w:eastAsia="Arial" w:hAnsi="Arial"/>
          <w:color w:val="000000"/>
          <w:sz w:val="24"/>
        </w:rPr>
        <w:t xml:space="preserve">Hierarchical structures for all brain regions considered in this atlas </w:t>
      </w:r>
      <w:r>
        <w:rPr>
          <w:rFonts w:ascii="Arial" w:eastAsia="Arial" w:hAnsi="Arial"/>
          <w:b/>
          <w:color w:val="000000"/>
          <w:sz w:val="24"/>
        </w:rPr>
        <w:t xml:space="preserve">(b). </w:t>
      </w:r>
      <w:r>
        <w:rPr>
          <w:rFonts w:ascii="Arial" w:eastAsia="Arial" w:hAnsi="Arial"/>
          <w:color w:val="000000"/>
          <w:sz w:val="24"/>
        </w:rPr>
        <w:t>Cell type distributions across all datasets in the atlas.</w:t>
      </w:r>
    </w:p>
    <w:p w14:paraId="3A8BA070" w14:textId="77777777" w:rsidR="0076748B" w:rsidRDefault="0076748B" w:rsidP="0076748B">
      <w:pPr>
        <w:spacing w:before="557" w:line="552" w:lineRule="exact"/>
        <w:textAlignment w:val="baseline"/>
        <w:rPr>
          <w:rFonts w:ascii="Arial" w:eastAsia="Arial" w:hAnsi="Arial"/>
          <w:b/>
          <w:color w:val="000000"/>
          <w:sz w:val="24"/>
        </w:rPr>
      </w:pPr>
      <w:r>
        <w:rPr>
          <w:rFonts w:ascii="Arial" w:eastAsia="Arial" w:hAnsi="Arial"/>
          <w:b/>
          <w:color w:val="000000"/>
          <w:sz w:val="24"/>
        </w:rPr>
        <w:t>Figure S2. Detailed workflow for building the atlas (including data collection, data quality control, metadata and RNA-seq data harmonization).</w:t>
      </w:r>
    </w:p>
    <w:p w14:paraId="1996BE2F" w14:textId="77777777" w:rsidR="0076748B" w:rsidRDefault="0076748B" w:rsidP="0076748B">
      <w:pPr>
        <w:spacing w:before="547" w:line="552" w:lineRule="exact"/>
        <w:textAlignment w:val="baseline"/>
        <w:rPr>
          <w:rFonts w:ascii="Arial" w:eastAsia="Arial" w:hAnsi="Arial"/>
          <w:b/>
          <w:color w:val="000000"/>
          <w:sz w:val="24"/>
        </w:rPr>
      </w:pPr>
      <w:r>
        <w:rPr>
          <w:rFonts w:ascii="Arial" w:eastAsia="Arial" w:hAnsi="Arial"/>
          <w:b/>
          <w:color w:val="000000"/>
          <w:sz w:val="24"/>
        </w:rPr>
        <w:t xml:space="preserve">Figure S3. Dot plots of marker genes for (a). </w:t>
      </w:r>
      <w:r>
        <w:rPr>
          <w:rFonts w:ascii="Arial" w:eastAsia="Arial" w:hAnsi="Arial"/>
          <w:color w:val="000000"/>
          <w:sz w:val="24"/>
        </w:rPr>
        <w:t xml:space="preserve">all Level 1 cell types and </w:t>
      </w:r>
      <w:r>
        <w:rPr>
          <w:rFonts w:ascii="Arial" w:eastAsia="Arial" w:hAnsi="Arial"/>
          <w:b/>
          <w:color w:val="000000"/>
          <w:sz w:val="24"/>
        </w:rPr>
        <w:t xml:space="preserve">(b). </w:t>
      </w:r>
      <w:r>
        <w:rPr>
          <w:rFonts w:ascii="Arial" w:eastAsia="Arial" w:hAnsi="Arial"/>
          <w:color w:val="000000"/>
          <w:sz w:val="24"/>
        </w:rPr>
        <w:t>all Level 2 neuron subtypes.</w:t>
      </w:r>
    </w:p>
    <w:p w14:paraId="470ACE37" w14:textId="77777777" w:rsidR="0076748B" w:rsidRDefault="0076748B" w:rsidP="0076748B">
      <w:pPr>
        <w:spacing w:before="557" w:line="552" w:lineRule="exact"/>
        <w:ind w:right="288"/>
        <w:textAlignment w:val="baseline"/>
        <w:rPr>
          <w:rFonts w:ascii="Arial" w:eastAsia="Arial" w:hAnsi="Arial"/>
          <w:b/>
          <w:color w:val="000000"/>
          <w:sz w:val="24"/>
        </w:rPr>
      </w:pPr>
      <w:r>
        <w:rPr>
          <w:rFonts w:ascii="Arial" w:eastAsia="Arial" w:hAnsi="Arial"/>
          <w:b/>
          <w:color w:val="000000"/>
          <w:sz w:val="24"/>
        </w:rPr>
        <w:t xml:space="preserve">Figure S4. Consistency evaluation for harmonized and original Level 1 cell type annotations for multiple datasets considering (a). </w:t>
      </w:r>
      <w:r>
        <w:rPr>
          <w:rFonts w:ascii="Arial" w:eastAsia="Arial" w:hAnsi="Arial"/>
          <w:color w:val="000000"/>
          <w:sz w:val="24"/>
        </w:rPr>
        <w:t xml:space="preserve">precision and recall values and </w:t>
      </w:r>
      <w:r>
        <w:rPr>
          <w:rFonts w:ascii="Arial" w:eastAsia="Arial" w:hAnsi="Arial"/>
          <w:b/>
          <w:color w:val="000000"/>
          <w:sz w:val="24"/>
        </w:rPr>
        <w:t xml:space="preserve">(b). </w:t>
      </w:r>
      <w:r>
        <w:rPr>
          <w:rFonts w:ascii="Arial" w:eastAsia="Arial" w:hAnsi="Arial"/>
          <w:color w:val="000000"/>
          <w:sz w:val="24"/>
        </w:rPr>
        <w:t>confusion matrices.</w:t>
      </w:r>
    </w:p>
    <w:p w14:paraId="0495F637" w14:textId="77777777" w:rsidR="0076748B" w:rsidRDefault="0076748B" w:rsidP="0076748B">
      <w:pPr>
        <w:spacing w:before="545" w:line="552" w:lineRule="exact"/>
        <w:ind w:right="216"/>
        <w:textAlignment w:val="baseline"/>
        <w:rPr>
          <w:rFonts w:ascii="Arial" w:eastAsia="Arial" w:hAnsi="Arial"/>
          <w:b/>
          <w:color w:val="000000"/>
          <w:sz w:val="24"/>
        </w:rPr>
      </w:pPr>
      <w:r>
        <w:rPr>
          <w:rFonts w:ascii="Arial" w:eastAsia="Arial" w:hAnsi="Arial"/>
          <w:b/>
          <w:color w:val="000000"/>
          <w:sz w:val="24"/>
        </w:rPr>
        <w:t xml:space="preserve">Figure S5. Additional analyses for unmatched Level 1 cell type annotations between harmonized atlas and original studies via independent cell type marker database CellMarker2.0 for datasets (a). GEO ID: </w:t>
      </w:r>
      <w:r>
        <w:rPr>
          <w:rFonts w:ascii="Arial" w:eastAsia="Arial" w:hAnsi="Arial"/>
          <w:color w:val="000000"/>
          <w:sz w:val="24"/>
        </w:rPr>
        <w:t>34051145</w:t>
      </w:r>
      <w:r>
        <w:rPr>
          <w:rFonts w:ascii="Arial" w:eastAsia="Arial" w:hAnsi="Arial"/>
          <w:color w:val="000000"/>
          <w:sz w:val="24"/>
          <w:vertAlign w:val="superscript"/>
        </w:rPr>
        <w:t>109</w:t>
      </w:r>
      <w:r>
        <w:rPr>
          <w:rFonts w:ascii="Arial" w:eastAsia="Arial" w:hAnsi="Arial"/>
          <w:color w:val="000000"/>
          <w:sz w:val="24"/>
        </w:rPr>
        <w:t xml:space="preserve">, </w:t>
      </w:r>
      <w:r>
        <w:rPr>
          <w:rFonts w:ascii="Arial" w:eastAsia="Arial" w:hAnsi="Arial"/>
          <w:b/>
          <w:color w:val="000000"/>
          <w:sz w:val="24"/>
        </w:rPr>
        <w:t xml:space="preserve">(b). GEO ID: </w:t>
      </w:r>
      <w:r>
        <w:rPr>
          <w:rFonts w:ascii="Arial" w:eastAsia="Arial" w:hAnsi="Arial"/>
          <w:color w:val="000000"/>
          <w:sz w:val="24"/>
        </w:rPr>
        <w:t>30747918</w:t>
      </w:r>
      <w:r>
        <w:rPr>
          <w:rFonts w:ascii="Arial" w:eastAsia="Arial" w:hAnsi="Arial"/>
          <w:color w:val="000000"/>
          <w:sz w:val="24"/>
          <w:vertAlign w:val="superscript"/>
        </w:rPr>
        <w:t>110</w:t>
      </w:r>
      <w:r>
        <w:rPr>
          <w:rFonts w:ascii="Arial" w:eastAsia="Arial" w:hAnsi="Arial"/>
          <w:color w:val="000000"/>
          <w:sz w:val="24"/>
        </w:rPr>
        <w:t xml:space="preserve">, and </w:t>
      </w:r>
      <w:r>
        <w:rPr>
          <w:rFonts w:ascii="Arial" w:eastAsia="Arial" w:hAnsi="Arial"/>
          <w:b/>
          <w:color w:val="000000"/>
          <w:sz w:val="24"/>
        </w:rPr>
        <w:t xml:space="preserve">(c). </w:t>
      </w:r>
      <w:r>
        <w:rPr>
          <w:rFonts w:ascii="Arial" w:eastAsia="Arial" w:hAnsi="Arial"/>
          <w:color w:val="000000"/>
          <w:sz w:val="24"/>
        </w:rPr>
        <w:t>ALS_multiome.</w:t>
      </w:r>
    </w:p>
    <w:p w14:paraId="0813547B" w14:textId="51166535" w:rsidR="0076748B" w:rsidRDefault="0076748B" w:rsidP="0076748B">
      <w:pPr>
        <w:spacing w:before="559" w:line="552" w:lineRule="exact"/>
        <w:ind w:right="504"/>
        <w:textAlignment w:val="baseline"/>
        <w:rPr>
          <w:rFonts w:ascii="Arial" w:eastAsia="Arial" w:hAnsi="Arial"/>
          <w:b/>
          <w:color w:val="000000"/>
          <w:sz w:val="24"/>
        </w:rPr>
      </w:pPr>
      <w:r>
        <w:rPr>
          <w:noProof/>
        </w:rPr>
        <mc:AlternateContent>
          <mc:Choice Requires="wps">
            <w:drawing>
              <wp:anchor distT="0" distB="0" distL="0" distR="0" simplePos="0" relativeHeight="251659264" behindDoc="1" locked="0" layoutInCell="1" allowOverlap="1" wp14:anchorId="4C52F23A" wp14:editId="4B853A32">
                <wp:simplePos x="0" y="0"/>
                <wp:positionH relativeFrom="page">
                  <wp:posOffset>6642735</wp:posOffset>
                </wp:positionH>
                <wp:positionV relativeFrom="page">
                  <wp:posOffset>9429115</wp:posOffset>
                </wp:positionV>
                <wp:extent cx="271780" cy="160655"/>
                <wp:effectExtent l="3810" t="0" r="635" b="1905"/>
                <wp:wrapSquare wrapText="bothSides"/>
                <wp:docPr id="18779555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B3968" w14:textId="77777777" w:rsidR="0076748B" w:rsidRDefault="0076748B" w:rsidP="0076748B">
                            <w:pPr>
                              <w:spacing w:before="2" w:line="240" w:lineRule="exact"/>
                              <w:textAlignment w:val="baseline"/>
                              <w:rPr>
                                <w:rFonts w:ascii="Arial" w:eastAsia="Arial" w:hAnsi="Arial"/>
                                <w:color w:val="000000"/>
                              </w:rPr>
                            </w:pPr>
                            <w:r>
                              <w:rPr>
                                <w:rFonts w:ascii="Arial" w:eastAsia="Arial" w:hAnsi="Arial"/>
                                <w:color w:val="000000"/>
                              </w:rPr>
                              <w:t>56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52F23A" id="_x0000_t202" coordsize="21600,21600" o:spt="202" path="m,l,21600r21600,l21600,xe">
                <v:stroke joinstyle="miter"/>
                <v:path gradientshapeok="t" o:connecttype="rect"/>
              </v:shapetype>
              <v:shape id="Text Box 2" o:spid="_x0000_s1026" type="#_x0000_t202" style="position:absolute;margin-left:523.05pt;margin-top:742.45pt;width:21.4pt;height:12.6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eg1QEAAJADAAAOAAAAZHJzL2Uyb0RvYy54bWysU9tu2zAMfR+wfxD0vtgJ0LQw4hRdiw4D&#10;ugvQ7QNkWbaF2aJGKrGzrx8lx+kub8NeBJqUDs85pHe309CLo0Gy4Eq5XuVSGKehtq4t5dcvj29u&#10;pKCgXK16cKaUJ0Pydv/61W70hdlAB31tUDCIo2L0pexC8EWWke7MoGgF3jguNoCDCvyJbVajGhl9&#10;6LNNnm+zEbD2CNoQcfZhLsp9wm8ao8OnpiETRF9K5hbSiems4pntd6poUfnO6jMN9Q8sBmUdN71A&#10;PaigxAHtX1CD1QgETVhpGDJoGqtN0sBq1vkfap475U3SwuaQv9hE/w9Wfzw++88owvQWJh5gEkH+&#10;CfQ3Eg7uO+Vac4cIY2dUzY3X0bJs9FScn0arqaAIUo0foOYhq0OABDQ1OERXWKdgdB7A6WK6mYLQ&#10;nNxcr69vuKK5tN7m26ur1EEVy2OPFN4ZGEQMSok80wSujk8UIhlVLFdiLwePtu/TXHv3W4Ivxkwi&#10;H/nOzMNUTXw7iqigPrEMhHlNeK056AB/SDHyipSSvh8UGin6946tiPu0BLgE1RIop/lpKYMUc3gf&#10;5r07eLRtx8iz2Q7u2K7GJikvLM48eexJ4XlF4179+p1uvfxI+58AAAD//wMAUEsDBBQABgAIAAAA&#10;IQAL+sdX4QAAAA8BAAAPAAAAZHJzL2Rvd25yZXYueG1sTI/BTsMwEETvSPyDtUjcqJ0qRGmIU1UI&#10;TkiINBw4OrGbWI3XIXbb8PdsT3Cb0Y5m35TbxY3sbOZgPUpIVgKYwc5ri72Ez+b1IQcWokKtRo9G&#10;wo8JsK1ub0pVaH/B2pz3sWdUgqFQEoYYp4Lz0A3GqbDyk0G6HfzsVCQ791zP6kLlbuRrITLulEX6&#10;MKjJPA+mO+5PTsLuC+sX+/3eftSH2jbNRuBbdpTy/m7ZPQGLZol/YbjiEzpUxNT6E+rARvIizRLK&#10;kkrzdAPsmhF5Tqol9ZiINfCq5P93VL8AAAD//wMAUEsBAi0AFAAGAAgAAAAhALaDOJL+AAAA4QEA&#10;ABMAAAAAAAAAAAAAAAAAAAAAAFtDb250ZW50X1R5cGVzXS54bWxQSwECLQAUAAYACAAAACEAOP0h&#10;/9YAAACUAQAACwAAAAAAAAAAAAAAAAAvAQAAX3JlbHMvLnJlbHNQSwECLQAUAAYACAAAACEAKwmH&#10;oNUBAACQAwAADgAAAAAAAAAAAAAAAAAuAgAAZHJzL2Uyb0RvYy54bWxQSwECLQAUAAYACAAAACEA&#10;C/rHV+EAAAAPAQAADwAAAAAAAAAAAAAAAAAvBAAAZHJzL2Rvd25yZXYueG1sUEsFBgAAAAAEAAQA&#10;8wAAAD0FAAAAAA==&#10;" filled="f" stroked="f">
                <v:textbox inset="0,0,0,0">
                  <w:txbxContent>
                    <w:p w14:paraId="5A1B3968" w14:textId="77777777" w:rsidR="0076748B" w:rsidRDefault="0076748B" w:rsidP="0076748B">
                      <w:pPr>
                        <w:spacing w:before="2" w:line="240" w:lineRule="exact"/>
                        <w:textAlignment w:val="baseline"/>
                        <w:rPr>
                          <w:rFonts w:ascii="Arial" w:eastAsia="Arial" w:hAnsi="Arial"/>
                          <w:color w:val="000000"/>
                        </w:rPr>
                      </w:pPr>
                      <w:r>
                        <w:rPr>
                          <w:rFonts w:ascii="Arial" w:eastAsia="Arial" w:hAnsi="Arial"/>
                          <w:color w:val="000000"/>
                        </w:rPr>
                        <w:t>56</w:t>
                      </w:r>
                    </w:p>
                  </w:txbxContent>
                </v:textbox>
                <w10:wrap type="square" anchorx="page" anchory="page"/>
              </v:shape>
            </w:pict>
          </mc:Fallback>
        </mc:AlternateContent>
      </w:r>
      <w:r>
        <w:rPr>
          <w:rFonts w:ascii="Arial" w:eastAsia="Arial" w:hAnsi="Arial"/>
          <w:b/>
          <w:color w:val="000000"/>
          <w:sz w:val="24"/>
        </w:rPr>
        <w:t xml:space="preserve">Figure S6. Additional information of harmonized neuron Level 2 subtypes (a). </w:t>
      </w:r>
      <w:r>
        <w:rPr>
          <w:rFonts w:ascii="Arial" w:eastAsia="Arial" w:hAnsi="Arial"/>
          <w:color w:val="000000"/>
          <w:sz w:val="24"/>
        </w:rPr>
        <w:t xml:space="preserve">Cellular abundance distributions (percentages) across brain regions; </w:t>
      </w:r>
      <w:r>
        <w:rPr>
          <w:rFonts w:ascii="Arial" w:eastAsia="Arial" w:hAnsi="Arial"/>
          <w:b/>
          <w:color w:val="000000"/>
          <w:sz w:val="24"/>
        </w:rPr>
        <w:t xml:space="preserve">(b). </w:t>
      </w:r>
      <w:r>
        <w:rPr>
          <w:rFonts w:ascii="Arial" w:eastAsia="Arial" w:hAnsi="Arial"/>
          <w:color w:val="000000"/>
          <w:sz w:val="24"/>
        </w:rPr>
        <w:t>Nuclei</w:t>
      </w:r>
    </w:p>
    <w:p w14:paraId="689CA482" w14:textId="77777777" w:rsidR="0076748B" w:rsidRDefault="0076748B" w:rsidP="0076748B">
      <w:pPr>
        <w:sectPr w:rsidR="0076748B" w:rsidSect="0076748B">
          <w:pgSz w:w="12240" w:h="15840"/>
          <w:pgMar w:top="1440" w:right="1471" w:bottom="595" w:left="1399" w:header="720" w:footer="720" w:gutter="0"/>
          <w:cols w:space="720"/>
        </w:sectPr>
      </w:pPr>
    </w:p>
    <w:p w14:paraId="5C600769" w14:textId="77777777" w:rsidR="0076748B" w:rsidRDefault="0076748B" w:rsidP="0076748B">
      <w:pPr>
        <w:spacing w:before="11" w:line="552" w:lineRule="exact"/>
        <w:ind w:right="1008"/>
        <w:textAlignment w:val="baseline"/>
        <w:rPr>
          <w:rFonts w:ascii="Arial" w:eastAsia="Arial" w:hAnsi="Arial"/>
          <w:color w:val="000000"/>
          <w:sz w:val="24"/>
        </w:rPr>
      </w:pPr>
      <w:r>
        <w:rPr>
          <w:rFonts w:ascii="Arial" w:eastAsia="Arial" w:hAnsi="Arial"/>
          <w:color w:val="000000"/>
          <w:sz w:val="24"/>
        </w:rPr>
        <w:lastRenderedPageBreak/>
        <w:t xml:space="preserve">population (log10 scale); </w:t>
      </w:r>
      <w:r>
        <w:rPr>
          <w:rFonts w:ascii="Arial" w:eastAsia="Arial" w:hAnsi="Arial"/>
          <w:b/>
          <w:color w:val="000000"/>
          <w:sz w:val="24"/>
        </w:rPr>
        <w:t xml:space="preserve">(c). </w:t>
      </w:r>
      <w:r>
        <w:rPr>
          <w:rFonts w:ascii="Arial" w:eastAsia="Arial" w:hAnsi="Arial"/>
          <w:color w:val="000000"/>
          <w:sz w:val="24"/>
        </w:rPr>
        <w:t>Consistencies (i.e., precision and recall) between harmonized and original neuronal Level 2 subtype annotations.</w:t>
      </w:r>
    </w:p>
    <w:p w14:paraId="6B092E78" w14:textId="77777777" w:rsidR="0076748B" w:rsidRDefault="0076748B" w:rsidP="0076748B">
      <w:pPr>
        <w:spacing w:before="552" w:line="552" w:lineRule="exact"/>
        <w:ind w:right="360"/>
        <w:textAlignment w:val="baseline"/>
        <w:rPr>
          <w:rFonts w:ascii="Arial" w:eastAsia="Arial" w:hAnsi="Arial"/>
          <w:b/>
          <w:color w:val="000000"/>
          <w:sz w:val="24"/>
        </w:rPr>
      </w:pPr>
      <w:r>
        <w:rPr>
          <w:rFonts w:ascii="Arial" w:eastAsia="Arial" w:hAnsi="Arial"/>
          <w:b/>
          <w:color w:val="000000"/>
          <w:sz w:val="24"/>
        </w:rPr>
        <w:t xml:space="preserve">Figure S7. Additional information of harmonized neuron Level 3 subtypes (a). </w:t>
      </w:r>
      <w:r>
        <w:rPr>
          <w:rFonts w:ascii="Arial" w:eastAsia="Arial" w:hAnsi="Arial"/>
          <w:color w:val="000000"/>
          <w:sz w:val="24"/>
        </w:rPr>
        <w:t xml:space="preserve">Consistencies (i.e., precision and recall) between harmonized and original neuronal Level 3 subtype (i.e., glutamatergic and GABAergic neurons) annotations. </w:t>
      </w:r>
      <w:r>
        <w:rPr>
          <w:rFonts w:ascii="Arial" w:eastAsia="Arial" w:hAnsi="Arial"/>
          <w:b/>
          <w:color w:val="000000"/>
          <w:sz w:val="24"/>
        </w:rPr>
        <w:t xml:space="preserve">(b). </w:t>
      </w:r>
      <w:r>
        <w:rPr>
          <w:rFonts w:ascii="Arial" w:eastAsia="Arial" w:hAnsi="Arial"/>
          <w:color w:val="000000"/>
          <w:sz w:val="24"/>
        </w:rPr>
        <w:t>The cellular abundance distribution of SST neurons across different disease stages when considering the entire harmonized atlas and two independent cohorts: ROSMAP and SEA-AD.</w:t>
      </w:r>
    </w:p>
    <w:p w14:paraId="5A489DF0" w14:textId="77777777" w:rsidR="0076748B" w:rsidRDefault="0076748B" w:rsidP="0076748B">
      <w:pPr>
        <w:spacing w:before="554" w:line="552" w:lineRule="exact"/>
        <w:ind w:right="504"/>
        <w:textAlignment w:val="baseline"/>
        <w:rPr>
          <w:rFonts w:ascii="Arial" w:eastAsia="Arial" w:hAnsi="Arial"/>
          <w:b/>
          <w:color w:val="000000"/>
          <w:sz w:val="24"/>
        </w:rPr>
      </w:pPr>
      <w:r>
        <w:rPr>
          <w:rFonts w:ascii="Arial" w:eastAsia="Arial" w:hAnsi="Arial"/>
          <w:b/>
          <w:color w:val="000000"/>
          <w:sz w:val="24"/>
        </w:rPr>
        <w:t>Figure S8. Correlations between cellular abundance of SST neuron and five clinical categories (i.e., amyloid plaque and tau tangle densities, age, sex and APOE4 genotype) when considering the entire atlas and its four deeply harmonized subgroups (i.e., AD, CN, CR and PART).</w:t>
      </w:r>
    </w:p>
    <w:p w14:paraId="2EDFF334" w14:textId="77777777" w:rsidR="0076748B" w:rsidRDefault="0076748B" w:rsidP="0076748B">
      <w:pPr>
        <w:spacing w:before="552" w:after="977" w:line="552" w:lineRule="exact"/>
        <w:textAlignment w:val="baseline"/>
        <w:rPr>
          <w:rFonts w:ascii="Arial" w:eastAsia="Arial" w:hAnsi="Arial"/>
          <w:b/>
          <w:color w:val="000000"/>
          <w:sz w:val="24"/>
        </w:rPr>
      </w:pPr>
      <w:r>
        <w:rPr>
          <w:rFonts w:ascii="Arial" w:eastAsia="Arial" w:hAnsi="Arial"/>
          <w:b/>
          <w:color w:val="000000"/>
          <w:sz w:val="24"/>
        </w:rPr>
        <w:t xml:space="preserve">Figure S9. Additional information of SST neuron (a). </w:t>
      </w:r>
      <w:r>
        <w:rPr>
          <w:rFonts w:ascii="Arial" w:eastAsia="Arial" w:hAnsi="Arial"/>
          <w:color w:val="000000"/>
          <w:sz w:val="24"/>
        </w:rPr>
        <w:t xml:space="preserve">Pathway enrichment results for SST neuron specific DEGs </w:t>
      </w:r>
      <w:r>
        <w:rPr>
          <w:rFonts w:ascii="Arial" w:eastAsia="Arial" w:hAnsi="Arial"/>
          <w:b/>
          <w:color w:val="000000"/>
          <w:sz w:val="24"/>
        </w:rPr>
        <w:t xml:space="preserve">(b). </w:t>
      </w:r>
      <w:r>
        <w:rPr>
          <w:rFonts w:ascii="Arial" w:eastAsia="Arial" w:hAnsi="Arial"/>
          <w:color w:val="000000"/>
          <w:sz w:val="24"/>
        </w:rPr>
        <w:t xml:space="preserve">GSEA enrichment results for SST neuron specific DEGs </w:t>
      </w:r>
      <w:r>
        <w:rPr>
          <w:rFonts w:ascii="Arial" w:eastAsia="Arial" w:hAnsi="Arial"/>
          <w:b/>
          <w:color w:val="000000"/>
          <w:sz w:val="24"/>
        </w:rPr>
        <w:t xml:space="preserve">(c). </w:t>
      </w:r>
      <w:r>
        <w:rPr>
          <w:rFonts w:ascii="Arial" w:eastAsia="Arial" w:hAnsi="Arial"/>
          <w:color w:val="000000"/>
          <w:sz w:val="24"/>
        </w:rPr>
        <w:t xml:space="preserve">Eight mitochondrial gene expressions in SST neuron when compared in CN (normal), CR (resilience) and AD groups. </w:t>
      </w:r>
      <w:r>
        <w:rPr>
          <w:rFonts w:ascii="Arial" w:eastAsia="Arial" w:hAnsi="Arial"/>
          <w:b/>
          <w:color w:val="000000"/>
          <w:sz w:val="24"/>
        </w:rPr>
        <w:t xml:space="preserve">(d). </w:t>
      </w:r>
      <w:r>
        <w:rPr>
          <w:rFonts w:ascii="Arial" w:eastAsia="Arial" w:hAnsi="Arial"/>
          <w:color w:val="000000"/>
          <w:sz w:val="24"/>
        </w:rPr>
        <w:t xml:space="preserve">Expression differences of nuclear-encoded genes that function in mitochondria when compared between CR (resilience) and AD and between CR (resilience) and CN (normal). </w:t>
      </w:r>
      <w:r>
        <w:rPr>
          <w:rFonts w:ascii="Arial" w:eastAsia="Arial" w:hAnsi="Arial"/>
          <w:b/>
          <w:color w:val="000000"/>
          <w:sz w:val="24"/>
        </w:rPr>
        <w:t xml:space="preserve">(e). </w:t>
      </w:r>
      <w:r>
        <w:rPr>
          <w:rFonts w:ascii="Arial" w:eastAsia="Arial" w:hAnsi="Arial"/>
          <w:color w:val="000000"/>
          <w:sz w:val="24"/>
        </w:rPr>
        <w:t xml:space="preserve">Correlations between gene expressions and braak stages for five mitochondria genes (i.e., MT-ATP6, MT-CO2, MT-CO3, MT-CYB, and MT-ND4). </w:t>
      </w:r>
      <w:r>
        <w:rPr>
          <w:rFonts w:ascii="Arial" w:eastAsia="Arial" w:hAnsi="Arial"/>
          <w:b/>
          <w:color w:val="000000"/>
          <w:sz w:val="24"/>
        </w:rPr>
        <w:t xml:space="preserve">(f). </w:t>
      </w:r>
      <w:r>
        <w:rPr>
          <w:rFonts w:ascii="Arial" w:eastAsia="Arial" w:hAnsi="Arial"/>
          <w:color w:val="000000"/>
          <w:sz w:val="24"/>
        </w:rPr>
        <w:t>Quantification of MT-CYB in both CN (normal)</w:t>
      </w:r>
    </w:p>
    <w:p w14:paraId="6081E4C2" w14:textId="77777777" w:rsidR="0076748B" w:rsidRDefault="0076748B" w:rsidP="0076748B">
      <w:pPr>
        <w:spacing w:before="552" w:after="977" w:line="552" w:lineRule="exact"/>
        <w:sectPr w:rsidR="0076748B" w:rsidSect="0076748B">
          <w:pgSz w:w="12240" w:h="15840"/>
          <w:pgMar w:top="1160" w:right="1454" w:bottom="324" w:left="1416" w:header="720" w:footer="720" w:gutter="0"/>
          <w:cols w:space="720"/>
        </w:sectPr>
      </w:pPr>
    </w:p>
    <w:p w14:paraId="7231E2A1" w14:textId="77777777" w:rsidR="0076748B" w:rsidRDefault="0076748B" w:rsidP="0076748B">
      <w:pPr>
        <w:spacing w:before="2" w:line="251" w:lineRule="exact"/>
        <w:jc w:val="right"/>
        <w:textAlignment w:val="baseline"/>
        <w:rPr>
          <w:rFonts w:ascii="Arial" w:eastAsia="Arial" w:hAnsi="Arial"/>
          <w:color w:val="000000"/>
        </w:rPr>
      </w:pPr>
      <w:r>
        <w:rPr>
          <w:rFonts w:ascii="Arial" w:eastAsia="Arial" w:hAnsi="Arial"/>
          <w:color w:val="000000"/>
        </w:rPr>
        <w:t>57</w:t>
      </w:r>
    </w:p>
    <w:p w14:paraId="7ED039DD" w14:textId="77777777" w:rsidR="0076748B" w:rsidRDefault="0076748B" w:rsidP="0076748B">
      <w:pPr>
        <w:sectPr w:rsidR="0076748B" w:rsidSect="0076748B">
          <w:type w:val="continuous"/>
          <w:pgSz w:w="12240" w:h="15840"/>
          <w:pgMar w:top="1160" w:right="1419" w:bottom="324" w:left="10461" w:header="720" w:footer="720" w:gutter="0"/>
          <w:cols w:space="720"/>
        </w:sectPr>
      </w:pPr>
    </w:p>
    <w:p w14:paraId="1548CB66" w14:textId="77777777" w:rsidR="0076748B" w:rsidRDefault="0076748B" w:rsidP="0076748B">
      <w:pPr>
        <w:spacing w:before="821" w:line="566" w:lineRule="exact"/>
        <w:ind w:left="72" w:right="72"/>
        <w:textAlignment w:val="baseline"/>
        <w:rPr>
          <w:rFonts w:ascii="Arial" w:eastAsia="Arial" w:hAnsi="Arial"/>
          <w:color w:val="000000"/>
          <w:sz w:val="24"/>
        </w:rPr>
      </w:pPr>
      <w:r>
        <w:rPr>
          <w:rFonts w:ascii="Arial" w:eastAsia="Arial" w:hAnsi="Arial"/>
          <w:color w:val="000000"/>
          <w:sz w:val="24"/>
        </w:rPr>
        <w:lastRenderedPageBreak/>
        <w:t>and AD brain samples (t-test, n = 5 for each group, p = 1.1</w:t>
      </w:r>
      <w:r>
        <w:rPr>
          <w:rFonts w:ascii="Cambria Math" w:eastAsia="Cambria Math" w:hAnsi="Cambria Math"/>
          <w:color w:val="000000"/>
          <w:sz w:val="24"/>
        </w:rPr>
        <w:t>×</w:t>
      </w:r>
      <w:r>
        <w:rPr>
          <w:rFonts w:ascii="Arial" w:eastAsia="Arial" w:hAnsi="Arial"/>
          <w:color w:val="000000"/>
          <w:sz w:val="24"/>
        </w:rPr>
        <w:t>10</w:t>
      </w:r>
      <w:r>
        <w:rPr>
          <w:rFonts w:ascii="Arial" w:eastAsia="Arial" w:hAnsi="Arial"/>
          <w:color w:val="000000"/>
          <w:sz w:val="24"/>
          <w:vertAlign w:val="superscript"/>
        </w:rPr>
        <w:t>-19</w:t>
      </w:r>
      <w:r>
        <w:rPr>
          <w:rFonts w:ascii="Arial" w:eastAsia="Arial" w:hAnsi="Arial"/>
          <w:color w:val="000000"/>
          <w:sz w:val="24"/>
        </w:rPr>
        <w:t xml:space="preserve">). </w:t>
      </w:r>
      <w:r>
        <w:rPr>
          <w:rFonts w:ascii="Arial" w:eastAsia="Arial" w:hAnsi="Arial"/>
          <w:b/>
          <w:color w:val="000000"/>
          <w:sz w:val="24"/>
        </w:rPr>
        <w:t xml:space="preserve">(g). </w:t>
      </w:r>
      <w:r>
        <w:rPr>
          <w:rFonts w:ascii="Arial" w:eastAsia="Arial" w:hAnsi="Arial"/>
          <w:color w:val="000000"/>
          <w:sz w:val="24"/>
        </w:rPr>
        <w:t>Correlation of protein abundances between MT-CYB and amyloid-beta and pTau-231 in CN (normal) brain samples. Western-blot for MT-CYB levels with different A</w:t>
      </w:r>
      <w:r>
        <w:rPr>
          <w:rFonts w:ascii="Arial Narrow" w:eastAsia="Arial Narrow" w:hAnsi="Arial Narrow"/>
          <w:color w:val="000000"/>
          <w:sz w:val="29"/>
        </w:rPr>
        <w:t xml:space="preserve">b </w:t>
      </w:r>
      <w:r>
        <w:rPr>
          <w:rFonts w:ascii="Arial" w:eastAsia="Arial" w:hAnsi="Arial"/>
          <w:color w:val="000000"/>
          <w:sz w:val="24"/>
        </w:rPr>
        <w:t>and pTau-231 levels.</w:t>
      </w:r>
    </w:p>
    <w:p w14:paraId="24AFC220" w14:textId="77777777" w:rsidR="0076748B" w:rsidRDefault="0076748B" w:rsidP="0076748B">
      <w:pPr>
        <w:spacing w:before="568" w:line="552" w:lineRule="exact"/>
        <w:ind w:left="72" w:right="288"/>
        <w:jc w:val="both"/>
        <w:textAlignment w:val="baseline"/>
        <w:rPr>
          <w:rFonts w:ascii="Arial" w:eastAsia="Arial" w:hAnsi="Arial"/>
          <w:b/>
          <w:color w:val="000000"/>
          <w:spacing w:val="-1"/>
          <w:sz w:val="24"/>
        </w:rPr>
      </w:pPr>
      <w:r>
        <w:rPr>
          <w:rFonts w:ascii="Arial" w:eastAsia="Arial" w:hAnsi="Arial"/>
          <w:b/>
          <w:color w:val="000000"/>
          <w:spacing w:val="-1"/>
          <w:sz w:val="24"/>
        </w:rPr>
        <w:t xml:space="preserve">Figure S10. Additional information of harmonized immune Level 2 subtypes (a). </w:t>
      </w:r>
      <w:r>
        <w:rPr>
          <w:rFonts w:ascii="Arial" w:eastAsia="Arial" w:hAnsi="Arial"/>
          <w:color w:val="000000"/>
          <w:spacing w:val="-1"/>
          <w:sz w:val="24"/>
        </w:rPr>
        <w:t xml:space="preserve">Uniform Manifold Approximation and Projection (UMAP) of immune Level 2 subtypes ‘Microglia &amp; Macrophage’ and ‘Tcells &amp; Leukocytes’ </w:t>
      </w:r>
      <w:r>
        <w:rPr>
          <w:rFonts w:ascii="Arial" w:eastAsia="Arial" w:hAnsi="Arial"/>
          <w:b/>
          <w:color w:val="000000"/>
          <w:spacing w:val="-1"/>
          <w:sz w:val="24"/>
        </w:rPr>
        <w:t xml:space="preserve">(b). </w:t>
      </w:r>
      <w:r>
        <w:rPr>
          <w:rFonts w:ascii="Arial" w:eastAsia="Arial" w:hAnsi="Arial"/>
          <w:color w:val="000000"/>
          <w:spacing w:val="-1"/>
          <w:sz w:val="24"/>
        </w:rPr>
        <w:t>Consistencies (i.e., precision and recall) between harmonized and original immune Level 2 subtype annotations.</w:t>
      </w:r>
    </w:p>
    <w:p w14:paraId="05B716B4" w14:textId="77777777" w:rsidR="0076748B" w:rsidRDefault="0076748B" w:rsidP="0076748B">
      <w:pPr>
        <w:spacing w:before="552" w:line="552" w:lineRule="exact"/>
        <w:ind w:left="72" w:right="72"/>
        <w:textAlignment w:val="baseline"/>
        <w:rPr>
          <w:rFonts w:ascii="Arial" w:eastAsia="Arial" w:hAnsi="Arial"/>
          <w:b/>
          <w:color w:val="000000"/>
          <w:sz w:val="24"/>
        </w:rPr>
      </w:pPr>
      <w:r>
        <w:rPr>
          <w:rFonts w:ascii="Arial" w:eastAsia="Arial" w:hAnsi="Arial"/>
          <w:b/>
          <w:color w:val="000000"/>
          <w:sz w:val="24"/>
        </w:rPr>
        <w:t xml:space="preserve">Figure S11. Additional information of immune aging clock. (a). </w:t>
      </w:r>
      <w:r>
        <w:rPr>
          <w:rFonts w:ascii="Arial" w:eastAsia="Arial" w:hAnsi="Arial"/>
          <w:color w:val="000000"/>
          <w:sz w:val="24"/>
        </w:rPr>
        <w:t xml:space="preserve">Correlations between age and gene expressions for both CN (normal) and AD subjects when considering multiple immune Level 3 subtypes. </w:t>
      </w:r>
      <w:r>
        <w:rPr>
          <w:rFonts w:ascii="Arial" w:eastAsia="Arial" w:hAnsi="Arial"/>
          <w:b/>
          <w:color w:val="000000"/>
          <w:sz w:val="24"/>
        </w:rPr>
        <w:t xml:space="preserve">(b). </w:t>
      </w:r>
      <w:r>
        <w:rPr>
          <w:rFonts w:ascii="Arial" w:eastAsia="Arial" w:hAnsi="Arial"/>
          <w:color w:val="000000"/>
          <w:sz w:val="24"/>
        </w:rPr>
        <w:t>Modal correlations between age and gene expressions for both CN (normal) and AD subjects considering three immune Level 3 subtypes (i.e., DAM, homeostatic microglia and macrophage).</w:t>
      </w:r>
    </w:p>
    <w:p w14:paraId="5BEE9908" w14:textId="77777777" w:rsidR="0076748B" w:rsidRDefault="0076748B" w:rsidP="0076748B">
      <w:pPr>
        <w:spacing w:before="576" w:after="2011" w:line="552" w:lineRule="exact"/>
        <w:ind w:left="72" w:right="72"/>
        <w:textAlignment w:val="baseline"/>
        <w:rPr>
          <w:rFonts w:ascii="Arial" w:eastAsia="Arial" w:hAnsi="Arial"/>
          <w:b/>
          <w:color w:val="000000"/>
          <w:sz w:val="24"/>
        </w:rPr>
      </w:pPr>
      <w:r>
        <w:rPr>
          <w:rFonts w:ascii="Arial" w:eastAsia="Arial" w:hAnsi="Arial"/>
          <w:b/>
          <w:color w:val="000000"/>
          <w:sz w:val="24"/>
        </w:rPr>
        <w:t xml:space="preserve">Figure S12. Displayed are the two-dimensional kernel densities between age and the standardized gene expressions of (a). </w:t>
      </w:r>
      <w:r>
        <w:rPr>
          <w:rFonts w:ascii="Arial" w:eastAsia="Arial" w:hAnsi="Arial"/>
          <w:i/>
          <w:color w:val="000000"/>
          <w:sz w:val="24"/>
        </w:rPr>
        <w:t xml:space="preserve">CSGALNACT1, </w:t>
      </w:r>
      <w:r>
        <w:rPr>
          <w:rFonts w:ascii="Arial" w:eastAsia="Arial" w:hAnsi="Arial"/>
          <w:b/>
          <w:color w:val="000000"/>
          <w:sz w:val="24"/>
        </w:rPr>
        <w:t xml:space="preserve">(b). </w:t>
      </w:r>
      <w:r>
        <w:rPr>
          <w:rFonts w:ascii="Arial" w:eastAsia="Arial" w:hAnsi="Arial"/>
          <w:i/>
          <w:color w:val="000000"/>
          <w:sz w:val="24"/>
        </w:rPr>
        <w:t xml:space="preserve">ADAM17, </w:t>
      </w:r>
      <w:r>
        <w:rPr>
          <w:rFonts w:ascii="Arial" w:eastAsia="Arial" w:hAnsi="Arial"/>
          <w:b/>
          <w:color w:val="000000"/>
          <w:sz w:val="24"/>
        </w:rPr>
        <w:t xml:space="preserve">(c). </w:t>
      </w:r>
      <w:r>
        <w:rPr>
          <w:rFonts w:ascii="Arial" w:eastAsia="Arial" w:hAnsi="Arial"/>
          <w:i/>
          <w:color w:val="000000"/>
          <w:sz w:val="24"/>
        </w:rPr>
        <w:t>INPP5D</w:t>
      </w:r>
      <w:r>
        <w:rPr>
          <w:rFonts w:ascii="Arial" w:eastAsia="Arial" w:hAnsi="Arial"/>
          <w:color w:val="000000"/>
          <w:sz w:val="24"/>
        </w:rPr>
        <w:t xml:space="preserve">. Annotated values represent the Pearson correlation between these quantities and P-values correspond to a test of the null hypothesis that these correlations equal 0. </w:t>
      </w:r>
      <w:r>
        <w:rPr>
          <w:rFonts w:ascii="Arial" w:eastAsia="Arial" w:hAnsi="Arial"/>
          <w:b/>
          <w:color w:val="000000"/>
          <w:sz w:val="24"/>
        </w:rPr>
        <w:t xml:space="preserve">(d). </w:t>
      </w:r>
      <w:r>
        <w:rPr>
          <w:rFonts w:ascii="Arial" w:eastAsia="Arial" w:hAnsi="Arial"/>
          <w:color w:val="000000"/>
          <w:sz w:val="24"/>
        </w:rPr>
        <w:t xml:space="preserve">Age and gene expression correlation tests for four pro-inflammation related genes (i.e., </w:t>
      </w:r>
      <w:r>
        <w:rPr>
          <w:rFonts w:ascii="Arial" w:eastAsia="Arial" w:hAnsi="Arial"/>
          <w:i/>
          <w:color w:val="000000"/>
          <w:sz w:val="24"/>
        </w:rPr>
        <w:t>IL18, IL6, TGF-</w:t>
      </w:r>
      <w:r>
        <w:rPr>
          <w:rFonts w:ascii="Arial" w:eastAsia="Arial" w:hAnsi="Arial"/>
          <w:i/>
          <w:color w:val="000000"/>
          <w:sz w:val="28"/>
        </w:rPr>
        <w:t xml:space="preserve">b </w:t>
      </w:r>
      <w:r>
        <w:rPr>
          <w:rFonts w:ascii="Arial" w:eastAsia="Arial" w:hAnsi="Arial"/>
          <w:color w:val="000000"/>
          <w:sz w:val="24"/>
        </w:rPr>
        <w:t xml:space="preserve">and </w:t>
      </w:r>
      <w:r>
        <w:rPr>
          <w:rFonts w:ascii="Arial" w:eastAsia="Arial" w:hAnsi="Arial"/>
          <w:i/>
          <w:color w:val="000000"/>
          <w:sz w:val="24"/>
        </w:rPr>
        <w:t>TNF-</w:t>
      </w:r>
      <w:r>
        <w:rPr>
          <w:rFonts w:ascii="Arial" w:eastAsia="Arial" w:hAnsi="Arial"/>
          <w:i/>
          <w:color w:val="000000"/>
          <w:sz w:val="28"/>
        </w:rPr>
        <w:t>a</w:t>
      </w:r>
      <w:r>
        <w:rPr>
          <w:rFonts w:ascii="Arial" w:eastAsia="Arial" w:hAnsi="Arial"/>
          <w:color w:val="000000"/>
          <w:sz w:val="24"/>
        </w:rPr>
        <w:t>).</w:t>
      </w:r>
    </w:p>
    <w:p w14:paraId="6B71B719" w14:textId="77777777" w:rsidR="0076748B" w:rsidRDefault="0076748B" w:rsidP="0076748B">
      <w:pPr>
        <w:spacing w:before="576" w:after="2011" w:line="552" w:lineRule="exact"/>
        <w:sectPr w:rsidR="0076748B" w:rsidSect="0076748B">
          <w:pgSz w:w="12240" w:h="15840"/>
          <w:pgMar w:top="340" w:right="1492" w:bottom="324" w:left="1378" w:header="720" w:footer="720" w:gutter="0"/>
          <w:cols w:space="720"/>
        </w:sectPr>
      </w:pPr>
    </w:p>
    <w:p w14:paraId="048A2934" w14:textId="77777777" w:rsidR="0076748B" w:rsidRDefault="0076748B" w:rsidP="0076748B">
      <w:pPr>
        <w:spacing w:before="2" w:line="251" w:lineRule="exact"/>
        <w:textAlignment w:val="baseline"/>
        <w:rPr>
          <w:rFonts w:ascii="Arial" w:eastAsia="Arial" w:hAnsi="Arial"/>
          <w:color w:val="000000"/>
        </w:rPr>
      </w:pPr>
      <w:r>
        <w:rPr>
          <w:rFonts w:ascii="Arial" w:eastAsia="Arial" w:hAnsi="Arial"/>
          <w:color w:val="000000"/>
        </w:rPr>
        <w:t>58</w:t>
      </w:r>
    </w:p>
    <w:p w14:paraId="435B71C1" w14:textId="77777777" w:rsidR="0076748B" w:rsidRDefault="0076748B" w:rsidP="0076748B">
      <w:pPr>
        <w:sectPr w:rsidR="0076748B" w:rsidSect="0076748B">
          <w:type w:val="continuous"/>
          <w:pgSz w:w="12240" w:h="15840"/>
          <w:pgMar w:top="340" w:right="1382" w:bottom="324" w:left="10498" w:header="720" w:footer="720" w:gutter="0"/>
          <w:cols w:space="720"/>
        </w:sectPr>
      </w:pPr>
    </w:p>
    <w:p w14:paraId="2627C5FE" w14:textId="77777777" w:rsidR="0076748B" w:rsidRDefault="0076748B" w:rsidP="0076748B">
      <w:pPr>
        <w:spacing w:before="13" w:line="552" w:lineRule="exact"/>
        <w:ind w:right="72"/>
        <w:textAlignment w:val="baseline"/>
        <w:rPr>
          <w:rFonts w:ascii="Arial" w:eastAsia="Arial" w:hAnsi="Arial"/>
          <w:b/>
          <w:color w:val="000000"/>
          <w:sz w:val="24"/>
        </w:rPr>
      </w:pPr>
      <w:r>
        <w:rPr>
          <w:rFonts w:ascii="Arial" w:eastAsia="Arial" w:hAnsi="Arial"/>
          <w:b/>
          <w:color w:val="000000"/>
          <w:sz w:val="24"/>
        </w:rPr>
        <w:lastRenderedPageBreak/>
        <w:t xml:space="preserve">Figure S13. Additional information of sex differences in neuropathological changes in AD, PART, and CR. (a). </w:t>
      </w:r>
      <w:r>
        <w:rPr>
          <w:rFonts w:ascii="Arial" w:eastAsia="Arial" w:hAnsi="Arial"/>
          <w:color w:val="000000"/>
          <w:sz w:val="24"/>
        </w:rPr>
        <w:t xml:space="preserve">Density of amyloid comparison between male and female individuals across AD, PART and CR (Resilience) groups. Trajectories generated with monocle3 for </w:t>
      </w:r>
      <w:r>
        <w:rPr>
          <w:rFonts w:ascii="Arial" w:eastAsia="Arial" w:hAnsi="Arial"/>
          <w:b/>
          <w:color w:val="000000"/>
          <w:sz w:val="24"/>
        </w:rPr>
        <w:t xml:space="preserve">(b) </w:t>
      </w:r>
      <w:r>
        <w:rPr>
          <w:rFonts w:ascii="Arial" w:eastAsia="Arial" w:hAnsi="Arial"/>
          <w:color w:val="000000"/>
          <w:sz w:val="24"/>
        </w:rPr>
        <w:t xml:space="preserve">AD, </w:t>
      </w:r>
      <w:r>
        <w:rPr>
          <w:rFonts w:ascii="Arial" w:eastAsia="Arial" w:hAnsi="Arial"/>
          <w:b/>
          <w:color w:val="000000"/>
          <w:sz w:val="24"/>
        </w:rPr>
        <w:t xml:space="preserve">(c) </w:t>
      </w:r>
      <w:r>
        <w:rPr>
          <w:rFonts w:ascii="Arial" w:eastAsia="Arial" w:hAnsi="Arial"/>
          <w:color w:val="000000"/>
          <w:sz w:val="24"/>
        </w:rPr>
        <w:t xml:space="preserve">PART and </w:t>
      </w:r>
      <w:r>
        <w:rPr>
          <w:rFonts w:ascii="Arial" w:eastAsia="Arial" w:hAnsi="Arial"/>
          <w:b/>
          <w:color w:val="000000"/>
          <w:sz w:val="24"/>
        </w:rPr>
        <w:t xml:space="preserve">(d) </w:t>
      </w:r>
      <w:r>
        <w:rPr>
          <w:rFonts w:ascii="Arial" w:eastAsia="Arial" w:hAnsi="Arial"/>
          <w:color w:val="000000"/>
          <w:sz w:val="24"/>
        </w:rPr>
        <w:t>CR (Resilience) groups.</w:t>
      </w:r>
    </w:p>
    <w:p w14:paraId="5EE362AF" w14:textId="77777777" w:rsidR="0076748B" w:rsidRDefault="0076748B" w:rsidP="0076748B">
      <w:pPr>
        <w:spacing w:before="552" w:line="552" w:lineRule="exact"/>
        <w:ind w:right="72"/>
        <w:textAlignment w:val="baseline"/>
        <w:rPr>
          <w:rFonts w:ascii="Arial" w:eastAsia="Arial" w:hAnsi="Arial"/>
          <w:b/>
          <w:color w:val="000000"/>
          <w:spacing w:val="-1"/>
          <w:sz w:val="24"/>
        </w:rPr>
      </w:pPr>
      <w:r>
        <w:rPr>
          <w:rFonts w:ascii="Arial" w:eastAsia="Arial" w:hAnsi="Arial"/>
          <w:b/>
          <w:color w:val="000000"/>
          <w:spacing w:val="-1"/>
          <w:sz w:val="24"/>
        </w:rPr>
        <w:t xml:space="preserve">Figure S14. Additional information of sex differences in neuropathological changes in AD, PART, and CR. (a). </w:t>
      </w:r>
      <w:r>
        <w:rPr>
          <w:rFonts w:ascii="Arial" w:eastAsia="Arial" w:hAnsi="Arial"/>
          <w:color w:val="000000"/>
          <w:spacing w:val="-1"/>
          <w:sz w:val="24"/>
        </w:rPr>
        <w:t xml:space="preserve">Cell type (i.e., DAM1 and tau microglia) proportions along microglia trajectory in PART group considering both male and female subjects. </w:t>
      </w:r>
      <w:r>
        <w:rPr>
          <w:rFonts w:ascii="Arial" w:eastAsia="Arial" w:hAnsi="Arial"/>
          <w:b/>
          <w:color w:val="000000"/>
          <w:spacing w:val="-1"/>
          <w:sz w:val="24"/>
        </w:rPr>
        <w:t xml:space="preserve">(b). </w:t>
      </w:r>
      <w:r>
        <w:rPr>
          <w:rFonts w:ascii="Arial" w:eastAsia="Arial" w:hAnsi="Arial"/>
          <w:color w:val="000000"/>
          <w:spacing w:val="-1"/>
          <w:sz w:val="24"/>
        </w:rPr>
        <w:t xml:space="preserve">Cell type (i.e., tau microglia) proportions along microglia trajectory in both AD and CR (Resilience) groups considering both male and female subjects. Heatmap of sex-specific driver genes across microglial trajectory for </w:t>
      </w:r>
      <w:r>
        <w:rPr>
          <w:rFonts w:ascii="Arial" w:eastAsia="Arial" w:hAnsi="Arial"/>
          <w:b/>
          <w:color w:val="000000"/>
          <w:spacing w:val="-1"/>
          <w:sz w:val="24"/>
        </w:rPr>
        <w:t xml:space="preserve">(c) </w:t>
      </w:r>
      <w:r>
        <w:rPr>
          <w:rFonts w:ascii="Arial" w:eastAsia="Arial" w:hAnsi="Arial"/>
          <w:color w:val="000000"/>
          <w:spacing w:val="-1"/>
          <w:sz w:val="24"/>
        </w:rPr>
        <w:t xml:space="preserve">DAM1 in PART and CR (Resilience) groups and </w:t>
      </w:r>
      <w:r>
        <w:rPr>
          <w:rFonts w:ascii="Arial" w:eastAsia="Arial" w:hAnsi="Arial"/>
          <w:b/>
          <w:color w:val="000000"/>
          <w:spacing w:val="-1"/>
          <w:sz w:val="24"/>
        </w:rPr>
        <w:t>(d)</w:t>
      </w:r>
      <w:r>
        <w:rPr>
          <w:rFonts w:ascii="Arial" w:eastAsia="Arial" w:hAnsi="Arial"/>
          <w:color w:val="000000"/>
          <w:spacing w:val="-1"/>
          <w:sz w:val="24"/>
        </w:rPr>
        <w:t>. tau microglia in CR (Resilience), AD and PART groups.</w:t>
      </w:r>
    </w:p>
    <w:p w14:paraId="544DC35E" w14:textId="77777777" w:rsidR="0076748B" w:rsidRDefault="0076748B" w:rsidP="0076748B">
      <w:pPr>
        <w:spacing w:before="551" w:after="1530" w:line="552" w:lineRule="exact"/>
        <w:ind w:right="72"/>
        <w:textAlignment w:val="baseline"/>
        <w:rPr>
          <w:rFonts w:ascii="Arial" w:eastAsia="Arial" w:hAnsi="Arial"/>
          <w:b/>
          <w:color w:val="000000"/>
          <w:sz w:val="24"/>
        </w:rPr>
      </w:pPr>
      <w:r>
        <w:rPr>
          <w:rFonts w:ascii="Arial" w:eastAsia="Arial" w:hAnsi="Arial"/>
          <w:b/>
          <w:color w:val="000000"/>
          <w:sz w:val="24"/>
        </w:rPr>
        <w:t xml:space="preserve">Figure S15. Cellular community within immune subpopulations across different groups (a). </w:t>
      </w:r>
      <w:r>
        <w:rPr>
          <w:rFonts w:ascii="Arial" w:eastAsia="Arial" w:hAnsi="Arial"/>
          <w:color w:val="000000"/>
          <w:sz w:val="24"/>
        </w:rPr>
        <w:t xml:space="preserve">The number of inferred interactions (LRs) among immune subpopulations. From left to right: CN, AD, CR, and PART groups (q &lt; 0.05, mean_expr &gt; 0.2). </w:t>
      </w:r>
      <w:r>
        <w:rPr>
          <w:rFonts w:ascii="Arial" w:eastAsia="Arial" w:hAnsi="Arial"/>
          <w:b/>
          <w:color w:val="000000"/>
          <w:sz w:val="24"/>
        </w:rPr>
        <w:t xml:space="preserve">(b). </w:t>
      </w:r>
      <w:r>
        <w:rPr>
          <w:rFonts w:ascii="Arial" w:eastAsia="Arial" w:hAnsi="Arial"/>
          <w:color w:val="000000"/>
          <w:sz w:val="24"/>
        </w:rPr>
        <w:t xml:space="preserve">Bar plots showing differential interactions from T cell to microglial subpopulations (AD vs. CN). </w:t>
      </w:r>
      <w:r>
        <w:rPr>
          <w:rFonts w:ascii="Arial" w:eastAsia="Arial" w:hAnsi="Arial"/>
          <w:b/>
          <w:color w:val="000000"/>
          <w:sz w:val="24"/>
        </w:rPr>
        <w:t xml:space="preserve">(c). </w:t>
      </w:r>
      <w:r>
        <w:rPr>
          <w:rFonts w:ascii="Arial" w:eastAsia="Arial" w:hAnsi="Arial"/>
          <w:color w:val="000000"/>
          <w:sz w:val="24"/>
        </w:rPr>
        <w:t xml:space="preserve">Heatmap showing AD specific LRs (AD vs. CN/CR). </w:t>
      </w:r>
      <w:r>
        <w:rPr>
          <w:rFonts w:ascii="Arial" w:eastAsia="Arial" w:hAnsi="Arial"/>
          <w:b/>
          <w:color w:val="000000"/>
          <w:sz w:val="24"/>
        </w:rPr>
        <w:t xml:space="preserve">(d). </w:t>
      </w:r>
      <w:r>
        <w:rPr>
          <w:rFonts w:ascii="Arial" w:eastAsia="Arial" w:hAnsi="Arial"/>
          <w:color w:val="000000"/>
          <w:sz w:val="24"/>
        </w:rPr>
        <w:t xml:space="preserve">Dot plots showing the gene expression of glutamate receptors in MHC 1 microglia. </w:t>
      </w:r>
      <w:r>
        <w:rPr>
          <w:rFonts w:ascii="Arial" w:eastAsia="Arial" w:hAnsi="Arial"/>
          <w:b/>
          <w:color w:val="000000"/>
          <w:sz w:val="24"/>
        </w:rPr>
        <w:t xml:space="preserve">(e). </w:t>
      </w:r>
      <w:r>
        <w:rPr>
          <w:rFonts w:ascii="Arial" w:eastAsia="Arial" w:hAnsi="Arial"/>
          <w:color w:val="000000"/>
          <w:sz w:val="24"/>
        </w:rPr>
        <w:t>Violin plots showing the differential expression of selected glutamate receptors in bulkRNA-seq data (AD vs. CN, * q &lt;0.05; ** q&lt;0.01; *** q &lt; 0.0001). TCX: temporal cortex; IFG: inferior frontal gyrus; STG: superior temporal gyrus.</w:t>
      </w:r>
    </w:p>
    <w:p w14:paraId="464CC74A" w14:textId="77777777" w:rsidR="0076748B" w:rsidRDefault="0076748B" w:rsidP="0076748B">
      <w:pPr>
        <w:spacing w:before="551" w:after="1530" w:line="552" w:lineRule="exact"/>
        <w:sectPr w:rsidR="0076748B" w:rsidSect="0076748B">
          <w:pgSz w:w="12240" w:h="15840"/>
          <w:pgMar w:top="1160" w:right="1440" w:bottom="324" w:left="1430" w:header="720" w:footer="720" w:gutter="0"/>
          <w:cols w:space="720"/>
        </w:sectPr>
      </w:pPr>
    </w:p>
    <w:p w14:paraId="0A862911" w14:textId="77777777" w:rsidR="0076748B" w:rsidRDefault="0076748B" w:rsidP="0076748B">
      <w:pPr>
        <w:spacing w:before="2" w:line="251" w:lineRule="exact"/>
        <w:textAlignment w:val="baseline"/>
        <w:rPr>
          <w:rFonts w:ascii="Arial" w:eastAsia="Arial" w:hAnsi="Arial"/>
          <w:color w:val="000000"/>
        </w:rPr>
      </w:pPr>
      <w:r>
        <w:rPr>
          <w:rFonts w:ascii="Arial" w:eastAsia="Arial" w:hAnsi="Arial"/>
          <w:color w:val="000000"/>
        </w:rPr>
        <w:t>59</w:t>
      </w:r>
    </w:p>
    <w:p w14:paraId="57E23A14" w14:textId="77777777" w:rsidR="0076748B" w:rsidRDefault="0076748B" w:rsidP="0076748B">
      <w:pPr>
        <w:sectPr w:rsidR="0076748B" w:rsidSect="0076748B">
          <w:type w:val="continuous"/>
          <w:pgSz w:w="12240" w:h="15840"/>
          <w:pgMar w:top="1160" w:right="1382" w:bottom="324" w:left="10498" w:header="720" w:footer="720" w:gutter="0"/>
          <w:cols w:space="720"/>
        </w:sectPr>
      </w:pPr>
    </w:p>
    <w:p w14:paraId="1CDB075B" w14:textId="77777777" w:rsidR="0076748B" w:rsidRDefault="0076748B" w:rsidP="0076748B">
      <w:pPr>
        <w:spacing w:before="9" w:line="552" w:lineRule="exact"/>
        <w:textAlignment w:val="baseline"/>
        <w:rPr>
          <w:rFonts w:ascii="Arial" w:eastAsia="Arial" w:hAnsi="Arial"/>
          <w:b/>
          <w:color w:val="000000"/>
          <w:sz w:val="24"/>
        </w:rPr>
      </w:pPr>
      <w:r>
        <w:rPr>
          <w:rFonts w:ascii="Arial" w:eastAsia="Arial" w:hAnsi="Arial"/>
          <w:b/>
          <w:color w:val="000000"/>
          <w:sz w:val="24"/>
        </w:rPr>
        <w:lastRenderedPageBreak/>
        <w:t xml:space="preserve">Figure S16. Cellular community in proliferation microglia across different groups (a). </w:t>
      </w:r>
      <w:r>
        <w:rPr>
          <w:rFonts w:ascii="Arial" w:eastAsia="Arial" w:hAnsi="Arial"/>
          <w:color w:val="000000"/>
          <w:sz w:val="24"/>
        </w:rPr>
        <w:t xml:space="preserve">Circle plots showing interactions (LRs) in proliferation microglia across different groups. Up to down: CN, AD, CR and PART. </w:t>
      </w:r>
      <w:r>
        <w:rPr>
          <w:rFonts w:ascii="Arial" w:eastAsia="Arial" w:hAnsi="Arial"/>
          <w:b/>
          <w:color w:val="000000"/>
          <w:sz w:val="24"/>
        </w:rPr>
        <w:t xml:space="preserve">(b). </w:t>
      </w:r>
      <w:r>
        <w:rPr>
          <w:rFonts w:ascii="Arial" w:eastAsia="Arial" w:hAnsi="Arial"/>
          <w:color w:val="000000"/>
          <w:sz w:val="24"/>
        </w:rPr>
        <w:t xml:space="preserve">Bar plots showing differential interactions from proliferation cell to immune subpopulations (AD vs. CR). </w:t>
      </w:r>
      <w:r>
        <w:rPr>
          <w:rFonts w:ascii="Arial" w:eastAsia="Arial" w:hAnsi="Arial"/>
          <w:b/>
          <w:color w:val="000000"/>
          <w:sz w:val="24"/>
        </w:rPr>
        <w:t xml:space="preserve">(c). </w:t>
      </w:r>
      <w:r>
        <w:rPr>
          <w:rFonts w:ascii="Arial" w:eastAsia="Arial" w:hAnsi="Arial"/>
          <w:color w:val="000000"/>
          <w:sz w:val="24"/>
        </w:rPr>
        <w:t>Dot plots showing AD-specific LRs from proliferation microglia to different immune subpopulations (AD vs. CN/CR).</w:t>
      </w:r>
    </w:p>
    <w:p w14:paraId="19B5EBBA" w14:textId="77777777" w:rsidR="0076748B" w:rsidRDefault="0076748B" w:rsidP="0076748B">
      <w:pPr>
        <w:spacing w:before="273" w:line="552" w:lineRule="exact"/>
        <w:ind w:right="216"/>
        <w:textAlignment w:val="baseline"/>
        <w:rPr>
          <w:rFonts w:ascii="Arial" w:eastAsia="Arial" w:hAnsi="Arial"/>
          <w:b/>
          <w:color w:val="000000"/>
          <w:sz w:val="24"/>
        </w:rPr>
      </w:pPr>
      <w:r>
        <w:rPr>
          <w:rFonts w:ascii="Arial" w:eastAsia="Arial" w:hAnsi="Arial"/>
          <w:b/>
          <w:color w:val="000000"/>
          <w:sz w:val="24"/>
        </w:rPr>
        <w:t xml:space="preserve">Figure S17. Signal of complement across different groups (a). </w:t>
      </w:r>
      <w:r>
        <w:rPr>
          <w:rFonts w:ascii="Arial" w:eastAsia="Arial" w:hAnsi="Arial"/>
          <w:color w:val="000000"/>
          <w:sz w:val="24"/>
        </w:rPr>
        <w:t xml:space="preserve">Dot plots showing signal of complement within different immune subpopulations across different immune subpopulations. </w:t>
      </w:r>
      <w:r>
        <w:rPr>
          <w:rFonts w:ascii="Arial" w:eastAsia="Arial" w:hAnsi="Arial"/>
          <w:b/>
          <w:color w:val="000000"/>
          <w:sz w:val="24"/>
        </w:rPr>
        <w:t xml:space="preserve">(b). </w:t>
      </w:r>
      <w:r>
        <w:rPr>
          <w:rFonts w:ascii="Arial" w:eastAsia="Arial" w:hAnsi="Arial"/>
          <w:color w:val="000000"/>
          <w:sz w:val="24"/>
        </w:rPr>
        <w:t>Violin plots showing expression of LRs within complement signal across different immune subpopulations. Ligands: C3, C1QL1, C1QL3; Receptors: C3AR1, C5AR1, C5AR2, ITGAM. ITGB2, ADGRB3.</w:t>
      </w:r>
    </w:p>
    <w:p w14:paraId="732104DA" w14:textId="32E9A98E" w:rsidR="0076748B" w:rsidRDefault="0076748B" w:rsidP="0076748B">
      <w:pPr>
        <w:spacing w:before="552" w:line="552" w:lineRule="exact"/>
        <w:ind w:right="360"/>
        <w:textAlignment w:val="baseline"/>
        <w:rPr>
          <w:rFonts w:ascii="Arial" w:eastAsia="Arial" w:hAnsi="Arial"/>
          <w:b/>
          <w:color w:val="000000"/>
          <w:sz w:val="24"/>
        </w:rPr>
      </w:pPr>
      <w:r>
        <w:rPr>
          <w:noProof/>
        </w:rPr>
        <mc:AlternateContent>
          <mc:Choice Requires="wps">
            <w:drawing>
              <wp:anchor distT="0" distB="0" distL="0" distR="0" simplePos="0" relativeHeight="251660288" behindDoc="1" locked="0" layoutInCell="1" allowOverlap="1" wp14:anchorId="25236660" wp14:editId="3454C3D6">
                <wp:simplePos x="0" y="0"/>
                <wp:positionH relativeFrom="page">
                  <wp:posOffset>6642735</wp:posOffset>
                </wp:positionH>
                <wp:positionV relativeFrom="page">
                  <wp:posOffset>9429115</wp:posOffset>
                </wp:positionV>
                <wp:extent cx="271780" cy="160655"/>
                <wp:effectExtent l="3810" t="0" r="635" b="1905"/>
                <wp:wrapSquare wrapText="bothSides"/>
                <wp:docPr id="208506265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8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AC4D1" w14:textId="77777777" w:rsidR="0076748B" w:rsidRDefault="0076748B" w:rsidP="0076748B">
                            <w:pPr>
                              <w:spacing w:before="2" w:line="240" w:lineRule="exact"/>
                              <w:textAlignment w:val="baseline"/>
                              <w:rPr>
                                <w:rFonts w:ascii="Arial" w:eastAsia="Arial" w:hAnsi="Arial"/>
                                <w:color w:val="000000"/>
                              </w:rPr>
                            </w:pPr>
                            <w:r>
                              <w:rPr>
                                <w:rFonts w:ascii="Arial" w:eastAsia="Arial" w:hAnsi="Arial"/>
                                <w:color w:val="000000"/>
                              </w:rPr>
                              <w:t>60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236660" id="Text Box 1" o:spid="_x0000_s1027" type="#_x0000_t202" style="position:absolute;margin-left:523.05pt;margin-top:742.45pt;width:21.4pt;height:12.6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OM41wEAAJcDAAAOAAAAZHJzL2Uyb0RvYy54bWysU9tu2zAMfR+wfxD0vtgO0LQw4hRdiw4D&#10;ugvQ7QNkWbKF2aJGKbGzrx8l2+kub8NeBJqUDs85pPe309Czk0JvwFa82OScKSuhMbat+Ncvj29u&#10;OPNB2Eb0YFXFz8rz28PrV/vRlWoLHfSNQkYg1pejq3gXgiuzzMtODcJvwClLRQ04iECf2GYNipHQ&#10;hz7b5vkuGwEbhyCV95R9mIv8kPC1VjJ80tqrwPqKE7eQTkxnHc/ssBdli8J1Ri40xD+wGISx1PQC&#10;9SCCYEc0f0ENRiJ40GEjYchAayNV0kBqivwPNc+dcCppIXO8u9jk/x+s/Hh6dp+RhektTDTAJMK7&#10;J5DfPLNw3wnbqjtEGDslGmpcRMuy0flyeRqt9qWPIPX4ARoasjgGSECTxiG6QjoZodMAzhfT1RSY&#10;pOT2uri+oYqkUrHLd1dXqYMo18cOfXinYGAxqDjSTBO4OD35EMmIcr0Se1l4NH2f5trb3xJ0MWYS&#10;+ch3Zh6memKmWZRFLTU0Z1KDMG8LbTcFHeAPzkbalIr770eBirP+vSVH4lqtAa5BvQbCSnpa8cDZ&#10;HN6Hef2ODk3bEfLsuYU7ck2bpOiFxUKXpp+ELpsa1+vX73Tr5X86/AQAAP//AwBQSwMEFAAGAAgA&#10;AAAhAAv6x1fhAAAADwEAAA8AAABkcnMvZG93bnJldi54bWxMj8FOwzAQRO9I/IO1SNyonSpEaYhT&#10;VQhOSIg0HDg6sZtYjdchdtvw92xPcJvRjmbflNvFjexs5mA9SkhWApjBzmuLvYTP5vUhBxaiQq1G&#10;j0bCjwmwrW5vSlVof8HanPexZ1SCoVAShhingvPQDcapsPKTQbod/OxUJDv3XM/qQuVu5GshMu6U&#10;RfowqMk8D6Y77k9Owu4L6xf7/d5+1IfaNs1G4Ft2lPL+btk9AYtmiX9huOITOlTE1PoT6sBG8iLN&#10;EsqSSvN0A+yaEXlOqiX1mIg18Krk/3dUvwAAAP//AwBQSwECLQAUAAYACAAAACEAtoM4kv4AAADh&#10;AQAAEwAAAAAAAAAAAAAAAAAAAAAAW0NvbnRlbnRfVHlwZXNdLnhtbFBLAQItABQABgAIAAAAIQA4&#10;/SH/1gAAAJQBAAALAAAAAAAAAAAAAAAAAC8BAABfcmVscy8ucmVsc1BLAQItABQABgAIAAAAIQCE&#10;XOM41wEAAJcDAAAOAAAAAAAAAAAAAAAAAC4CAABkcnMvZTJvRG9jLnhtbFBLAQItABQABgAIAAAA&#10;IQAL+sdX4QAAAA8BAAAPAAAAAAAAAAAAAAAAADEEAABkcnMvZG93bnJldi54bWxQSwUGAAAAAAQA&#10;BADzAAAAPwUAAAAA&#10;" filled="f" stroked="f">
                <v:textbox inset="0,0,0,0">
                  <w:txbxContent>
                    <w:p w14:paraId="0B6AC4D1" w14:textId="77777777" w:rsidR="0076748B" w:rsidRDefault="0076748B" w:rsidP="0076748B">
                      <w:pPr>
                        <w:spacing w:before="2" w:line="240" w:lineRule="exact"/>
                        <w:textAlignment w:val="baseline"/>
                        <w:rPr>
                          <w:rFonts w:ascii="Arial" w:eastAsia="Arial" w:hAnsi="Arial"/>
                          <w:color w:val="000000"/>
                        </w:rPr>
                      </w:pPr>
                      <w:r>
                        <w:rPr>
                          <w:rFonts w:ascii="Arial" w:eastAsia="Arial" w:hAnsi="Arial"/>
                          <w:color w:val="000000"/>
                        </w:rPr>
                        <w:t>60</w:t>
                      </w:r>
                    </w:p>
                  </w:txbxContent>
                </v:textbox>
                <w10:wrap type="square" anchorx="page" anchory="page"/>
              </v:shape>
            </w:pict>
          </mc:Fallback>
        </mc:AlternateContent>
      </w:r>
      <w:r>
        <w:rPr>
          <w:rFonts w:ascii="Arial" w:eastAsia="Arial" w:hAnsi="Arial"/>
          <w:b/>
          <w:color w:val="000000"/>
          <w:sz w:val="24"/>
        </w:rPr>
        <w:t xml:space="preserve">Figure S18. Differential Expression of selected ligand and receptors involved in complement signal in bulk RNA-seq data (a). </w:t>
      </w:r>
      <w:r>
        <w:rPr>
          <w:rFonts w:ascii="Arial" w:eastAsia="Arial" w:hAnsi="Arial"/>
          <w:color w:val="000000"/>
          <w:sz w:val="24"/>
        </w:rPr>
        <w:t xml:space="preserve">Ligand of C3 (AD vs, Normal, * q &lt;0.05; ** q&lt;0.01; *** q &lt; 0.0001). FP: frontal pole; IFG: inferior frontal gyrus; </w:t>
      </w:r>
      <w:r>
        <w:rPr>
          <w:rFonts w:ascii="Arial" w:eastAsia="Arial" w:hAnsi="Arial"/>
          <w:b/>
          <w:color w:val="000000"/>
          <w:sz w:val="24"/>
        </w:rPr>
        <w:t xml:space="preserve">(b). </w:t>
      </w:r>
      <w:r>
        <w:rPr>
          <w:rFonts w:ascii="Arial" w:eastAsia="Arial" w:hAnsi="Arial"/>
          <w:color w:val="000000"/>
          <w:sz w:val="24"/>
        </w:rPr>
        <w:t>Receptors of C3AR1, ITGAM and ITGB2. TC: temporal cortex; FP: frontal pole; IFG: inferior frontal gyrus; PHG: parahippocampal gyrus; PC: prefrontal cortex; STG: superior temporal gyrus: DLPFC: dorsolateral prefrontal cortex; FC: frontal cortex.</w:t>
      </w:r>
    </w:p>
    <w:p w14:paraId="4E95BEFA" w14:textId="77777777" w:rsidR="00865217" w:rsidRDefault="00865217"/>
    <w:sectPr w:rsidR="00865217" w:rsidSect="0076748B">
      <w:pgSz w:w="12240" w:h="15840"/>
      <w:pgMar w:top="1160" w:right="1437" w:bottom="595" w:left="14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48B"/>
    <w:rsid w:val="002E281E"/>
    <w:rsid w:val="003201BB"/>
    <w:rsid w:val="003E2C47"/>
    <w:rsid w:val="0076748B"/>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31588"/>
  <w15:chartTrackingRefBased/>
  <w15:docId w15:val="{1F509CF9-CF3F-4F46-B30E-17FA27567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48B"/>
    <w:pPr>
      <w:spacing w:after="0" w:line="240" w:lineRule="auto"/>
    </w:pPr>
    <w:rPr>
      <w:rFonts w:ascii="Times New Roman" w:eastAsia="PMingLiU" w:hAnsi="Times New Roman" w:cs="Times New Roman"/>
      <w:kern w:val="0"/>
      <w:sz w:val="22"/>
      <w:szCs w:val="22"/>
      <w14:ligatures w14:val="none"/>
    </w:rPr>
  </w:style>
  <w:style w:type="paragraph" w:styleId="Heading1">
    <w:name w:val="heading 1"/>
    <w:basedOn w:val="Normal"/>
    <w:next w:val="Normal"/>
    <w:link w:val="Heading1Char"/>
    <w:uiPriority w:val="9"/>
    <w:qFormat/>
    <w:rsid w:val="0076748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6748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6748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6748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6748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6748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6748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6748B"/>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6748B"/>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74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74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74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74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74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74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74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74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748B"/>
    <w:rPr>
      <w:rFonts w:eastAsiaTheme="majorEastAsia" w:cstheme="majorBidi"/>
      <w:color w:val="272727" w:themeColor="text1" w:themeTint="D8"/>
    </w:rPr>
  </w:style>
  <w:style w:type="paragraph" w:styleId="Title">
    <w:name w:val="Title"/>
    <w:basedOn w:val="Normal"/>
    <w:next w:val="Normal"/>
    <w:link w:val="TitleChar"/>
    <w:uiPriority w:val="10"/>
    <w:qFormat/>
    <w:rsid w:val="0076748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674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748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674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748B"/>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6748B"/>
    <w:rPr>
      <w:i/>
      <w:iCs/>
      <w:color w:val="404040" w:themeColor="text1" w:themeTint="BF"/>
    </w:rPr>
  </w:style>
  <w:style w:type="paragraph" w:styleId="ListParagraph">
    <w:name w:val="List Paragraph"/>
    <w:basedOn w:val="Normal"/>
    <w:uiPriority w:val="34"/>
    <w:qFormat/>
    <w:rsid w:val="0076748B"/>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6748B"/>
    <w:rPr>
      <w:i/>
      <w:iCs/>
      <w:color w:val="0F4761" w:themeColor="accent1" w:themeShade="BF"/>
    </w:rPr>
  </w:style>
  <w:style w:type="paragraph" w:styleId="IntenseQuote">
    <w:name w:val="Intense Quote"/>
    <w:basedOn w:val="Normal"/>
    <w:next w:val="Normal"/>
    <w:link w:val="IntenseQuoteChar"/>
    <w:uiPriority w:val="30"/>
    <w:qFormat/>
    <w:rsid w:val="0076748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6748B"/>
    <w:rPr>
      <w:i/>
      <w:iCs/>
      <w:color w:val="0F4761" w:themeColor="accent1" w:themeShade="BF"/>
    </w:rPr>
  </w:style>
  <w:style w:type="character" w:styleId="IntenseReference">
    <w:name w:val="Intense Reference"/>
    <w:basedOn w:val="DefaultParagraphFont"/>
    <w:uiPriority w:val="32"/>
    <w:qFormat/>
    <w:rsid w:val="007674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1029</Words>
  <Characters>5871</Characters>
  <Application>Microsoft Office Word</Application>
  <DocSecurity>0</DocSecurity>
  <Lines>48</Lines>
  <Paragraphs>13</Paragraphs>
  <ScaleCrop>false</ScaleCrop>
  <Company>Springer Nature</Company>
  <LinksUpToDate>false</LinksUpToDate>
  <CharactersWithSpaces>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2025-07-08T14:31:00Z</dcterms:created>
  <dcterms:modified xsi:type="dcterms:W3CDTF">2025-07-08T14:31:00Z</dcterms:modified>
</cp:coreProperties>
</file>