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AE572" w14:textId="77777777" w:rsidR="00F24509" w:rsidRDefault="00000000">
      <w:bookmarkStart w:id="0" w:name="OLE_LINK304"/>
      <w:r>
        <w:rPr>
          <w:b/>
          <w:bCs/>
        </w:rPr>
        <w:t>Supplementary Fig</w:t>
      </w:r>
      <w:bookmarkEnd w:id="0"/>
      <w:r>
        <w:rPr>
          <w:b/>
          <w:bCs/>
        </w:rPr>
        <w:t xml:space="preserve"> 1.</w:t>
      </w:r>
      <w:r>
        <w:t xml:space="preserve"> </w:t>
      </w:r>
      <w:r>
        <w:rPr>
          <w:b/>
          <w:bCs/>
        </w:rPr>
        <w:t xml:space="preserve">UMAP visualization of all annotated cell clusters. </w:t>
      </w:r>
      <w:r>
        <w:t>UMAP projection plot showing 76 distinct cell clusters from seven</w:t>
      </w:r>
      <w:r>
        <w:rPr>
          <w:i/>
        </w:rPr>
        <w:t xml:space="preserve"> S. japonicum</w:t>
      </w:r>
      <w:r>
        <w:t> samples (left), with each cluster labeled for identification (right).</w:t>
      </w:r>
    </w:p>
    <w:p w14:paraId="57513DEC" w14:textId="77777777" w:rsidR="00F24509" w:rsidRDefault="00F24509"/>
    <w:p w14:paraId="62C17C12" w14:textId="77777777" w:rsidR="00F24509" w:rsidRDefault="00000000">
      <w:r>
        <w:rPr>
          <w:b/>
          <w:bCs/>
        </w:rPr>
        <w:t>Supplementary Fig 2.</w:t>
      </w:r>
      <w:r>
        <w:t xml:space="preserve"> </w:t>
      </w:r>
      <w:r>
        <w:rPr>
          <w:b/>
          <w:bCs/>
        </w:rPr>
        <w:t>Marker genes for each cell type in</w:t>
      </w:r>
      <w:r>
        <w:rPr>
          <w:b/>
          <w:bCs/>
          <w:i/>
          <w:iCs/>
        </w:rPr>
        <w:t xml:space="preserve"> S. japonicum</w:t>
      </w:r>
      <w:r>
        <w:rPr>
          <w:b/>
          <w:bCs/>
        </w:rPr>
        <w:t xml:space="preserve">. </w:t>
      </w:r>
      <w:r>
        <w:t>Dot plot displaying the expression of specific marker genes for each cell type in</w:t>
      </w:r>
      <w:r>
        <w:rPr>
          <w:i/>
        </w:rPr>
        <w:t xml:space="preserve"> S. japonicum</w:t>
      </w:r>
      <w:r>
        <w:t>.</w:t>
      </w:r>
    </w:p>
    <w:p w14:paraId="33C1A99D" w14:textId="77777777" w:rsidR="00F24509" w:rsidRDefault="00F24509"/>
    <w:p w14:paraId="2794B52B" w14:textId="77777777" w:rsidR="00F24509" w:rsidRDefault="00000000">
      <w:r>
        <w:rPr>
          <w:b/>
          <w:bCs/>
        </w:rPr>
        <w:t>Supplementary Fig 3. Identification of cell type-specific marker genes of</w:t>
      </w:r>
      <w:r>
        <w:rPr>
          <w:b/>
          <w:bCs/>
          <w:i/>
        </w:rPr>
        <w:t xml:space="preserve"> S. japonicum</w:t>
      </w:r>
      <w:r>
        <w:rPr>
          <w:b/>
          <w:bCs/>
          <w:i/>
          <w:iCs/>
        </w:rPr>
        <w:t xml:space="preserve"> </w:t>
      </w:r>
      <w:r>
        <w:rPr>
          <w:b/>
          <w:bCs/>
        </w:rPr>
        <w:t xml:space="preserve">using WISH. </w:t>
      </w:r>
      <w:r>
        <w:t xml:space="preserve">For each cell type, the UMAP plot (left) and representative colorimetric WISH images (right) are shown: (a) GSC (Germline stem cell)-specific genes: </w:t>
      </w:r>
      <w:r>
        <w:rPr>
          <w:i/>
          <w:iCs/>
        </w:rPr>
        <w:t>Sjc-0003010</w:t>
      </w:r>
      <w:r>
        <w:t xml:space="preserve">, </w:t>
      </w:r>
      <w:r>
        <w:rPr>
          <w:i/>
          <w:iCs/>
        </w:rPr>
        <w:t xml:space="preserve">Sjc-0008393, Sjc-0009231 </w:t>
      </w:r>
      <w:r>
        <w:t>(</w:t>
      </w:r>
      <w:r>
        <w:rPr>
          <w:i/>
          <w:iCs/>
        </w:rPr>
        <w:t>boll</w:t>
      </w:r>
      <w:r>
        <w:t xml:space="preserve">, </w:t>
      </w:r>
      <w:r>
        <w:rPr>
          <w:i/>
          <w:iCs/>
        </w:rPr>
        <w:t>Protein boule-like</w:t>
      </w:r>
      <w:r>
        <w:t>)</w:t>
      </w:r>
      <w:r>
        <w:rPr>
          <w:i/>
          <w:iCs/>
        </w:rPr>
        <w:t>, Sjc-0007561</w:t>
      </w:r>
      <w:r>
        <w:t>(</w:t>
      </w:r>
      <w:r>
        <w:rPr>
          <w:i/>
          <w:iCs/>
        </w:rPr>
        <w:t>nuob</w:t>
      </w:r>
      <w:r>
        <w:t xml:space="preserve">, </w:t>
      </w:r>
      <w:r>
        <w:rPr>
          <w:i/>
          <w:iCs/>
        </w:rPr>
        <w:t>NADH-quinone oxidoreductase subunit B</w:t>
      </w:r>
      <w:r>
        <w:t xml:space="preserve">), and </w:t>
      </w:r>
      <w:r>
        <w:rPr>
          <w:i/>
          <w:iCs/>
        </w:rPr>
        <w:t xml:space="preserve">Sjc-0004774 </w:t>
      </w:r>
      <w:r>
        <w:t>(</w:t>
      </w:r>
      <w:r>
        <w:rPr>
          <w:i/>
          <w:iCs/>
        </w:rPr>
        <w:t>meiob</w:t>
      </w:r>
      <w:r>
        <w:t xml:space="preserve">, </w:t>
      </w:r>
      <w:r>
        <w:rPr>
          <w:i/>
          <w:iCs/>
        </w:rPr>
        <w:t>Meiosis-specific with OB domain-containing protein</w:t>
      </w:r>
      <w:r>
        <w:t xml:space="preserve">). (b) Mehlis' gland-specific gene: </w:t>
      </w:r>
      <w:r>
        <w:rPr>
          <w:i/>
          <w:iCs/>
        </w:rPr>
        <w:t>Sjc-0003576</w:t>
      </w:r>
      <w:r>
        <w:t xml:space="preserve"> (</w:t>
      </w:r>
      <w:r>
        <w:rPr>
          <w:i/>
          <w:iCs/>
        </w:rPr>
        <w:t>Zonadhesin</w:t>
      </w:r>
      <w:r>
        <w:t xml:space="preserve">). (c) Male gamete-specific gene: </w:t>
      </w:r>
      <w:r>
        <w:rPr>
          <w:i/>
          <w:iCs/>
        </w:rPr>
        <w:t>Sjc-0001566</w:t>
      </w:r>
      <w:r>
        <w:t xml:space="preserve"> (</w:t>
      </w:r>
      <w:r>
        <w:rPr>
          <w:i/>
          <w:iCs/>
        </w:rPr>
        <w:t>ccdc</w:t>
      </w:r>
      <w:r>
        <w:t>,</w:t>
      </w:r>
      <w:r>
        <w:rPr>
          <w:i/>
          <w:iCs/>
        </w:rPr>
        <w:t xml:space="preserve"> Coiled-coil domain-containing protein</w:t>
      </w:r>
      <w:r>
        <w:t xml:space="preserve">). (d) Vitellocyte-specific gene </w:t>
      </w:r>
      <w:r>
        <w:rPr>
          <w:i/>
          <w:iCs/>
        </w:rPr>
        <w:t>Sjc-0000176</w:t>
      </w:r>
      <w:r>
        <w:t xml:space="preserve"> (</w:t>
      </w:r>
      <w:r>
        <w:rPr>
          <w:i/>
          <w:iCs/>
        </w:rPr>
        <w:t>tetraspanin</w:t>
      </w:r>
      <w:r>
        <w:t xml:space="preserve">). (e) Neoblast-specific gene: </w:t>
      </w:r>
      <w:r>
        <w:rPr>
          <w:i/>
          <w:iCs/>
        </w:rPr>
        <w:t xml:space="preserve">Sjc-0004922 </w:t>
      </w:r>
      <w:r>
        <w:t>(</w:t>
      </w:r>
      <w:r>
        <w:rPr>
          <w:i/>
          <w:iCs/>
        </w:rPr>
        <w:t>tubulin alpha-1 chain</w:t>
      </w:r>
      <w:r>
        <w:t xml:space="preserve">). (f) Neuron stem cell-specific gene: </w:t>
      </w:r>
      <w:r>
        <w:rPr>
          <w:i/>
          <w:iCs/>
        </w:rPr>
        <w:t>Sjc-0008047</w:t>
      </w:r>
      <w:r>
        <w:t xml:space="preserve"> (</w:t>
      </w:r>
      <w:r>
        <w:rPr>
          <w:i/>
          <w:iCs/>
        </w:rPr>
        <w:t>klf11</w:t>
      </w:r>
      <w:r>
        <w:t>,</w:t>
      </w:r>
      <w:r>
        <w:rPr>
          <w:i/>
          <w:iCs/>
        </w:rPr>
        <w:t xml:space="preserve"> Krueppel-like factor 11</w:t>
      </w:r>
      <w:r>
        <w:t xml:space="preserve">). (g) Neural precursor cell-specific genes: </w:t>
      </w:r>
      <w:r>
        <w:rPr>
          <w:i/>
          <w:iCs/>
        </w:rPr>
        <w:t>Sjc-0005931</w:t>
      </w:r>
      <w:r>
        <w:t xml:space="preserve"> (</w:t>
      </w:r>
      <w:r>
        <w:rPr>
          <w:i/>
          <w:iCs/>
        </w:rPr>
        <w:t>acss2</w:t>
      </w:r>
      <w:r>
        <w:t xml:space="preserve">, </w:t>
      </w:r>
      <w:r>
        <w:rPr>
          <w:i/>
          <w:iCs/>
        </w:rPr>
        <w:t>Acetyl-coenzyme A synthetase</w:t>
      </w:r>
      <w:r>
        <w:t xml:space="preserve">) and </w:t>
      </w:r>
      <w:r>
        <w:rPr>
          <w:i/>
          <w:iCs/>
        </w:rPr>
        <w:t>Sjc-0007590</w:t>
      </w:r>
      <w:r>
        <w:t xml:space="preserve"> (</w:t>
      </w:r>
      <w:r>
        <w:rPr>
          <w:i/>
          <w:iCs/>
        </w:rPr>
        <w:t>pcdh7</w:t>
      </w:r>
      <w:r>
        <w:t xml:space="preserve">, </w:t>
      </w:r>
      <w:r>
        <w:rPr>
          <w:i/>
          <w:iCs/>
        </w:rPr>
        <w:t>Protocadherin gamma-B7</w:t>
      </w:r>
      <w:r>
        <w:t xml:space="preserve">). (h) Mature neuron-specific gene: </w:t>
      </w:r>
      <w:r>
        <w:rPr>
          <w:i/>
          <w:iCs/>
        </w:rPr>
        <w:t>Sjc-0001267</w:t>
      </w:r>
      <w:r>
        <w:t xml:space="preserve"> (</w:t>
      </w:r>
      <w:r>
        <w:rPr>
          <w:i/>
          <w:iCs/>
        </w:rPr>
        <w:t>7b2,</w:t>
      </w:r>
      <w:r>
        <w:t xml:space="preserve"> </w:t>
      </w:r>
      <w:r>
        <w:rPr>
          <w:i/>
          <w:iCs/>
        </w:rPr>
        <w:t>Neuroendocrine protein 7b2</w:t>
      </w:r>
      <w:r>
        <w:t xml:space="preserve">). (i) Parenchyma-specific genes: </w:t>
      </w:r>
      <w:r>
        <w:rPr>
          <w:i/>
          <w:iCs/>
        </w:rPr>
        <w:t>Sjc-0005717</w:t>
      </w:r>
      <w:r>
        <w:t xml:space="preserve"> (</w:t>
      </w:r>
      <w:r>
        <w:rPr>
          <w:i/>
          <w:iCs/>
        </w:rPr>
        <w:t>ctsb</w:t>
      </w:r>
      <w:r>
        <w:t xml:space="preserve">, </w:t>
      </w:r>
      <w:r>
        <w:rPr>
          <w:i/>
          <w:iCs/>
        </w:rPr>
        <w:t>Cathepsin B</w:t>
      </w:r>
      <w:r>
        <w:t>)</w:t>
      </w:r>
      <w:r>
        <w:rPr>
          <w:i/>
          <w:iCs/>
        </w:rPr>
        <w:t xml:space="preserve"> </w:t>
      </w:r>
      <w:r>
        <w:t>and</w:t>
      </w:r>
      <w:r>
        <w:rPr>
          <w:kern w:val="0"/>
        </w:rPr>
        <w:t xml:space="preserve"> </w:t>
      </w:r>
      <w:r>
        <w:rPr>
          <w:i/>
          <w:iCs/>
        </w:rPr>
        <w:t xml:space="preserve">Sjc-0002588 </w:t>
      </w:r>
      <w:r>
        <w:t>(</w:t>
      </w:r>
      <w:r>
        <w:rPr>
          <w:i/>
          <w:iCs/>
        </w:rPr>
        <w:t>slc6a5</w:t>
      </w:r>
      <w:r>
        <w:t xml:space="preserve">, </w:t>
      </w:r>
      <w:r>
        <w:rPr>
          <w:i/>
          <w:iCs/>
        </w:rPr>
        <w:t>Sodium- and chloride-dependent glycine transporter 2</w:t>
      </w:r>
      <w:r>
        <w:t xml:space="preserve">). (j) Gut-specific gene: </w:t>
      </w:r>
      <w:r>
        <w:rPr>
          <w:i/>
          <w:iCs/>
        </w:rPr>
        <w:t>Sjc-0000045</w:t>
      </w:r>
      <w:r>
        <w:t xml:space="preserve"> (</w:t>
      </w:r>
      <w:r>
        <w:rPr>
          <w:i/>
          <w:iCs/>
        </w:rPr>
        <w:t>ctsl, Cathepsin L-like proteinase</w:t>
      </w:r>
      <w:r>
        <w:t xml:space="preserve">). (k) Esophageal gland-specific gene: </w:t>
      </w:r>
      <w:r>
        <w:rPr>
          <w:i/>
          <w:iCs/>
        </w:rPr>
        <w:t>Sjc-0001890</w:t>
      </w:r>
      <w:r>
        <w:t xml:space="preserve"> (</w:t>
      </w:r>
      <w:r>
        <w:rPr>
          <w:i/>
          <w:iCs/>
        </w:rPr>
        <w:t>sgf1</w:t>
      </w:r>
      <w:r>
        <w:t xml:space="preserve">, </w:t>
      </w:r>
      <w:r>
        <w:rPr>
          <w:i/>
          <w:iCs/>
        </w:rPr>
        <w:t>Silk gland factor 1</w:t>
      </w:r>
      <w:r>
        <w:t xml:space="preserve">). (l) </w:t>
      </w:r>
      <w:r>
        <w:rPr>
          <w:i/>
          <w:iCs/>
        </w:rPr>
        <w:t>kk7</w:t>
      </w:r>
      <w:r>
        <w:rPr>
          <w:vertAlign w:val="superscript"/>
        </w:rPr>
        <w:t>+</w:t>
      </w:r>
      <w:r>
        <w:t xml:space="preserve"> neuron-specific gene: </w:t>
      </w:r>
      <w:r>
        <w:rPr>
          <w:i/>
          <w:iCs/>
        </w:rPr>
        <w:t xml:space="preserve">Sjc-0002936 </w:t>
      </w:r>
      <w:r>
        <w:t>(</w:t>
      </w:r>
      <w:r>
        <w:rPr>
          <w:i/>
          <w:iCs/>
        </w:rPr>
        <w:t>kk7</w:t>
      </w:r>
      <w:r>
        <w:t xml:space="preserve">). (m) Muscle-specific genes: </w:t>
      </w:r>
      <w:r>
        <w:rPr>
          <w:i/>
          <w:iCs/>
        </w:rPr>
        <w:t>Sjc-0009480</w:t>
      </w:r>
      <w:r>
        <w:t xml:space="preserve"> (</w:t>
      </w:r>
      <w:r>
        <w:rPr>
          <w:i/>
          <w:iCs/>
        </w:rPr>
        <w:t>tpm2,</w:t>
      </w:r>
      <w:r>
        <w:t xml:space="preserve"> </w:t>
      </w:r>
      <w:r>
        <w:rPr>
          <w:i/>
          <w:iCs/>
        </w:rPr>
        <w:t>Tropomyosin-2</w:t>
      </w:r>
      <w:r>
        <w:t xml:space="preserve">), </w:t>
      </w:r>
      <w:r>
        <w:rPr>
          <w:i/>
        </w:rPr>
        <w:t xml:space="preserve">Sjc-0008416 </w:t>
      </w:r>
      <w:r>
        <w:rPr>
          <w:iCs/>
        </w:rPr>
        <w:t>(</w:t>
      </w:r>
      <w:r>
        <w:rPr>
          <w:i/>
        </w:rPr>
        <w:t>cpb,</w:t>
      </w:r>
      <w:r>
        <w:t xml:space="preserve"> </w:t>
      </w:r>
      <w:r>
        <w:rPr>
          <w:i/>
        </w:rPr>
        <w:t>Sarcoplasmic calcium-binding protein</w:t>
      </w:r>
      <w:r>
        <w:rPr>
          <w:iCs/>
        </w:rPr>
        <w:t xml:space="preserve">), </w:t>
      </w:r>
      <w:r>
        <w:rPr>
          <w:i/>
        </w:rPr>
        <w:t xml:space="preserve">Sjc-0007782 </w:t>
      </w:r>
      <w:r>
        <w:rPr>
          <w:iCs/>
        </w:rPr>
        <w:t>(</w:t>
      </w:r>
      <w:r>
        <w:rPr>
          <w:i/>
        </w:rPr>
        <w:t>Paramyosin</w:t>
      </w:r>
      <w:r>
        <w:rPr>
          <w:iCs/>
        </w:rPr>
        <w:t>)</w:t>
      </w:r>
      <w:r>
        <w:t xml:space="preserve"> and </w:t>
      </w:r>
      <w:r>
        <w:rPr>
          <w:i/>
        </w:rPr>
        <w:t xml:space="preserve">Sjc-0000095 </w:t>
      </w:r>
      <w:r>
        <w:rPr>
          <w:iCs/>
        </w:rPr>
        <w:t>(</w:t>
      </w:r>
      <w:r>
        <w:rPr>
          <w:i/>
        </w:rPr>
        <w:t>cacnb1,</w:t>
      </w:r>
      <w:r>
        <w:rPr>
          <w:sz w:val="28"/>
          <w:szCs w:val="28"/>
          <w:shd w:val="clear" w:color="auto" w:fill="FFFFFF"/>
        </w:rPr>
        <w:t xml:space="preserve"> </w:t>
      </w:r>
      <w:r>
        <w:rPr>
          <w:i/>
        </w:rPr>
        <w:t>Voltage-dependent L-type calcium channel subunit beta-1</w:t>
      </w:r>
      <w:r>
        <w:rPr>
          <w:iCs/>
        </w:rPr>
        <w:t>).</w:t>
      </w:r>
      <w:r>
        <w:t xml:space="preserve"> (n) Tegument progeny 2-specific gene: </w:t>
      </w:r>
      <w:r>
        <w:rPr>
          <w:i/>
          <w:iCs/>
        </w:rPr>
        <w:t xml:space="preserve">Sjc-0002985 </w:t>
      </w:r>
      <w:r>
        <w:t>(</w:t>
      </w:r>
      <w:r>
        <w:rPr>
          <w:i/>
          <w:iCs/>
        </w:rPr>
        <w:t>plac8</w:t>
      </w:r>
      <w:r>
        <w:t>,</w:t>
      </w:r>
      <w:r>
        <w:rPr>
          <w:i/>
        </w:rPr>
        <w:t xml:space="preserve"> Placenta-specificprotein 8 protein</w:t>
      </w:r>
      <w:r>
        <w:t xml:space="preserve">), syncytial 1-specific gene: </w:t>
      </w:r>
      <w:r>
        <w:rPr>
          <w:i/>
          <w:iCs/>
        </w:rPr>
        <w:t>Sjc-0008478</w:t>
      </w:r>
      <w:r>
        <w:t xml:space="preserve">; syncytial 2-specific gene: </w:t>
      </w:r>
      <w:r>
        <w:rPr>
          <w:i/>
          <w:iCs/>
        </w:rPr>
        <w:t xml:space="preserve">Sjc-0000920 </w:t>
      </w:r>
      <w:r>
        <w:t>(</w:t>
      </w:r>
      <w:r>
        <w:rPr>
          <w:i/>
          <w:iCs/>
        </w:rPr>
        <w:t>tal, tegument-allergen-like protein</w:t>
      </w:r>
      <w:r>
        <w:t xml:space="preserve">), </w:t>
      </w:r>
      <w:r>
        <w:rPr>
          <w:i/>
          <w:iCs/>
        </w:rPr>
        <w:t>Sjc-0000277</w:t>
      </w:r>
      <w:r>
        <w:t xml:space="preserve"> (</w:t>
      </w:r>
      <w:r>
        <w:rPr>
          <w:i/>
          <w:iCs/>
        </w:rPr>
        <w:t>slc7a14</w:t>
      </w:r>
      <w:r>
        <w:t xml:space="preserve">, </w:t>
      </w:r>
      <w:r>
        <w:rPr>
          <w:i/>
          <w:iCs/>
        </w:rPr>
        <w:t>Probable cationic amino acid transporter</w:t>
      </w:r>
      <w:r>
        <w:t>),</w:t>
      </w:r>
      <w:r>
        <w:rPr>
          <w:i/>
          <w:iCs/>
        </w:rPr>
        <w:t xml:space="preserve"> </w:t>
      </w:r>
      <w:r>
        <w:t xml:space="preserve">and </w:t>
      </w:r>
      <w:r>
        <w:rPr>
          <w:i/>
          <w:iCs/>
        </w:rPr>
        <w:t xml:space="preserve">Sjc-0000124 </w:t>
      </w:r>
      <w:r>
        <w:t>(</w:t>
      </w:r>
      <w:r>
        <w:rPr>
          <w:i/>
          <w:iCs/>
        </w:rPr>
        <w:t>Sj25</w:t>
      </w:r>
      <w:r>
        <w:t>,</w:t>
      </w:r>
      <w:r>
        <w:rPr>
          <w:i/>
          <w:iCs/>
        </w:rPr>
        <w:t xml:space="preserve"> S. japonicum 25 kDa integral membrane protein</w:t>
      </w:r>
      <w:r>
        <w:t xml:space="preserve">). (o) Flame cell-specific gene: </w:t>
      </w:r>
      <w:r>
        <w:rPr>
          <w:i/>
          <w:iCs/>
        </w:rPr>
        <w:t>Sjc-0000530</w:t>
      </w:r>
      <w:r>
        <w:t xml:space="preserve"> (</w:t>
      </w:r>
      <w:r>
        <w:rPr>
          <w:i/>
          <w:iCs/>
        </w:rPr>
        <w:t>sialidase</w:t>
      </w:r>
      <w:r>
        <w:t>). Scale bars = 200 μm.</w:t>
      </w:r>
    </w:p>
    <w:p w14:paraId="0EF6F0E4" w14:textId="77777777" w:rsidR="00F24509" w:rsidRDefault="00F24509">
      <w:pPr>
        <w:rPr>
          <w:kern w:val="0"/>
        </w:rPr>
      </w:pPr>
    </w:p>
    <w:p w14:paraId="32840C22" w14:textId="77777777" w:rsidR="00F24509" w:rsidRDefault="00000000">
      <w:r>
        <w:rPr>
          <w:b/>
          <w:bCs/>
        </w:rPr>
        <w:t>Supplementary Fig 4. Distribution of cells from each of the seven samples on the UMAP atlas.</w:t>
      </w:r>
      <w:r>
        <w:t xml:space="preserve"> The UMAP plots are organized as follows: Top row: 18 dpi_F, 22 dpi_F, 26 dpi_F; Middle row (right)</w:t>
      </w:r>
      <w:r>
        <w:rPr>
          <w:rFonts w:eastAsia="Times New Roman"/>
          <w:sz w:val="21"/>
        </w:rPr>
        <w:t>:</w:t>
      </w:r>
      <w:r>
        <w:t xml:space="preserve"> 14 dpi_mix (mixed male and female), Middle row (left): Combined UMAP plot of all seven samples; Bottom row: 18 dpi_M, 22 dpi_M, 26 dpi_M. Cell types exhibiting significant temporal changes are annotated in the figures.</w:t>
      </w:r>
    </w:p>
    <w:p w14:paraId="0ED23BC3" w14:textId="77777777" w:rsidR="00F24509" w:rsidRDefault="00F24509">
      <w:pPr>
        <w:rPr>
          <w:rFonts w:eastAsia="Times New Roman"/>
        </w:rPr>
      </w:pPr>
    </w:p>
    <w:p w14:paraId="324B5F4A" w14:textId="77777777" w:rsidR="00F24509" w:rsidRDefault="00000000">
      <w:r>
        <w:rPr>
          <w:b/>
          <w:bCs/>
        </w:rPr>
        <w:lastRenderedPageBreak/>
        <w:t>Supplementary Fig 5. Temporal dynamics of cell type proportions in male and female</w:t>
      </w:r>
      <w:r>
        <w:rPr>
          <w:b/>
          <w:bCs/>
          <w:i/>
        </w:rPr>
        <w:t xml:space="preserve"> S. japonicum</w:t>
      </w:r>
      <w:r>
        <w:rPr>
          <w:b/>
          <w:bCs/>
        </w:rPr>
        <w:t xml:space="preserve"> samples across developmental stages. </w:t>
      </w:r>
      <w:r>
        <w:t>Stacked bar plots showing the relative proportions of key cell types in</w:t>
      </w:r>
      <w:r>
        <w:rPr>
          <w:i/>
        </w:rPr>
        <w:t xml:space="preserve"> S. japonicum</w:t>
      </w:r>
      <w:r>
        <w:t xml:space="preserve"> at different developmental stages. Each bar represents a cell type, with segments indicating the proportions at 26 dpi_M, 22 dpi_M, 18 dpi_M (male),14 dpi (mixed), 18 dpi_F (female), 22 dpi_F, and 26 dpi_F (from bottom to top within each bar). </w:t>
      </w:r>
    </w:p>
    <w:p w14:paraId="10935D3F" w14:textId="77777777" w:rsidR="00F24509" w:rsidRDefault="00F24509">
      <w:pPr>
        <w:rPr>
          <w:rFonts w:eastAsia="Times New Roman"/>
        </w:rPr>
      </w:pPr>
    </w:p>
    <w:p w14:paraId="006CF8AE" w14:textId="77777777" w:rsidR="00F24509" w:rsidRDefault="00000000">
      <w:r>
        <w:rPr>
          <w:b/>
          <w:bCs/>
        </w:rPr>
        <w:t>Supplementary Fig 6.</w:t>
      </w:r>
      <w:r>
        <w:t xml:space="preserve"> </w:t>
      </w:r>
      <w:r>
        <w:rPr>
          <w:b/>
          <w:bCs/>
        </w:rPr>
        <w:t>Recluster analysis of reproductive system-related cells in</w:t>
      </w:r>
      <w:r>
        <w:rPr>
          <w:b/>
          <w:bCs/>
          <w:i/>
        </w:rPr>
        <w:t xml:space="preserve"> S. japonicum</w:t>
      </w:r>
      <w:r>
        <w:rPr>
          <w:b/>
          <w:bCs/>
        </w:rPr>
        <w:t xml:space="preserve">. </w:t>
      </w:r>
      <w:r>
        <w:t>(a) UMAP reproductive system-related cell populations in female (left) and male (right)</w:t>
      </w:r>
      <w:r>
        <w:rPr>
          <w:i/>
        </w:rPr>
        <w:t xml:space="preserve"> S. japonicum</w:t>
      </w:r>
      <w:r>
        <w:t xml:space="preserve">. (b) </w:t>
      </w:r>
      <w:r>
        <w:rPr>
          <w:szCs w:val="21"/>
        </w:rPr>
        <w:t xml:space="preserve">Highly expressed genes in female </w:t>
      </w:r>
      <w:r>
        <w:t>reproductive</w:t>
      </w:r>
      <w:r>
        <w:rPr>
          <w:szCs w:val="21"/>
        </w:rPr>
        <w:t xml:space="preserve"> cell subclusters.</w:t>
      </w:r>
      <w:r>
        <w:t xml:space="preserve"> (c) </w:t>
      </w:r>
      <w:r>
        <w:rPr>
          <w:szCs w:val="21"/>
        </w:rPr>
        <w:t xml:space="preserve">Highly expressed genes in male </w:t>
      </w:r>
      <w:r>
        <w:t>reproductive</w:t>
      </w:r>
      <w:r>
        <w:rPr>
          <w:szCs w:val="21"/>
        </w:rPr>
        <w:t xml:space="preserve"> cell subclusters. </w:t>
      </w:r>
      <w:r>
        <w:t xml:space="preserve">(d) UMAP </w:t>
      </w:r>
      <w:r>
        <w:rPr>
          <w:szCs w:val="21"/>
        </w:rPr>
        <w:t>visualization</w:t>
      </w:r>
      <w:r>
        <w:t xml:space="preserve"> (left) and </w:t>
      </w:r>
      <w:r>
        <w:rPr>
          <w:i/>
          <w:iCs/>
        </w:rPr>
        <w:t>in situ</w:t>
      </w:r>
      <w:r>
        <w:t xml:space="preserve"> hybridization localization (right) of the female gamete marker gene </w:t>
      </w:r>
      <w:r>
        <w:rPr>
          <w:i/>
          <w:iCs/>
        </w:rPr>
        <w:t xml:space="preserve">clec </w:t>
      </w:r>
      <w:r>
        <w:t>in female (top) and male (bottom)</w:t>
      </w:r>
      <w:r>
        <w:rPr>
          <w:i/>
        </w:rPr>
        <w:t xml:space="preserve"> S. japonicum</w:t>
      </w:r>
      <w:r>
        <w:t xml:space="preserve"> in different developmental stages (18, 22, and 26 dpi), Scale bars =100 μm.</w:t>
      </w:r>
    </w:p>
    <w:p w14:paraId="6F8CE6ED" w14:textId="77777777" w:rsidR="00F24509" w:rsidRDefault="00F24509"/>
    <w:p w14:paraId="0B840963" w14:textId="77777777" w:rsidR="00F24509" w:rsidRDefault="00000000">
      <w:r>
        <w:rPr>
          <w:b/>
          <w:bCs/>
        </w:rPr>
        <w:t>Supplementary Fig 7. Expression patterns of genes involved in male and female gamete differentiation in</w:t>
      </w:r>
      <w:r>
        <w:rPr>
          <w:b/>
          <w:bCs/>
          <w:i/>
        </w:rPr>
        <w:t xml:space="preserve"> S. japonicum</w:t>
      </w:r>
      <w:r>
        <w:rPr>
          <w:b/>
          <w:bCs/>
        </w:rPr>
        <w:t>.</w:t>
      </w:r>
      <w:r>
        <w:t xml:space="preserve"> (a) Identification of significant genes based on amplitude (≥ 0.5) and</w:t>
      </w:r>
      <w:r>
        <w:rPr>
          <w:i/>
          <w:iCs/>
        </w:rPr>
        <w:t xml:space="preserve"> q-</w:t>
      </w:r>
      <w:r>
        <w:t xml:space="preserve">value (top 25% lowest) thresholds in females and males. (b) Expression patterns of highly expressed genes shared by both sexes. (c) Expression patterns of female-specific highly expressed genes. (d) Expression patterns of male-specific highly expressed genes. </w:t>
      </w:r>
    </w:p>
    <w:p w14:paraId="6368E092" w14:textId="77777777" w:rsidR="00F24509" w:rsidRDefault="00F24509">
      <w:pPr>
        <w:rPr>
          <w:rFonts w:eastAsia="Times New Roman"/>
          <w:sz w:val="21"/>
        </w:rPr>
      </w:pPr>
    </w:p>
    <w:p w14:paraId="497C376D" w14:textId="77777777" w:rsidR="00F24509" w:rsidRDefault="00000000">
      <w:r>
        <w:rPr>
          <w:b/>
          <w:bCs/>
        </w:rPr>
        <w:t>Supplementary Fig 8. Expression patterns of </w:t>
      </w:r>
      <w:r>
        <w:rPr>
          <w:b/>
          <w:bCs/>
          <w:i/>
          <w:iCs/>
        </w:rPr>
        <w:t>vf1</w:t>
      </w:r>
      <w:r>
        <w:rPr>
          <w:b/>
          <w:bCs/>
        </w:rPr>
        <w:t> and </w:t>
      </w:r>
      <w:r>
        <w:rPr>
          <w:b/>
          <w:bCs/>
          <w:i/>
          <w:iCs/>
        </w:rPr>
        <w:t>esg-2a</w:t>
      </w:r>
      <w:r>
        <w:rPr>
          <w:b/>
          <w:bCs/>
        </w:rPr>
        <w:t> in distinct cell clusters across developmental stages.</w:t>
      </w:r>
      <w:r>
        <w:t xml:space="preserve"> UMAP visualization of </w:t>
      </w:r>
      <w:r>
        <w:rPr>
          <w:i/>
          <w:iCs/>
        </w:rPr>
        <w:t>vf1</w:t>
      </w:r>
      <w:r>
        <w:t> (top) and </w:t>
      </w:r>
      <w:r>
        <w:rPr>
          <w:i/>
          <w:iCs/>
        </w:rPr>
        <w:t>esg-2a</w:t>
      </w:r>
      <w:r>
        <w:t> (bottom) expression in S1 vitellocyte cells (</w:t>
      </w:r>
      <w:r>
        <w:rPr>
          <w:i/>
          <w:iCs/>
        </w:rPr>
        <w:t>vf</w:t>
      </w:r>
      <w:r>
        <w:rPr>
          <w:i/>
          <w:iCs/>
          <w:vertAlign w:val="superscript"/>
        </w:rPr>
        <w:t>+</w:t>
      </w:r>
      <w:r>
        <w:rPr>
          <w:i/>
          <w:iCs/>
        </w:rPr>
        <w:t xml:space="preserve"> esg-2a</w:t>
      </w:r>
      <w:r>
        <w:rPr>
          <w:i/>
          <w:iCs/>
          <w:vertAlign w:val="superscript"/>
        </w:rPr>
        <w:t>-</w:t>
      </w:r>
      <w:r>
        <w:t>) and S1 vitellocyte progenies (</w:t>
      </w:r>
      <w:r>
        <w:rPr>
          <w:i/>
          <w:iCs/>
        </w:rPr>
        <w:t>vf</w:t>
      </w:r>
      <w:r>
        <w:rPr>
          <w:i/>
          <w:iCs/>
          <w:vertAlign w:val="superscript"/>
        </w:rPr>
        <w:t>+</w:t>
      </w:r>
      <w:r>
        <w:rPr>
          <w:i/>
          <w:iCs/>
        </w:rPr>
        <w:t xml:space="preserve"> esg-2a</w:t>
      </w:r>
      <w:r>
        <w:rPr>
          <w:i/>
          <w:iCs/>
          <w:vertAlign w:val="superscript"/>
        </w:rPr>
        <w:t>+</w:t>
      </w:r>
      <w:r>
        <w:t>) at different developmental stages.</w:t>
      </w:r>
    </w:p>
    <w:p w14:paraId="3D672A23" w14:textId="77777777" w:rsidR="00F24509" w:rsidRDefault="00F24509">
      <w:pPr>
        <w:rPr>
          <w:rFonts w:eastAsia="Times New Roman"/>
          <w:sz w:val="21"/>
        </w:rPr>
      </w:pPr>
    </w:p>
    <w:p w14:paraId="39C85CE1" w14:textId="77777777" w:rsidR="00F24509" w:rsidRDefault="00000000">
      <w:r>
        <w:rPr>
          <w:b/>
          <w:bCs/>
        </w:rPr>
        <w:t>Supplementary Fig 9. Dynamics of reproductive-related cell subclusters during</w:t>
      </w:r>
      <w:r>
        <w:rPr>
          <w:b/>
          <w:bCs/>
          <w:i/>
        </w:rPr>
        <w:t xml:space="preserve"> S. japonicum</w:t>
      </w:r>
      <w:r>
        <w:rPr>
          <w:b/>
          <w:bCs/>
        </w:rPr>
        <w:t> development.</w:t>
      </w:r>
      <w:r>
        <w:t xml:space="preserve"> (a) Proportional changes in reproductive-related subclusters in female (left) and male (right) worms across developmental stages. (b) Temporal comparison of relative proportions of each cell subtype in male and female worms. (c) WISH validation of marker genes (</w:t>
      </w:r>
      <w:r>
        <w:rPr>
          <w:i/>
          <w:iCs/>
        </w:rPr>
        <w:t>Sjc-0000795</w:t>
      </w:r>
      <w:r>
        <w:t>, </w:t>
      </w:r>
      <w:r>
        <w:rPr>
          <w:i/>
          <w:iCs/>
        </w:rPr>
        <w:t>esg-2a</w:t>
      </w:r>
      <w:r>
        <w:t>, and </w:t>
      </w:r>
      <w:r>
        <w:rPr>
          <w:i/>
          <w:iCs/>
        </w:rPr>
        <w:t>rreb1</w:t>
      </w:r>
      <w:r>
        <w:t>) showing Mehlis' gland cells emerging at 18 dpi, earlier than vitelline cells at 22 dpi.</w:t>
      </w:r>
    </w:p>
    <w:p w14:paraId="569FE73F" w14:textId="77777777" w:rsidR="00F24509" w:rsidRDefault="00F24509">
      <w:pPr>
        <w:rPr>
          <w:rFonts w:eastAsia="Times New Roman"/>
          <w:sz w:val="21"/>
        </w:rPr>
      </w:pPr>
    </w:p>
    <w:p w14:paraId="4F774EFA" w14:textId="77777777" w:rsidR="00F24509" w:rsidRDefault="00000000">
      <w:r>
        <w:rPr>
          <w:b/>
          <w:bCs/>
        </w:rPr>
        <w:t>Supplementary Fig 10.</w:t>
      </w:r>
      <w:r>
        <w:t xml:space="preserve"> </w:t>
      </w:r>
      <w:r>
        <w:rPr>
          <w:b/>
          <w:bCs/>
        </w:rPr>
        <w:t>Neural lineage analysis in male</w:t>
      </w:r>
      <w:r>
        <w:rPr>
          <w:b/>
          <w:bCs/>
          <w:i/>
        </w:rPr>
        <w:t xml:space="preserve"> S. japonicum</w:t>
      </w:r>
      <w:r>
        <w:rPr>
          <w:b/>
          <w:bCs/>
        </w:rPr>
        <w:t>.</w:t>
      </w:r>
      <w:r>
        <w:t xml:space="preserve"> (a) UMAP subclustering of the male </w:t>
      </w:r>
      <w:r>
        <w:rPr>
          <w:i/>
          <w:iCs/>
        </w:rPr>
        <w:t>S. japoncium</w:t>
      </w:r>
      <w:r>
        <w:t xml:space="preserve"> nervous system. (b) Pseudotime analysis of male neural development demonstrates the differentiation trajectory of neural branches. (c) RNA velocity analysis of male neural dynamics reveals the trajectory of neural cell differentiation. (d) Identification of seven metastable states (one initial state and six terminal states) in the male neural dataset. (e) PAGA analysis of the male nervous system reveals the </w:t>
      </w:r>
      <w:r>
        <w:lastRenderedPageBreak/>
        <w:t>differentiation relationships among various neural cell clusters</w:t>
      </w:r>
      <w:r>
        <w:rPr>
          <w:i/>
          <w:iCs/>
        </w:rPr>
        <w:t>.</w:t>
      </w:r>
      <w:r>
        <w:t xml:space="preserve"> </w:t>
      </w:r>
    </w:p>
    <w:p w14:paraId="2F1DA6A9" w14:textId="77777777" w:rsidR="00F24509" w:rsidRDefault="00F24509"/>
    <w:p w14:paraId="1F8F7312" w14:textId="77777777" w:rsidR="00F24509" w:rsidRDefault="00000000">
      <w:r>
        <w:rPr>
          <w:b/>
          <w:bCs/>
        </w:rPr>
        <w:t>Supplementary Fig 11.</w:t>
      </w:r>
      <w:r>
        <w:t xml:space="preserve"> </w:t>
      </w:r>
      <w:r>
        <w:rPr>
          <w:b/>
          <w:bCs/>
        </w:rPr>
        <w:t>Neural lineage analysis in female</w:t>
      </w:r>
      <w:r>
        <w:rPr>
          <w:b/>
          <w:bCs/>
          <w:i/>
          <w:iCs/>
        </w:rPr>
        <w:t xml:space="preserve"> S. japonicum</w:t>
      </w:r>
      <w:r>
        <w:rPr>
          <w:b/>
          <w:bCs/>
        </w:rPr>
        <w:t xml:space="preserve">. </w:t>
      </w:r>
      <w:r>
        <w:t>(a) UMAP subclustering of the female</w:t>
      </w:r>
      <w:r>
        <w:rPr>
          <w:i/>
        </w:rPr>
        <w:t xml:space="preserve"> S. japonicum</w:t>
      </w:r>
      <w:r>
        <w:t xml:space="preserve"> nervous system. (b) Pseudotime analysis of female neural development demonstrates the differentiation trajectory of neural branches. (c) RNA velocity analysis of female neural dynamics reveals the trajectory of neural cell differentiation. (d) Identification of seven metastable states (one initial and six terminal states) in the female neural dataset. (e) PAGA analysis of the female nervous system reveals the differentiation relationships among various neural cell clusters. </w:t>
      </w:r>
    </w:p>
    <w:p w14:paraId="5D3E2C90" w14:textId="77777777" w:rsidR="00F24509" w:rsidRDefault="00F24509"/>
    <w:p w14:paraId="354084E7" w14:textId="77777777" w:rsidR="00F24509" w:rsidRDefault="00000000">
      <w:bookmarkStart w:id="1" w:name="OLE_LINK88"/>
      <w:r>
        <w:rPr>
          <w:b/>
          <w:bCs/>
        </w:rPr>
        <w:t>Supplementary Fig 12.</w:t>
      </w:r>
      <w:r>
        <w:t xml:space="preserve"> </w:t>
      </w:r>
      <w:r>
        <w:rPr>
          <w:b/>
          <w:bCs/>
        </w:rPr>
        <w:t>Dynamics of neural cell subclusters during</w:t>
      </w:r>
      <w:r>
        <w:rPr>
          <w:b/>
          <w:bCs/>
          <w:i/>
        </w:rPr>
        <w:t xml:space="preserve"> S. japonicum</w:t>
      </w:r>
      <w:r>
        <w:rPr>
          <w:rFonts w:eastAsia="Times New Roman"/>
          <w:b/>
          <w:bCs/>
          <w:sz w:val="21"/>
        </w:rPr>
        <w:t> development.</w:t>
      </w:r>
      <w:r>
        <w:rPr>
          <w:b/>
          <w:bCs/>
        </w:rPr>
        <w:t xml:space="preserve"> </w:t>
      </w:r>
      <w:r>
        <w:t>(a)</w:t>
      </w:r>
      <w:r>
        <w:rPr>
          <w:rFonts w:eastAsia="Times New Roman"/>
          <w:sz w:val="21"/>
        </w:rPr>
        <w:t xml:space="preserve"> UMAP </w:t>
      </w:r>
      <w:r>
        <w:t>subclustering of the nervous system in female (left) and male (right)</w:t>
      </w:r>
      <w:r>
        <w:rPr>
          <w:i/>
        </w:rPr>
        <w:t xml:space="preserve"> S. japonicum</w:t>
      </w:r>
      <w:r>
        <w:t xml:space="preserve">. </w:t>
      </w:r>
      <w:r>
        <w:rPr>
          <w:rFonts w:eastAsia="Times New Roman"/>
          <w:sz w:val="21"/>
        </w:rPr>
        <w:t>(b) Proportional changes in neural cell subclusters during development. (c) UMAP visualization of sexually dimorphic neural cell populations (left), and enriched neural cell types in male and female worms.</w:t>
      </w:r>
    </w:p>
    <w:p w14:paraId="07375DAD" w14:textId="77777777" w:rsidR="00F24509" w:rsidRDefault="00F24509"/>
    <w:p w14:paraId="72115B75" w14:textId="77777777" w:rsidR="00F24509" w:rsidRDefault="00000000">
      <w:r>
        <w:rPr>
          <w:b/>
          <w:bCs/>
        </w:rPr>
        <w:t>Supplementary Fig 13. Marker genes for neural cell types in</w:t>
      </w:r>
      <w:r>
        <w:rPr>
          <w:b/>
          <w:bCs/>
          <w:i/>
        </w:rPr>
        <w:t xml:space="preserve"> S. japonicum</w:t>
      </w:r>
      <w:r>
        <w:rPr>
          <w:b/>
          <w:bCs/>
        </w:rPr>
        <w:t xml:space="preserve">. </w:t>
      </w:r>
      <w:r>
        <w:t xml:space="preserve">Three male-specific neuronal subtypes are highlighted: </w:t>
      </w:r>
      <w:r>
        <w:rPr>
          <w:i/>
          <w:iCs/>
        </w:rPr>
        <w:t>delta-3</w:t>
      </w:r>
      <w:r>
        <w:t xml:space="preserve"> (</w:t>
      </w:r>
      <w:r>
        <w:rPr>
          <w:i/>
          <w:iCs/>
        </w:rPr>
        <w:t>Sjc-0000814</w:t>
      </w:r>
      <w:r>
        <w:rPr>
          <w:vertAlign w:val="superscript"/>
        </w:rPr>
        <w:t>+</w:t>
      </w:r>
      <w:r>
        <w:t xml:space="preserve"> </w:t>
      </w:r>
      <w:r>
        <w:rPr>
          <w:i/>
          <w:iCs/>
        </w:rPr>
        <w:t>ddc</w:t>
      </w:r>
      <w:r>
        <w:rPr>
          <w:vertAlign w:val="superscript"/>
        </w:rPr>
        <w:t>+</w:t>
      </w:r>
      <w:r>
        <w:t xml:space="preserve">), </w:t>
      </w:r>
      <w:r>
        <w:rPr>
          <w:i/>
          <w:iCs/>
        </w:rPr>
        <w:t xml:space="preserve">gamma-2 </w:t>
      </w:r>
      <w:r>
        <w:t>(</w:t>
      </w:r>
      <w:r>
        <w:rPr>
          <w:i/>
          <w:iCs/>
        </w:rPr>
        <w:t>Sjc-0001200</w:t>
      </w:r>
      <w:r>
        <w:rPr>
          <w:vertAlign w:val="superscript"/>
        </w:rPr>
        <w:t>+</w:t>
      </w:r>
      <w:r>
        <w:t xml:space="preserve">), and </w:t>
      </w:r>
      <w:r>
        <w:rPr>
          <w:i/>
          <w:iCs/>
        </w:rPr>
        <w:t xml:space="preserve">beta-2 </w:t>
      </w:r>
      <w:r>
        <w:t>(</w:t>
      </w:r>
      <w:r>
        <w:rPr>
          <w:i/>
          <w:iCs/>
        </w:rPr>
        <w:t>Sjc-0003639</w:t>
      </w:r>
      <w:r>
        <w:rPr>
          <w:vertAlign w:val="superscript"/>
        </w:rPr>
        <w:t>+</w:t>
      </w:r>
      <w:r>
        <w:rPr>
          <w:i/>
          <w:iCs/>
        </w:rPr>
        <w:t xml:space="preserve"> Sjc-0000814</w:t>
      </w:r>
      <w:r>
        <w:rPr>
          <w:vertAlign w:val="superscript"/>
        </w:rPr>
        <w:t>-</w:t>
      </w:r>
      <w:r>
        <w:t xml:space="preserve">). All neuronal clusters, except neuron progenitors, express </w:t>
      </w:r>
      <w:r>
        <w:rPr>
          <w:i/>
          <w:iCs/>
        </w:rPr>
        <w:t>7b2</w:t>
      </w:r>
      <w:r>
        <w:t xml:space="preserve"> (</w:t>
      </w:r>
      <w:r>
        <w:rPr>
          <w:i/>
          <w:iCs/>
        </w:rPr>
        <w:t>Sjc-0001267</w:t>
      </w:r>
      <w:r>
        <w:t>).</w:t>
      </w:r>
    </w:p>
    <w:p w14:paraId="1EEE9EC0" w14:textId="77777777" w:rsidR="00F24509" w:rsidRDefault="00F24509"/>
    <w:bookmarkEnd w:id="1"/>
    <w:p w14:paraId="434D0058" w14:textId="77777777" w:rsidR="00F24509" w:rsidRDefault="00000000">
      <w:r>
        <w:rPr>
          <w:b/>
          <w:bCs/>
        </w:rPr>
        <w:t>Supplementary Fig 14. Validation of marker genes for male-specific neurons (</w:t>
      </w:r>
      <w:r>
        <w:rPr>
          <w:b/>
          <w:bCs/>
          <w:i/>
          <w:iCs/>
        </w:rPr>
        <w:t>beta-2</w:t>
      </w:r>
      <w:r>
        <w:rPr>
          <w:b/>
          <w:bCs/>
        </w:rPr>
        <w:t xml:space="preserve">, </w:t>
      </w:r>
      <w:r>
        <w:rPr>
          <w:b/>
          <w:bCs/>
          <w:i/>
          <w:iCs/>
        </w:rPr>
        <w:t>gamma-2</w:t>
      </w:r>
      <w:r>
        <w:rPr>
          <w:b/>
          <w:bCs/>
        </w:rPr>
        <w:t xml:space="preserve">, and </w:t>
      </w:r>
      <w:r>
        <w:rPr>
          <w:b/>
          <w:bCs/>
          <w:i/>
          <w:iCs/>
        </w:rPr>
        <w:t>delta-3</w:t>
      </w:r>
      <w:r>
        <w:rPr>
          <w:b/>
          <w:bCs/>
        </w:rPr>
        <w:t>) in</w:t>
      </w:r>
      <w:r>
        <w:rPr>
          <w:b/>
          <w:bCs/>
          <w:i/>
        </w:rPr>
        <w:t xml:space="preserve"> S. japonicum</w:t>
      </w:r>
      <w:r>
        <w:rPr>
          <w:b/>
          <w:bCs/>
        </w:rPr>
        <w:t xml:space="preserve"> by WISH and double-FISH.</w:t>
      </w:r>
      <w:r>
        <w:t xml:space="preserve"> (a)</w:t>
      </w:r>
      <w:r>
        <w:rPr>
          <w:rFonts w:eastAsia="Times New Roman"/>
          <w:sz w:val="21"/>
        </w:rPr>
        <w:t xml:space="preserve"> </w:t>
      </w:r>
      <w:r>
        <w:rPr>
          <w:rFonts w:eastAsia="Times New Roman"/>
          <w:i/>
          <w:sz w:val="21"/>
        </w:rPr>
        <w:t>Beta-2</w:t>
      </w:r>
      <w:r>
        <w:rPr>
          <w:rFonts w:eastAsia="Times New Roman"/>
          <w:sz w:val="21"/>
        </w:rPr>
        <w:t xml:space="preserve"> neurons (</w:t>
      </w:r>
      <w:r>
        <w:rPr>
          <w:i/>
          <w:iCs/>
        </w:rPr>
        <w:t>Sjc-0003639</w:t>
      </w:r>
      <w:r>
        <w:rPr>
          <w:i/>
          <w:iCs/>
          <w:vertAlign w:val="superscript"/>
        </w:rPr>
        <w:t>+</w:t>
      </w:r>
      <w:r>
        <w:rPr>
          <w:i/>
          <w:iCs/>
        </w:rPr>
        <w:t>nrps</w:t>
      </w:r>
      <w:r>
        <w:rPr>
          <w:i/>
          <w:iCs/>
          <w:vertAlign w:val="superscript"/>
        </w:rPr>
        <w:t>-</w:t>
      </w:r>
      <w:r>
        <w:t>) localized in male (head and gynecophoric canal) and female (head) worms, with co-expressing</w:t>
      </w:r>
      <w:r>
        <w:rPr>
          <w:i/>
          <w:iCs/>
        </w:rPr>
        <w:t xml:space="preserve"> 7b2</w:t>
      </w:r>
      <w:r>
        <w:t xml:space="preserve">. The yellow arrow indicates </w:t>
      </w:r>
      <w:r>
        <w:rPr>
          <w:i/>
          <w:iCs/>
        </w:rPr>
        <w:t xml:space="preserve">beta-2 </w:t>
      </w:r>
      <w:r>
        <w:rPr>
          <w:rFonts w:eastAsia="Times New Roman"/>
          <w:sz w:val="21"/>
        </w:rPr>
        <w:t>neurons (</w:t>
      </w:r>
      <w:r>
        <w:rPr>
          <w:i/>
          <w:iCs/>
        </w:rPr>
        <w:t>Sjc-0003639</w:t>
      </w:r>
      <w:r>
        <w:rPr>
          <w:i/>
          <w:iCs/>
          <w:vertAlign w:val="superscript"/>
        </w:rPr>
        <w:t>+</w:t>
      </w:r>
      <w:r>
        <w:rPr>
          <w:i/>
          <w:iCs/>
        </w:rPr>
        <w:t>nrps</w:t>
      </w:r>
      <w:r>
        <w:rPr>
          <w:i/>
          <w:iCs/>
          <w:vertAlign w:val="superscript"/>
        </w:rPr>
        <w:t>-</w:t>
      </w:r>
      <w:r>
        <w:t xml:space="preserve">). (b) </w:t>
      </w:r>
      <w:r>
        <w:rPr>
          <w:i/>
        </w:rPr>
        <w:t>Gamma-2</w:t>
      </w:r>
      <w:r>
        <w:t xml:space="preserve"> neurons (</w:t>
      </w:r>
      <w:r>
        <w:rPr>
          <w:i/>
          <w:iCs/>
        </w:rPr>
        <w:t>Sjc-0001200</w:t>
      </w:r>
      <w:r>
        <w:rPr>
          <w:i/>
          <w:iCs/>
          <w:vertAlign w:val="superscript"/>
        </w:rPr>
        <w:t>+</w:t>
      </w:r>
      <w:r>
        <w:t xml:space="preserve">) localized in male (head and gynecophoric canal margin) and female (head) worms, co-expressing </w:t>
      </w:r>
      <w:r>
        <w:rPr>
          <w:i/>
          <w:iCs/>
        </w:rPr>
        <w:t>Sjc-0001200</w:t>
      </w:r>
      <w:r>
        <w:t xml:space="preserve"> and </w:t>
      </w:r>
      <w:r>
        <w:rPr>
          <w:i/>
          <w:iCs/>
        </w:rPr>
        <w:t>7b2</w:t>
      </w:r>
      <w:r>
        <w:t xml:space="preserve">. The yellow arrow indicates </w:t>
      </w:r>
      <w:r>
        <w:rPr>
          <w:i/>
        </w:rPr>
        <w:t>gamma-2</w:t>
      </w:r>
      <w:r>
        <w:t xml:space="preserve"> neurons (</w:t>
      </w:r>
      <w:r>
        <w:rPr>
          <w:i/>
          <w:iCs/>
        </w:rPr>
        <w:t>Sjc-0001200</w:t>
      </w:r>
      <w:r>
        <w:rPr>
          <w:i/>
          <w:iCs/>
          <w:vertAlign w:val="superscript"/>
        </w:rPr>
        <w:t>+</w:t>
      </w:r>
      <w:r>
        <w:t xml:space="preserve">). (c) </w:t>
      </w:r>
      <w:r>
        <w:rPr>
          <w:i/>
          <w:iCs/>
        </w:rPr>
        <w:t>Delta-3</w:t>
      </w:r>
      <w:r>
        <w:t xml:space="preserve"> neurons (</w:t>
      </w:r>
      <w:r>
        <w:rPr>
          <w:i/>
          <w:iCs/>
        </w:rPr>
        <w:t>nrps</w:t>
      </w:r>
      <w:r>
        <w:rPr>
          <w:i/>
          <w:iCs/>
          <w:vertAlign w:val="superscript"/>
        </w:rPr>
        <w:t>+</w:t>
      </w:r>
      <w:r>
        <w:rPr>
          <w:i/>
          <w:iCs/>
        </w:rPr>
        <w:t>ddc</w:t>
      </w:r>
      <w:r>
        <w:rPr>
          <w:i/>
          <w:iCs/>
          <w:vertAlign w:val="superscript"/>
        </w:rPr>
        <w:t>+</w:t>
      </w:r>
      <w:r>
        <w:t xml:space="preserve">) specifically localized in the male gynecophoric canal, with </w:t>
      </w:r>
      <w:r>
        <w:rPr>
          <w:i/>
          <w:iCs/>
        </w:rPr>
        <w:t>nrps</w:t>
      </w:r>
      <w:r>
        <w:t xml:space="preserve"> expressed exclusively in males and </w:t>
      </w:r>
      <w:r>
        <w:rPr>
          <w:i/>
          <w:iCs/>
        </w:rPr>
        <w:t>ddc</w:t>
      </w:r>
      <w:r>
        <w:t xml:space="preserve"> expressed in males (gynecophoric canal and head) and females (head and body ganglia). The yellow arrow indicates </w:t>
      </w:r>
      <w:r>
        <w:rPr>
          <w:i/>
          <w:iCs/>
        </w:rPr>
        <w:t>delta-3</w:t>
      </w:r>
      <w:r>
        <w:t xml:space="preserve"> neurons (</w:t>
      </w:r>
      <w:r>
        <w:rPr>
          <w:i/>
          <w:iCs/>
        </w:rPr>
        <w:t>nrps</w:t>
      </w:r>
      <w:r>
        <w:rPr>
          <w:i/>
          <w:iCs/>
          <w:vertAlign w:val="superscript"/>
        </w:rPr>
        <w:t>+</w:t>
      </w:r>
      <w:r>
        <w:rPr>
          <w:i/>
          <w:iCs/>
        </w:rPr>
        <w:t>ddc</w:t>
      </w:r>
      <w:r>
        <w:rPr>
          <w:i/>
          <w:iCs/>
          <w:vertAlign w:val="superscript"/>
        </w:rPr>
        <w:t>+</w:t>
      </w:r>
      <w:r>
        <w:t>). The yellow arrow indicates the expression of</w:t>
      </w:r>
      <w:r>
        <w:rPr>
          <w:i/>
          <w:iCs/>
        </w:rPr>
        <w:t xml:space="preserve"> ddc</w:t>
      </w:r>
      <w:r>
        <w:t xml:space="preserve"> in the central region of the female worm. Co-expression of </w:t>
      </w:r>
      <w:r>
        <w:rPr>
          <w:i/>
          <w:iCs/>
        </w:rPr>
        <w:t>7b2</w:t>
      </w:r>
      <w:r>
        <w:t xml:space="preserve">, </w:t>
      </w:r>
      <w:r>
        <w:rPr>
          <w:i/>
          <w:iCs/>
        </w:rPr>
        <w:t>ddc</w:t>
      </w:r>
      <w:r>
        <w:t xml:space="preserve">, and </w:t>
      </w:r>
      <w:r>
        <w:rPr>
          <w:i/>
          <w:iCs/>
        </w:rPr>
        <w:t>nrps</w:t>
      </w:r>
      <w:r>
        <w:t xml:space="preserve"> confirmed male </w:t>
      </w:r>
      <w:r>
        <w:rPr>
          <w:i/>
        </w:rPr>
        <w:t>delta-3</w:t>
      </w:r>
      <w:r>
        <w:t xml:space="preserve"> neuron identity.</w:t>
      </w:r>
    </w:p>
    <w:p w14:paraId="7C130C94" w14:textId="77777777" w:rsidR="00F24509" w:rsidRDefault="00F24509">
      <w:pPr>
        <w:rPr>
          <w:rFonts w:eastAsia="Times New Roman"/>
          <w:sz w:val="21"/>
        </w:rPr>
      </w:pPr>
    </w:p>
    <w:p w14:paraId="01D67717" w14:textId="77777777" w:rsidR="00F24509" w:rsidRDefault="00000000">
      <w:r>
        <w:rPr>
          <w:b/>
          <w:bCs/>
        </w:rPr>
        <w:t>Supplementary Fig 15. Validation of neural cell type marker genes in</w:t>
      </w:r>
      <w:r>
        <w:rPr>
          <w:b/>
          <w:bCs/>
          <w:i/>
        </w:rPr>
        <w:t xml:space="preserve"> S. japonicum</w:t>
      </w:r>
      <w:r>
        <w:rPr>
          <w:b/>
          <w:bCs/>
          <w:i/>
          <w:iCs/>
        </w:rPr>
        <w:t xml:space="preserve"> </w:t>
      </w:r>
      <w:r>
        <w:rPr>
          <w:b/>
          <w:bCs/>
        </w:rPr>
        <w:t>by WISH and double-FISH.</w:t>
      </w:r>
      <w:r>
        <w:rPr>
          <w:bCs/>
        </w:rPr>
        <w:t xml:space="preserve"> </w:t>
      </w:r>
      <w:r>
        <w:rPr>
          <w:rStyle w:val="Strong"/>
          <w:bCs/>
        </w:rPr>
        <w:t>(</w:t>
      </w:r>
      <w:r>
        <w:rPr>
          <w:rStyle w:val="Emphasis"/>
          <w:iCs/>
        </w:rPr>
        <w:t>a</w:t>
      </w:r>
      <w:r>
        <w:rPr>
          <w:rStyle w:val="Strong"/>
          <w:bCs/>
        </w:rPr>
        <w:t>)</w:t>
      </w:r>
      <w:r>
        <w:t xml:space="preserve"> </w:t>
      </w:r>
      <w:r>
        <w:rPr>
          <w:i/>
          <w:iCs/>
        </w:rPr>
        <w:t>Beta-1</w:t>
      </w:r>
      <w:r>
        <w:t xml:space="preserve"> neurons (</w:t>
      </w:r>
      <w:r>
        <w:rPr>
          <w:rStyle w:val="Emphasis"/>
        </w:rPr>
        <w:t>ano7</w:t>
      </w:r>
      <w:r>
        <w:rPr>
          <w:rStyle w:val="Emphasis"/>
          <w:vertAlign w:val="superscript"/>
        </w:rPr>
        <w:t>+</w:t>
      </w:r>
      <w:r>
        <w:t xml:space="preserve">) localized in the male ventral nerve cord and female Mehlis' gland and vitellaria, with co-expression of </w:t>
      </w:r>
      <w:r>
        <w:rPr>
          <w:bCs/>
          <w:i/>
        </w:rPr>
        <w:t>ano7</w:t>
      </w:r>
      <w:r>
        <w:t xml:space="preserve"> and </w:t>
      </w:r>
      <w:r>
        <w:rPr>
          <w:rStyle w:val="Emphasis"/>
        </w:rPr>
        <w:t>7b2</w:t>
      </w:r>
      <w:r>
        <w:t xml:space="preserve">. </w:t>
      </w:r>
      <w:r>
        <w:rPr>
          <w:rStyle w:val="Strong"/>
          <w:bCs/>
        </w:rPr>
        <w:t>(b)</w:t>
      </w:r>
      <w:r>
        <w:rPr>
          <w:b/>
          <w:bCs/>
        </w:rPr>
        <w:t xml:space="preserve"> </w:t>
      </w:r>
      <w:r>
        <w:rPr>
          <w:i/>
          <w:iCs/>
        </w:rPr>
        <w:t>Gamma-1</w:t>
      </w:r>
      <w:r>
        <w:t xml:space="preserve"> neurons (</w:t>
      </w:r>
      <w:r>
        <w:rPr>
          <w:rStyle w:val="Emphasis"/>
        </w:rPr>
        <w:t>Sjc-0006108</w:t>
      </w:r>
      <w:r>
        <w:rPr>
          <w:rStyle w:val="Emphasis"/>
          <w:vertAlign w:val="superscript"/>
        </w:rPr>
        <w:t>+</w:t>
      </w:r>
      <w:r>
        <w:t xml:space="preserve">) localized in the male head and dorsal region, as well as female head and trunk, with co-expression of </w:t>
      </w:r>
      <w:r>
        <w:rPr>
          <w:rStyle w:val="Emphasis"/>
        </w:rPr>
        <w:t>Sjc-0006108</w:t>
      </w:r>
      <w:r>
        <w:t xml:space="preserve"> and </w:t>
      </w:r>
      <w:r>
        <w:rPr>
          <w:rStyle w:val="Emphasis"/>
        </w:rPr>
        <w:t>7b2</w:t>
      </w:r>
      <w:r>
        <w:t xml:space="preserve">. </w:t>
      </w:r>
      <w:r>
        <w:rPr>
          <w:rStyle w:val="Strong"/>
          <w:bCs/>
        </w:rPr>
        <w:t>(c)</w:t>
      </w:r>
      <w:r>
        <w:rPr>
          <w:b/>
          <w:bCs/>
        </w:rPr>
        <w:t xml:space="preserve"> </w:t>
      </w:r>
      <w:r>
        <w:rPr>
          <w:i/>
          <w:iCs/>
        </w:rPr>
        <w:t>Delta-1</w:t>
      </w:r>
      <w:r>
        <w:t xml:space="preserve"> neurons (</w:t>
      </w:r>
      <w:r>
        <w:rPr>
          <w:rStyle w:val="Emphasis"/>
        </w:rPr>
        <w:t>bmp</w:t>
      </w:r>
      <w:r>
        <w:rPr>
          <w:rStyle w:val="Emphasis"/>
          <w:vertAlign w:val="superscript"/>
        </w:rPr>
        <w:t>+</w:t>
      </w:r>
      <w:r>
        <w:t xml:space="preserve">) localized in the head and body of both sexes, with co-expression of </w:t>
      </w:r>
      <w:r>
        <w:rPr>
          <w:rStyle w:val="Emphasis"/>
        </w:rPr>
        <w:t>bmp</w:t>
      </w:r>
      <w:r>
        <w:t xml:space="preserve"> and </w:t>
      </w:r>
      <w:r>
        <w:rPr>
          <w:rStyle w:val="Emphasis"/>
        </w:rPr>
        <w:lastRenderedPageBreak/>
        <w:t>7b2</w:t>
      </w:r>
      <w:r>
        <w:t xml:space="preserve">. </w:t>
      </w:r>
      <w:r>
        <w:rPr>
          <w:rStyle w:val="Strong"/>
          <w:bCs/>
        </w:rPr>
        <w:t>(d)</w:t>
      </w:r>
      <w:r>
        <w:rPr>
          <w:b/>
          <w:bCs/>
        </w:rPr>
        <w:t xml:space="preserve"> </w:t>
      </w:r>
      <w:r>
        <w:rPr>
          <w:i/>
          <w:iCs/>
        </w:rPr>
        <w:t xml:space="preserve">Delta-4 </w:t>
      </w:r>
      <w:r>
        <w:t>neurons (</w:t>
      </w:r>
      <w:r>
        <w:rPr>
          <w:rStyle w:val="Emphasis"/>
        </w:rPr>
        <w:t>fhl2</w:t>
      </w:r>
      <w:r>
        <w:rPr>
          <w:rStyle w:val="Emphasis"/>
          <w:vertAlign w:val="superscript"/>
        </w:rPr>
        <w:t>+</w:t>
      </w:r>
      <w:r>
        <w:t xml:space="preserve">) localized in the male oral and ventral suckers and around the female ovary, with co-expression of </w:t>
      </w:r>
      <w:r>
        <w:rPr>
          <w:rStyle w:val="Emphasis"/>
        </w:rPr>
        <w:t>fhl2</w:t>
      </w:r>
      <w:r>
        <w:t xml:space="preserve"> and </w:t>
      </w:r>
      <w:r>
        <w:rPr>
          <w:rStyle w:val="Emphasis"/>
        </w:rPr>
        <w:t>7b2</w:t>
      </w:r>
      <w:r>
        <w:t xml:space="preserve">. </w:t>
      </w:r>
      <w:r>
        <w:rPr>
          <w:rStyle w:val="Strong"/>
          <w:bCs/>
        </w:rPr>
        <w:t>(e)</w:t>
      </w:r>
      <w:r>
        <w:t xml:space="preserve"> </w:t>
      </w:r>
      <w:r>
        <w:rPr>
          <w:i/>
          <w:iCs/>
        </w:rPr>
        <w:t xml:space="preserve">Epsilon </w:t>
      </w:r>
      <w:r>
        <w:t>neurons (</w:t>
      </w:r>
      <w:r>
        <w:rPr>
          <w:rStyle w:val="Emphasis"/>
        </w:rPr>
        <w:t>Sjc-0000744</w:t>
      </w:r>
      <w:r>
        <w:rPr>
          <w:rStyle w:val="Emphasis"/>
          <w:vertAlign w:val="superscript"/>
        </w:rPr>
        <w:t>+</w:t>
      </w:r>
      <w:r>
        <w:t xml:space="preserve">) localized in the female Mehlis' gland but absent in males, with co-expression of </w:t>
      </w:r>
      <w:r>
        <w:rPr>
          <w:rStyle w:val="Emphasis"/>
        </w:rPr>
        <w:t>Sjc-0000744</w:t>
      </w:r>
      <w:r>
        <w:t xml:space="preserve"> and </w:t>
      </w:r>
      <w:r>
        <w:rPr>
          <w:rStyle w:val="Emphasis"/>
        </w:rPr>
        <w:t>7b2</w:t>
      </w:r>
      <w:r>
        <w:t xml:space="preserve">. The yellow arrow indicates the target cells co-localized with </w:t>
      </w:r>
      <w:r>
        <w:rPr>
          <w:i/>
          <w:iCs/>
        </w:rPr>
        <w:t>7b2</w:t>
      </w:r>
      <w:r>
        <w:t>.</w:t>
      </w:r>
    </w:p>
    <w:p w14:paraId="1BA3616F" w14:textId="77777777" w:rsidR="00F24509" w:rsidRDefault="00F24509"/>
    <w:p w14:paraId="65DD9C04" w14:textId="77777777" w:rsidR="00F24509" w:rsidRDefault="00000000">
      <w:r>
        <w:rPr>
          <w:b/>
        </w:rPr>
        <w:t>Supplementary Fig 16.</w:t>
      </w:r>
      <w:r>
        <w:t xml:space="preserve"> </w:t>
      </w:r>
      <w:r>
        <w:rPr>
          <w:b/>
          <w:bCs/>
        </w:rPr>
        <w:t>Schematic diagram of neural cell type distribution in</w:t>
      </w:r>
      <w:r>
        <w:rPr>
          <w:b/>
          <w:bCs/>
          <w:i/>
        </w:rPr>
        <w:t xml:space="preserve"> S. japonicum</w:t>
      </w:r>
      <w:r>
        <w:rPr>
          <w:b/>
          <w:bCs/>
        </w:rPr>
        <w:t xml:space="preserve">. </w:t>
      </w:r>
      <w:r>
        <w:t>The schematic illustrates the distribution of eight neuronal types (</w:t>
      </w:r>
      <w:r>
        <w:rPr>
          <w:i/>
          <w:iCs/>
        </w:rPr>
        <w:t>beta-1</w:t>
      </w:r>
      <w:r>
        <w:t xml:space="preserve">, </w:t>
      </w:r>
      <w:r>
        <w:rPr>
          <w:i/>
          <w:iCs/>
        </w:rPr>
        <w:t>beta-2</w:t>
      </w:r>
      <w:r>
        <w:t xml:space="preserve">, </w:t>
      </w:r>
      <w:r>
        <w:rPr>
          <w:i/>
          <w:iCs/>
        </w:rPr>
        <w:t>gamma-2</w:t>
      </w:r>
      <w:r>
        <w:t>,</w:t>
      </w:r>
      <w:r>
        <w:rPr>
          <w:i/>
          <w:iCs/>
        </w:rPr>
        <w:t xml:space="preserve"> delta-1</w:t>
      </w:r>
      <w:r>
        <w:t xml:space="preserve">, </w:t>
      </w:r>
      <w:r>
        <w:rPr>
          <w:i/>
          <w:iCs/>
        </w:rPr>
        <w:t>delta-3</w:t>
      </w:r>
      <w:r>
        <w:t xml:space="preserve">, </w:t>
      </w:r>
      <w:r>
        <w:rPr>
          <w:i/>
          <w:iCs/>
        </w:rPr>
        <w:t>delta-4</w:t>
      </w:r>
      <w:r>
        <w:t xml:space="preserve"> and </w:t>
      </w:r>
      <w:r>
        <w:rPr>
          <w:i/>
          <w:iCs/>
        </w:rPr>
        <w:t>epsilon</w:t>
      </w:r>
      <w:r>
        <w:t>) in male (head and gynecophoric canal) and female (anterior and middle regions, including head, ovary, Mehlis' gland, and vitellaria) worms.</w:t>
      </w:r>
      <w:r>
        <w:rPr>
          <w:b/>
          <w:bCs/>
        </w:rPr>
        <w:t xml:space="preserve"> </w:t>
      </w:r>
    </w:p>
    <w:p w14:paraId="01B73B3F" w14:textId="77777777" w:rsidR="00F24509" w:rsidRDefault="00F24509">
      <w:pPr>
        <w:rPr>
          <w:b/>
          <w:bCs/>
        </w:rPr>
      </w:pPr>
    </w:p>
    <w:p w14:paraId="6D6881AD" w14:textId="77777777" w:rsidR="00F24509" w:rsidRDefault="00000000">
      <w:r>
        <w:rPr>
          <w:b/>
          <w:bCs/>
        </w:rPr>
        <w:t>Supplementary Fig 17. GO terms enrichment of highly expression genes in</w:t>
      </w:r>
      <w:r>
        <w:rPr>
          <w:b/>
          <w:bCs/>
          <w:i/>
        </w:rPr>
        <w:t xml:space="preserve"> beta-2</w:t>
      </w:r>
      <w:r>
        <w:rPr>
          <w:b/>
          <w:bCs/>
        </w:rPr>
        <w:t xml:space="preserve">, </w:t>
      </w:r>
      <w:r>
        <w:rPr>
          <w:b/>
          <w:bCs/>
          <w:i/>
        </w:rPr>
        <w:t xml:space="preserve">gamma-2 </w:t>
      </w:r>
      <w:r>
        <w:rPr>
          <w:b/>
          <w:bCs/>
        </w:rPr>
        <w:t xml:space="preserve">and </w:t>
      </w:r>
      <w:r>
        <w:rPr>
          <w:b/>
          <w:bCs/>
          <w:i/>
        </w:rPr>
        <w:t>delta-3</w:t>
      </w:r>
      <w:r>
        <w:rPr>
          <w:b/>
          <w:bCs/>
        </w:rPr>
        <w:t xml:space="preserve"> neurons. </w:t>
      </w:r>
      <w:r>
        <w:t xml:space="preserve">GO analysis revealed functional specializations: </w:t>
      </w:r>
      <w:r>
        <w:rPr>
          <w:i/>
          <w:iCs/>
        </w:rPr>
        <w:t>beta-2</w:t>
      </w:r>
      <w:r>
        <w:t xml:space="preserve"> and </w:t>
      </w:r>
      <w:r>
        <w:rPr>
          <w:i/>
          <w:iCs/>
        </w:rPr>
        <w:t xml:space="preserve">gamma-2 </w:t>
      </w:r>
      <w:r>
        <w:t xml:space="preserve">neurons were enriched for synaptic transmission and neurotransmitter transport, with </w:t>
      </w:r>
      <w:r>
        <w:rPr>
          <w:i/>
          <w:iCs/>
        </w:rPr>
        <w:t xml:space="preserve">gamma-2 </w:t>
      </w:r>
      <w:r>
        <w:t xml:space="preserve">also showing ion transport activity. </w:t>
      </w:r>
      <w:r>
        <w:rPr>
          <w:i/>
          <w:iCs/>
        </w:rPr>
        <w:t>Delta-3</w:t>
      </w:r>
      <w:r>
        <w:t xml:space="preserve"> neurons exhibited unique enrichments in cilium organization, cell projection assembly, and microtubule bundle formation.</w:t>
      </w:r>
    </w:p>
    <w:p w14:paraId="5D43C6FB" w14:textId="77777777" w:rsidR="00F24509" w:rsidRDefault="00F24509"/>
    <w:p w14:paraId="0C3562C7" w14:textId="77777777" w:rsidR="00F24509" w:rsidRDefault="00000000">
      <w:r>
        <w:rPr>
          <w:b/>
          <w:bCs/>
        </w:rPr>
        <w:t xml:space="preserve">Supplementary Fig 18. </w:t>
      </w:r>
      <w:r>
        <w:rPr>
          <w:b/>
          <w:bCs/>
          <w:szCs w:val="20"/>
        </w:rPr>
        <w:t xml:space="preserve">Effect of </w:t>
      </w:r>
      <w:r>
        <w:rPr>
          <w:b/>
          <w:bCs/>
          <w:i/>
          <w:iCs/>
          <w:szCs w:val="20"/>
        </w:rPr>
        <w:t>ddc</w:t>
      </w:r>
      <w:r>
        <w:rPr>
          <w:b/>
          <w:bCs/>
          <w:szCs w:val="20"/>
        </w:rPr>
        <w:t xml:space="preserve"> knockdown in males on female vitellaria development </w:t>
      </w:r>
      <w:r>
        <w:rPr>
          <w:b/>
          <w:bCs/>
        </w:rPr>
        <w:t>in</w:t>
      </w:r>
      <w:r>
        <w:rPr>
          <w:b/>
          <w:bCs/>
          <w:i/>
        </w:rPr>
        <w:t xml:space="preserve"> S. japonicum</w:t>
      </w:r>
      <w:r>
        <w:rPr>
          <w:b/>
          <w:bCs/>
          <w:szCs w:val="20"/>
        </w:rPr>
        <w:t>.</w:t>
      </w:r>
      <w:r>
        <w:t xml:space="preserve"> (a) Female worms paired with </w:t>
      </w:r>
      <w:r>
        <w:rPr>
          <w:i/>
          <w:iCs/>
        </w:rPr>
        <w:t>ddc</w:t>
      </w:r>
      <w:r>
        <w:t xml:space="preserve"> RNAi males </w:t>
      </w:r>
      <w:r>
        <w:rPr>
          <w:i/>
          <w:iCs/>
        </w:rPr>
        <w:t>in vitro</w:t>
      </w:r>
      <w:r>
        <w:t xml:space="preserve"> showed normal FastBlue BB staining in their vitellaria (left), indicating no developmental arrest and confirming significant </w:t>
      </w:r>
      <w:r>
        <w:rPr>
          <w:i/>
          <w:iCs/>
        </w:rPr>
        <w:t>ddc</w:t>
      </w:r>
      <w:r>
        <w:t xml:space="preserve"> knockdown (right). (b) Egg production remained unaffected in female worms paired with</w:t>
      </w:r>
      <w:r>
        <w:rPr>
          <w:i/>
          <w:iCs/>
        </w:rPr>
        <w:t xml:space="preserve"> ddc</w:t>
      </w:r>
      <w:r>
        <w:t xml:space="preserve"> RNAi-treated males. </w:t>
      </w:r>
      <w:r>
        <w:rPr>
          <w:i/>
          <w:iCs/>
        </w:rPr>
        <w:t>ns</w:t>
      </w:r>
      <w:r>
        <w:t xml:space="preserve">, not significant; ****, </w:t>
      </w:r>
      <w:r>
        <w:rPr>
          <w:i/>
        </w:rPr>
        <w:t>p</w:t>
      </w:r>
      <w:r>
        <w:t xml:space="preserve"> &lt; 0.0001, </w:t>
      </w:r>
      <w:r>
        <w:rPr>
          <w:i/>
          <w:iCs/>
        </w:rPr>
        <w:t xml:space="preserve">t </w:t>
      </w:r>
      <w:r>
        <w:t>test;</w:t>
      </w:r>
      <w:r>
        <w:rPr>
          <w:sz w:val="16"/>
          <w:szCs w:val="16"/>
        </w:rPr>
        <w:t xml:space="preserve"> </w:t>
      </w:r>
      <w:r>
        <w:t>Error bars represent the SD based on three separate experiments.</w:t>
      </w:r>
    </w:p>
    <w:p w14:paraId="771B2CBA" w14:textId="77777777" w:rsidR="00F24509" w:rsidRDefault="00F24509"/>
    <w:p w14:paraId="688FE3DD" w14:textId="77777777" w:rsidR="00F24509" w:rsidRDefault="00000000">
      <w:bookmarkStart w:id="2" w:name="OLE_LINK22"/>
      <w:r>
        <w:rPr>
          <w:b/>
          <w:bCs/>
        </w:rPr>
        <w:t>Supplementary Fig 19</w:t>
      </w:r>
      <w:bookmarkEnd w:id="2"/>
      <w:r>
        <w:rPr>
          <w:b/>
          <w:bCs/>
        </w:rPr>
        <w:t xml:space="preserve">. qRT-PCR analysis of </w:t>
      </w:r>
      <w:r>
        <w:rPr>
          <w:b/>
          <w:bCs/>
          <w:i/>
        </w:rPr>
        <w:t>lsamp</w:t>
      </w:r>
      <w:r>
        <w:rPr>
          <w:b/>
          <w:bCs/>
        </w:rPr>
        <w:t xml:space="preserve"> and </w:t>
      </w:r>
      <w:r>
        <w:rPr>
          <w:b/>
          <w:bCs/>
          <w:i/>
        </w:rPr>
        <w:t>nrps</w:t>
      </w:r>
      <w:r>
        <w:rPr>
          <w:b/>
          <w:bCs/>
        </w:rPr>
        <w:t xml:space="preserve"> expression in male</w:t>
      </w:r>
      <w:r>
        <w:rPr>
          <w:b/>
          <w:bCs/>
          <w:i/>
          <w:iCs/>
        </w:rPr>
        <w:t xml:space="preserve"> S. japonicum</w:t>
      </w:r>
      <w:r>
        <w:rPr>
          <w:b/>
          <w:bCs/>
        </w:rPr>
        <w:t xml:space="preserve"> at D8, D11, D13, and D20. </w:t>
      </w:r>
      <w:r>
        <w:t>Dynamic</w:t>
      </w:r>
      <w:r>
        <w:rPr>
          <w:b/>
          <w:bCs/>
        </w:rPr>
        <w:t xml:space="preserve"> </w:t>
      </w:r>
      <w:r>
        <w:t xml:space="preserve">expression levels of </w:t>
      </w:r>
      <w:r>
        <w:rPr>
          <w:i/>
        </w:rPr>
        <w:t>lsamp</w:t>
      </w:r>
      <w:r>
        <w:rPr>
          <w:iCs/>
        </w:rPr>
        <w:t xml:space="preserve"> (a)</w:t>
      </w:r>
      <w:r>
        <w:t xml:space="preserve"> and </w:t>
      </w:r>
      <w:r>
        <w:rPr>
          <w:i/>
        </w:rPr>
        <w:t>nrps</w:t>
      </w:r>
      <w:r>
        <w:rPr>
          <w:iCs/>
        </w:rPr>
        <w:t xml:space="preserve"> (b) </w:t>
      </w:r>
      <w:r>
        <w:t xml:space="preserve">were measured in </w:t>
      </w:r>
      <w:r>
        <w:rPr>
          <w:i/>
        </w:rPr>
        <w:t>lsamp</w:t>
      </w:r>
      <w:r>
        <w:t xml:space="preserve"> RNAi males. </w:t>
      </w:r>
      <w:r>
        <w:rPr>
          <w:i/>
        </w:rPr>
        <w:t>nrps</w:t>
      </w:r>
      <w:r>
        <w:t xml:space="preserve"> expression remained unchanged compared to controls (</w:t>
      </w:r>
      <w:r>
        <w:rPr>
          <w:i/>
          <w:iCs/>
        </w:rPr>
        <w:t>ns</w:t>
      </w:r>
      <w:r>
        <w:t xml:space="preserve">, not significant), while </w:t>
      </w:r>
      <w:r>
        <w:rPr>
          <w:i/>
        </w:rPr>
        <w:t>lsamp</w:t>
      </w:r>
      <w:r>
        <w:t xml:space="preserve"> was stably knocked down (**, </w:t>
      </w:r>
      <w:r>
        <w:rPr>
          <w:i/>
        </w:rPr>
        <w:t>p</w:t>
      </w:r>
      <w:r>
        <w:t xml:space="preserve"> &lt; 0.01; ****, </w:t>
      </w:r>
      <w:r>
        <w:rPr>
          <w:i/>
        </w:rPr>
        <w:t>p</w:t>
      </w:r>
      <w:r>
        <w:t xml:space="preserve"> &lt; 0.0001). </w:t>
      </w:r>
      <w:r>
        <w:rPr>
          <w:i/>
          <w:iCs/>
        </w:rPr>
        <w:t xml:space="preserve">t </w:t>
      </w:r>
      <w:r>
        <w:t>test;</w:t>
      </w:r>
      <w:r>
        <w:rPr>
          <w:sz w:val="16"/>
          <w:szCs w:val="16"/>
        </w:rPr>
        <w:t xml:space="preserve"> </w:t>
      </w:r>
      <w:r>
        <w:t>Error bars represent the SD based on separate experiments.</w:t>
      </w:r>
    </w:p>
    <w:p w14:paraId="73257EB5" w14:textId="77777777" w:rsidR="00F24509" w:rsidRDefault="00F24509"/>
    <w:p w14:paraId="007AD567" w14:textId="77777777" w:rsidR="00F24509" w:rsidRDefault="00000000">
      <w:r>
        <w:rPr>
          <w:b/>
          <w:bCs/>
        </w:rPr>
        <w:t xml:space="preserve">Supplementary Fig 20. RNA-seq data analysis of the </w:t>
      </w:r>
      <w:r>
        <w:rPr>
          <w:b/>
          <w:bCs/>
          <w:i/>
          <w:iCs/>
        </w:rPr>
        <w:t>lsamp</w:t>
      </w:r>
      <w:r>
        <w:rPr>
          <w:b/>
          <w:bCs/>
        </w:rPr>
        <w:t xml:space="preserve"> and </w:t>
      </w:r>
      <w:r>
        <w:rPr>
          <w:b/>
          <w:bCs/>
          <w:i/>
          <w:iCs/>
        </w:rPr>
        <w:t>gfp</w:t>
      </w:r>
      <w:r>
        <w:rPr>
          <w:b/>
          <w:bCs/>
        </w:rPr>
        <w:t xml:space="preserve"> RNAi male</w:t>
      </w:r>
      <w:r>
        <w:rPr>
          <w:b/>
          <w:bCs/>
          <w:i/>
        </w:rPr>
        <w:t xml:space="preserve"> S. japonicum</w:t>
      </w:r>
      <w:r>
        <w:rPr>
          <w:b/>
          <w:bCs/>
        </w:rPr>
        <w:t xml:space="preserve">. </w:t>
      </w:r>
      <w:r>
        <w:t xml:space="preserve">(a) Principal Component Analysis (PCA) of the 8 samples (4 replicates per group). (b)Volcano plot analysis of differentially expressed genes (DEGs) between </w:t>
      </w:r>
      <w:r>
        <w:rPr>
          <w:i/>
          <w:iCs/>
        </w:rPr>
        <w:t>lsamp</w:t>
      </w:r>
      <w:r>
        <w:t> RNAi and </w:t>
      </w:r>
      <w:r>
        <w:rPr>
          <w:i/>
          <w:iCs/>
        </w:rPr>
        <w:t>gfp</w:t>
      </w:r>
      <w:r>
        <w:t xml:space="preserve"> RNAi males. (c) Expression levels of </w:t>
      </w:r>
      <w:r>
        <w:rPr>
          <w:i/>
        </w:rPr>
        <w:t>lsamp</w:t>
      </w:r>
      <w:r>
        <w:t xml:space="preserve">, </w:t>
      </w:r>
      <w:r>
        <w:rPr>
          <w:i/>
        </w:rPr>
        <w:t>nrps</w:t>
      </w:r>
      <w:r>
        <w:t xml:space="preserve"> and </w:t>
      </w:r>
      <w:r>
        <w:rPr>
          <w:i/>
        </w:rPr>
        <w:t>ddc</w:t>
      </w:r>
      <w:r>
        <w:t xml:space="preserve"> in </w:t>
      </w:r>
      <w:r>
        <w:rPr>
          <w:i/>
          <w:iCs/>
        </w:rPr>
        <w:t>lsamp</w:t>
      </w:r>
      <w:r>
        <w:t> RNAi and </w:t>
      </w:r>
      <w:r>
        <w:rPr>
          <w:i/>
          <w:iCs/>
        </w:rPr>
        <w:t>gfp</w:t>
      </w:r>
      <w:r>
        <w:t xml:space="preserve"> RNAi groups. </w:t>
      </w:r>
      <w:r>
        <w:rPr>
          <w:i/>
          <w:iCs/>
        </w:rPr>
        <w:t>ns</w:t>
      </w:r>
      <w:r>
        <w:t xml:space="preserve">, not significant; ****, </w:t>
      </w:r>
      <w:r>
        <w:rPr>
          <w:i/>
        </w:rPr>
        <w:t>p</w:t>
      </w:r>
      <w:r>
        <w:t xml:space="preserve"> &lt; 0.0001, </w:t>
      </w:r>
      <w:r>
        <w:rPr>
          <w:i/>
          <w:iCs/>
        </w:rPr>
        <w:t xml:space="preserve">t </w:t>
      </w:r>
      <w:r>
        <w:t xml:space="preserve">test. (d) </w:t>
      </w:r>
      <w:r>
        <w:rPr>
          <w:rStyle w:val="fontstyle01"/>
          <w:color w:val="auto"/>
        </w:rPr>
        <w:t xml:space="preserve">GO term analysis (biological process) on the down-regulated genes set in </w:t>
      </w:r>
      <w:r>
        <w:rPr>
          <w:i/>
          <w:iCs/>
        </w:rPr>
        <w:t>lsamp</w:t>
      </w:r>
      <w:r>
        <w:t xml:space="preserve"> RNAi worms, </w:t>
      </w:r>
      <w:r>
        <w:rPr>
          <w:rStyle w:val="fontstyle01"/>
          <w:color w:val="auto"/>
        </w:rPr>
        <w:t>showing enrichment in precursor metabolite generation, energy production, and peptide biosynthesis.</w:t>
      </w:r>
      <w:r>
        <w:t xml:space="preserve"> (e) </w:t>
      </w:r>
      <w:r>
        <w:rPr>
          <w:rStyle w:val="fontstyle01"/>
          <w:color w:val="auto"/>
        </w:rPr>
        <w:t xml:space="preserve">GO term </w:t>
      </w:r>
      <w:r>
        <w:rPr>
          <w:rStyle w:val="fontstyle01"/>
          <w:color w:val="auto"/>
        </w:rPr>
        <w:lastRenderedPageBreak/>
        <w:t xml:space="preserve">analysis (molecular function) on the down-regulated genes set in </w:t>
      </w:r>
      <w:r>
        <w:rPr>
          <w:i/>
          <w:iCs/>
        </w:rPr>
        <w:t>lsamp</w:t>
      </w:r>
      <w:r>
        <w:t xml:space="preserve"> RNAi worms, highlighting enrichment in ribosomal structural constituents and ATPase-coupled ion transmembrane transporter activity. </w:t>
      </w:r>
    </w:p>
    <w:p w14:paraId="03597669" w14:textId="77777777" w:rsidR="00F24509" w:rsidRDefault="00F24509"/>
    <w:p w14:paraId="1A205125" w14:textId="77777777" w:rsidR="00F24509" w:rsidRDefault="00000000">
      <w:r>
        <w:rPr>
          <w:b/>
          <w:bCs/>
        </w:rPr>
        <w:t>Supplementary Fig 21.</w:t>
      </w:r>
      <w:r>
        <w:t xml:space="preserve"> </w:t>
      </w:r>
      <w:r>
        <w:rPr>
          <w:b/>
          <w:bCs/>
        </w:rPr>
        <w:t>Schematic diagram of the structure of LSAMP, an IgLON family protein.</w:t>
      </w:r>
      <w:r>
        <w:t xml:space="preserve"> (Adapted from Um and Ko, 2017) </w:t>
      </w:r>
      <w:r>
        <w:rPr>
          <w:vertAlign w:val="superscript"/>
        </w:rPr>
        <w:t>36</w:t>
      </w:r>
      <w:r>
        <w:t xml:space="preserve">. </w:t>
      </w:r>
    </w:p>
    <w:p w14:paraId="64D5C3DA" w14:textId="77777777" w:rsidR="00F24509" w:rsidRDefault="00F24509"/>
    <w:p w14:paraId="77C760BC" w14:textId="77777777" w:rsidR="00F24509" w:rsidRDefault="00000000">
      <w:bookmarkStart w:id="3" w:name="OLE_LINK86"/>
      <w:r>
        <w:rPr>
          <w:b/>
          <w:bCs/>
        </w:rPr>
        <w:t xml:space="preserve">Supplementary Fig 22. </w:t>
      </w:r>
      <w:r>
        <w:rPr>
          <w:b/>
          <w:bCs/>
          <w:i/>
          <w:iCs/>
        </w:rPr>
        <w:t>Lsamp</w:t>
      </w:r>
      <w:r>
        <w:rPr>
          <w:b/>
          <w:bCs/>
        </w:rPr>
        <w:t xml:space="preserve"> guides the formation of the ventral neural network in male</w:t>
      </w:r>
      <w:r>
        <w:rPr>
          <w:b/>
          <w:bCs/>
          <w:i/>
        </w:rPr>
        <w:t xml:space="preserve"> S. japonicum</w:t>
      </w:r>
      <w:r>
        <w:rPr>
          <w:b/>
          <w:bCs/>
        </w:rPr>
        <w:t xml:space="preserve">. </w:t>
      </w:r>
      <w:r>
        <w:t xml:space="preserve">The diagram highlights the crucial role of </w:t>
      </w:r>
      <w:r>
        <w:rPr>
          <w:i/>
          <w:iCs/>
        </w:rPr>
        <w:t>lsamp</w:t>
      </w:r>
      <w:r>
        <w:t xml:space="preserve"> in guiding the formation of the ventral neural network in male</w:t>
      </w:r>
      <w:r>
        <w:rPr>
          <w:i/>
        </w:rPr>
        <w:t xml:space="preserve"> S. japonicum</w:t>
      </w:r>
      <w:r>
        <w:t>.</w:t>
      </w:r>
    </w:p>
    <w:p w14:paraId="36D6F6D9" w14:textId="77777777" w:rsidR="00F24509" w:rsidRDefault="00F24509"/>
    <w:bookmarkEnd w:id="3"/>
    <w:p w14:paraId="6FC8A1B2" w14:textId="77777777" w:rsidR="00F24509" w:rsidRDefault="00000000">
      <w:r>
        <w:rPr>
          <w:b/>
          <w:bCs/>
        </w:rPr>
        <w:t>Supplementary Fig 23.</w:t>
      </w:r>
      <w:r>
        <w:t xml:space="preserve"> </w:t>
      </w:r>
      <w:r>
        <w:rPr>
          <w:b/>
          <w:bCs/>
        </w:rPr>
        <w:t xml:space="preserve">Serotonin (5-HT) deficiency impairs vitellaria development and reduces egg production in females. </w:t>
      </w:r>
      <w:r>
        <w:t>(a) Comparison of vitellaria conditions between 5-HT- supplemented (5-HT</w:t>
      </w:r>
      <w:r>
        <w:rPr>
          <w:vertAlign w:val="superscript"/>
        </w:rPr>
        <w:t>+</w:t>
      </w:r>
      <w:r>
        <w:t>) and 5-HT-free (5-HT</w:t>
      </w:r>
      <w:r>
        <w:rPr>
          <w:vertAlign w:val="superscript"/>
        </w:rPr>
        <w:t>-</w:t>
      </w:r>
      <w:r>
        <w:t>) groups revealed that females in the 5-HT</w:t>
      </w:r>
      <w:r>
        <w:rPr>
          <w:vertAlign w:val="superscript"/>
        </w:rPr>
        <w:t>-</w:t>
      </w:r>
      <w:r>
        <w:t xml:space="preserve"> group showed significantly worse vitellaria development, suggesting a potential role of 5-HT in vitellaria maintenance. (b) Egg production was significantly reduced in 5-HT</w:t>
      </w:r>
      <w:r>
        <w:rPr>
          <w:vertAlign w:val="superscript"/>
        </w:rPr>
        <w:t>-</w:t>
      </w:r>
      <w:r>
        <w:t xml:space="preserve"> group. **, </w:t>
      </w:r>
      <w:r>
        <w:rPr>
          <w:i/>
        </w:rPr>
        <w:t>p</w:t>
      </w:r>
      <w:r>
        <w:t xml:space="preserve"> &lt; 0.01, </w:t>
      </w:r>
      <w:r>
        <w:rPr>
          <w:i/>
          <w:iCs/>
        </w:rPr>
        <w:t xml:space="preserve">t </w:t>
      </w:r>
      <w:r>
        <w:t>test; Error bar represents the SD based on separate experiments.</w:t>
      </w:r>
    </w:p>
    <w:p w14:paraId="7EF012B6" w14:textId="77777777" w:rsidR="00F24509" w:rsidRDefault="00F24509"/>
    <w:p w14:paraId="5B0AC36E" w14:textId="77777777" w:rsidR="00F24509" w:rsidRDefault="00000000">
      <w:r>
        <w:rPr>
          <w:b/>
          <w:bCs/>
        </w:rPr>
        <w:t xml:space="preserve">Supplementary Fig 24. Homology analysis and domain analysis of </w:t>
      </w:r>
      <w:r>
        <w:rPr>
          <w:b/>
          <w:bCs/>
          <w:i/>
          <w:iCs/>
        </w:rPr>
        <w:t>lsamp</w:t>
      </w:r>
      <w:r>
        <w:rPr>
          <w:b/>
          <w:bCs/>
        </w:rPr>
        <w:t xml:space="preserve"> protein in</w:t>
      </w:r>
      <w:r>
        <w:rPr>
          <w:b/>
          <w:bCs/>
          <w:i/>
          <w:iCs/>
        </w:rPr>
        <w:t xml:space="preserve"> S. japonicum</w:t>
      </w:r>
      <w:r>
        <w:rPr>
          <w:b/>
          <w:bCs/>
        </w:rPr>
        <w:t xml:space="preserve"> and other species.</w:t>
      </w:r>
      <w:r>
        <w:t xml:space="preserve"> (a) Homology analysis of </w:t>
      </w:r>
      <w:r>
        <w:rPr>
          <w:i/>
          <w:iCs/>
        </w:rPr>
        <w:t>lsamp</w:t>
      </w:r>
      <w:r>
        <w:t xml:space="preserve"> protein sequences from </w:t>
      </w:r>
      <w:r>
        <w:rPr>
          <w:i/>
          <w:iCs/>
        </w:rPr>
        <w:t>Drosophila elegans</w:t>
      </w:r>
      <w:r>
        <w:t xml:space="preserve">, </w:t>
      </w:r>
      <w:r>
        <w:rPr>
          <w:i/>
          <w:iCs/>
        </w:rPr>
        <w:t xml:space="preserve">Caenorhabditis elegans </w:t>
      </w:r>
      <w:r>
        <w:t xml:space="preserve">and </w:t>
      </w:r>
      <w:r>
        <w:rPr>
          <w:i/>
          <w:iCs/>
        </w:rPr>
        <w:t>Mus musculus</w:t>
      </w:r>
      <w:r>
        <w:t xml:space="preserve">. (b) Domain comparison of </w:t>
      </w:r>
      <w:r>
        <w:rPr>
          <w:i/>
          <w:iCs/>
        </w:rPr>
        <w:t>lsamp</w:t>
      </w:r>
      <w:r>
        <w:t xml:space="preserve"> protein sequences, highlighting conserved structural features across species. (c) Detailed domain architecture of</w:t>
      </w:r>
      <w:r>
        <w:rPr>
          <w:i/>
        </w:rPr>
        <w:t xml:space="preserve"> S. japonicum</w:t>
      </w:r>
      <w:r>
        <w:t xml:space="preserve"> LSAMP protein, showing functional regions potentially involved in nervous system development, axon growth, and synapse formation.</w:t>
      </w:r>
    </w:p>
    <w:p w14:paraId="46F841C8" w14:textId="77777777" w:rsidR="00F24509" w:rsidRDefault="00F24509"/>
    <w:p w14:paraId="3D0061EF" w14:textId="77777777" w:rsidR="00F24509" w:rsidRDefault="00000000">
      <w:bookmarkStart w:id="4" w:name="OLE_LINK77"/>
      <w:r>
        <w:rPr>
          <w:b/>
          <w:bCs/>
        </w:rPr>
        <w:t xml:space="preserve">Supplementary Fig 25. The role of </w:t>
      </w:r>
      <w:r>
        <w:rPr>
          <w:b/>
          <w:bCs/>
          <w:i/>
          <w:iCs/>
        </w:rPr>
        <w:t>lsamp</w:t>
      </w:r>
      <w:r>
        <w:rPr>
          <w:b/>
          <w:bCs/>
        </w:rPr>
        <w:t xml:space="preserve"> in </w:t>
      </w:r>
      <w:bookmarkStart w:id="5" w:name="OLE_LINK106"/>
      <w:r>
        <w:rPr>
          <w:b/>
          <w:bCs/>
        </w:rPr>
        <w:t>male-female</w:t>
      </w:r>
      <w:bookmarkEnd w:id="5"/>
      <w:r>
        <w:rPr>
          <w:b/>
          <w:bCs/>
        </w:rPr>
        <w:t xml:space="preserve"> interactions governing sexual development in schistosomes.</w:t>
      </w:r>
      <w:r>
        <w:t xml:space="preserve"> </w:t>
      </w:r>
      <w:bookmarkStart w:id="6" w:name="OLE_LINK92"/>
      <w:r>
        <w:t xml:space="preserve">This graph illustrates the critical role of </w:t>
      </w:r>
      <w:r>
        <w:rPr>
          <w:i/>
          <w:iCs/>
        </w:rPr>
        <w:t>lsamp</w:t>
      </w:r>
      <w:r>
        <w:t xml:space="preserve"> in male schistosomes: (1) LSAMP</w:t>
      </w:r>
      <w:r>
        <w:rPr>
          <w:i/>
          <w:iCs/>
        </w:rPr>
        <w:t xml:space="preserve"> </w:t>
      </w:r>
      <w:r>
        <w:t xml:space="preserve">is essential for maintaining microtubule integrity and acetylation in the </w:t>
      </w:r>
      <w:bookmarkStart w:id="7" w:name="OLE_LINK102"/>
      <w:r>
        <w:t xml:space="preserve">ventral neural </w:t>
      </w:r>
      <w:bookmarkEnd w:id="7"/>
      <w:r>
        <w:t xml:space="preserve">network, enabling vesicular transport; (2) </w:t>
      </w:r>
      <w:r>
        <w:rPr>
          <w:i/>
          <w:iCs/>
        </w:rPr>
        <w:t xml:space="preserve">Delta-3 </w:t>
      </w:r>
      <w:r>
        <w:t xml:space="preserve">neurons are tightly attached to the male ventral neural network - BATT precursors (β-alanine and tryptamine) are obtained by vesicle trafficking and synthesized into BATT by NRPS catalysis; (3) </w:t>
      </w:r>
      <w:r>
        <w:rPr>
          <w:i/>
          <w:iCs/>
        </w:rPr>
        <w:t>Lsamp</w:t>
      </w:r>
      <w:r>
        <w:t xml:space="preserve"> knockdown disrupts microtubule dynamics, impairing the vesicular transport of BATT precursors to </w:t>
      </w:r>
      <w:r>
        <w:rPr>
          <w:i/>
          <w:iCs/>
        </w:rPr>
        <w:t>delta-3</w:t>
      </w:r>
      <w:r>
        <w:t xml:space="preserve"> neurons, ultimately hindering female sexual development.</w:t>
      </w:r>
      <w:bookmarkEnd w:id="6"/>
    </w:p>
    <w:bookmarkEnd w:id="4"/>
    <w:p w14:paraId="52B9E437" w14:textId="77777777" w:rsidR="00F24509" w:rsidRDefault="00F24509"/>
    <w:p w14:paraId="4074FC61" w14:textId="77777777" w:rsidR="00F24509" w:rsidRDefault="00000000">
      <w:pPr>
        <w:rPr>
          <w:b/>
          <w:bCs/>
        </w:rPr>
      </w:pPr>
      <w:r>
        <w:rPr>
          <w:b/>
          <w:bCs/>
        </w:rPr>
        <w:t>Supplementary Data</w:t>
      </w:r>
    </w:p>
    <w:p w14:paraId="6302EC61" w14:textId="77777777" w:rsidR="00F24509" w:rsidRDefault="00000000">
      <w:r>
        <w:rPr>
          <w:b/>
          <w:bCs/>
        </w:rPr>
        <w:lastRenderedPageBreak/>
        <w:t>Supplementary Data 1. Quality control metrics for</w:t>
      </w:r>
      <w:r>
        <w:rPr>
          <w:b/>
          <w:bCs/>
          <w:i/>
        </w:rPr>
        <w:t xml:space="preserve"> S. japonicum</w:t>
      </w:r>
      <w:r>
        <w:rPr>
          <w:b/>
          <w:bCs/>
        </w:rPr>
        <w:t xml:space="preserve"> single-cell transcriptome data. </w:t>
      </w:r>
    </w:p>
    <w:p w14:paraId="02332899" w14:textId="77777777" w:rsidR="00F24509" w:rsidRDefault="00000000">
      <w:r>
        <w:rPr>
          <w:b/>
          <w:bCs/>
        </w:rPr>
        <w:t>Description:</w:t>
      </w:r>
      <w:r>
        <w:t xml:space="preserve"> Summary of key quality control metrics for single-cell RNA sequencing data, including estimated cell number, mean reads per cell, median genes per cell, total reads, valid barcode rate, sequencing saturation, Q30 scores for barcodes, RNA reads, and UMIs, genome-mapped reads, antisense reads, fraction of reads in cells, total genes detected, and median UMI counts per cell. These metrics ensure the reliability and accuracy of the single-cell transcriptome analysis.</w:t>
      </w:r>
    </w:p>
    <w:p w14:paraId="7FA92382" w14:textId="77777777" w:rsidR="00F24509" w:rsidRDefault="00F24509"/>
    <w:p w14:paraId="16C43FB2" w14:textId="77777777" w:rsidR="00F24509" w:rsidRDefault="00000000">
      <w:r>
        <w:rPr>
          <w:b/>
          <w:bCs/>
        </w:rPr>
        <w:t>Supplementary Data 2. List of homologous genes in</w:t>
      </w:r>
      <w:r>
        <w:rPr>
          <w:b/>
          <w:bCs/>
          <w:i/>
        </w:rPr>
        <w:t xml:space="preserve"> S. japonicum</w:t>
      </w:r>
      <w:r>
        <w:rPr>
          <w:b/>
          <w:bCs/>
        </w:rPr>
        <w:t xml:space="preserve"> identified based on conserved cell markers reported in </w:t>
      </w:r>
      <w:r>
        <w:rPr>
          <w:b/>
          <w:bCs/>
          <w:i/>
          <w:iCs/>
        </w:rPr>
        <w:t>S. mansoni</w:t>
      </w:r>
      <w:r>
        <w:rPr>
          <w:b/>
          <w:bCs/>
        </w:rPr>
        <w:t xml:space="preserve">. </w:t>
      </w:r>
    </w:p>
    <w:p w14:paraId="01CC57D3" w14:textId="77777777" w:rsidR="00F24509" w:rsidRDefault="00000000">
      <w:r>
        <w:rPr>
          <w:b/>
          <w:bCs/>
        </w:rPr>
        <w:t>Description:</w:t>
      </w:r>
      <w:r>
        <w:t xml:space="preserve"> The table includes gene IDs, gene names, and associated cell types for</w:t>
      </w:r>
      <w:r>
        <w:rPr>
          <w:i/>
        </w:rPr>
        <w:t xml:space="preserve"> S. japonicum</w:t>
      </w:r>
      <w:r>
        <w:t>. Note: Conservation analysis and gene information from other species are not included in this table.</w:t>
      </w:r>
    </w:p>
    <w:p w14:paraId="1751EA0F" w14:textId="77777777" w:rsidR="00F24509" w:rsidRDefault="00F24509"/>
    <w:p w14:paraId="3C8D01F7" w14:textId="77777777" w:rsidR="00F24509" w:rsidRDefault="00000000">
      <w:r>
        <w:rPr>
          <w:b/>
          <w:bCs/>
        </w:rPr>
        <w:t>Supplementary Data 3. Top 100 marker genes for each cell type in</w:t>
      </w:r>
      <w:r>
        <w:rPr>
          <w:b/>
          <w:bCs/>
          <w:i/>
        </w:rPr>
        <w:t xml:space="preserve"> S. japonicum</w:t>
      </w:r>
      <w:r>
        <w:rPr>
          <w:b/>
          <w:bCs/>
          <w:i/>
          <w:iCs/>
        </w:rPr>
        <w:t>.</w:t>
      </w:r>
    </w:p>
    <w:p w14:paraId="08913A46" w14:textId="77777777" w:rsidR="00F24509" w:rsidRDefault="00000000">
      <w:r>
        <w:rPr>
          <w:b/>
          <w:bCs/>
        </w:rPr>
        <w:t>Description:</w:t>
      </w:r>
      <w:r>
        <w:t xml:space="preserve"> List of the top 100 marker genes for each cell type identified through single-cell RNA sequencing of</w:t>
      </w:r>
      <w:r>
        <w:rPr>
          <w:i/>
        </w:rPr>
        <w:t xml:space="preserve"> S. japonicum</w:t>
      </w:r>
      <w:r>
        <w:t>. Genes are ranked based on expression specificity, with gene IDs and associated cell types provided.</w:t>
      </w:r>
    </w:p>
    <w:p w14:paraId="4675453A" w14:textId="77777777" w:rsidR="00F24509" w:rsidRDefault="00F24509"/>
    <w:p w14:paraId="1BEDABF2" w14:textId="77777777" w:rsidR="00F24509" w:rsidRDefault="00000000">
      <w:r>
        <w:rPr>
          <w:b/>
          <w:bCs/>
        </w:rPr>
        <w:t>Supplementary Data 4. Primer sequences for probe synthesis in</w:t>
      </w:r>
      <w:r>
        <w:rPr>
          <w:b/>
          <w:bCs/>
          <w:i/>
          <w:iCs/>
        </w:rPr>
        <w:t xml:space="preserve"> S. japonicum.</w:t>
      </w:r>
    </w:p>
    <w:p w14:paraId="07EA2FA5" w14:textId="77777777" w:rsidR="00F24509" w:rsidRDefault="00000000">
      <w:r>
        <w:rPr>
          <w:b/>
          <w:bCs/>
        </w:rPr>
        <w:t xml:space="preserve">Description: </w:t>
      </w:r>
      <w:r>
        <w:t xml:space="preserve">Primer sequences designed for synthesizing probes used in WISH and double fluorescence </w:t>
      </w:r>
      <w:r>
        <w:rPr>
          <w:i/>
          <w:iCs/>
        </w:rPr>
        <w:t>in situ</w:t>
      </w:r>
      <w:r>
        <w:t xml:space="preserve"> hybridization (double-FISH) experiments in</w:t>
      </w:r>
      <w:r>
        <w:rPr>
          <w:i/>
        </w:rPr>
        <w:t xml:space="preserve"> S. japonicum</w:t>
      </w:r>
      <w:r>
        <w:t>.</w:t>
      </w:r>
    </w:p>
    <w:p w14:paraId="3E32806B" w14:textId="77777777" w:rsidR="00F24509" w:rsidRDefault="00F24509"/>
    <w:p w14:paraId="32755A8B" w14:textId="77777777" w:rsidR="00F24509" w:rsidRDefault="00000000">
      <w:r>
        <w:rPr>
          <w:b/>
          <w:bCs/>
        </w:rPr>
        <w:t>Supplementary Data 5. Cellular composition dynamics across developmental time points in</w:t>
      </w:r>
      <w:r>
        <w:rPr>
          <w:b/>
          <w:bCs/>
          <w:i/>
        </w:rPr>
        <w:t xml:space="preserve"> S. japonicum</w:t>
      </w:r>
      <w:r>
        <w:rPr>
          <w:b/>
          <w:bCs/>
        </w:rPr>
        <w:t>.</w:t>
      </w:r>
    </w:p>
    <w:p w14:paraId="5B1F5FE2" w14:textId="77777777" w:rsidR="00F24509" w:rsidRDefault="00000000">
      <w:r>
        <w:rPr>
          <w:b/>
          <w:bCs/>
        </w:rPr>
        <w:t xml:space="preserve">Description: </w:t>
      </w:r>
      <w:r>
        <w:t>Proportion of each cell type at four developmental stages of</w:t>
      </w:r>
      <w:r>
        <w:rPr>
          <w:i/>
        </w:rPr>
        <w:t xml:space="preserve"> S. japonicum</w:t>
      </w:r>
      <w:r>
        <w:t>, illustrating changes in cell population dynamics over time.</w:t>
      </w:r>
    </w:p>
    <w:p w14:paraId="5DAE55B0" w14:textId="77777777" w:rsidR="00F24509" w:rsidRDefault="00F24509"/>
    <w:p w14:paraId="041A330F" w14:textId="77777777" w:rsidR="00F24509" w:rsidRDefault="00000000">
      <w:bookmarkStart w:id="8" w:name="OLE_LINK46"/>
      <w:r>
        <w:rPr>
          <w:b/>
          <w:bCs/>
        </w:rPr>
        <w:t>Supplementary Data 6. Highly expressed genes shared i</w:t>
      </w:r>
      <w:bookmarkStart w:id="9" w:name="_Hlk194442433"/>
      <w:r>
        <w:rPr>
          <w:b/>
          <w:bCs/>
        </w:rPr>
        <w:t>n both male and female gametogenesis</w:t>
      </w:r>
      <w:bookmarkEnd w:id="9"/>
      <w:r>
        <w:rPr>
          <w:b/>
          <w:bCs/>
        </w:rPr>
        <w:t xml:space="preserve"> in</w:t>
      </w:r>
      <w:r>
        <w:rPr>
          <w:b/>
          <w:bCs/>
          <w:i/>
        </w:rPr>
        <w:t xml:space="preserve"> S. japonicum</w:t>
      </w:r>
      <w:r>
        <w:rPr>
          <w:b/>
          <w:bCs/>
          <w:i/>
          <w:iCs/>
        </w:rPr>
        <w:t>.</w:t>
      </w:r>
    </w:p>
    <w:bookmarkEnd w:id="8"/>
    <w:p w14:paraId="7C256C0F" w14:textId="77777777" w:rsidR="00F24509" w:rsidRDefault="00000000">
      <w:r>
        <w:rPr>
          <w:b/>
          <w:bCs/>
        </w:rPr>
        <w:t xml:space="preserve">Description: </w:t>
      </w:r>
      <w:r>
        <w:t>List of genes involved in both male and female gametogenesis in</w:t>
      </w:r>
      <w:r>
        <w:rPr>
          <w:i/>
        </w:rPr>
        <w:t xml:space="preserve"> S. japonicum</w:t>
      </w:r>
      <w:r>
        <w:t xml:space="preserve">. The table provides gene names, annotations, </w:t>
      </w:r>
      <w:r>
        <w:rPr>
          <w:i/>
          <w:iCs/>
        </w:rPr>
        <w:t>p</w:t>
      </w:r>
      <w:r>
        <w:t>-values,</w:t>
      </w:r>
      <w:r>
        <w:rPr>
          <w:i/>
          <w:iCs/>
        </w:rPr>
        <w:t xml:space="preserve"> q</w:t>
      </w:r>
      <w:r>
        <w:t>-values, expression range percentiles for female (f) and male (m) gametes, and their assigned module classifications.</w:t>
      </w:r>
    </w:p>
    <w:p w14:paraId="42AF82B2" w14:textId="77777777" w:rsidR="00F24509" w:rsidRDefault="00F24509"/>
    <w:p w14:paraId="6235BB42" w14:textId="77777777" w:rsidR="00F24509" w:rsidRDefault="00000000">
      <w:r>
        <w:rPr>
          <w:b/>
          <w:bCs/>
        </w:rPr>
        <w:t>Supplementary Data 7. Highly expressed genes in female gametogenesis in</w:t>
      </w:r>
      <w:r>
        <w:rPr>
          <w:b/>
          <w:bCs/>
          <w:i/>
        </w:rPr>
        <w:t xml:space="preserve"> S. japonicum</w:t>
      </w:r>
      <w:r>
        <w:rPr>
          <w:b/>
          <w:bCs/>
          <w:i/>
          <w:iCs/>
        </w:rPr>
        <w:t>.</w:t>
      </w:r>
    </w:p>
    <w:p w14:paraId="425DAF97" w14:textId="77777777" w:rsidR="00F24509" w:rsidRDefault="00000000">
      <w:r>
        <w:rPr>
          <w:b/>
          <w:bCs/>
        </w:rPr>
        <w:t xml:space="preserve">Description: </w:t>
      </w:r>
      <w:r>
        <w:t>List of highly expressed genes in female gametogenesis in</w:t>
      </w:r>
      <w:r>
        <w:rPr>
          <w:i/>
        </w:rPr>
        <w:t xml:space="preserve"> S. japonicum</w:t>
      </w:r>
      <w:r>
        <w:t xml:space="preserve">. The table provides </w:t>
      </w:r>
      <w:r>
        <w:lastRenderedPageBreak/>
        <w:t xml:space="preserve">gene names, annotations, </w:t>
      </w:r>
      <w:r>
        <w:rPr>
          <w:i/>
          <w:iCs/>
        </w:rPr>
        <w:t>p</w:t>
      </w:r>
      <w:r>
        <w:t>-values,</w:t>
      </w:r>
      <w:r>
        <w:rPr>
          <w:i/>
          <w:iCs/>
        </w:rPr>
        <w:t xml:space="preserve"> q</w:t>
      </w:r>
      <w:r>
        <w:t>-values, expression range percentiles for female gametes, and their assigned module classifications.</w:t>
      </w:r>
    </w:p>
    <w:p w14:paraId="1F25FAD1" w14:textId="77777777" w:rsidR="00F24509" w:rsidRDefault="00F24509"/>
    <w:p w14:paraId="0F13D7EE" w14:textId="77777777" w:rsidR="00F24509" w:rsidRDefault="00000000">
      <w:r>
        <w:rPr>
          <w:b/>
          <w:bCs/>
        </w:rPr>
        <w:t>Supplementary Data 8. Highly expressed genes in male gametogenesis in</w:t>
      </w:r>
      <w:r>
        <w:rPr>
          <w:b/>
          <w:bCs/>
          <w:i/>
        </w:rPr>
        <w:t xml:space="preserve"> S. japonicum</w:t>
      </w:r>
      <w:r>
        <w:rPr>
          <w:b/>
          <w:bCs/>
          <w:i/>
          <w:iCs/>
        </w:rPr>
        <w:t>.</w:t>
      </w:r>
    </w:p>
    <w:p w14:paraId="074F7B30" w14:textId="77777777" w:rsidR="00F24509" w:rsidRDefault="00000000">
      <w:r>
        <w:rPr>
          <w:b/>
          <w:bCs/>
        </w:rPr>
        <w:t xml:space="preserve">Description: </w:t>
      </w:r>
      <w:r>
        <w:t>List of highly expressed genes in male gametogenesis in</w:t>
      </w:r>
      <w:r>
        <w:rPr>
          <w:i/>
        </w:rPr>
        <w:t xml:space="preserve"> S. japonicum</w:t>
      </w:r>
      <w:r>
        <w:t xml:space="preserve">. The table provides gene names, annotations, </w:t>
      </w:r>
      <w:r>
        <w:rPr>
          <w:i/>
          <w:iCs/>
        </w:rPr>
        <w:t>p</w:t>
      </w:r>
      <w:r>
        <w:t>-values,</w:t>
      </w:r>
      <w:r>
        <w:rPr>
          <w:i/>
          <w:iCs/>
        </w:rPr>
        <w:t xml:space="preserve"> q</w:t>
      </w:r>
      <w:r>
        <w:t>-values, expression range percentiles for male gametes, and their assigned module classifications.</w:t>
      </w:r>
    </w:p>
    <w:p w14:paraId="0F359CFC" w14:textId="77777777" w:rsidR="00F24509" w:rsidRDefault="00F24509"/>
    <w:p w14:paraId="16D41A09" w14:textId="77777777" w:rsidR="00F24509" w:rsidRDefault="00000000">
      <w:r>
        <w:rPr>
          <w:b/>
          <w:bCs/>
        </w:rPr>
        <w:t>Supplementary Data 9. Enriched GO terms (Biological Process) in male-specific neurons of</w:t>
      </w:r>
      <w:r>
        <w:rPr>
          <w:b/>
          <w:bCs/>
          <w:i/>
        </w:rPr>
        <w:t xml:space="preserve"> S. japonicum</w:t>
      </w:r>
      <w:r>
        <w:rPr>
          <w:b/>
          <w:bCs/>
        </w:rPr>
        <w:t>.</w:t>
      </w:r>
    </w:p>
    <w:p w14:paraId="61F77E5E" w14:textId="77777777" w:rsidR="00F24509" w:rsidRDefault="00000000">
      <w:r>
        <w:rPr>
          <w:b/>
          <w:bCs/>
        </w:rPr>
        <w:t xml:space="preserve">Description: </w:t>
      </w:r>
      <w:r>
        <w:t>Enriched Gene Ontology (GO) terms (Biological Process) for highly expressed genes in three male-specific neuronal populations (</w:t>
      </w:r>
      <w:r>
        <w:rPr>
          <w:i/>
          <w:iCs/>
        </w:rPr>
        <w:t>beta-2</w:t>
      </w:r>
      <w:r>
        <w:t xml:space="preserve">, </w:t>
      </w:r>
      <w:r>
        <w:rPr>
          <w:i/>
          <w:iCs/>
        </w:rPr>
        <w:t>gamma-1</w:t>
      </w:r>
      <w:r>
        <w:t xml:space="preserve">, and </w:t>
      </w:r>
      <w:r>
        <w:rPr>
          <w:i/>
          <w:iCs/>
        </w:rPr>
        <w:t>gamma-2</w:t>
      </w:r>
      <w:r>
        <w:t>) of</w:t>
      </w:r>
      <w:r>
        <w:rPr>
          <w:i/>
        </w:rPr>
        <w:t xml:space="preserve"> S. japonicum</w:t>
      </w:r>
      <w:r>
        <w:t xml:space="preserve">. The table includes GO term IDs, descriptions, gene ratios, background ratios, </w:t>
      </w:r>
      <w:r>
        <w:rPr>
          <w:i/>
          <w:iCs/>
        </w:rPr>
        <w:t>p</w:t>
      </w:r>
      <w:r>
        <w:t xml:space="preserve">-values, adjusted </w:t>
      </w:r>
      <w:r>
        <w:rPr>
          <w:i/>
          <w:iCs/>
        </w:rPr>
        <w:t>p</w:t>
      </w:r>
      <w:r>
        <w:t xml:space="preserve">-values, </w:t>
      </w:r>
      <w:r>
        <w:rPr>
          <w:i/>
          <w:iCs/>
        </w:rPr>
        <w:t>q</w:t>
      </w:r>
      <w:r>
        <w:t>-values, gene IDs, and gene counts.</w:t>
      </w:r>
    </w:p>
    <w:p w14:paraId="6EB7D7B4" w14:textId="77777777" w:rsidR="00F24509" w:rsidRDefault="00F24509"/>
    <w:p w14:paraId="1DDB0263" w14:textId="77777777" w:rsidR="00F24509" w:rsidRDefault="00000000">
      <w:r>
        <w:rPr>
          <w:b/>
          <w:bCs/>
        </w:rPr>
        <w:t>Supplementary Data 10. Detailed enriched GO terms (Biological Process) in male-specific neurons of</w:t>
      </w:r>
      <w:r>
        <w:rPr>
          <w:b/>
          <w:bCs/>
          <w:i/>
        </w:rPr>
        <w:t xml:space="preserve"> S. japonicum</w:t>
      </w:r>
      <w:r>
        <w:rPr>
          <w:b/>
          <w:bCs/>
          <w:i/>
          <w:iCs/>
        </w:rPr>
        <w:t>.</w:t>
      </w:r>
    </w:p>
    <w:p w14:paraId="75F75C50" w14:textId="77777777" w:rsidR="00F24509" w:rsidRDefault="00000000">
      <w:r>
        <w:rPr>
          <w:b/>
          <w:bCs/>
        </w:rPr>
        <w:t xml:space="preserve">Description: </w:t>
      </w:r>
      <w:r>
        <w:t>Detailed list of enriched GO terms (Biological Process) for highly expressed genes in three male-specific neuronal populations of</w:t>
      </w:r>
      <w:r>
        <w:rPr>
          <w:i/>
        </w:rPr>
        <w:t xml:space="preserve"> S. japonicum</w:t>
      </w:r>
      <w:r>
        <w:t xml:space="preserve">. This table provides comprehensive information, including GO term IDs, descriptions, gene ratios, background ratios, </w:t>
      </w:r>
      <w:r>
        <w:rPr>
          <w:i/>
          <w:iCs/>
        </w:rPr>
        <w:t>p</w:t>
      </w:r>
      <w:r>
        <w:t xml:space="preserve">-values, adjusted </w:t>
      </w:r>
      <w:r>
        <w:rPr>
          <w:i/>
          <w:iCs/>
        </w:rPr>
        <w:t>p</w:t>
      </w:r>
      <w:r>
        <w:t xml:space="preserve">-values, </w:t>
      </w:r>
      <w:r>
        <w:rPr>
          <w:i/>
          <w:iCs/>
        </w:rPr>
        <w:t>q</w:t>
      </w:r>
      <w:r>
        <w:t>-values, gene IDs, and gene counts. Compared to Supplementary Data 9, this table includes additional details and annotations.</w:t>
      </w:r>
    </w:p>
    <w:p w14:paraId="2D9D6CCA" w14:textId="77777777" w:rsidR="00F24509" w:rsidRDefault="00F24509"/>
    <w:p w14:paraId="0B634173" w14:textId="77777777" w:rsidR="00F24509" w:rsidRDefault="00000000">
      <w:r>
        <w:rPr>
          <w:b/>
          <w:bCs/>
        </w:rPr>
        <w:t xml:space="preserve">Supplementary Data 11. Downregulated genes in </w:t>
      </w:r>
      <w:r>
        <w:rPr>
          <w:b/>
          <w:bCs/>
          <w:i/>
          <w:iCs/>
        </w:rPr>
        <w:t>lsamp</w:t>
      </w:r>
      <w:r>
        <w:rPr>
          <w:b/>
          <w:bCs/>
        </w:rPr>
        <w:t xml:space="preserve"> RNAi vs. </w:t>
      </w:r>
      <w:r>
        <w:rPr>
          <w:b/>
          <w:bCs/>
          <w:i/>
          <w:iCs/>
        </w:rPr>
        <w:t>gfp</w:t>
      </w:r>
      <w:r>
        <w:rPr>
          <w:b/>
          <w:bCs/>
        </w:rPr>
        <w:t xml:space="preserve"> RNAi males of</w:t>
      </w:r>
      <w:r>
        <w:rPr>
          <w:b/>
          <w:bCs/>
          <w:i/>
        </w:rPr>
        <w:t xml:space="preserve"> S. japonicum</w:t>
      </w:r>
      <w:r>
        <w:rPr>
          <w:b/>
          <w:bCs/>
        </w:rPr>
        <w:t>.</w:t>
      </w:r>
    </w:p>
    <w:p w14:paraId="79D297DD" w14:textId="77777777" w:rsidR="00F24509" w:rsidRDefault="00000000">
      <w:r>
        <w:rPr>
          <w:b/>
          <w:bCs/>
        </w:rPr>
        <w:t>Description:</w:t>
      </w:r>
      <w:r>
        <w:t xml:space="preserve"> List of downregulated genes identified by RNA-seq analysis in </w:t>
      </w:r>
      <w:r>
        <w:rPr>
          <w:i/>
          <w:iCs/>
        </w:rPr>
        <w:t>lsamp</w:t>
      </w:r>
      <w:r>
        <w:t xml:space="preserve"> RNAi males compared to </w:t>
      </w:r>
      <w:r>
        <w:rPr>
          <w:i/>
          <w:iCs/>
        </w:rPr>
        <w:t xml:space="preserve">gfp </w:t>
      </w:r>
      <w:r>
        <w:t>RNAi males (D20) of</w:t>
      </w:r>
      <w:r>
        <w:rPr>
          <w:i/>
        </w:rPr>
        <w:t xml:space="preserve"> S. japonicum</w:t>
      </w:r>
      <w:r>
        <w:t xml:space="preserve">. The table includes gene IDs, statistical values, </w:t>
      </w:r>
      <w:r>
        <w:rPr>
          <w:i/>
          <w:iCs/>
        </w:rPr>
        <w:t>p</w:t>
      </w:r>
      <w:r>
        <w:t>-values, adjusted</w:t>
      </w:r>
      <w:r>
        <w:rPr>
          <w:i/>
          <w:iCs/>
        </w:rPr>
        <w:t xml:space="preserve"> p</w:t>
      </w:r>
      <w:r>
        <w:t>-values, and annotations.</w:t>
      </w:r>
    </w:p>
    <w:p w14:paraId="1F18F73E" w14:textId="77777777" w:rsidR="00F24509" w:rsidRDefault="00F24509"/>
    <w:p w14:paraId="1BD1C60A" w14:textId="77777777" w:rsidR="00F24509" w:rsidRDefault="00000000">
      <w:r>
        <w:rPr>
          <w:b/>
          <w:bCs/>
        </w:rPr>
        <w:t xml:space="preserve">Supplementary Data 12. Upregulated genes in </w:t>
      </w:r>
      <w:r>
        <w:rPr>
          <w:b/>
          <w:bCs/>
          <w:i/>
          <w:iCs/>
        </w:rPr>
        <w:t>lsamp</w:t>
      </w:r>
      <w:r>
        <w:rPr>
          <w:b/>
          <w:bCs/>
        </w:rPr>
        <w:t xml:space="preserve"> RNAi vs. </w:t>
      </w:r>
      <w:r>
        <w:rPr>
          <w:b/>
          <w:bCs/>
          <w:i/>
          <w:iCs/>
        </w:rPr>
        <w:t>gfp</w:t>
      </w:r>
      <w:r>
        <w:rPr>
          <w:b/>
          <w:bCs/>
        </w:rPr>
        <w:t xml:space="preserve"> RNAi males of</w:t>
      </w:r>
      <w:r>
        <w:rPr>
          <w:b/>
          <w:bCs/>
          <w:i/>
        </w:rPr>
        <w:t xml:space="preserve"> S. japonicum</w:t>
      </w:r>
      <w:r>
        <w:rPr>
          <w:i/>
          <w:iCs/>
        </w:rPr>
        <w:t>.</w:t>
      </w:r>
    </w:p>
    <w:p w14:paraId="59A7302B" w14:textId="77777777" w:rsidR="00F24509" w:rsidRDefault="00000000">
      <w:r>
        <w:rPr>
          <w:b/>
          <w:bCs/>
        </w:rPr>
        <w:t xml:space="preserve">Description: </w:t>
      </w:r>
      <w:r>
        <w:t xml:space="preserve">List of upregulated genes identified by RNA-seq analysis in </w:t>
      </w:r>
      <w:r>
        <w:rPr>
          <w:i/>
          <w:iCs/>
        </w:rPr>
        <w:t>lsamp</w:t>
      </w:r>
      <w:r>
        <w:t xml:space="preserve"> RNAi males compared to </w:t>
      </w:r>
      <w:r>
        <w:rPr>
          <w:i/>
          <w:iCs/>
        </w:rPr>
        <w:t>gfp</w:t>
      </w:r>
      <w:r>
        <w:t xml:space="preserve"> RNAi males (D20) of</w:t>
      </w:r>
      <w:r>
        <w:rPr>
          <w:i/>
        </w:rPr>
        <w:t xml:space="preserve"> S. japonicum</w:t>
      </w:r>
      <w:r>
        <w:t xml:space="preserve">. The table includes gene IDs, statistical values, </w:t>
      </w:r>
      <w:r>
        <w:rPr>
          <w:i/>
          <w:iCs/>
        </w:rPr>
        <w:t>p</w:t>
      </w:r>
      <w:r>
        <w:t xml:space="preserve">-values, adjusted </w:t>
      </w:r>
      <w:r>
        <w:rPr>
          <w:i/>
          <w:iCs/>
        </w:rPr>
        <w:t>p</w:t>
      </w:r>
      <w:r>
        <w:t>-values, and annotations.</w:t>
      </w:r>
    </w:p>
    <w:p w14:paraId="7DEFC6D9" w14:textId="77777777" w:rsidR="00F24509" w:rsidRDefault="00F24509"/>
    <w:p w14:paraId="72AC5BE1" w14:textId="77777777" w:rsidR="00F24509" w:rsidRDefault="00000000">
      <w:r>
        <w:rPr>
          <w:b/>
          <w:bCs/>
        </w:rPr>
        <w:t xml:space="preserve">Supplementary Data 13. Enriched GO Terms (Biological Process) for downregulated genes in </w:t>
      </w:r>
      <w:r>
        <w:rPr>
          <w:b/>
          <w:bCs/>
          <w:i/>
          <w:iCs/>
        </w:rPr>
        <w:t>lsamp</w:t>
      </w:r>
      <w:r>
        <w:rPr>
          <w:b/>
          <w:bCs/>
        </w:rPr>
        <w:t xml:space="preserve"> </w:t>
      </w:r>
      <w:r>
        <w:rPr>
          <w:b/>
          <w:bCs/>
        </w:rPr>
        <w:lastRenderedPageBreak/>
        <w:t>RNAi males of</w:t>
      </w:r>
      <w:r>
        <w:rPr>
          <w:b/>
          <w:bCs/>
          <w:i/>
        </w:rPr>
        <w:t xml:space="preserve"> S. japonicum</w:t>
      </w:r>
      <w:r>
        <w:rPr>
          <w:b/>
          <w:bCs/>
        </w:rPr>
        <w:t>.</w:t>
      </w:r>
    </w:p>
    <w:p w14:paraId="594DBA0D" w14:textId="77777777" w:rsidR="00F24509" w:rsidRDefault="00000000">
      <w:r>
        <w:rPr>
          <w:b/>
          <w:bCs/>
        </w:rPr>
        <w:t>Description:</w:t>
      </w:r>
      <w:r>
        <w:t xml:space="preserve"> Enriched GO terms (biological process) for downregulated genes identified by RNA-seq analysis in </w:t>
      </w:r>
      <w:r>
        <w:rPr>
          <w:i/>
          <w:iCs/>
        </w:rPr>
        <w:t>lsamp</w:t>
      </w:r>
      <w:r>
        <w:t xml:space="preserve"> RNAi males compared to</w:t>
      </w:r>
      <w:r>
        <w:rPr>
          <w:i/>
          <w:iCs/>
        </w:rPr>
        <w:t xml:space="preserve"> gfp</w:t>
      </w:r>
      <w:r>
        <w:t xml:space="preserve"> RNAi males of</w:t>
      </w:r>
      <w:r>
        <w:rPr>
          <w:i/>
        </w:rPr>
        <w:t xml:space="preserve"> S. japonicum</w:t>
      </w:r>
      <w:r>
        <w:t xml:space="preserve">. The table includes GO term IDs, descriptions, set sizes, enrichment scores, normalized enrichment scores (NES), </w:t>
      </w:r>
      <w:r>
        <w:rPr>
          <w:i/>
          <w:iCs/>
        </w:rPr>
        <w:t>p</w:t>
      </w:r>
      <w:r>
        <w:t xml:space="preserve">-values, adjusted </w:t>
      </w:r>
      <w:r>
        <w:rPr>
          <w:i/>
          <w:iCs/>
        </w:rPr>
        <w:t>p</w:t>
      </w:r>
      <w:r>
        <w:t xml:space="preserve">-values, </w:t>
      </w:r>
      <w:r>
        <w:rPr>
          <w:i/>
          <w:iCs/>
        </w:rPr>
        <w:t>q</w:t>
      </w:r>
      <w:r>
        <w:t>-values, rank, leading edge, and core enrichment.</w:t>
      </w:r>
    </w:p>
    <w:p w14:paraId="15E7738B" w14:textId="77777777" w:rsidR="00F24509" w:rsidRDefault="00F24509"/>
    <w:p w14:paraId="6B4867C5" w14:textId="77777777" w:rsidR="00F24509" w:rsidRDefault="00000000">
      <w:r>
        <w:rPr>
          <w:b/>
          <w:bCs/>
        </w:rPr>
        <w:t>Supplementary Data 14. Enriched GO terms (Molecular Function) for downregulated genes in</w:t>
      </w:r>
      <w:r>
        <w:rPr>
          <w:b/>
          <w:bCs/>
          <w:i/>
          <w:iCs/>
        </w:rPr>
        <w:t xml:space="preserve"> lsamp </w:t>
      </w:r>
      <w:r>
        <w:rPr>
          <w:b/>
          <w:bCs/>
        </w:rPr>
        <w:t>RNAi males of</w:t>
      </w:r>
      <w:r>
        <w:rPr>
          <w:b/>
          <w:bCs/>
          <w:i/>
        </w:rPr>
        <w:t xml:space="preserve"> S. japonicum</w:t>
      </w:r>
      <w:r>
        <w:rPr>
          <w:b/>
          <w:bCs/>
        </w:rPr>
        <w:t>.</w:t>
      </w:r>
    </w:p>
    <w:p w14:paraId="53C1ED52" w14:textId="77777777" w:rsidR="00F24509" w:rsidRDefault="00000000">
      <w:r>
        <w:rPr>
          <w:b/>
          <w:bCs/>
        </w:rPr>
        <w:t xml:space="preserve">Description: </w:t>
      </w:r>
      <w:r>
        <w:t>Enriched GO terms (molecular function) for downregulated genes identified by RNA-seq analysis in</w:t>
      </w:r>
      <w:r>
        <w:rPr>
          <w:i/>
          <w:iCs/>
        </w:rPr>
        <w:t xml:space="preserve"> lsamp</w:t>
      </w:r>
      <w:r>
        <w:t xml:space="preserve"> RNAi males compared to </w:t>
      </w:r>
      <w:r>
        <w:rPr>
          <w:i/>
          <w:iCs/>
        </w:rPr>
        <w:t>gfp</w:t>
      </w:r>
      <w:r>
        <w:t xml:space="preserve"> RNAi males of</w:t>
      </w:r>
      <w:r>
        <w:rPr>
          <w:i/>
        </w:rPr>
        <w:t xml:space="preserve"> S. japonicum</w:t>
      </w:r>
      <w:r>
        <w:t xml:space="preserve">. The table includes GO term IDs, descriptions, set sizes, enrichment scores, NES, </w:t>
      </w:r>
      <w:r>
        <w:rPr>
          <w:i/>
          <w:iCs/>
        </w:rPr>
        <w:t>p</w:t>
      </w:r>
      <w:r>
        <w:t xml:space="preserve">-values, adjusted </w:t>
      </w:r>
      <w:r>
        <w:rPr>
          <w:i/>
          <w:iCs/>
        </w:rPr>
        <w:t>p</w:t>
      </w:r>
      <w:r>
        <w:t xml:space="preserve">-values, </w:t>
      </w:r>
      <w:r>
        <w:rPr>
          <w:i/>
          <w:iCs/>
        </w:rPr>
        <w:t>q</w:t>
      </w:r>
      <w:r>
        <w:t>-values, rank, leading edge, and core enrichment.</w:t>
      </w:r>
    </w:p>
    <w:p w14:paraId="51BA4D43" w14:textId="77777777" w:rsidR="00F24509" w:rsidRDefault="00F24509">
      <w:pPr>
        <w:rPr>
          <w:b/>
          <w:bCs/>
        </w:rPr>
      </w:pPr>
    </w:p>
    <w:p w14:paraId="7332E172" w14:textId="77777777" w:rsidR="00F24509" w:rsidRDefault="00000000">
      <w:r>
        <w:rPr>
          <w:b/>
          <w:bCs/>
        </w:rPr>
        <w:t xml:space="preserve">Supplementary Data 15. Enriched KEGG pathways for downregulated genes in </w:t>
      </w:r>
      <w:r>
        <w:rPr>
          <w:b/>
          <w:bCs/>
          <w:i/>
          <w:iCs/>
        </w:rPr>
        <w:t>lsamp</w:t>
      </w:r>
      <w:r>
        <w:rPr>
          <w:b/>
          <w:bCs/>
        </w:rPr>
        <w:t xml:space="preserve"> RNAi males of</w:t>
      </w:r>
      <w:r>
        <w:rPr>
          <w:b/>
          <w:bCs/>
          <w:i/>
        </w:rPr>
        <w:t xml:space="preserve"> S. japonicum</w:t>
      </w:r>
      <w:r>
        <w:rPr>
          <w:b/>
          <w:bCs/>
        </w:rPr>
        <w:t>.</w:t>
      </w:r>
    </w:p>
    <w:p w14:paraId="01FFD804" w14:textId="77777777" w:rsidR="00F24509" w:rsidRDefault="00000000">
      <w:r>
        <w:rPr>
          <w:b/>
          <w:bCs/>
        </w:rPr>
        <w:t>Description:</w:t>
      </w:r>
      <w:r>
        <w:t xml:space="preserve"> Enriched KEGG pathways for downregulated genes identified by RNA-seq analysis in</w:t>
      </w:r>
      <w:r>
        <w:rPr>
          <w:i/>
          <w:iCs/>
        </w:rPr>
        <w:t xml:space="preserve"> lsamp </w:t>
      </w:r>
      <w:r>
        <w:t xml:space="preserve">RNAi males compared to </w:t>
      </w:r>
      <w:r>
        <w:rPr>
          <w:i/>
          <w:iCs/>
        </w:rPr>
        <w:t>gfp</w:t>
      </w:r>
      <w:r>
        <w:t xml:space="preserve"> RNAi males of</w:t>
      </w:r>
      <w:r>
        <w:rPr>
          <w:i/>
        </w:rPr>
        <w:t xml:space="preserve"> S. japonicum</w:t>
      </w:r>
      <w:r>
        <w:t xml:space="preserve">. The table includes pathway IDs, descriptions, set sizes, enrichment scores, normalized enrichment scores (NES), </w:t>
      </w:r>
      <w:r>
        <w:rPr>
          <w:i/>
          <w:iCs/>
        </w:rPr>
        <w:t>p</w:t>
      </w:r>
      <w:r>
        <w:t>-values, adjusted</w:t>
      </w:r>
      <w:r>
        <w:rPr>
          <w:i/>
          <w:iCs/>
        </w:rPr>
        <w:t xml:space="preserve"> p</w:t>
      </w:r>
      <w:r>
        <w:t>-values,</w:t>
      </w:r>
      <w:r>
        <w:rPr>
          <w:i/>
          <w:iCs/>
        </w:rPr>
        <w:t xml:space="preserve"> q</w:t>
      </w:r>
      <w:r>
        <w:t>-values, rank, leading edge, and core enrichment</w:t>
      </w:r>
    </w:p>
    <w:p w14:paraId="4F0EBFD5" w14:textId="77777777" w:rsidR="00F24509" w:rsidRDefault="00F24509"/>
    <w:p w14:paraId="03E238EF" w14:textId="77777777" w:rsidR="00F24509" w:rsidRDefault="00000000">
      <w:r>
        <w:rPr>
          <w:b/>
          <w:bCs/>
          <w:lang w:bidi="ar"/>
        </w:rPr>
        <w:t>Supplementary Data</w:t>
      </w:r>
      <w:r>
        <w:rPr>
          <w:b/>
          <w:bCs/>
        </w:rPr>
        <w:t xml:space="preserve"> 16. Primers for RNAi experiments in</w:t>
      </w:r>
      <w:r>
        <w:rPr>
          <w:b/>
          <w:bCs/>
          <w:i/>
        </w:rPr>
        <w:t xml:space="preserve"> S. japonicum</w:t>
      </w:r>
      <w:r>
        <w:rPr>
          <w:b/>
          <w:bCs/>
          <w:i/>
          <w:iCs/>
        </w:rPr>
        <w:t>.</w:t>
      </w:r>
    </w:p>
    <w:p w14:paraId="18AED82E" w14:textId="77777777" w:rsidR="00F24509" w:rsidRDefault="00000000">
      <w:r>
        <w:rPr>
          <w:b/>
          <w:bCs/>
        </w:rPr>
        <w:t xml:space="preserve">Description: </w:t>
      </w:r>
      <w:r>
        <w:t>List of primers used for RNA interference (RNAi) experiments in</w:t>
      </w:r>
      <w:r>
        <w:rPr>
          <w:i/>
        </w:rPr>
        <w:t xml:space="preserve"> S. japonicum</w:t>
      </w:r>
      <w:r>
        <w:t>.</w:t>
      </w:r>
    </w:p>
    <w:p w14:paraId="06A82EC3" w14:textId="77777777" w:rsidR="00F24509" w:rsidRDefault="00F24509"/>
    <w:sectPr w:rsidR="00F2450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43E6F" w14:textId="77777777" w:rsidR="00903EF0" w:rsidRDefault="00903EF0">
      <w:pPr>
        <w:spacing w:line="240" w:lineRule="auto"/>
      </w:pPr>
      <w:r>
        <w:separator/>
      </w:r>
    </w:p>
  </w:endnote>
  <w:endnote w:type="continuationSeparator" w:id="0">
    <w:p w14:paraId="2F1DB7F8" w14:textId="77777777" w:rsidR="00903EF0" w:rsidRDefault="00903E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dvOT82c4f4c4">
    <w:altName w:val="Cambria"/>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5DC74" w14:textId="77777777" w:rsidR="00903EF0" w:rsidRDefault="00903EF0">
      <w:pPr>
        <w:spacing w:line="240" w:lineRule="auto"/>
      </w:pPr>
      <w:r>
        <w:rPr>
          <w:color w:val="000000"/>
        </w:rPr>
        <w:separator/>
      </w:r>
    </w:p>
  </w:footnote>
  <w:footnote w:type="continuationSeparator" w:id="0">
    <w:p w14:paraId="72C496B1" w14:textId="77777777" w:rsidR="00903EF0" w:rsidRDefault="00903EF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F24509"/>
    <w:rsid w:val="00903EF0"/>
    <w:rsid w:val="009833B3"/>
    <w:rsid w:val="00EA55DC"/>
    <w:rsid w:val="00F24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8E26B"/>
  <w15:docId w15:val="{B9A8E2BA-B1AF-47DE-AC18-A0A03D62F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spacing w:after="0" w:line="360" w:lineRule="auto"/>
      <w:jc w:val="both"/>
    </w:pPr>
    <w:rPr>
      <w:rFonts w:ascii="Times New Roman" w:eastAsia="SimSun" w:hAnsi="Times New Roman"/>
      <w:sz w:val="22"/>
      <w:szCs w:val="22"/>
      <w:lang w:eastAsia="zh-CN"/>
    </w:rPr>
  </w:style>
  <w:style w:type="paragraph" w:styleId="Heading1">
    <w:name w:val="heading 1"/>
    <w:basedOn w:val="Normal"/>
    <w:next w:val="Normal"/>
    <w:uiPriority w:val="9"/>
    <w:qFormat/>
    <w:pPr>
      <w:keepNext/>
      <w:keepLines/>
      <w:widowControl/>
      <w:spacing w:before="360" w:after="80" w:line="276" w:lineRule="auto"/>
      <w:jc w:val="left"/>
      <w:outlineLvl w:val="0"/>
    </w:pPr>
    <w:rPr>
      <w:rFonts w:ascii="Aptos Display" w:eastAsia="Times New Roman" w:hAnsi="Aptos Display"/>
      <w:color w:val="0F4761"/>
      <w:sz w:val="40"/>
      <w:szCs w:val="40"/>
      <w:lang w:eastAsia="en-US"/>
    </w:rPr>
  </w:style>
  <w:style w:type="paragraph" w:styleId="Heading2">
    <w:name w:val="heading 2"/>
    <w:basedOn w:val="Normal"/>
    <w:next w:val="Normal"/>
    <w:uiPriority w:val="9"/>
    <w:semiHidden/>
    <w:unhideWhenUsed/>
    <w:qFormat/>
    <w:pPr>
      <w:keepNext/>
      <w:keepLines/>
      <w:widowControl/>
      <w:spacing w:before="160" w:after="80" w:line="276" w:lineRule="auto"/>
      <w:jc w:val="left"/>
      <w:outlineLvl w:val="1"/>
    </w:pPr>
    <w:rPr>
      <w:rFonts w:ascii="Aptos Display" w:eastAsia="Times New Roman" w:hAnsi="Aptos Display"/>
      <w:color w:val="0F4761"/>
      <w:sz w:val="32"/>
      <w:szCs w:val="32"/>
      <w:lang w:eastAsia="en-US"/>
    </w:rPr>
  </w:style>
  <w:style w:type="paragraph" w:styleId="Heading3">
    <w:name w:val="heading 3"/>
    <w:basedOn w:val="Normal"/>
    <w:next w:val="Normal"/>
    <w:uiPriority w:val="9"/>
    <w:semiHidden/>
    <w:unhideWhenUsed/>
    <w:qFormat/>
    <w:pPr>
      <w:keepNext/>
      <w:keepLines/>
      <w:widowControl/>
      <w:spacing w:before="160" w:after="80" w:line="276" w:lineRule="auto"/>
      <w:jc w:val="left"/>
      <w:outlineLvl w:val="2"/>
    </w:pPr>
    <w:rPr>
      <w:rFonts w:ascii="Aptos" w:eastAsia="Times New Roman" w:hAnsi="Aptos"/>
      <w:color w:val="0F4761"/>
      <w:sz w:val="28"/>
      <w:szCs w:val="28"/>
      <w:lang w:eastAsia="en-US"/>
    </w:rPr>
  </w:style>
  <w:style w:type="paragraph" w:styleId="Heading4">
    <w:name w:val="heading 4"/>
    <w:basedOn w:val="Normal"/>
    <w:next w:val="Normal"/>
    <w:uiPriority w:val="9"/>
    <w:semiHidden/>
    <w:unhideWhenUsed/>
    <w:qFormat/>
    <w:pPr>
      <w:keepNext/>
      <w:keepLines/>
      <w:widowControl/>
      <w:spacing w:before="80" w:after="40" w:line="276" w:lineRule="auto"/>
      <w:jc w:val="left"/>
      <w:outlineLvl w:val="3"/>
    </w:pPr>
    <w:rPr>
      <w:rFonts w:ascii="Aptos" w:eastAsia="Times New Roman" w:hAnsi="Aptos"/>
      <w:i/>
      <w:iCs/>
      <w:color w:val="0F4761"/>
      <w:sz w:val="24"/>
      <w:szCs w:val="24"/>
      <w:lang w:eastAsia="en-US"/>
    </w:rPr>
  </w:style>
  <w:style w:type="paragraph" w:styleId="Heading5">
    <w:name w:val="heading 5"/>
    <w:basedOn w:val="Normal"/>
    <w:next w:val="Normal"/>
    <w:uiPriority w:val="9"/>
    <w:semiHidden/>
    <w:unhideWhenUsed/>
    <w:qFormat/>
    <w:pPr>
      <w:keepNext/>
      <w:keepLines/>
      <w:widowControl/>
      <w:spacing w:before="80" w:after="40" w:line="276" w:lineRule="auto"/>
      <w:jc w:val="left"/>
      <w:outlineLvl w:val="4"/>
    </w:pPr>
    <w:rPr>
      <w:rFonts w:ascii="Aptos" w:eastAsia="Times New Roman" w:hAnsi="Aptos"/>
      <w:color w:val="0F4761"/>
      <w:sz w:val="24"/>
      <w:szCs w:val="24"/>
      <w:lang w:eastAsia="en-US"/>
    </w:rPr>
  </w:style>
  <w:style w:type="paragraph" w:styleId="Heading6">
    <w:name w:val="heading 6"/>
    <w:basedOn w:val="Normal"/>
    <w:next w:val="Normal"/>
    <w:uiPriority w:val="9"/>
    <w:semiHidden/>
    <w:unhideWhenUsed/>
    <w:qFormat/>
    <w:pPr>
      <w:keepNext/>
      <w:keepLines/>
      <w:widowControl/>
      <w:spacing w:before="40" w:line="276" w:lineRule="auto"/>
      <w:jc w:val="left"/>
      <w:outlineLvl w:val="5"/>
    </w:pPr>
    <w:rPr>
      <w:rFonts w:ascii="Aptos" w:eastAsia="Times New Roman" w:hAnsi="Aptos"/>
      <w:i/>
      <w:iCs/>
      <w:color w:val="595959"/>
      <w:sz w:val="24"/>
      <w:szCs w:val="24"/>
      <w:lang w:eastAsia="en-US"/>
    </w:rPr>
  </w:style>
  <w:style w:type="paragraph" w:styleId="Heading7">
    <w:name w:val="heading 7"/>
    <w:basedOn w:val="Normal"/>
    <w:next w:val="Normal"/>
    <w:pPr>
      <w:keepNext/>
      <w:keepLines/>
      <w:widowControl/>
      <w:spacing w:before="40" w:line="276" w:lineRule="auto"/>
      <w:jc w:val="left"/>
      <w:outlineLvl w:val="6"/>
    </w:pPr>
    <w:rPr>
      <w:rFonts w:ascii="Aptos" w:eastAsia="Times New Roman" w:hAnsi="Aptos"/>
      <w:color w:val="595959"/>
      <w:sz w:val="24"/>
      <w:szCs w:val="24"/>
      <w:lang w:eastAsia="en-US"/>
    </w:rPr>
  </w:style>
  <w:style w:type="paragraph" w:styleId="Heading8">
    <w:name w:val="heading 8"/>
    <w:basedOn w:val="Normal"/>
    <w:next w:val="Normal"/>
    <w:pPr>
      <w:keepNext/>
      <w:keepLines/>
      <w:widowControl/>
      <w:spacing w:line="276" w:lineRule="auto"/>
      <w:jc w:val="left"/>
      <w:outlineLvl w:val="7"/>
    </w:pPr>
    <w:rPr>
      <w:rFonts w:ascii="Aptos" w:eastAsia="Times New Roman" w:hAnsi="Aptos"/>
      <w:i/>
      <w:iCs/>
      <w:color w:val="272727"/>
      <w:sz w:val="24"/>
      <w:szCs w:val="24"/>
      <w:lang w:eastAsia="en-US"/>
    </w:rPr>
  </w:style>
  <w:style w:type="paragraph" w:styleId="Heading9">
    <w:name w:val="heading 9"/>
    <w:basedOn w:val="Normal"/>
    <w:next w:val="Normal"/>
    <w:pPr>
      <w:keepNext/>
      <w:keepLines/>
      <w:widowControl/>
      <w:spacing w:line="276" w:lineRule="auto"/>
      <w:jc w:val="left"/>
      <w:outlineLvl w:val="8"/>
    </w:pPr>
    <w:rPr>
      <w:rFonts w:ascii="Aptos" w:eastAsia="Times New Roman" w:hAnsi="Aptos"/>
      <w:color w:val="272727"/>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widowControl/>
      <w:spacing w:after="80" w:line="240" w:lineRule="auto"/>
      <w:contextualSpacing/>
      <w:jc w:val="left"/>
    </w:pPr>
    <w:rPr>
      <w:rFonts w:ascii="Aptos Display" w:eastAsia="Times New Roman" w:hAnsi="Aptos Display"/>
      <w:spacing w:val="-10"/>
      <w:sz w:val="56"/>
      <w:szCs w:val="56"/>
      <w:lang w:eastAsia="en-US"/>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pPr>
      <w:widowControl/>
      <w:spacing w:after="160" w:line="276" w:lineRule="auto"/>
      <w:jc w:val="left"/>
    </w:pPr>
    <w:rPr>
      <w:rFonts w:ascii="Aptos" w:eastAsia="Times New Roman" w:hAnsi="Aptos"/>
      <w:color w:val="595959"/>
      <w:spacing w:val="15"/>
      <w:sz w:val="28"/>
      <w:szCs w:val="28"/>
      <w:lang w:eastAsia="en-US"/>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widowControl/>
      <w:spacing w:before="160" w:after="160" w:line="276" w:lineRule="auto"/>
      <w:jc w:val="center"/>
    </w:pPr>
    <w:rPr>
      <w:rFonts w:ascii="Aptos" w:eastAsia="Aptos" w:hAnsi="Aptos"/>
      <w:i/>
      <w:iCs/>
      <w:color w:val="404040"/>
      <w:sz w:val="24"/>
      <w:szCs w:val="24"/>
      <w:lang w:eastAsia="en-US"/>
    </w:rPr>
  </w:style>
  <w:style w:type="character" w:customStyle="1" w:styleId="QuoteChar">
    <w:name w:val="Quote Char"/>
    <w:basedOn w:val="DefaultParagraphFont"/>
    <w:rPr>
      <w:i/>
      <w:iCs/>
      <w:color w:val="404040"/>
    </w:rPr>
  </w:style>
  <w:style w:type="paragraph" w:styleId="ListParagraph">
    <w:name w:val="List Paragraph"/>
    <w:basedOn w:val="Normal"/>
    <w:pPr>
      <w:widowControl/>
      <w:spacing w:after="160" w:line="276" w:lineRule="auto"/>
      <w:ind w:left="720"/>
      <w:contextualSpacing/>
      <w:jc w:val="left"/>
    </w:pPr>
    <w:rPr>
      <w:rFonts w:ascii="Aptos" w:eastAsia="Aptos" w:hAnsi="Aptos"/>
      <w:sz w:val="24"/>
      <w:szCs w:val="24"/>
      <w:lang w:eastAsia="en-US"/>
    </w:rPr>
  </w:style>
  <w:style w:type="character" w:styleId="IntenseEmphasis">
    <w:name w:val="Intense Emphasis"/>
    <w:basedOn w:val="DefaultParagraphFont"/>
    <w:rPr>
      <w:i/>
      <w:iCs/>
      <w:color w:val="0F4761"/>
    </w:rPr>
  </w:style>
  <w:style w:type="paragraph" w:styleId="IntenseQuote">
    <w:name w:val="Intense Quote"/>
    <w:basedOn w:val="Normal"/>
    <w:next w:val="Normal"/>
    <w:pPr>
      <w:widowControl/>
      <w:pBdr>
        <w:top w:val="single" w:sz="4" w:space="10" w:color="0F4761"/>
        <w:bottom w:val="single" w:sz="4" w:space="10" w:color="0F4761"/>
      </w:pBdr>
      <w:spacing w:before="360" w:after="360" w:line="276" w:lineRule="auto"/>
      <w:ind w:left="864" w:right="864"/>
      <w:jc w:val="center"/>
    </w:pPr>
    <w:rPr>
      <w:rFonts w:ascii="Aptos" w:eastAsia="Aptos" w:hAnsi="Aptos"/>
      <w:i/>
      <w:iCs/>
      <w:color w:val="0F4761"/>
      <w:sz w:val="24"/>
      <w:szCs w:val="24"/>
      <w:lang w:eastAsia="en-US"/>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character" w:styleId="Strong">
    <w:name w:val="Strong"/>
    <w:basedOn w:val="DefaultParagraphFont"/>
    <w:rPr>
      <w:b/>
    </w:rPr>
  </w:style>
  <w:style w:type="character" w:styleId="Emphasis">
    <w:name w:val="Emphasis"/>
    <w:basedOn w:val="DefaultParagraphFont"/>
    <w:rPr>
      <w:i/>
    </w:rPr>
  </w:style>
  <w:style w:type="character" w:customStyle="1" w:styleId="fontstyle01">
    <w:name w:val="fontstyle01"/>
    <w:basedOn w:val="DefaultParagraphFont"/>
    <w:autoRedefine/>
    <w:rPr>
      <w:rFonts w:ascii="AdvOT82c4f4c4" w:hAnsi="AdvOT82c4f4c4"/>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2898</Words>
  <Characters>16523</Characters>
  <Application>Microsoft Office Word</Application>
  <DocSecurity>0</DocSecurity>
  <Lines>137</Lines>
  <Paragraphs>38</Paragraphs>
  <ScaleCrop>false</ScaleCrop>
  <Company>Springer Nature</Company>
  <LinksUpToDate>false</LinksUpToDate>
  <CharactersWithSpaces>19383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dc:description/>
  <cp:lastModifiedBy>Nilesh Nawale</cp:lastModifiedBy>
  <cp:revision>2</cp:revision>
  <dcterms:created xsi:type="dcterms:W3CDTF">2025-07-10T06:37:00Z</dcterms:created>
  <dcterms:modified xsi:type="dcterms:W3CDTF">2025-07-10T06:37:00Z</dcterms:modified>
</cp:coreProperties>
</file>