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81" w:firstLineChars="10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Antonie van Leeuwenhoek</w:t>
      </w:r>
    </w:p>
    <w:p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Supplementary Material</w:t>
      </w:r>
    </w:p>
    <w:p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35984745"/>
      <w:bookmarkStart w:id="1" w:name="OLE_LINK193"/>
      <w:bookmarkStart w:id="2" w:name="OLE_LINK53"/>
      <w:bookmarkStart w:id="3" w:name="OLE_LINK52"/>
      <w:bookmarkStart w:id="4" w:name="_Hlk19862637"/>
      <w:r>
        <w:rPr>
          <w:rFonts w:ascii="Times New Roman" w:hAnsi="Times New Roman"/>
          <w:b/>
          <w:bCs/>
          <w:i/>
          <w:iCs/>
          <w:sz w:val="24"/>
          <w:szCs w:val="24"/>
        </w:rPr>
        <w:t>Sulfuriroseicoccus oceanibius</w:t>
      </w:r>
      <w:bookmarkEnd w:id="0"/>
      <w:bookmarkEnd w:id="1"/>
      <w:r>
        <w:rPr>
          <w:rFonts w:ascii="Times New Roman" w:hAnsi="Times New Roman"/>
          <w:b/>
          <w:bCs/>
          <w:sz w:val="24"/>
          <w:szCs w:val="24"/>
        </w:rPr>
        <w:t xml:space="preserve"> gen. nov., sp. nov.</w:t>
      </w:r>
      <w:bookmarkEnd w:id="2"/>
      <w:bookmarkEnd w:id="3"/>
      <w:r>
        <w:rPr>
          <w:rFonts w:ascii="Times New Roman" w:hAnsi="Times New Roman"/>
          <w:b/>
          <w:bCs/>
          <w:sz w:val="24"/>
          <w:szCs w:val="24"/>
        </w:rPr>
        <w:t xml:space="preserve">, a representative of the phylum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Verrucomicrobia</w:t>
      </w:r>
      <w:r>
        <w:rPr>
          <w:rFonts w:ascii="Times New Roman" w:hAnsi="Times New Roman"/>
          <w:b/>
          <w:bCs/>
          <w:sz w:val="24"/>
          <w:szCs w:val="24"/>
        </w:rPr>
        <w:t xml:space="preserve"> with the special cytoplasmic membrane</w:t>
      </w:r>
      <w:r>
        <w:rPr>
          <w:rFonts w:hint="eastAsia" w:ascii="Times New Roman" w:hAnsi="Times New Roman"/>
          <w:b/>
          <w:bCs/>
          <w:sz w:val="24"/>
          <w:szCs w:val="24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and proposal of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Sulfuriroseicoccaceae</w:t>
      </w:r>
      <w:r>
        <w:rPr>
          <w:rFonts w:ascii="Times New Roman" w:hAnsi="Times New Roman"/>
          <w:b/>
          <w:bCs/>
          <w:sz w:val="24"/>
          <w:szCs w:val="24"/>
        </w:rPr>
        <w:t xml:space="preserve"> fam. nov.</w:t>
      </w:r>
    </w:p>
    <w:p>
      <w:pPr>
        <w:spacing w:line="360" w:lineRule="auto"/>
        <w:jc w:val="center"/>
        <w:rPr>
          <w:b/>
          <w:bCs/>
          <w:sz w:val="24"/>
          <w:szCs w:val="24"/>
        </w:rPr>
      </w:pPr>
    </w:p>
    <w:p>
      <w:pPr>
        <w:pStyle w:val="2"/>
        <w:tabs>
          <w:tab w:val="left" w:pos="10620"/>
        </w:tabs>
        <w:spacing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</w:pPr>
      <w:bookmarkStart w:id="5" w:name="OLE_LINK21"/>
      <w:bookmarkStart w:id="6" w:name="_Hlk20558678"/>
      <w:r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Xi Feng</w:t>
      </w:r>
      <w:bookmarkEnd w:id="5"/>
      <w:r>
        <w:rPr>
          <w:rFonts w:hint="eastAsia"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Qi-Yun Liang</w:t>
      </w:r>
      <w:r>
        <w:rPr>
          <w:rFonts w:hint="eastAsia"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Qi-Hang Zou</w:t>
      </w:r>
      <w:r>
        <w:rPr>
          <w:rFonts w:hint="eastAsia"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 Meng-Qi Ye</w:t>
      </w:r>
      <w:r>
        <w:rPr>
          <w:rFonts w:hint="eastAsia"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, and </w:t>
      </w:r>
      <w:bookmarkStart w:id="9" w:name="_GoBack"/>
      <w:bookmarkEnd w:id="9"/>
      <w:r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Zong-Jun Du</w:t>
      </w:r>
      <w:r>
        <w:rPr>
          <w:rFonts w:hint="eastAsia" w:ascii="Times New Roman" w:hAnsi="Times New Roman"/>
          <w:bCs/>
          <w:color w:val="000000" w:themeColor="text1"/>
          <w:sz w:val="24"/>
          <w:szCs w:val="24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1,2</w:t>
      </w:r>
      <w:r>
        <w:rPr>
          <w:rFonts w:ascii="Times New Roman" w:hAnsi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*</w:t>
      </w:r>
    </w:p>
    <w:p>
      <w:pPr>
        <w:pStyle w:val="2"/>
        <w:tabs>
          <w:tab w:val="left" w:pos="10620"/>
        </w:tabs>
        <w:spacing w:line="360" w:lineRule="auto"/>
        <w:jc w:val="both"/>
        <w:rPr>
          <w:rFonts w:ascii="Times New Roman" w:hAnsi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bookmarkEnd w:id="6"/>
    <w:p>
      <w:pPr>
        <w:tabs>
          <w:tab w:val="left" w:pos="10440"/>
        </w:tabs>
        <w:adjustRightInd w:val="0"/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eastAsia="Times New Roman" w:cs="Times New Roman"/>
          <w:sz w:val="24"/>
          <w:szCs w:val="24"/>
        </w:rPr>
        <w:t>Marine College, Shandong University, Weihai, Shandong, 2642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09, PR China</w:t>
      </w:r>
    </w:p>
    <w:p>
      <w:pPr>
        <w:tabs>
          <w:tab w:val="left" w:pos="10440"/>
        </w:tabs>
        <w:adjustRightInd w:val="0"/>
        <w:spacing w:line="360" w:lineRule="auto"/>
        <w:rPr>
          <w:rFonts w:ascii="Times New Roman" w:hAnsi="Times New Roman" w:eastAsia="Batang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>State Key Laboratory of Microbial Technology, Shandong University, Qingdao</w:t>
      </w:r>
      <w:r>
        <w:rPr>
          <w:rFonts w:ascii="Times New Roman" w:hAnsi="Times New Roman" w:eastAsia="宋体" w:cs="Times New Roman"/>
          <w:sz w:val="24"/>
          <w:szCs w:val="24"/>
        </w:rPr>
        <w:t>, Shandong,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266237, PR China</w:t>
      </w:r>
    </w:p>
    <w:p>
      <w:pPr>
        <w:spacing w:line="360" w:lineRule="auto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Author for correspondence:</w:t>
      </w:r>
    </w:p>
    <w:p>
      <w:pPr>
        <w:spacing w:line="360" w:lineRule="auto"/>
        <w:rPr>
          <w:rStyle w:val="1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Zong-Jun Du, Email: </w:t>
      </w:r>
      <w:r>
        <w:fldChar w:fldCharType="begin"/>
      </w:r>
      <w:r>
        <w:instrText xml:space="preserve"> HYPERLINK "mailto:duzongjun@sdu.edu.cn" </w:instrText>
      </w:r>
      <w:r>
        <w:fldChar w:fldCharType="separate"/>
      </w:r>
      <w:r>
        <w:rPr>
          <w:rStyle w:val="1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duzongjun@sdu.edu.cn</w:t>
      </w:r>
      <w:r>
        <w:rPr>
          <w:rStyle w:val="10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360" w:lineRule="auto"/>
        <w:rPr>
          <w:rStyle w:val="10"/>
          <w:bCs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Style w:val="10"/>
          <w:bCs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Tel and Fax: +86-631-5688303</w:t>
      </w:r>
    </w:p>
    <w:p>
      <w:pPr>
        <w:tabs>
          <w:tab w:val="left" w:pos="10440"/>
        </w:tabs>
        <w:adjustRightInd w:val="0"/>
        <w:spacing w:line="360" w:lineRule="auto"/>
        <w:rPr>
          <w:rFonts w:eastAsia="Times New Roman"/>
          <w:sz w:val="24"/>
          <w:szCs w:val="24"/>
        </w:rPr>
      </w:pPr>
    </w:p>
    <w:bookmarkEnd w:id="4"/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</w:p>
    <w:p/>
    <w:p>
      <w:pPr>
        <w:spacing w:line="360" w:lineRule="auto"/>
        <w:rPr>
          <w:rFonts w:hint="eastAsia" w:eastAsia="宋体"/>
          <w:b/>
          <w:sz w:val="24"/>
          <w:szCs w:val="24"/>
          <w:lang w:val="en-US" w:eastAsia="zh-CN"/>
        </w:rPr>
      </w:pPr>
      <w:r>
        <w:rPr>
          <w:rFonts w:eastAsia="Times New Roman"/>
          <w:b/>
          <w:sz w:val="24"/>
          <w:szCs w:val="24"/>
        </w:rPr>
        <w:t xml:space="preserve">Fig. </w:t>
      </w:r>
      <w:r>
        <w:rPr>
          <w:rFonts w:hint="eastAsia"/>
          <w:b/>
          <w:sz w:val="24"/>
          <w:szCs w:val="24"/>
        </w:rPr>
        <w:t>S</w:t>
      </w:r>
      <w:r>
        <w:rPr>
          <w:b/>
          <w:sz w:val="24"/>
          <w:szCs w:val="24"/>
        </w:rPr>
        <w:t>1</w:t>
      </w:r>
      <w:r>
        <w:rPr>
          <w:rFonts w:eastAsia="Times New Roman"/>
          <w:b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</w:rPr>
        <w:t xml:space="preserve">Cell morphology of strain T37 </w:t>
      </w:r>
      <w:bookmarkStart w:id="7" w:name="OLE_LINK1"/>
      <w:r>
        <w:rPr>
          <w:rFonts w:hint="eastAsia" w:ascii="Times New Roman" w:hAnsi="Times New Roman" w:cs="Times New Roman"/>
          <w:sz w:val="24"/>
        </w:rPr>
        <w:t xml:space="preserve">at different </w:t>
      </w:r>
      <w:r>
        <w:rPr>
          <w:rFonts w:hint="eastAsia" w:ascii="Times New Roman" w:hAnsi="Times New Roman"/>
          <w:sz w:val="24"/>
          <w:szCs w:val="24"/>
          <w:highlight w:val="none"/>
        </w:rPr>
        <w:t>growth period</w:t>
      </w:r>
      <w:r>
        <w:rPr>
          <w:rFonts w:hint="eastAsia"/>
          <w:sz w:val="24"/>
          <w:szCs w:val="24"/>
          <w:highlight w:val="none"/>
          <w:lang w:val="en-US" w:eastAsia="zh-CN"/>
        </w:rPr>
        <w:t>s</w:t>
      </w:r>
      <w:bookmarkEnd w:id="7"/>
      <w:r>
        <w:rPr>
          <w:rFonts w:hint="eastAsia" w:cs="Times New Roman"/>
          <w:sz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120" w:line="240" w:lineRule="auto"/>
        <w:jc w:val="center"/>
        <w:textAlignment w:val="auto"/>
        <w:outlineLvl w:val="0"/>
      </w:pPr>
      <w:r>
        <w:drawing>
          <wp:inline distT="0" distB="0" distL="114300" distR="114300">
            <wp:extent cx="5300345" cy="2849245"/>
            <wp:effectExtent l="0" t="0" r="825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/>
          <w:sz w:val="24"/>
          <w:szCs w:val="24"/>
        </w:rPr>
      </w:pPr>
    </w:p>
    <w:p>
      <w:pPr>
        <w:spacing w:line="360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Fig. </w:t>
      </w:r>
      <w:r>
        <w:rPr>
          <w:rFonts w:hint="eastAsia"/>
          <w:b/>
          <w:sz w:val="24"/>
          <w:szCs w:val="24"/>
        </w:rPr>
        <w:t>S</w:t>
      </w:r>
      <w:r>
        <w:rPr>
          <w:rFonts w:hint="eastAsia"/>
          <w:b/>
          <w:sz w:val="24"/>
          <w:szCs w:val="24"/>
          <w:lang w:val="en-US" w:eastAsia="zh-CN"/>
        </w:rPr>
        <w:t>2</w:t>
      </w:r>
      <w:r>
        <w:rPr>
          <w:rFonts w:eastAsia="Times New Roman"/>
          <w:b/>
          <w:sz w:val="24"/>
          <w:szCs w:val="24"/>
        </w:rPr>
        <w:t>.</w:t>
      </w:r>
      <w:r>
        <w:rPr>
          <w:rFonts w:hint="eastAsia"/>
          <w:b/>
          <w:sz w:val="24"/>
          <w:szCs w:val="24"/>
          <w:lang w:val="en-US" w:eastAsia="zh-CN"/>
        </w:rPr>
        <w:t xml:space="preserve"> </w:t>
      </w:r>
      <w:r>
        <w:rPr>
          <w:rFonts w:hint="eastAsia" w:eastAsia="Times New Roman"/>
          <w:bCs/>
          <w:sz w:val="24"/>
          <w:szCs w:val="24"/>
        </w:rPr>
        <w:t>Two-dimensional TLC showing the polar lipids of</w:t>
      </w:r>
      <w:r>
        <w:rPr>
          <w:rFonts w:eastAsia="Times New Roman"/>
          <w:bCs/>
          <w:sz w:val="24"/>
          <w:szCs w:val="24"/>
        </w:rPr>
        <w:t xml:space="preserve"> the strain </w:t>
      </w:r>
      <w:r>
        <w:rPr>
          <w:rFonts w:hint="eastAsia"/>
          <w:bCs/>
          <w:sz w:val="24"/>
          <w:szCs w:val="24"/>
        </w:rPr>
        <w:t>T37</w:t>
      </w:r>
      <w:r>
        <w:rPr>
          <w:bCs/>
          <w:sz w:val="24"/>
          <w:szCs w:val="24"/>
          <w:vertAlign w:val="superscript"/>
        </w:rPr>
        <w:t>T</w:t>
      </w:r>
      <w:r>
        <w:rPr>
          <w:rFonts w:eastAsia="Times New Roman"/>
          <w:bCs/>
          <w:sz w:val="24"/>
          <w:szCs w:val="24"/>
        </w:rPr>
        <w:t>.</w:t>
      </w:r>
    </w:p>
    <w:p>
      <w:pPr>
        <w:spacing w:line="360" w:lineRule="auto"/>
        <w:rPr>
          <w:rFonts w:eastAsia="Times New Roman"/>
          <w:bCs/>
          <w:sz w:val="24"/>
          <w:szCs w:val="24"/>
        </w:rPr>
      </w:pPr>
      <w:r>
        <w:rPr>
          <w:rFonts w:hint="eastAsia" w:eastAsia="Times New Roman"/>
          <w:bCs/>
          <w:sz w:val="24"/>
          <w:szCs w:val="24"/>
        </w:rPr>
        <w:t>a. phosphomolybdic acid; b. molybdenum blue; c. ninhydrin</w:t>
      </w:r>
    </w:p>
    <w:p>
      <w:pPr>
        <w:spacing w:line="360" w:lineRule="auto"/>
      </w:pPr>
      <w:bookmarkStart w:id="8" w:name="OLE_LINK75"/>
      <w:r>
        <w:rPr>
          <w:rFonts w:hint="eastAsia" w:eastAsiaTheme="minorEastAsia"/>
          <w:sz w:val="24"/>
          <w:szCs w:val="24"/>
        </w:rPr>
        <w:t xml:space="preserve">DPG, diphosphatidylglycerol；PGL, phosphoglycolipids; PI, phosphatidylinositol; </w:t>
      </w:r>
      <w:r>
        <w:rPr>
          <w:rFonts w:eastAsiaTheme="minorEastAsia"/>
          <w:sz w:val="24"/>
          <w:szCs w:val="24"/>
        </w:rPr>
        <w:t>PE</w:t>
      </w:r>
      <w:bookmarkEnd w:id="8"/>
      <w:r>
        <w:rPr>
          <w:rFonts w:eastAsiaTheme="minorEastAsia"/>
          <w:sz w:val="24"/>
          <w:szCs w:val="24"/>
        </w:rPr>
        <w:t xml:space="preserve">, phosphatidylethanolamine; PL, unidentified phospholipid; </w:t>
      </w:r>
      <w:r>
        <w:rPr>
          <w:rFonts w:hint="eastAsia" w:eastAsiaTheme="minorEastAsia"/>
          <w:sz w:val="24"/>
          <w:szCs w:val="24"/>
        </w:rPr>
        <w:t xml:space="preserve">PG, phosphatidylglycerol; PC, phosphatidylcholine; AL, </w:t>
      </w:r>
      <w:r>
        <w:rPr>
          <w:sz w:val="24"/>
          <w:szCs w:val="24"/>
        </w:rPr>
        <w:t>aminolipid</w:t>
      </w:r>
      <w:r>
        <w:rPr>
          <w:rFonts w:hint="eastAsia"/>
          <w:sz w:val="24"/>
          <w:szCs w:val="24"/>
        </w:rPr>
        <w:t xml:space="preserve">; </w:t>
      </w:r>
      <w:r>
        <w:rPr>
          <w:rFonts w:eastAsiaTheme="minorEastAsia"/>
          <w:sz w:val="24"/>
          <w:szCs w:val="24"/>
        </w:rPr>
        <w:t>L, unidentified lipid.</w: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2682875</wp:posOffset>
                </wp:positionH>
                <wp:positionV relativeFrom="paragraph">
                  <wp:posOffset>280035</wp:posOffset>
                </wp:positionV>
                <wp:extent cx="460375" cy="3429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75690" y="2056765"/>
                          <a:ext cx="4603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25pt;margin-top:22.05pt;height:27pt;width:36.25pt;z-index:251660288;mso-width-relative:page;mso-height-relative:page;" filled="f" stroked="f" coordsize="21600,21600" o:gfxdata="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EbrBQzaAAAACQEAAA8A&#10;AAAAAAAAAQAgAAAAIgAAAGRycy9kb3ducmV2LnhtbFBLAQIUABQAAAAIAIdO4kBtpbdGTgIAAH8E&#10;AAAOAAAAAAAAAAEAIAAAACkBAABkcnMvZTJvRG9jLnhtbFBLBQYAAAAABgAGAFkBAADp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-67310</wp:posOffset>
                </wp:positionH>
                <wp:positionV relativeFrom="paragraph">
                  <wp:posOffset>250825</wp:posOffset>
                </wp:positionV>
                <wp:extent cx="419100" cy="36195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2123440"/>
                          <a:ext cx="4191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3pt;margin-top:19.75pt;height:28.5pt;width:33pt;z-index:251659264;mso-width-relative:page;mso-height-relative:page;" filled="f" stroked="f" coordsize="21600,21600" o:gfxdata="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Wdale2gAAAAgBAAAPAAAAAAAAAAEAIAAA&#10;ACIAAABkcnMvZG93bnJldi54bWxQSwECFAAUAAAACACHTuJAIQOwzkMCAABxBAAADgAAAAAAAAAB&#10;ACAAAAAp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1440815</wp:posOffset>
                </wp:positionH>
                <wp:positionV relativeFrom="paragraph">
                  <wp:posOffset>34925</wp:posOffset>
                </wp:positionV>
                <wp:extent cx="386080" cy="26606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75690" y="2056765"/>
                          <a:ext cx="386080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3.45pt;margin-top:2.75pt;height:20.95pt;width:30.4pt;z-index:251661312;mso-width-relative:page;mso-height-relative:page;" filled="f" stroked="f" coordsize="21600,21600" o:gfxdata="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yBe/42gAAAAgBAAAPAAAA&#10;AAAAAAEAIAAAACIAAABkcnMvZG93bnJldi54bWxQSwECFAAUAAAACACHTuJAsYpAZ0wCAAB/BAAA&#10;DgAAAAAAAAABACAAAAApAQAAZHJzL2Uyb0RvYy54bWxQSwUGAAAAAAYABgBZAQAA5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2568575</wp:posOffset>
                </wp:positionV>
                <wp:extent cx="254635" cy="273050"/>
                <wp:effectExtent l="0" t="0" r="12065" b="635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35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65pt;margin-top:202.25pt;height:21.5pt;width:20.05pt;z-index:251663360;mso-width-relative:page;mso-height-relative:page;" fillcolor="#FFFFFF [3201]" filled="t" stroked="f" coordsize="21600,21600" o:gfxdata="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fCdhMtQAAAAJAQAADwAAAAAA&#10;AAABACAAAAAiAAAAZHJzL2Rvd25yZXYueG1sUEsBAhQAFAAAAAgAh07iQMTt+ThQAgAAkA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1430655</wp:posOffset>
                </wp:positionH>
                <wp:positionV relativeFrom="paragraph">
                  <wp:posOffset>90170</wp:posOffset>
                </wp:positionV>
                <wp:extent cx="254635" cy="273050"/>
                <wp:effectExtent l="0" t="0" r="12065" b="635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68575" y="4471670"/>
                          <a:ext cx="254635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65pt;margin-top:7.1pt;height:21.5pt;width:20.05pt;z-index:251662336;mso-width-relative:page;mso-height-relative:page;" fillcolor="#FFFFFF [3201]" filled="t" stroked="f" coordsize="21600,21600" o:gfxdata="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jrGEi9UA&#10;AAAJAQAADwAAAAAAAAABACAAAAAiAAAAZHJzL2Rvd25yZXYueG1sUEsBAhQAFAAAAAgAh07iQK22&#10;qtNbAgAAnAQAAA4AAAAAAAAAAQAgAAAAJA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437765" cy="2328545"/>
            <wp:effectExtent l="0" t="0" r="635" b="825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2968625</wp:posOffset>
                </wp:positionH>
                <wp:positionV relativeFrom="paragraph">
                  <wp:posOffset>74295</wp:posOffset>
                </wp:positionV>
                <wp:extent cx="254635" cy="273050"/>
                <wp:effectExtent l="0" t="0" r="12065" b="635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35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75pt;margin-top:5.85pt;height:21.5pt;width:20.05pt;z-index:251664384;mso-width-relative:page;mso-height-relative:page;" fillcolor="#FFFFFF [3201]" filled="t" stroked="f" coordsize="21600,21600" o:gfxdata="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KbiUvUAAAACQEAAA8AAAAA&#10;AAAAAQAgAAAAIgAAAGRycy9kb3ducmV2LnhtbFBLAQIUABQAAAAIAIdO4kCmMjb0UQIAAJAEAAAO&#10;AAAAAAAAAAEAIAAAACM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2280285" cy="2259965"/>
            <wp:effectExtent l="0" t="0" r="5715" b="63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0285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>
        <w:drawing>
          <wp:inline distT="0" distB="0" distL="114300" distR="114300">
            <wp:extent cx="2219325" cy="2206625"/>
            <wp:effectExtent l="0" t="0" r="317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>
      <w:pPr>
        <w:widowControl/>
        <w:spacing w:line="360" w:lineRule="auto"/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Fig. </w:t>
      </w:r>
      <w:r>
        <w:rPr>
          <w:rFonts w:hint="eastAsia"/>
          <w:b/>
          <w:sz w:val="24"/>
          <w:szCs w:val="24"/>
        </w:rPr>
        <w:t>S</w:t>
      </w:r>
      <w:r>
        <w:rPr>
          <w:rFonts w:hint="eastAsia"/>
          <w:b/>
          <w:sz w:val="24"/>
          <w:szCs w:val="24"/>
          <w:lang w:val="en-US" w:eastAsia="zh-CN"/>
        </w:rPr>
        <w:t>3</w:t>
      </w:r>
      <w:r>
        <w:rPr>
          <w:rFonts w:eastAsia="Times New Roman"/>
          <w:b/>
          <w:sz w:val="24"/>
          <w:szCs w:val="24"/>
        </w:rPr>
        <w:t xml:space="preserve">. </w:t>
      </w:r>
      <w:r>
        <w:rPr>
          <w:sz w:val="24"/>
          <w:szCs w:val="24"/>
        </w:rPr>
        <w:t>Number of genes associated with the COG categories of coding proteins in the genome of strain T37</w:t>
      </w:r>
      <w:r>
        <w:rPr>
          <w:sz w:val="24"/>
          <w:szCs w:val="24"/>
          <w:vertAlign w:val="superscript"/>
        </w:rPr>
        <w:t>T</w:t>
      </w:r>
      <w:r>
        <w:rPr>
          <w:sz w:val="24"/>
          <w:szCs w:val="24"/>
        </w:rPr>
        <w:t>.</w:t>
      </w: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inline distT="0" distB="0" distL="114300" distR="114300">
            <wp:extent cx="6160135" cy="4250690"/>
            <wp:effectExtent l="0" t="0" r="12065" b="3810"/>
            <wp:docPr id="11" name="图片 11" descr="T37.cog.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T37.cog.clas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60135" cy="425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Times New Roman" w:cs="Times New Roman"/>
          <w:b/>
          <w:sz w:val="24"/>
          <w:szCs w:val="24"/>
          <w:highlight w:val="none"/>
        </w:rPr>
        <w:t xml:space="preserve">Fig. </w:t>
      </w:r>
      <w:r>
        <w:rPr>
          <w:rFonts w:hint="default" w:ascii="Times New Roman" w:hAnsi="Times New Roman" w:cs="Times New Roman"/>
          <w:b/>
          <w:sz w:val="24"/>
          <w:szCs w:val="24"/>
          <w:highlight w:val="none"/>
        </w:rPr>
        <w:t>S</w:t>
      </w:r>
      <w:r>
        <w:rPr>
          <w:rFonts w:hint="eastAsia" w:cs="Times New Roman"/>
          <w:b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b/>
          <w:sz w:val="24"/>
          <w:szCs w:val="24"/>
          <w:highlight w:val="none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Number of genes associated with the </w:t>
      </w:r>
      <w:r>
        <w:rPr>
          <w:rFonts w:hint="default" w:ascii="Times New Roman" w:hAnsi="Times New Roman" w:eastAsia="TimesNewRomanPSMT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</w:rPr>
        <w:t>CAZy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 in the genome of strain T37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T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.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TimesNewRomanPSMT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</w:rPr>
        <w:t>CAZy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eastAsia="TimesNewRomanPSMT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</w:rPr>
        <w:t>Carbohydrate-Active enZYmes Database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highlight w:val="none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GH,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Glycoside Hydrolases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GT,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GlycosylTransferases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PL,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Polysaccharide Lyases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CE,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Carbohydrate Esterases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AA,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Auxiliary Activities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CBM,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Carbohydrate-Binding Modules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.</w:t>
      </w: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inline distT="0" distB="0" distL="114300" distR="114300">
            <wp:extent cx="5676900" cy="5676900"/>
            <wp:effectExtent l="0" t="0" r="0" b="0"/>
            <wp:docPr id="12" name="图片 12" descr="T37.single_CAZy_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37.single_CAZy_clas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</w:p>
    <w:p>
      <w:pPr>
        <w:spacing w:line="360" w:lineRule="auto"/>
        <w:rPr>
          <w:sz w:val="24"/>
          <w:szCs w:val="24"/>
          <w:highlight w:val="none"/>
        </w:rPr>
      </w:pPr>
      <w:r>
        <w:rPr>
          <w:rFonts w:eastAsia="Times New Roman"/>
          <w:b/>
          <w:sz w:val="24"/>
          <w:szCs w:val="24"/>
          <w:highlight w:val="none"/>
        </w:rPr>
        <w:t xml:space="preserve">Fig. </w:t>
      </w:r>
      <w:r>
        <w:rPr>
          <w:rFonts w:hint="eastAsia"/>
          <w:b/>
          <w:sz w:val="24"/>
          <w:szCs w:val="24"/>
          <w:highlight w:val="none"/>
        </w:rPr>
        <w:t>S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5</w:t>
      </w:r>
      <w:r>
        <w:rPr>
          <w:rFonts w:eastAsia="Times New Roman"/>
          <w:b/>
          <w:sz w:val="24"/>
          <w:szCs w:val="24"/>
          <w:highlight w:val="none"/>
        </w:rPr>
        <w:t xml:space="preserve">. </w:t>
      </w:r>
      <w:r>
        <w:rPr>
          <w:sz w:val="24"/>
          <w:szCs w:val="24"/>
          <w:highlight w:val="none"/>
        </w:rPr>
        <w:t xml:space="preserve">Number of genes associated with the </w:t>
      </w:r>
      <w:r>
        <w:rPr>
          <w:rFonts w:hint="eastAsia"/>
          <w:sz w:val="24"/>
          <w:szCs w:val="24"/>
          <w:highlight w:val="none"/>
          <w:lang w:val="en-US" w:eastAsia="zh-CN"/>
        </w:rPr>
        <w:t>TCDB</w:t>
      </w:r>
      <w:r>
        <w:rPr>
          <w:sz w:val="24"/>
          <w:szCs w:val="24"/>
          <w:highlight w:val="none"/>
        </w:rPr>
        <w:t xml:space="preserve"> of coding proteins in the genome of strain T37</w:t>
      </w:r>
      <w:r>
        <w:rPr>
          <w:sz w:val="24"/>
          <w:szCs w:val="24"/>
          <w:highlight w:val="none"/>
          <w:vertAlign w:val="superscript"/>
        </w:rPr>
        <w:t>T</w:t>
      </w:r>
      <w:r>
        <w:rPr>
          <w:sz w:val="24"/>
          <w:szCs w:val="24"/>
          <w:highlight w:val="none"/>
        </w:rPr>
        <w:t>.</w:t>
      </w:r>
    </w:p>
    <w:p>
      <w:pPr>
        <w:spacing w:line="360" w:lineRule="auto"/>
        <w:rPr>
          <w:rFonts w:hint="eastAsia" w:eastAsia="宋体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TCDB</w:t>
      </w:r>
      <w:r>
        <w:rPr>
          <w:rFonts w:hint="eastAsia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eastAsia"/>
          <w:sz w:val="24"/>
          <w:szCs w:val="24"/>
          <w:highlight w:val="none"/>
        </w:rPr>
        <w:t>Transporter Classification Database</w:t>
      </w:r>
      <w:r>
        <w:rPr>
          <w:rFonts w:hint="eastAsia"/>
          <w:sz w:val="24"/>
          <w:szCs w:val="24"/>
          <w:highlight w:val="none"/>
          <w:lang w:val="en-US" w:eastAsia="zh-CN"/>
        </w:rPr>
        <w:t>.</w:t>
      </w:r>
    </w:p>
    <w:p>
      <w:pPr>
        <w:spacing w:line="360" w:lineRule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inline distT="0" distB="0" distL="114300" distR="114300">
            <wp:extent cx="6350635" cy="4323715"/>
            <wp:effectExtent l="0" t="0" r="12065" b="6985"/>
            <wp:docPr id="15" name="图片 15" descr="T37.tcdb.class.cata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T37.tcdb.class.catalo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432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等线" w:cs="Times New Roman"/>
          <w:b/>
          <w:bCs w:val="0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 xml:space="preserve">Table </w:t>
      </w:r>
      <w:r>
        <w:rPr>
          <w:rFonts w:hint="eastAsia" w:eastAsia="等线" w:cs="Times New Roman"/>
          <w:b/>
          <w:bCs w:val="0"/>
          <w:kern w:val="2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等线" w:cs="Times New Roman"/>
          <w:b/>
          <w:bCs w:val="0"/>
          <w:kern w:val="2"/>
          <w:sz w:val="24"/>
          <w:szCs w:val="24"/>
          <w:lang w:val="en-US" w:eastAsia="zh-CN" w:bidi="ar"/>
        </w:rPr>
        <w:t>1.</w:t>
      </w:r>
      <w:r>
        <w:rPr>
          <w:rFonts w:hint="eastAsia" w:ascii="等线" w:hAnsi="等线" w:eastAsia="等线" w:cs="Times New Roman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bCs/>
          <w:kern w:val="2"/>
          <w:sz w:val="24"/>
          <w:szCs w:val="24"/>
          <w:lang w:val="en-US" w:eastAsia="zh-CN" w:bidi="ar"/>
        </w:rPr>
        <w:t>The genome sequence comparisons between strain T37</w:t>
      </w:r>
      <w:r>
        <w:rPr>
          <w:rFonts w:hint="default" w:ascii="Times New Roman" w:hAnsi="Times New Roman" w:eastAsia="等线" w:cs="Times New Roman"/>
          <w:bCs/>
          <w:kern w:val="2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等线" w:cs="Times New Roman"/>
          <w:bCs/>
          <w:kern w:val="2"/>
          <w:sz w:val="24"/>
          <w:szCs w:val="24"/>
          <w:lang w:val="en-US" w:eastAsia="zh-CN" w:bidi="ar"/>
        </w:rPr>
        <w:t xml:space="preserve"> and</w:t>
      </w:r>
      <w:r>
        <w:rPr>
          <w:rFonts w:hint="eastAsia" w:eastAsia="等线" w:cs="Times New Roman"/>
          <w:bCs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bCs/>
          <w:kern w:val="2"/>
          <w:sz w:val="24"/>
          <w:szCs w:val="24"/>
          <w:lang w:val="en-US" w:eastAsia="zh-CN" w:bidi="ar"/>
        </w:rPr>
        <w:t>phylogenetically related taxa.</w:t>
      </w:r>
      <w:r>
        <w:rPr>
          <w:rFonts w:hint="eastAsia" w:ascii="等线" w:hAnsi="等线" w:eastAsia="等线" w:cs="Times New Roman"/>
          <w:kern w:val="2"/>
          <w:sz w:val="21"/>
          <w:szCs w:val="21"/>
          <w:lang w:val="en-US" w:eastAsia="zh-CN" w:bidi="ar"/>
        </w:rPr>
        <w:t xml:space="preserve"> </w:t>
      </w:r>
    </w:p>
    <w:tbl>
      <w:tblPr>
        <w:tblStyle w:val="6"/>
        <w:tblpPr w:leftFromText="180" w:rightFromText="180" w:vertAnchor="text" w:horzAnchor="page" w:tblpX="451" w:tblpY="378"/>
        <w:tblOverlap w:val="never"/>
        <w:tblW w:w="10969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7"/>
        <w:gridCol w:w="602"/>
        <w:gridCol w:w="788"/>
        <w:gridCol w:w="1267"/>
        <w:gridCol w:w="800"/>
        <w:gridCol w:w="963"/>
        <w:gridCol w:w="651"/>
        <w:gridCol w:w="193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67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Species</w:t>
            </w:r>
          </w:p>
        </w:tc>
        <w:tc>
          <w:tcPr>
            <w:tcW w:w="602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AAI (%)</w:t>
            </w:r>
          </w:p>
        </w:tc>
        <w:tc>
          <w:tcPr>
            <w:tcW w:w="788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POCP (%)</w:t>
            </w:r>
          </w:p>
        </w:tc>
        <w:tc>
          <w:tcPr>
            <w:tcW w:w="1267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OrthoANIu value (%)</w:t>
            </w:r>
          </w:p>
        </w:tc>
        <w:tc>
          <w:tcPr>
            <w:tcW w:w="800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dDDH (%)*</w:t>
            </w:r>
          </w:p>
        </w:tc>
        <w:tc>
          <w:tcPr>
            <w:tcW w:w="963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Genome </w:t>
            </w:r>
            <w:r>
              <w:rPr>
                <w:rStyle w:val="1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(</w:t>
            </w:r>
            <w:r>
              <w:rPr>
                <w:rStyle w:val="18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Mbp</w:t>
            </w:r>
            <w:r>
              <w:rPr>
                <w:rStyle w:val="17"/>
                <w:rFonts w:hint="default" w:ascii="Times New Roman" w:hAnsi="Times New Roman" w:cs="Times New Roman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651" w:type="dxa"/>
            <w:vMerge w:val="restar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G+C (%)</w:t>
            </w:r>
          </w:p>
        </w:tc>
        <w:tc>
          <w:tcPr>
            <w:tcW w:w="1931" w:type="dxa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GenBank accession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3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dxa"/>
            <w:vMerge w:val="continue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1" w:type="dxa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Akkermansia muciniphila 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ATCC BAA-835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55.8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NC_010655.1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Brevifollis gellanilyticus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NBRC 108608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GCA_007992435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Haloferula rosea 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KCTC 22201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JAENII000000000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Luteolibacter pohnpeiensis 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KCTC 22041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28.6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JAENIJ000000000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Persicirhabdus sediminis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KCTC 22039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49.2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JAENIM000000000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Phragmitibacter flavus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MG-N-17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56.9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GCA_005780165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Prosthecobacter fusiformis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ATCC 25309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SOCA00000000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Roseibacillus ishigakijimensis 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KCTC 12986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57.5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59.3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JAENIO000000000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Roseimicrobium gellanilyticum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DSM 25532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59.7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GCA_003315205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Rubritalea marina 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>DSM 17716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58.1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ARJP00000000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9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Verrucomicrobium spinosum</w:t>
            </w:r>
            <w:r>
              <w:rPr>
                <w:rStyle w:val="19"/>
                <w:rFonts w:hint="default" w:ascii="Times New Roman" w:hAnsi="Times New Roman" w:eastAsia="宋体" w:cs="Times New Roman"/>
                <w:sz w:val="21"/>
                <w:szCs w:val="21"/>
                <w:lang w:val="en-US" w:eastAsia="zh-CN" w:bidi="ar"/>
              </w:rPr>
              <w:t xml:space="preserve"> DSM 4136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22.5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67.4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22.9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60.3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GCA_000172155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*identities / HSP length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PTimesB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OT1ef757c0+2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YwMDEzMzCwtDA0MDNX0lEKTi0uzszPAykwqQUAPK/6pywAAAA="/>
  </w:docVars>
  <w:rsids>
    <w:rsidRoot w:val="00CA05F1"/>
    <w:rsid w:val="001309B5"/>
    <w:rsid w:val="001606ED"/>
    <w:rsid w:val="001F7F4C"/>
    <w:rsid w:val="00213FAA"/>
    <w:rsid w:val="002428B0"/>
    <w:rsid w:val="002617A0"/>
    <w:rsid w:val="002A02A2"/>
    <w:rsid w:val="003A18D3"/>
    <w:rsid w:val="003A64E5"/>
    <w:rsid w:val="004B7DBF"/>
    <w:rsid w:val="004F398C"/>
    <w:rsid w:val="005024A9"/>
    <w:rsid w:val="0065087F"/>
    <w:rsid w:val="00676CE1"/>
    <w:rsid w:val="00690835"/>
    <w:rsid w:val="006C3107"/>
    <w:rsid w:val="006C5612"/>
    <w:rsid w:val="00755303"/>
    <w:rsid w:val="00774873"/>
    <w:rsid w:val="00892C9E"/>
    <w:rsid w:val="008B5A72"/>
    <w:rsid w:val="00930D16"/>
    <w:rsid w:val="0098129F"/>
    <w:rsid w:val="009A29E2"/>
    <w:rsid w:val="009E4E9C"/>
    <w:rsid w:val="00A0290D"/>
    <w:rsid w:val="00A32B16"/>
    <w:rsid w:val="00A55BF1"/>
    <w:rsid w:val="00AD6893"/>
    <w:rsid w:val="00B40AA4"/>
    <w:rsid w:val="00B65331"/>
    <w:rsid w:val="00BB60E3"/>
    <w:rsid w:val="00BD6425"/>
    <w:rsid w:val="00BF1095"/>
    <w:rsid w:val="00C066E2"/>
    <w:rsid w:val="00C33527"/>
    <w:rsid w:val="00C67D51"/>
    <w:rsid w:val="00C70684"/>
    <w:rsid w:val="00CA05F1"/>
    <w:rsid w:val="00CA16BB"/>
    <w:rsid w:val="00D822F8"/>
    <w:rsid w:val="00E2735F"/>
    <w:rsid w:val="00E86F14"/>
    <w:rsid w:val="00EF0123"/>
    <w:rsid w:val="00EF12C1"/>
    <w:rsid w:val="00EF608F"/>
    <w:rsid w:val="00F03BB7"/>
    <w:rsid w:val="00F619B3"/>
    <w:rsid w:val="00F871C2"/>
    <w:rsid w:val="00FF614B"/>
    <w:rsid w:val="07FD7513"/>
    <w:rsid w:val="0FDA5905"/>
    <w:rsid w:val="10CD35A5"/>
    <w:rsid w:val="14E54543"/>
    <w:rsid w:val="15781523"/>
    <w:rsid w:val="17D56D85"/>
    <w:rsid w:val="1B157F61"/>
    <w:rsid w:val="20E72E3F"/>
    <w:rsid w:val="287E4A1A"/>
    <w:rsid w:val="2E8D722B"/>
    <w:rsid w:val="2FC62856"/>
    <w:rsid w:val="33416B54"/>
    <w:rsid w:val="336871D2"/>
    <w:rsid w:val="3CBE181F"/>
    <w:rsid w:val="4A7F7299"/>
    <w:rsid w:val="4CD92F00"/>
    <w:rsid w:val="4DDA628C"/>
    <w:rsid w:val="55767312"/>
    <w:rsid w:val="5797285F"/>
    <w:rsid w:val="5E167026"/>
    <w:rsid w:val="61B21CB7"/>
    <w:rsid w:val="651C65E6"/>
    <w:rsid w:val="6855556E"/>
    <w:rsid w:val="69DD0F4B"/>
    <w:rsid w:val="6C111749"/>
    <w:rsid w:val="6EDA3F0A"/>
    <w:rsid w:val="6FCF23B5"/>
    <w:rsid w:val="71FC4A39"/>
    <w:rsid w:val="75A878FE"/>
    <w:rsid w:val="75C77948"/>
    <w:rsid w:val="770D0EFF"/>
    <w:rsid w:val="7FBD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jc w:val="left"/>
    </w:pPr>
    <w:rPr>
      <w:rFonts w:ascii="等线" w:hAnsi="等线"/>
      <w:kern w:val="0"/>
      <w:sz w:val="28"/>
      <w:szCs w:val="20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lin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正文文本 字符"/>
    <w:basedOn w:val="8"/>
    <w:link w:val="2"/>
    <w:qFormat/>
    <w:uiPriority w:val="0"/>
    <w:rPr>
      <w:kern w:val="2"/>
      <w:sz w:val="28"/>
      <w:szCs w:val="28"/>
    </w:rPr>
  </w:style>
  <w:style w:type="character" w:customStyle="1" w:styleId="12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fontstyle01"/>
    <w:basedOn w:val="8"/>
    <w:qFormat/>
    <w:uiPriority w:val="0"/>
    <w:rPr>
      <w:rFonts w:hint="default" w:ascii="AdvPTimesB" w:hAnsi="AdvPTimesB"/>
      <w:color w:val="000000"/>
      <w:sz w:val="20"/>
      <w:szCs w:val="20"/>
    </w:rPr>
  </w:style>
  <w:style w:type="character" w:customStyle="1" w:styleId="16">
    <w:name w:val="fontstyle21"/>
    <w:basedOn w:val="8"/>
    <w:qFormat/>
    <w:uiPriority w:val="0"/>
    <w:rPr>
      <w:rFonts w:hint="default" w:ascii="AdvOT1ef757c0+20" w:hAnsi="AdvOT1ef757c0+20"/>
      <w:color w:val="000000"/>
      <w:sz w:val="20"/>
      <w:szCs w:val="20"/>
    </w:rPr>
  </w:style>
  <w:style w:type="character" w:customStyle="1" w:styleId="17">
    <w:name w:val="font51"/>
    <w:basedOn w:val="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8">
    <w:name w:val="font1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9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388</Words>
  <Characters>2218</Characters>
  <Lines>18</Lines>
  <Paragraphs>5</Paragraphs>
  <TotalTime>1</TotalTime>
  <ScaleCrop>false</ScaleCrop>
  <LinksUpToDate>false</LinksUpToDate>
  <CharactersWithSpaces>2601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青橙</cp:lastModifiedBy>
  <cp:lastPrinted>2020-03-31T15:32:00Z</cp:lastPrinted>
  <dcterms:modified xsi:type="dcterms:W3CDTF">2021-07-08T02:15:16Z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CC10F4FBDE1444B3816048A5EEF27C92</vt:lpwstr>
  </property>
</Properties>
</file>