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Table S1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The proximate and ultimate analysis of three types of AC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921"/>
        <w:gridCol w:w="921"/>
        <w:gridCol w:w="921"/>
        <w:gridCol w:w="1170"/>
        <w:gridCol w:w="748"/>
        <w:gridCol w:w="748"/>
        <w:gridCol w:w="748"/>
        <w:gridCol w:w="748"/>
        <w:gridCol w:w="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Sample</w:t>
            </w:r>
          </w:p>
        </w:tc>
        <w:tc>
          <w:tcPr>
            <w:tcW w:w="3933" w:type="dxa"/>
            <w:gridSpan w:val="4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Proximate analysis (ad, wt%)</w:t>
            </w:r>
          </w:p>
        </w:tc>
        <w:tc>
          <w:tcPr>
            <w:tcW w:w="3743" w:type="dxa"/>
            <w:gridSpan w:val="5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Ultimate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analysis (ad, wt%)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moisture</w:t>
            </w:r>
          </w:p>
        </w:tc>
        <w:tc>
          <w:tcPr>
            <w:tcW w:w="92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volatile</w:t>
            </w:r>
          </w:p>
        </w:tc>
        <w:tc>
          <w:tcPr>
            <w:tcW w:w="92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ash</w:t>
            </w:r>
          </w:p>
        </w:tc>
        <w:tc>
          <w:tcPr>
            <w:tcW w:w="117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fixed carbon</w:t>
            </w:r>
          </w:p>
        </w:tc>
        <w:tc>
          <w:tcPr>
            <w:tcW w:w="748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C</w:t>
            </w:r>
          </w:p>
        </w:tc>
        <w:tc>
          <w:tcPr>
            <w:tcW w:w="748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H</w:t>
            </w:r>
          </w:p>
        </w:tc>
        <w:tc>
          <w:tcPr>
            <w:tcW w:w="748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O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superscript"/>
                <w:lang w:val="en-US" w:eastAsia="zh-CN"/>
              </w:rPr>
              <w:t>*</w:t>
            </w:r>
          </w:p>
        </w:tc>
        <w:tc>
          <w:tcPr>
            <w:tcW w:w="748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N</w:t>
            </w:r>
          </w:p>
        </w:tc>
        <w:tc>
          <w:tcPr>
            <w:tcW w:w="75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AC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921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6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.74</w:t>
            </w:r>
          </w:p>
        </w:tc>
        <w:tc>
          <w:tcPr>
            <w:tcW w:w="921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6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.48</w:t>
            </w:r>
          </w:p>
        </w:tc>
        <w:tc>
          <w:tcPr>
            <w:tcW w:w="921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6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.38</w:t>
            </w:r>
          </w:p>
        </w:tc>
        <w:tc>
          <w:tcPr>
            <w:tcW w:w="117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80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.40</w:t>
            </w:r>
          </w:p>
        </w:tc>
        <w:tc>
          <w:tcPr>
            <w:tcW w:w="748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78.53</w:t>
            </w:r>
          </w:p>
        </w:tc>
        <w:tc>
          <w:tcPr>
            <w:tcW w:w="748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4.27</w:t>
            </w:r>
          </w:p>
        </w:tc>
        <w:tc>
          <w:tcPr>
            <w:tcW w:w="748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2.86</w:t>
            </w:r>
          </w:p>
        </w:tc>
        <w:tc>
          <w:tcPr>
            <w:tcW w:w="748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0.92</w:t>
            </w:r>
          </w:p>
        </w:tc>
        <w:tc>
          <w:tcPr>
            <w:tcW w:w="751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AC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2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6.57</w:t>
            </w:r>
          </w:p>
        </w:tc>
        <w:tc>
          <w:tcPr>
            <w:tcW w:w="92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7.92</w:t>
            </w:r>
          </w:p>
        </w:tc>
        <w:tc>
          <w:tcPr>
            <w:tcW w:w="92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10.93</w:t>
            </w:r>
          </w:p>
        </w:tc>
        <w:tc>
          <w:tcPr>
            <w:tcW w:w="11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74.88</w:t>
            </w:r>
          </w:p>
        </w:tc>
        <w:tc>
          <w:tcPr>
            <w:tcW w:w="7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72.93</w:t>
            </w:r>
          </w:p>
        </w:tc>
        <w:tc>
          <w:tcPr>
            <w:tcW w:w="7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5.01</w:t>
            </w:r>
          </w:p>
        </w:tc>
        <w:tc>
          <w:tcPr>
            <w:tcW w:w="7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1.98</w:t>
            </w:r>
          </w:p>
        </w:tc>
        <w:tc>
          <w:tcPr>
            <w:tcW w:w="7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1.03</w:t>
            </w:r>
          </w:p>
        </w:tc>
        <w:tc>
          <w:tcPr>
            <w:tcW w:w="75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AC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2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6.42</w:t>
            </w:r>
          </w:p>
        </w:tc>
        <w:tc>
          <w:tcPr>
            <w:tcW w:w="92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13.52</w:t>
            </w:r>
          </w:p>
        </w:tc>
        <w:tc>
          <w:tcPr>
            <w:tcW w:w="92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12.99</w:t>
            </w:r>
          </w:p>
        </w:tc>
        <w:tc>
          <w:tcPr>
            <w:tcW w:w="11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67.07</w:t>
            </w:r>
          </w:p>
        </w:tc>
        <w:tc>
          <w:tcPr>
            <w:tcW w:w="7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67.51</w:t>
            </w:r>
          </w:p>
        </w:tc>
        <w:tc>
          <w:tcPr>
            <w:tcW w:w="7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5.96</w:t>
            </w:r>
          </w:p>
        </w:tc>
        <w:tc>
          <w:tcPr>
            <w:tcW w:w="7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3.57</w:t>
            </w:r>
          </w:p>
        </w:tc>
        <w:tc>
          <w:tcPr>
            <w:tcW w:w="7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1.12</w:t>
            </w:r>
          </w:p>
        </w:tc>
        <w:tc>
          <w:tcPr>
            <w:tcW w:w="75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2.43</w:t>
            </w:r>
          </w:p>
        </w:tc>
      </w:tr>
    </w:tbl>
    <w:p>
      <w:pPr>
        <w:spacing w:line="480" w:lineRule="auto"/>
        <w:jc w:val="both"/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*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-calculated by difference</w:t>
      </w:r>
    </w:p>
    <w:p>
      <w:pPr>
        <w:rPr>
          <w:color w:val="auto"/>
        </w:rPr>
      </w:pPr>
      <w:bookmarkStart w:id="0" w:name="_GoBack"/>
      <w:bookmarkEnd w:id="0"/>
    </w:p>
    <w:p>
      <w:pPr>
        <w:jc w:val="center"/>
        <w:rPr>
          <w:color w:val="auto"/>
        </w:rPr>
      </w:pPr>
      <w:r>
        <w:rPr>
          <w:rFonts w:ascii="宋体" w:hAnsi="宋体"/>
          <w:color w:val="auto"/>
          <w:sz w:val="24"/>
          <w:szCs w:val="24"/>
        </w:rPr>
        <w:drawing>
          <wp:inline distT="0" distB="0" distL="0" distR="0">
            <wp:extent cx="4647565" cy="2251075"/>
            <wp:effectExtent l="0" t="0" r="0" b="15875"/>
            <wp:docPr id="30" name="图片 29" descr="图片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9" descr="图片4.tif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7565" cy="225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eastAsiaTheme="minorEastAsia"/>
          <w:color w:val="auto"/>
          <w:szCs w:val="21"/>
          <w:lang w:val="en-US" w:eastAsia="zh-CN"/>
        </w:rPr>
      </w:pPr>
      <w:r>
        <w:rPr>
          <w:rFonts w:ascii="Times New Roman" w:hAnsi="Times New Roman" w:cs="Times New Roman"/>
          <w:b/>
          <w:color w:val="auto"/>
        </w:rPr>
        <w:t>Figure S</w:t>
      </w:r>
      <w:r>
        <w:rPr>
          <w:rFonts w:hint="eastAsia" w:ascii="Times New Roman" w:hAnsi="Times New Roman" w:cs="Times New Roman"/>
          <w:b/>
          <w:color w:val="auto"/>
          <w:lang w:val="en-US" w:eastAsia="zh-CN"/>
        </w:rPr>
        <w:t>1</w:t>
      </w:r>
      <w:r>
        <w:rPr>
          <w:rFonts w:ascii="Times New Roman" w:hAnsi="Times New Roman" w:cs="Times New Roman"/>
          <w:b/>
          <w:color w:val="auto"/>
        </w:rPr>
        <w:t xml:space="preserve"> </w:t>
      </w:r>
      <w:r>
        <w:rPr>
          <w:rFonts w:ascii="Times New Roman" w:hAnsi="Times New Roman"/>
          <w:color w:val="auto"/>
          <w:szCs w:val="21"/>
        </w:rPr>
        <w:t>Flow chart of catalyst preparation</w:t>
      </w:r>
      <w:r>
        <w:rPr>
          <w:rFonts w:hint="eastAsia" w:ascii="Times New Roman" w:hAnsi="Times New Roman"/>
          <w:color w:val="auto"/>
          <w:szCs w:val="21"/>
          <w:lang w:val="en-US" w:eastAsia="zh-CN"/>
        </w:rPr>
        <w:t xml:space="preserve"> through solid-phase method</w:t>
      </w:r>
    </w:p>
    <w:p>
      <w:pPr>
        <w:jc w:val="center"/>
        <w:rPr>
          <w:rFonts w:ascii="Times New Roman" w:hAnsi="Times New Roman" w:cs="Times New Roman"/>
          <w:color w:val="auto"/>
        </w:rPr>
      </w:pPr>
    </w:p>
    <w:p>
      <w:pPr>
        <w:jc w:val="center"/>
        <w:rPr>
          <w:color w:val="auto"/>
        </w:rPr>
      </w:pPr>
      <w:r>
        <w:rPr>
          <w:rFonts w:ascii="宋体" w:hAnsi="宋体"/>
          <w:color w:val="auto"/>
          <w:szCs w:val="21"/>
        </w:rPr>
        <w:drawing>
          <wp:inline distT="0" distB="0" distL="0" distR="0">
            <wp:extent cx="4618990" cy="1897380"/>
            <wp:effectExtent l="0" t="0" r="10160" b="7620"/>
            <wp:docPr id="13" name="图片 12" descr="1234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12345.tif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8990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 w:val="0"/>
          <w:bCs/>
          <w:color w:val="auto"/>
          <w:lang w:val="en-US" w:eastAsia="zh-CN"/>
        </w:rPr>
      </w:pPr>
      <w:r>
        <w:rPr>
          <w:rFonts w:ascii="Times New Roman" w:hAnsi="Times New Roman" w:cs="Times New Roman"/>
          <w:b/>
          <w:bCs w:val="0"/>
          <w:color w:val="auto"/>
        </w:rPr>
        <w:t>Figure S</w:t>
      </w:r>
      <w:r>
        <w:rPr>
          <w:rFonts w:hint="eastAsia" w:ascii="Times New Roman" w:hAnsi="Times New Roman" w:cs="Times New Roman"/>
          <w:b/>
          <w:bCs w:val="0"/>
          <w:color w:val="auto"/>
          <w:lang w:val="en-US" w:eastAsia="zh-CN"/>
        </w:rPr>
        <w:t>2</w:t>
      </w:r>
      <w:r>
        <w:rPr>
          <w:rFonts w:ascii="Times New Roman" w:hAnsi="Times New Roman" w:cs="Times New Roman"/>
          <w:b w:val="0"/>
          <w:bCs/>
          <w:color w:val="auto"/>
        </w:rPr>
        <w:t xml:space="preserve"> </w:t>
      </w:r>
      <w:r>
        <w:rPr>
          <w:rFonts w:hint="eastAsia" w:ascii="Times New Roman" w:hAnsi="Times New Roman" w:cs="Times New Roman"/>
          <w:b w:val="0"/>
          <w:bCs/>
          <w:color w:val="auto"/>
          <w:lang w:val="en-US" w:eastAsia="zh-CN"/>
        </w:rPr>
        <w:t>Schematic diagram of experimental setup for testing catalyst performance</w:t>
      </w:r>
    </w:p>
    <w:p>
      <w:pPr>
        <w:jc w:val="center"/>
        <w:rPr>
          <w:rFonts w:hint="eastAsia" w:ascii="Times New Roman" w:hAnsi="Times New Roman" w:cs="Times New Roman"/>
          <w:b/>
          <w:color w:val="auto"/>
          <w:lang w:val="en-US" w:eastAsia="zh-CN"/>
        </w:rPr>
      </w:pPr>
    </w:p>
    <w:p>
      <w:pPr>
        <w:spacing w:line="360" w:lineRule="auto"/>
        <w:jc w:val="center"/>
        <w:rPr>
          <w:rFonts w:ascii="宋体" w:hAnsi="宋体"/>
          <w:color w:val="auto"/>
          <w:sz w:val="24"/>
          <w:szCs w:val="24"/>
        </w:rPr>
      </w:pPr>
      <w:r>
        <w:rPr>
          <w:rFonts w:ascii="宋体" w:hAnsi="宋体"/>
          <w:color w:val="auto"/>
          <w:sz w:val="24"/>
          <w:szCs w:val="24"/>
        </w:rPr>
        <w:drawing>
          <wp:inline distT="0" distB="0" distL="0" distR="0">
            <wp:extent cx="4312920" cy="1877695"/>
            <wp:effectExtent l="0" t="0" r="11430" b="8255"/>
            <wp:docPr id="57" name="图片 56" descr="图片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6" descr="图片8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2920" cy="187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Figure S</w:t>
      </w:r>
      <w:r>
        <w:rPr>
          <w:rFonts w:hint="eastAsia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3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 Nitrogen adsorption-desorption isotherms and pore size of AC</w:t>
      </w:r>
    </w:p>
    <w:p>
      <w:pPr>
        <w:spacing w:line="360" w:lineRule="auto"/>
        <w:jc w:val="center"/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</w:pPr>
    </w:p>
    <w:p>
      <w:pPr>
        <w:spacing w:line="240" w:lineRule="auto"/>
        <w:jc w:val="center"/>
        <w:rPr>
          <w:rFonts w:ascii="Times New Roman" w:hAnsi="Times New Roman" w:cs="Times New Roman"/>
          <w:szCs w:val="21"/>
        </w:rPr>
      </w:pPr>
      <w:r>
        <w:drawing>
          <wp:inline distT="0" distB="0" distL="0" distR="0">
            <wp:extent cx="4274185" cy="2791460"/>
            <wp:effectExtent l="0" t="0" r="12065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74185" cy="279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center"/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</w:pPr>
      <w:r>
        <w:rPr>
          <w:rFonts w:ascii="Times New Roman" w:hAnsi="Times New Roman" w:cs="Times New Roman"/>
          <w:b/>
          <w:bCs/>
          <w:szCs w:val="21"/>
        </w:rPr>
        <w:t>Figure S4</w:t>
      </w:r>
      <w:r>
        <w:rPr>
          <w:rFonts w:hint="eastAsia" w:ascii="Times New Roman" w:hAnsi="Times New Roman" w:cs="Times New Roman"/>
          <w:szCs w:val="21"/>
        </w:rPr>
        <w:t xml:space="preserve"> High-resolution XPS spectra of Ni/AC</w:t>
      </w:r>
      <w:r>
        <w:rPr>
          <w:rFonts w:ascii="Times New Roman" w:hAnsi="Times New Roman" w:cs="Times New Roman"/>
          <w:szCs w:val="21"/>
          <w:vertAlign w:val="subscript"/>
        </w:rPr>
        <w:t xml:space="preserve">2 </w:t>
      </w:r>
      <w:r>
        <w:rPr>
          <w:rFonts w:ascii="Times New Roman" w:hAnsi="Times New Roman" w:cs="Times New Roman"/>
          <w:szCs w:val="21"/>
        </w:rPr>
        <w:t xml:space="preserve">and </w:t>
      </w:r>
      <w:r>
        <w:rPr>
          <w:rFonts w:hint="eastAsia" w:ascii="Times New Roman" w:hAnsi="Times New Roman" w:cs="Times New Roman"/>
          <w:szCs w:val="21"/>
        </w:rPr>
        <w:t>Ni/AC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hint="eastAsia" w:ascii="Times New Roman" w:hAnsi="Times New Roman" w:cs="Times New Roman"/>
          <w:szCs w:val="21"/>
        </w:rPr>
        <w:t>: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a) Ni/AC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 xml:space="preserve"> and </w:t>
      </w:r>
      <w:r>
        <w:rPr>
          <w:rFonts w:hint="eastAsia" w:ascii="Times New Roman" w:hAnsi="Times New Roman" w:cs="Times New Roman"/>
          <w:szCs w:val="21"/>
        </w:rPr>
        <w:t>Ni/AC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hint="eastAsia" w:ascii="Times New Roman" w:hAnsi="Times New Roman" w:cs="Times New Roman"/>
          <w:szCs w:val="21"/>
          <w:vertAlign w:val="baseline"/>
          <w:lang w:val="en-US" w:eastAsia="zh-CN"/>
        </w:rPr>
        <w:t>;</w:t>
      </w:r>
      <w:r>
        <w:rPr>
          <w:rFonts w:hint="eastAsia" w:ascii="Times New Roman" w:hAnsi="Times New Roman" w:cs="Times New Roman"/>
          <w:szCs w:val="21"/>
          <w:vertAlign w:val="baseline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b) C 1s</w:t>
      </w:r>
      <w:r>
        <w:rPr>
          <w:rFonts w:hint="eastAsia" w:ascii="Times New Roman" w:hAnsi="Times New Roman" w:cs="Times New Roman"/>
          <w:szCs w:val="21"/>
          <w:lang w:val="en-US" w:eastAsia="zh-CN"/>
        </w:rPr>
        <w:t>;</w:t>
      </w:r>
      <w:r>
        <w:rPr>
          <w:rFonts w:hint="eastAsia" w:ascii="Times New Roman" w:hAnsi="Times New Roman" w:cs="Times New Roman"/>
          <w:szCs w:val="21"/>
        </w:rPr>
        <w:t xml:space="preserve"> c) Ni 2p</w:t>
      </w:r>
      <w:r>
        <w:rPr>
          <w:rFonts w:hint="eastAsia" w:ascii="Times New Roman" w:hAnsi="Times New Roman" w:cs="Times New Roman"/>
          <w:szCs w:val="21"/>
          <w:vertAlign w:val="subscript"/>
        </w:rPr>
        <w:t>3/2</w:t>
      </w:r>
      <w:r>
        <w:rPr>
          <w:rFonts w:hint="eastAsia" w:ascii="Times New Roman" w:hAnsi="Times New Roman" w:cs="Times New Roman"/>
          <w:szCs w:val="21"/>
          <w:vertAlign w:val="baseline"/>
          <w:lang w:val="en-US" w:eastAsia="zh-CN"/>
        </w:rPr>
        <w:t>;</w:t>
      </w:r>
      <w:r>
        <w:rPr>
          <w:rFonts w:hint="eastAsia" w:ascii="Times New Roman" w:hAnsi="Times New Roman" w:cs="Times New Roman"/>
          <w:szCs w:val="21"/>
        </w:rPr>
        <w:t xml:space="preserve"> d) O 1s</w:t>
      </w:r>
      <w:r>
        <w:rPr>
          <w:rFonts w:ascii="Times New Roman" w:hAnsi="Times New Roman" w:cs="Times New Roman"/>
          <w:szCs w:val="21"/>
        </w:rPr>
        <w:t xml:space="preserve"> e) Cl 2p</w:t>
      </w:r>
      <w:r>
        <w:rPr>
          <w:rFonts w:ascii="Times New Roman" w:hAnsi="Times New Roman" w:cs="Times New Roman"/>
          <w:szCs w:val="21"/>
          <w:vertAlign w:val="subscript"/>
        </w:rPr>
        <w:t>3/2</w:t>
      </w:r>
    </w:p>
    <w:p>
      <w:pPr>
        <w:jc w:val="center"/>
        <w:rPr>
          <w:rFonts w:hint="eastAsia" w:ascii="Times New Roman" w:hAnsi="Times New Roman" w:cs="Times New Roman"/>
          <w:b/>
          <w:color w:val="auto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  <w:szCs w:val="24"/>
          <w:lang w:eastAsia="zh-CN"/>
        </w:rPr>
        <w:drawing>
          <wp:inline distT="0" distB="0" distL="114300" distR="114300">
            <wp:extent cx="4276725" cy="1971040"/>
            <wp:effectExtent l="0" t="0" r="9525" b="10160"/>
            <wp:docPr id="2" name="图片 2" descr="3f22dbadd27a5ec0fb217611cf31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f22dbadd27a5ec0fb217611cf3188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197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</w:pPr>
      <w:r>
        <w:rPr>
          <w:rFonts w:ascii="Times New Roman" w:hAnsi="Times New Roman" w:cs="Times New Roman"/>
          <w:b/>
          <w:bCs/>
          <w:color w:val="auto"/>
          <w:szCs w:val="21"/>
        </w:rPr>
        <w:t xml:space="preserve">Figure </w:t>
      </w:r>
      <w:r>
        <w:rPr>
          <w:rFonts w:hint="eastAsia" w:ascii="Times New Roman" w:hAnsi="Times New Roman" w:cs="Times New Roman"/>
          <w:b/>
          <w:bCs/>
          <w:color w:val="auto"/>
          <w:szCs w:val="21"/>
          <w:lang w:val="en-US" w:eastAsia="zh-CN"/>
        </w:rPr>
        <w:t>S5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 Nitrogen adsorption-desorption isotherms and pore size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 of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 xml:space="preserve"> the Ni/AC catalysts</w:t>
      </w:r>
    </w:p>
    <w:p>
      <w:pPr>
        <w:spacing w:line="360" w:lineRule="auto"/>
        <w:jc w:val="center"/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</w:pPr>
    </w:p>
    <w:p>
      <w:pPr>
        <w:spacing w:line="240" w:lineRule="auto"/>
        <w:jc w:val="center"/>
        <w:rPr>
          <w:rFonts w:ascii="Times New Roman" w:hAnsi="Times New Roman"/>
          <w:szCs w:val="21"/>
        </w:rPr>
      </w:pPr>
      <w:r>
        <w:drawing>
          <wp:inline distT="0" distB="0" distL="0" distR="0">
            <wp:extent cx="4180840" cy="1795145"/>
            <wp:effectExtent l="0" t="0" r="10160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80840" cy="179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center"/>
        <w:rPr>
          <w:rFonts w:ascii="Times New Roman" w:hAnsi="Times New Roman" w:eastAsia="黑体" w:cs="Times New Roman"/>
          <w:szCs w:val="21"/>
        </w:rPr>
      </w:pPr>
      <w:r>
        <w:rPr>
          <w:rFonts w:ascii="Times New Roman" w:hAnsi="Times New Roman" w:eastAsia="黑体" w:cs="Times New Roman"/>
          <w:b/>
          <w:bCs/>
          <w:szCs w:val="21"/>
        </w:rPr>
        <w:t>Figure S6</w:t>
      </w:r>
      <w:r>
        <w:rPr>
          <w:rFonts w:hint="eastAsia" w:ascii="Times New Roman" w:hAnsi="Times New Roman" w:eastAsia="黑体" w:cs="Times New Roman"/>
          <w:b/>
          <w:bCs/>
          <w:szCs w:val="21"/>
        </w:rPr>
        <w:t xml:space="preserve"> </w:t>
      </w:r>
      <w:r>
        <w:rPr>
          <w:rFonts w:ascii="Times New Roman" w:hAnsi="Times New Roman" w:eastAsia="黑体" w:cs="Times New Roman"/>
          <w:szCs w:val="21"/>
        </w:rPr>
        <w:t>H</w:t>
      </w:r>
      <w:r>
        <w:rPr>
          <w:rFonts w:ascii="Times New Roman" w:hAnsi="Times New Roman" w:eastAsia="黑体" w:cs="Times New Roman"/>
          <w:szCs w:val="21"/>
          <w:vertAlign w:val="subscript"/>
        </w:rPr>
        <w:t>2</w:t>
      </w:r>
      <w:r>
        <w:rPr>
          <w:rFonts w:ascii="Times New Roman" w:hAnsi="Times New Roman" w:eastAsia="黑体" w:cs="Times New Roman"/>
          <w:szCs w:val="21"/>
        </w:rPr>
        <w:t xml:space="preserve"> selectivity</w:t>
      </w:r>
      <w:r>
        <w:rPr>
          <w:rFonts w:hint="eastAsia" w:ascii="Times New Roman" w:hAnsi="Times New Roman" w:eastAsia="黑体" w:cs="Times New Roman"/>
          <w:szCs w:val="21"/>
        </w:rPr>
        <w:t xml:space="preserve"> </w:t>
      </w:r>
      <w:r>
        <w:rPr>
          <w:rFonts w:ascii="Times New Roman" w:hAnsi="Times New Roman" w:eastAsia="黑体" w:cs="Times New Roman"/>
          <w:szCs w:val="21"/>
        </w:rPr>
        <w:t xml:space="preserve">and carbon balance curves </w:t>
      </w:r>
      <w:r>
        <w:rPr>
          <w:rFonts w:hint="eastAsia" w:ascii="Times New Roman" w:hAnsi="Times New Roman" w:eastAsia="黑体" w:cs="Times New Roman"/>
          <w:szCs w:val="21"/>
        </w:rPr>
        <w:t>of Ni/AC on DRM at different temperatures</w:t>
      </w:r>
      <w:r>
        <w:rPr>
          <w:rFonts w:hint="eastAsia" w:ascii="Times New Roman" w:hAnsi="Times New Roman" w:eastAsia="黑体" w:cs="Times New Roman"/>
          <w:szCs w:val="21"/>
          <w:lang w:val="en-US" w:eastAsia="zh-CN"/>
        </w:rPr>
        <w:t>:</w:t>
      </w:r>
      <w:r>
        <w:rPr>
          <w:rFonts w:ascii="Times New Roman" w:hAnsi="Times New Roman" w:eastAsia="黑体" w:cs="Times New Roman"/>
          <w:szCs w:val="21"/>
        </w:rPr>
        <w:t xml:space="preserve"> </w:t>
      </w:r>
    </w:p>
    <w:p>
      <w:pPr>
        <w:spacing w:line="240" w:lineRule="auto"/>
        <w:jc w:val="center"/>
        <w:rPr>
          <w:rFonts w:ascii="Times New Roman" w:hAnsi="Times New Roman" w:eastAsia="黑体" w:cs="Times New Roman"/>
          <w:szCs w:val="21"/>
        </w:rPr>
      </w:pPr>
      <w:r>
        <w:rPr>
          <w:rFonts w:ascii="Times New Roman" w:hAnsi="Times New Roman" w:eastAsia="黑体" w:cs="Times New Roman"/>
          <w:szCs w:val="21"/>
        </w:rPr>
        <w:t>a)</w:t>
      </w:r>
      <w:r>
        <w:rPr>
          <w:rFonts w:hint="eastAsia" w:ascii="Times New Roman" w:hAnsi="Times New Roman" w:eastAsia="黑体" w:cs="Times New Roman"/>
          <w:szCs w:val="21"/>
          <w:lang w:val="en-US" w:eastAsia="zh-CN"/>
        </w:rPr>
        <w:t xml:space="preserve"> </w:t>
      </w:r>
      <w:r>
        <w:rPr>
          <w:rFonts w:ascii="Times New Roman" w:hAnsi="Times New Roman" w:eastAsia="黑体" w:cs="Times New Roman"/>
          <w:szCs w:val="21"/>
        </w:rPr>
        <w:t>H</w:t>
      </w:r>
      <w:r>
        <w:rPr>
          <w:rFonts w:ascii="Times New Roman" w:hAnsi="Times New Roman" w:eastAsia="黑体" w:cs="Times New Roman"/>
          <w:szCs w:val="21"/>
          <w:vertAlign w:val="subscript"/>
        </w:rPr>
        <w:t>2</w:t>
      </w:r>
      <w:r>
        <w:rPr>
          <w:rFonts w:ascii="Times New Roman" w:hAnsi="Times New Roman" w:eastAsia="黑体" w:cs="Times New Roman"/>
          <w:szCs w:val="21"/>
        </w:rPr>
        <w:t xml:space="preserve"> selectivity</w:t>
      </w:r>
      <w:r>
        <w:rPr>
          <w:rFonts w:hint="eastAsia" w:ascii="Times New Roman" w:hAnsi="Times New Roman" w:eastAsia="黑体" w:cs="Times New Roman"/>
          <w:szCs w:val="21"/>
          <w:lang w:val="en-US" w:eastAsia="zh-CN"/>
        </w:rPr>
        <w:t>; b)</w:t>
      </w:r>
      <w:r>
        <w:rPr>
          <w:rFonts w:ascii="Times New Roman" w:hAnsi="Times New Roman" w:eastAsia="黑体" w:cs="Times New Roman"/>
          <w:szCs w:val="21"/>
        </w:rPr>
        <w:t xml:space="preserve"> carbon balance</w:t>
      </w:r>
    </w:p>
    <w:p>
      <w:pPr>
        <w:spacing w:line="240" w:lineRule="auto"/>
        <w:jc w:val="center"/>
        <w:rPr>
          <w:rFonts w:ascii="Times New Roman" w:hAnsi="Times New Roman" w:eastAsia="黑体" w:cs="Times New Roman"/>
          <w:szCs w:val="21"/>
        </w:rPr>
      </w:pPr>
    </w:p>
    <w:p>
      <w:pPr>
        <w:spacing w:line="240" w:lineRule="auto"/>
        <w:jc w:val="center"/>
        <w:rPr>
          <w:rFonts w:ascii="Times New Roman" w:hAnsi="Times New Roman" w:cs="Times New Roman"/>
          <w:szCs w:val="21"/>
        </w:rPr>
      </w:pPr>
      <w:r>
        <w:drawing>
          <wp:inline distT="0" distB="0" distL="0" distR="0">
            <wp:extent cx="4247515" cy="1788795"/>
            <wp:effectExtent l="0" t="0" r="635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47515" cy="178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center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Figure S7 </w:t>
      </w:r>
      <w:r>
        <w:rPr>
          <w:rFonts w:ascii="Times New Roman" w:hAnsi="Times New Roman" w:cs="Times New Roman"/>
          <w:szCs w:val="21"/>
        </w:rPr>
        <w:t>H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 xml:space="preserve"> selectivity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and carbon balance curves </w:t>
      </w:r>
      <w:r>
        <w:rPr>
          <w:rFonts w:hint="eastAsia" w:ascii="Times New Roman" w:hAnsi="Times New Roman" w:cs="Times New Roman"/>
          <w:szCs w:val="21"/>
        </w:rPr>
        <w:t xml:space="preserve">of Ni/AC at 900 </w:t>
      </w:r>
      <w:r>
        <w:rPr>
          <w:rFonts w:ascii="Times New Roman" w:hAnsi="Times New Roman" w:cs="Times New Roman"/>
          <w:szCs w:val="21"/>
        </w:rPr>
        <w:t>°C</w:t>
      </w:r>
      <w:r>
        <w:rPr>
          <w:rFonts w:hint="eastAsia" w:ascii="Times New Roman" w:hAnsi="Times New Roman" w:cs="Times New Roman"/>
          <w:szCs w:val="21"/>
          <w:lang w:val="en-US" w:eastAsia="zh-CN"/>
        </w:rPr>
        <w:t>:</w:t>
      </w:r>
    </w:p>
    <w:p>
      <w:pPr>
        <w:spacing w:line="240" w:lineRule="auto"/>
        <w:jc w:val="center"/>
        <w:rPr>
          <w:rFonts w:ascii="Times New Roman" w:hAnsi="Times New Roman" w:eastAsia="黑体" w:cs="Times New Roman"/>
          <w:szCs w:val="21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a)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Cs w:val="21"/>
        </w:rPr>
        <w:t>H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 xml:space="preserve"> selectivity</w:t>
      </w:r>
      <w:r>
        <w:rPr>
          <w:rFonts w:hint="eastAsia" w:ascii="Times New Roman" w:hAnsi="Times New Roman" w:cs="Times New Roman"/>
          <w:szCs w:val="21"/>
          <w:lang w:val="en-US" w:eastAsia="zh-CN"/>
        </w:rPr>
        <w:t>; b)</w:t>
      </w:r>
      <w:r>
        <w:rPr>
          <w:rFonts w:ascii="Times New Roman" w:hAnsi="Times New Roman" w:eastAsia="黑体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carbon balance</w:t>
      </w:r>
    </w:p>
    <w:sectPr>
      <w:pgSz w:w="11906" w:h="16838"/>
      <w:pgMar w:top="1440" w:right="1797" w:bottom="1440" w:left="1797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arbon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9v9wrtvrxwt99qe02wrxvt0wxz5fr02p509w&quot;&gt;My EndNote Library&lt;record-ids&gt;&lt;item&gt;2&lt;/item&gt;&lt;item&gt;3&lt;/item&gt;&lt;item&gt;4&lt;/item&gt;&lt;/record-ids&gt;&lt;/item&gt;&lt;/Libraries&gt;"/>
  </w:docVars>
  <w:rsids>
    <w:rsidRoot w:val="002D1E54"/>
    <w:rsid w:val="0001418F"/>
    <w:rsid w:val="00036F7B"/>
    <w:rsid w:val="00065A01"/>
    <w:rsid w:val="00077166"/>
    <w:rsid w:val="00086894"/>
    <w:rsid w:val="00086BB0"/>
    <w:rsid w:val="00090B9A"/>
    <w:rsid w:val="000A2983"/>
    <w:rsid w:val="000B6EAD"/>
    <w:rsid w:val="000E2A6A"/>
    <w:rsid w:val="00112D82"/>
    <w:rsid w:val="00141CA2"/>
    <w:rsid w:val="00142B1E"/>
    <w:rsid w:val="00152320"/>
    <w:rsid w:val="001F079C"/>
    <w:rsid w:val="001F676C"/>
    <w:rsid w:val="00201427"/>
    <w:rsid w:val="00201907"/>
    <w:rsid w:val="00215DA8"/>
    <w:rsid w:val="00235D42"/>
    <w:rsid w:val="00264DF1"/>
    <w:rsid w:val="00271F67"/>
    <w:rsid w:val="00294A4D"/>
    <w:rsid w:val="0029703B"/>
    <w:rsid w:val="002B27C3"/>
    <w:rsid w:val="002C2A8E"/>
    <w:rsid w:val="002C5800"/>
    <w:rsid w:val="002D1E54"/>
    <w:rsid w:val="002E172E"/>
    <w:rsid w:val="002E58E8"/>
    <w:rsid w:val="00317524"/>
    <w:rsid w:val="00327847"/>
    <w:rsid w:val="003316AF"/>
    <w:rsid w:val="00341396"/>
    <w:rsid w:val="00342D7E"/>
    <w:rsid w:val="0034608F"/>
    <w:rsid w:val="0037623E"/>
    <w:rsid w:val="00377A40"/>
    <w:rsid w:val="00385EFE"/>
    <w:rsid w:val="00386E1A"/>
    <w:rsid w:val="003A08CE"/>
    <w:rsid w:val="003C4BE5"/>
    <w:rsid w:val="003D24B4"/>
    <w:rsid w:val="00414988"/>
    <w:rsid w:val="00415965"/>
    <w:rsid w:val="0042127E"/>
    <w:rsid w:val="00427DE4"/>
    <w:rsid w:val="0043746F"/>
    <w:rsid w:val="00460F33"/>
    <w:rsid w:val="00487972"/>
    <w:rsid w:val="004A4516"/>
    <w:rsid w:val="004B2623"/>
    <w:rsid w:val="004C4476"/>
    <w:rsid w:val="004D46FB"/>
    <w:rsid w:val="004E4480"/>
    <w:rsid w:val="00516CED"/>
    <w:rsid w:val="00524BDC"/>
    <w:rsid w:val="00540194"/>
    <w:rsid w:val="00543D7A"/>
    <w:rsid w:val="00577192"/>
    <w:rsid w:val="00591FAF"/>
    <w:rsid w:val="005A4471"/>
    <w:rsid w:val="0061058C"/>
    <w:rsid w:val="006126DC"/>
    <w:rsid w:val="006330EA"/>
    <w:rsid w:val="006358BE"/>
    <w:rsid w:val="00645838"/>
    <w:rsid w:val="0065097C"/>
    <w:rsid w:val="00667235"/>
    <w:rsid w:val="0067649E"/>
    <w:rsid w:val="006D6EFB"/>
    <w:rsid w:val="00714DA3"/>
    <w:rsid w:val="0072258B"/>
    <w:rsid w:val="00722A96"/>
    <w:rsid w:val="00732B00"/>
    <w:rsid w:val="0074097B"/>
    <w:rsid w:val="00743EA3"/>
    <w:rsid w:val="00752A1F"/>
    <w:rsid w:val="00766C09"/>
    <w:rsid w:val="00786E5B"/>
    <w:rsid w:val="007A0DF4"/>
    <w:rsid w:val="007A4EA9"/>
    <w:rsid w:val="007B3A3D"/>
    <w:rsid w:val="007D01D6"/>
    <w:rsid w:val="007D5FDA"/>
    <w:rsid w:val="007D699F"/>
    <w:rsid w:val="007F6B27"/>
    <w:rsid w:val="00807B04"/>
    <w:rsid w:val="00841CBD"/>
    <w:rsid w:val="00881C77"/>
    <w:rsid w:val="00887270"/>
    <w:rsid w:val="008961AC"/>
    <w:rsid w:val="008E40D9"/>
    <w:rsid w:val="008F6B09"/>
    <w:rsid w:val="00921B4A"/>
    <w:rsid w:val="00925B27"/>
    <w:rsid w:val="00947EEB"/>
    <w:rsid w:val="00961AF4"/>
    <w:rsid w:val="00961DDE"/>
    <w:rsid w:val="00980E75"/>
    <w:rsid w:val="00983824"/>
    <w:rsid w:val="009A74C3"/>
    <w:rsid w:val="009C253C"/>
    <w:rsid w:val="009D3557"/>
    <w:rsid w:val="00A01F0A"/>
    <w:rsid w:val="00A36828"/>
    <w:rsid w:val="00A4373F"/>
    <w:rsid w:val="00A51652"/>
    <w:rsid w:val="00A925E8"/>
    <w:rsid w:val="00AB5821"/>
    <w:rsid w:val="00AC3727"/>
    <w:rsid w:val="00AC37FF"/>
    <w:rsid w:val="00AE1936"/>
    <w:rsid w:val="00AF6BC1"/>
    <w:rsid w:val="00B07D92"/>
    <w:rsid w:val="00B15269"/>
    <w:rsid w:val="00B44532"/>
    <w:rsid w:val="00B73E85"/>
    <w:rsid w:val="00B86376"/>
    <w:rsid w:val="00B928C1"/>
    <w:rsid w:val="00BB59CE"/>
    <w:rsid w:val="00BC771F"/>
    <w:rsid w:val="00BE2331"/>
    <w:rsid w:val="00C34B96"/>
    <w:rsid w:val="00C35ADF"/>
    <w:rsid w:val="00C641DB"/>
    <w:rsid w:val="00C802E3"/>
    <w:rsid w:val="00CD20EB"/>
    <w:rsid w:val="00CD232D"/>
    <w:rsid w:val="00CD2DC6"/>
    <w:rsid w:val="00CE20A0"/>
    <w:rsid w:val="00CF524F"/>
    <w:rsid w:val="00D10DDC"/>
    <w:rsid w:val="00D145DE"/>
    <w:rsid w:val="00D1781A"/>
    <w:rsid w:val="00D74BE6"/>
    <w:rsid w:val="00D74F99"/>
    <w:rsid w:val="00D94AAE"/>
    <w:rsid w:val="00DA6B8C"/>
    <w:rsid w:val="00DC462E"/>
    <w:rsid w:val="00DD198E"/>
    <w:rsid w:val="00DD33B7"/>
    <w:rsid w:val="00DD688D"/>
    <w:rsid w:val="00E050CF"/>
    <w:rsid w:val="00E0715D"/>
    <w:rsid w:val="00E35F56"/>
    <w:rsid w:val="00E51642"/>
    <w:rsid w:val="00E630CC"/>
    <w:rsid w:val="00E82CB8"/>
    <w:rsid w:val="00E93CF1"/>
    <w:rsid w:val="00E959DF"/>
    <w:rsid w:val="00EC788C"/>
    <w:rsid w:val="00EE58D0"/>
    <w:rsid w:val="00F01E4F"/>
    <w:rsid w:val="00F03876"/>
    <w:rsid w:val="00F11319"/>
    <w:rsid w:val="00F23BD0"/>
    <w:rsid w:val="00F4209F"/>
    <w:rsid w:val="00F63CC5"/>
    <w:rsid w:val="00F82A91"/>
    <w:rsid w:val="00F83B69"/>
    <w:rsid w:val="00F85007"/>
    <w:rsid w:val="00F87091"/>
    <w:rsid w:val="00F92C38"/>
    <w:rsid w:val="00FF3462"/>
    <w:rsid w:val="01F02857"/>
    <w:rsid w:val="037B4990"/>
    <w:rsid w:val="077902A3"/>
    <w:rsid w:val="07F04267"/>
    <w:rsid w:val="092277B2"/>
    <w:rsid w:val="09F06F85"/>
    <w:rsid w:val="11C779C9"/>
    <w:rsid w:val="1E980801"/>
    <w:rsid w:val="1EAA7237"/>
    <w:rsid w:val="23CE5B82"/>
    <w:rsid w:val="24656AE7"/>
    <w:rsid w:val="2C5D55F1"/>
    <w:rsid w:val="2D966897"/>
    <w:rsid w:val="2F301695"/>
    <w:rsid w:val="308E7B43"/>
    <w:rsid w:val="33FE373D"/>
    <w:rsid w:val="39E16D69"/>
    <w:rsid w:val="45DE6453"/>
    <w:rsid w:val="4B5E6BAF"/>
    <w:rsid w:val="4ED75D8E"/>
    <w:rsid w:val="4F4C7E18"/>
    <w:rsid w:val="52DD694C"/>
    <w:rsid w:val="57C0269E"/>
    <w:rsid w:val="588A4DA7"/>
    <w:rsid w:val="5BA82968"/>
    <w:rsid w:val="604F369A"/>
    <w:rsid w:val="62DF48C0"/>
    <w:rsid w:val="63D26D9B"/>
    <w:rsid w:val="720C1F22"/>
    <w:rsid w:val="733E70A1"/>
    <w:rsid w:val="75B51B9A"/>
    <w:rsid w:val="77464895"/>
    <w:rsid w:val="7E656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semiHidden/>
    <w:unhideWhenUsed/>
    <w:qFormat/>
    <w:uiPriority w:val="99"/>
    <w:pPr>
      <w:snapToGrid w:val="0"/>
      <w:jc w:val="left"/>
    </w:pPr>
    <w:rPr>
      <w:sz w:val="18"/>
    </w:rPr>
  </w:style>
  <w:style w:type="paragraph" w:styleId="6">
    <w:name w:val="Title"/>
    <w:basedOn w:val="1"/>
    <w:next w:val="1"/>
    <w:link w:val="16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footnote reference"/>
    <w:basedOn w:val="9"/>
    <w:semiHidden/>
    <w:unhideWhenUsed/>
    <w:qFormat/>
    <w:uiPriority w:val="99"/>
    <w:rPr>
      <w:vertAlign w:val="superscript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9"/>
    <w:link w:val="2"/>
    <w:semiHidden/>
    <w:qFormat/>
    <w:uiPriority w:val="99"/>
    <w:rPr>
      <w:sz w:val="18"/>
      <w:szCs w:val="18"/>
    </w:rPr>
  </w:style>
  <w:style w:type="character" w:customStyle="1" w:styleId="14">
    <w:name w:val="页眉 Char"/>
    <w:basedOn w:val="9"/>
    <w:link w:val="4"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3"/>
    <w:qFormat/>
    <w:uiPriority w:val="99"/>
    <w:rPr>
      <w:sz w:val="18"/>
      <w:szCs w:val="18"/>
    </w:rPr>
  </w:style>
  <w:style w:type="character" w:customStyle="1" w:styleId="16">
    <w:name w:val="标题 Char"/>
    <w:basedOn w:val="9"/>
    <w:link w:val="6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17">
    <w:name w:val="EndNote Bibliography Title"/>
    <w:basedOn w:val="1"/>
    <w:link w:val="18"/>
    <w:qFormat/>
    <w:uiPriority w:val="0"/>
    <w:pPr>
      <w:jc w:val="center"/>
    </w:pPr>
    <w:rPr>
      <w:rFonts w:ascii="Calibri" w:hAnsi="Calibri" w:cs="Calibri"/>
      <w:sz w:val="20"/>
    </w:rPr>
  </w:style>
  <w:style w:type="character" w:customStyle="1" w:styleId="18">
    <w:name w:val="EndNote Bibliography Title Char"/>
    <w:basedOn w:val="9"/>
    <w:link w:val="17"/>
    <w:qFormat/>
    <w:uiPriority w:val="0"/>
    <w:rPr>
      <w:rFonts w:ascii="Calibri" w:hAnsi="Calibri" w:cs="Calibri"/>
      <w:sz w:val="20"/>
    </w:rPr>
  </w:style>
  <w:style w:type="paragraph" w:customStyle="1" w:styleId="19">
    <w:name w:val="EndNote Bibliography"/>
    <w:basedOn w:val="1"/>
    <w:link w:val="20"/>
    <w:qFormat/>
    <w:uiPriority w:val="0"/>
    <w:rPr>
      <w:rFonts w:ascii="Calibri" w:hAnsi="Calibri" w:cs="Calibri"/>
      <w:sz w:val="20"/>
    </w:rPr>
  </w:style>
  <w:style w:type="character" w:customStyle="1" w:styleId="20">
    <w:name w:val="EndNote Bibliography Char"/>
    <w:basedOn w:val="9"/>
    <w:link w:val="19"/>
    <w:qFormat/>
    <w:uiPriority w:val="0"/>
    <w:rPr>
      <w:rFonts w:ascii="Calibri" w:hAnsi="Calibri" w:cs="Calibri"/>
      <w:sz w:val="20"/>
    </w:rPr>
  </w:style>
  <w:style w:type="character" w:customStyle="1" w:styleId="21">
    <w:name w:val="src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204</Words>
  <Characters>1118</Characters>
  <Lines>45</Lines>
  <Paragraphs>12</Paragraphs>
  <TotalTime>0</TotalTime>
  <ScaleCrop>false</ScaleCrop>
  <LinksUpToDate>false</LinksUpToDate>
  <CharactersWithSpaces>1270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2019-07-01T01:51:00Z</dcterms:created>
  <dc:creator>dell</dc:creator>
  <cp:lastModifiedBy>Administrator</cp:lastModifiedBy>
  <cp:lastPrinted>2020-04-17T00:46:00Z</cp:lastPrinted>
  <dcterms:modified xsi:type="dcterms:W3CDTF">2021-06-25T00:50:56Z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1A63E378FE4847B39486C8718AB427DD</vt:lpwstr>
  </property>
</Properties>
</file>