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80EE7" w14:textId="77777777" w:rsidR="001D7BB7" w:rsidRDefault="001D7BB7" w:rsidP="001D7BB7">
      <w:pPr>
        <w:spacing w:line="480" w:lineRule="auto"/>
        <w:jc w:val="both"/>
      </w:pPr>
      <w:r>
        <w:rPr>
          <w:rFonts w:ascii="Times New Roman" w:eastAsia="Times New Roman" w:hAnsi="Times New Roman" w:cs="Times New Roman"/>
          <w:b/>
        </w:rPr>
        <w:t xml:space="preserve">Table 1. </w:t>
      </w:r>
      <w:r>
        <w:rPr>
          <w:rFonts w:ascii="Times New Roman" w:eastAsia="Times New Roman" w:hAnsi="Times New Roman" w:cs="Times New Roman"/>
        </w:rPr>
        <w:t xml:space="preserve">Characteristics of the local Biological Oxygen Demand (BOD) data, including the corresponding departments where the studies were carried out, used to downscale BOD estimates provided by the DynQual 1.0 model for the province of Tucumán (Argentina). </w:t>
      </w:r>
    </w:p>
    <w:p w14:paraId="5610BD1C" w14:textId="77777777" w:rsidR="001D7BB7" w:rsidRDefault="001D7BB7" w:rsidP="001D7BB7">
      <w:pPr>
        <w:jc w:val="both"/>
      </w:pPr>
    </w:p>
    <w:tbl>
      <w:tblPr>
        <w:tblW w:w="14570" w:type="dxa"/>
        <w:tblInd w:w="-5" w:type="dxa"/>
        <w:tblLayout w:type="fixed"/>
        <w:tblLook w:val="0000" w:firstRow="0" w:lastRow="0" w:firstColumn="0" w:lastColumn="0" w:noHBand="0" w:noVBand="0"/>
      </w:tblPr>
      <w:tblGrid>
        <w:gridCol w:w="2210"/>
        <w:gridCol w:w="2487"/>
        <w:gridCol w:w="2588"/>
        <w:gridCol w:w="2427"/>
        <w:gridCol w:w="2430"/>
        <w:gridCol w:w="2428"/>
      </w:tblGrid>
      <w:tr w:rsidR="001D7BB7" w14:paraId="33650DF8" w14:textId="77777777" w:rsidTr="00605CC9">
        <w:tc>
          <w:tcPr>
            <w:tcW w:w="2210" w:type="dxa"/>
            <w:tcBorders>
              <w:top w:val="single" w:sz="4" w:space="0" w:color="000000"/>
              <w:bottom w:val="single" w:sz="4" w:space="0" w:color="000000"/>
            </w:tcBorders>
          </w:tcPr>
          <w:p w14:paraId="5B33CB7D"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Reference</w:t>
            </w:r>
          </w:p>
        </w:tc>
        <w:tc>
          <w:tcPr>
            <w:tcW w:w="2487" w:type="dxa"/>
            <w:tcBorders>
              <w:top w:val="single" w:sz="4" w:space="0" w:color="000000"/>
              <w:bottom w:val="single" w:sz="4" w:space="0" w:color="000000"/>
            </w:tcBorders>
          </w:tcPr>
          <w:p w14:paraId="6D125EF6"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Objective of the study</w:t>
            </w:r>
          </w:p>
        </w:tc>
        <w:tc>
          <w:tcPr>
            <w:tcW w:w="2588" w:type="dxa"/>
            <w:tcBorders>
              <w:top w:val="single" w:sz="4" w:space="0" w:color="000000"/>
              <w:bottom w:val="single" w:sz="4" w:space="0" w:color="000000"/>
            </w:tcBorders>
          </w:tcPr>
          <w:p w14:paraId="74D1FA6D"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Number of sites and coordinates (WSG84)</w:t>
            </w:r>
          </w:p>
        </w:tc>
        <w:tc>
          <w:tcPr>
            <w:tcW w:w="2427" w:type="dxa"/>
            <w:tcBorders>
              <w:top w:val="single" w:sz="4" w:space="0" w:color="000000"/>
              <w:bottom w:val="single" w:sz="4" w:space="0" w:color="000000"/>
            </w:tcBorders>
          </w:tcPr>
          <w:p w14:paraId="36811991"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Sampling regime and coverage</w:t>
            </w:r>
          </w:p>
        </w:tc>
        <w:tc>
          <w:tcPr>
            <w:tcW w:w="2430" w:type="dxa"/>
            <w:tcBorders>
              <w:top w:val="single" w:sz="4" w:space="0" w:color="000000"/>
              <w:bottom w:val="single" w:sz="4" w:space="0" w:color="000000"/>
            </w:tcBorders>
          </w:tcPr>
          <w:p w14:paraId="11BE8DCB"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Type(s) of environment</w:t>
            </w:r>
          </w:p>
        </w:tc>
        <w:tc>
          <w:tcPr>
            <w:tcW w:w="2428" w:type="dxa"/>
            <w:tcBorders>
              <w:top w:val="single" w:sz="4" w:space="0" w:color="000000"/>
              <w:bottom w:val="single" w:sz="4" w:space="0" w:color="000000"/>
            </w:tcBorders>
          </w:tcPr>
          <w:p w14:paraId="56526E79"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Summary statistics (rolling year mean ± standard deviation of BOD)</w:t>
            </w:r>
          </w:p>
        </w:tc>
      </w:tr>
      <w:tr w:rsidR="001D7BB7" w14:paraId="65EEE48B" w14:textId="77777777" w:rsidTr="00605CC9">
        <w:tc>
          <w:tcPr>
            <w:tcW w:w="2210" w:type="dxa"/>
            <w:tcBorders>
              <w:bottom w:val="single" w:sz="4" w:space="0" w:color="000000"/>
            </w:tcBorders>
          </w:tcPr>
          <w:p w14:paraId="46D5C028" w14:textId="77777777" w:rsidR="001D7BB7" w:rsidRDefault="001D7BB7" w:rsidP="00605CC9">
            <w:pPr>
              <w:rPr>
                <w:rFonts w:ascii="Times New Roman" w:hAnsi="Times New Roman"/>
              </w:rPr>
            </w:pPr>
            <w:bookmarkStart w:id="0" w:name="ZOTERO_BREF_v37D9RKcEbfw"/>
            <w:r>
              <w:rPr>
                <w:rFonts w:ascii="Times New Roman" w:eastAsia="Times New Roman" w:hAnsi="Times New Roman" w:cs="Times New Roman"/>
                <w:color w:val="000000"/>
              </w:rPr>
              <w:t>Isasmendi et al. (2007)</w:t>
            </w:r>
            <w:bookmarkEnd w:id="0"/>
            <w:r>
              <w:rPr>
                <w:rFonts w:ascii="Times New Roman" w:hAnsi="Times New Roman"/>
              </w:rPr>
              <w:t xml:space="preserve">. </w:t>
            </w:r>
          </w:p>
          <w:p w14:paraId="113988F0" w14:textId="77777777" w:rsidR="001D7BB7" w:rsidRDefault="001D7BB7" w:rsidP="00605CC9">
            <w:pPr>
              <w:widowControl w:val="0"/>
              <w:rPr>
                <w:rFonts w:ascii="Times New Roman" w:eastAsia="Times New Roman" w:hAnsi="Times New Roman" w:cs="Times New Roman"/>
                <w:color w:val="000000"/>
              </w:rPr>
            </w:pPr>
          </w:p>
          <w:p w14:paraId="674720D3" w14:textId="77777777" w:rsidR="001D7BB7" w:rsidRDefault="001D7BB7" w:rsidP="00605CC9">
            <w:pPr>
              <w:widowControl w:val="0"/>
              <w:rPr>
                <w:rFonts w:ascii="Times New Roman" w:hAnsi="Times New Roman"/>
              </w:rPr>
            </w:pPr>
            <w:r>
              <w:rPr>
                <w:rFonts w:ascii="Times New Roman" w:eastAsia="Times New Roman" w:hAnsi="Times New Roman" w:cs="Times New Roman"/>
                <w:color w:val="000000"/>
                <w:u w:val="single"/>
              </w:rPr>
              <w:t xml:space="preserve">Department: </w:t>
            </w:r>
            <w:r>
              <w:rPr>
                <w:rFonts w:ascii="Times New Roman" w:eastAsia="Times New Roman" w:hAnsi="Times New Roman" w:cs="Times New Roman"/>
                <w:color w:val="000000"/>
              </w:rPr>
              <w:t>Tafí del Valle</w:t>
            </w:r>
          </w:p>
        </w:tc>
        <w:tc>
          <w:tcPr>
            <w:tcW w:w="2487" w:type="dxa"/>
            <w:tcBorders>
              <w:bottom w:val="single" w:sz="4" w:space="0" w:color="000000"/>
            </w:tcBorders>
          </w:tcPr>
          <w:p w14:paraId="2EC31CFD"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Characterise the dynamics and water quality of mountainous streams</w:t>
            </w:r>
          </w:p>
        </w:tc>
        <w:tc>
          <w:tcPr>
            <w:tcW w:w="2588" w:type="dxa"/>
            <w:tcBorders>
              <w:bottom w:val="single" w:sz="4" w:space="0" w:color="000000"/>
            </w:tcBorders>
          </w:tcPr>
          <w:p w14:paraId="0E3BE3B0"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7 sites. </w:t>
            </w:r>
          </w:p>
          <w:p w14:paraId="2A9A9F3F" w14:textId="77777777" w:rsidR="001D7BB7" w:rsidRDefault="001D7BB7" w:rsidP="00605CC9">
            <w:pPr>
              <w:widowControl w:val="0"/>
              <w:rPr>
                <w:rFonts w:ascii="Times New Roman" w:eastAsia="Times New Roman" w:hAnsi="Times New Roman" w:cs="Times New Roman"/>
                <w:color w:val="000000"/>
              </w:rPr>
            </w:pPr>
          </w:p>
          <w:p w14:paraId="08DBF23B" w14:textId="77777777" w:rsidR="001D7BB7" w:rsidRDefault="001D7BB7" w:rsidP="00605CC9">
            <w:pPr>
              <w:widowControl w:val="0"/>
            </w:pPr>
            <w:r>
              <w:rPr>
                <w:rFonts w:ascii="Times New Roman" w:eastAsia="Times New Roman" w:hAnsi="Times New Roman" w:cs="Times New Roman"/>
                <w:color w:val="000000"/>
                <w:u w:val="single"/>
              </w:rPr>
              <w:t>Blanquito:</w:t>
            </w:r>
            <w:r>
              <w:rPr>
                <w:rFonts w:ascii="Times New Roman" w:eastAsia="Times New Roman" w:hAnsi="Times New Roman" w:cs="Times New Roman"/>
                <w:color w:val="000000"/>
              </w:rPr>
              <w:t xml:space="preserve"> -65.70, -26.82</w:t>
            </w:r>
          </w:p>
          <w:p w14:paraId="78E879B4" w14:textId="77777777" w:rsidR="001D7BB7" w:rsidRDefault="001D7BB7" w:rsidP="00605CC9">
            <w:pPr>
              <w:widowControl w:val="0"/>
            </w:pPr>
            <w:r>
              <w:rPr>
                <w:rFonts w:ascii="Times New Roman" w:eastAsia="Times New Roman" w:hAnsi="Times New Roman" w:cs="Times New Roman"/>
                <w:color w:val="000000"/>
                <w:u w:val="single"/>
              </w:rPr>
              <w:t>Churqui:</w:t>
            </w:r>
            <w:r>
              <w:rPr>
                <w:rFonts w:ascii="Times New Roman" w:eastAsia="Times New Roman" w:hAnsi="Times New Roman" w:cs="Times New Roman"/>
                <w:color w:val="000000"/>
              </w:rPr>
              <w:t xml:space="preserve"> -65.72, -26.83</w:t>
            </w:r>
          </w:p>
          <w:p w14:paraId="0991D80B" w14:textId="77777777" w:rsidR="001D7BB7" w:rsidRDefault="001D7BB7" w:rsidP="00605CC9">
            <w:pPr>
              <w:widowControl w:val="0"/>
            </w:pPr>
            <w:r>
              <w:rPr>
                <w:rFonts w:ascii="Times New Roman" w:eastAsia="Times New Roman" w:hAnsi="Times New Roman" w:cs="Times New Roman"/>
                <w:color w:val="000000"/>
                <w:u w:val="single"/>
              </w:rPr>
              <w:t>Las Carreras</w:t>
            </w:r>
            <w:r>
              <w:rPr>
                <w:rFonts w:ascii="Times New Roman" w:eastAsia="Times New Roman" w:hAnsi="Times New Roman" w:cs="Times New Roman"/>
                <w:color w:val="000000"/>
              </w:rPr>
              <w:t xml:space="preserve">: </w:t>
            </w:r>
          </w:p>
          <w:p w14:paraId="3B19D5F8"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-65.73, -26.85</w:t>
            </w:r>
          </w:p>
          <w:p w14:paraId="693258DE" w14:textId="77777777" w:rsidR="001D7BB7" w:rsidRDefault="001D7BB7" w:rsidP="00605CC9">
            <w:pPr>
              <w:widowControl w:val="0"/>
            </w:pPr>
            <w:r>
              <w:rPr>
                <w:rFonts w:ascii="Times New Roman" w:eastAsia="Times New Roman" w:hAnsi="Times New Roman" w:cs="Times New Roman"/>
                <w:color w:val="000000"/>
                <w:u w:val="single"/>
              </w:rPr>
              <w:t>La Ovejeria:</w:t>
            </w:r>
            <w:r>
              <w:rPr>
                <w:rFonts w:ascii="Times New Roman" w:eastAsia="Times New Roman" w:hAnsi="Times New Roman" w:cs="Times New Roman"/>
                <w:color w:val="000000"/>
              </w:rPr>
              <w:t xml:space="preserve"> </w:t>
            </w:r>
          </w:p>
          <w:p w14:paraId="4B882B5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-65.73, -36.85</w:t>
            </w:r>
          </w:p>
          <w:p w14:paraId="41F2A721" w14:textId="77777777" w:rsidR="001D7BB7" w:rsidRDefault="001D7BB7" w:rsidP="00605CC9">
            <w:pPr>
              <w:widowControl w:val="0"/>
            </w:pPr>
            <w:r>
              <w:rPr>
                <w:rFonts w:ascii="Times New Roman" w:eastAsia="Times New Roman" w:hAnsi="Times New Roman" w:cs="Times New Roman"/>
                <w:color w:val="000000"/>
                <w:u w:val="single"/>
              </w:rPr>
              <w:t>Tafi:</w:t>
            </w:r>
            <w:r>
              <w:rPr>
                <w:rFonts w:ascii="Times New Roman" w:eastAsia="Times New Roman" w:hAnsi="Times New Roman" w:cs="Times New Roman"/>
                <w:color w:val="000000"/>
              </w:rPr>
              <w:t xml:space="preserve"> -65.70, -26.88</w:t>
            </w:r>
          </w:p>
          <w:p w14:paraId="15027BA0" w14:textId="77777777" w:rsidR="001D7BB7" w:rsidRDefault="001D7BB7" w:rsidP="00605CC9">
            <w:pPr>
              <w:widowControl w:val="0"/>
            </w:pPr>
            <w:r>
              <w:rPr>
                <w:rFonts w:ascii="Times New Roman" w:eastAsia="Times New Roman" w:hAnsi="Times New Roman" w:cs="Times New Roman"/>
                <w:color w:val="000000"/>
                <w:u w:val="single"/>
              </w:rPr>
              <w:t xml:space="preserve">El Mollar: </w:t>
            </w:r>
            <w:r>
              <w:rPr>
                <w:rFonts w:ascii="Times New Roman" w:eastAsia="Times New Roman" w:hAnsi="Times New Roman" w:cs="Times New Roman"/>
                <w:color w:val="000000"/>
              </w:rPr>
              <w:t>-65.70, -26.93</w:t>
            </w:r>
          </w:p>
          <w:p w14:paraId="1B4D6C6A" w14:textId="77777777" w:rsidR="001D7BB7" w:rsidRDefault="001D7BB7" w:rsidP="00605CC9">
            <w:pPr>
              <w:widowControl w:val="0"/>
            </w:pPr>
            <w:r>
              <w:rPr>
                <w:rFonts w:ascii="Times New Roman" w:eastAsia="Times New Roman" w:hAnsi="Times New Roman" w:cs="Times New Roman"/>
                <w:color w:val="000000"/>
                <w:u w:val="single"/>
              </w:rPr>
              <w:t xml:space="preserve">Los Sosa: </w:t>
            </w:r>
            <w:r>
              <w:rPr>
                <w:rFonts w:ascii="Times New Roman" w:eastAsia="Times New Roman" w:hAnsi="Times New Roman" w:cs="Times New Roman"/>
                <w:color w:val="000000"/>
              </w:rPr>
              <w:t>-65.67, -26.93</w:t>
            </w:r>
          </w:p>
        </w:tc>
        <w:tc>
          <w:tcPr>
            <w:tcW w:w="2427" w:type="dxa"/>
            <w:tcBorders>
              <w:bottom w:val="single" w:sz="4" w:space="0" w:color="000000"/>
            </w:tcBorders>
          </w:tcPr>
          <w:p w14:paraId="0444D655"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Monthly BOD samples from October-2000 to October-2001.</w:t>
            </w:r>
          </w:p>
          <w:p w14:paraId="5FDF3AB7" w14:textId="77777777" w:rsidR="001D7BB7" w:rsidRDefault="001D7BB7" w:rsidP="00605CC9">
            <w:pPr>
              <w:widowControl w:val="0"/>
              <w:rPr>
                <w:rFonts w:ascii="Times New Roman" w:eastAsia="Times New Roman" w:hAnsi="Times New Roman" w:cs="Times New Roman"/>
                <w:color w:val="000000"/>
              </w:rPr>
            </w:pPr>
          </w:p>
          <w:p w14:paraId="11DC7565"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All sites sampled 13 months. </w:t>
            </w:r>
          </w:p>
        </w:tc>
        <w:tc>
          <w:tcPr>
            <w:tcW w:w="2430" w:type="dxa"/>
            <w:tcBorders>
              <w:bottom w:val="single" w:sz="4" w:space="0" w:color="000000"/>
            </w:tcBorders>
          </w:tcPr>
          <w:p w14:paraId="51906148"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Relatively pristine mountainous streams and rivers with a few small populations nearby. </w:t>
            </w:r>
          </w:p>
        </w:tc>
        <w:tc>
          <w:tcPr>
            <w:tcW w:w="2428" w:type="dxa"/>
            <w:tcBorders>
              <w:bottom w:val="single" w:sz="4" w:space="0" w:color="000000"/>
            </w:tcBorders>
          </w:tcPr>
          <w:p w14:paraId="2AF0ECD6" w14:textId="77777777" w:rsidR="001D7BB7" w:rsidRDefault="001D7BB7" w:rsidP="00605CC9">
            <w:pPr>
              <w:widowControl w:val="0"/>
            </w:pPr>
            <w:r>
              <w:rPr>
                <w:rFonts w:ascii="Times New Roman" w:eastAsia="Times New Roman" w:hAnsi="Times New Roman" w:cs="Times New Roman"/>
                <w:color w:val="000000"/>
                <w:u w:val="single"/>
              </w:rPr>
              <w:t>Blanquito:</w:t>
            </w:r>
            <w:r>
              <w:rPr>
                <w:rFonts w:ascii="Times New Roman" w:eastAsia="Times New Roman" w:hAnsi="Times New Roman" w:cs="Times New Roman"/>
                <w:color w:val="000000"/>
              </w:rPr>
              <w:t xml:space="preserve"> 0.70 ± 0.64</w:t>
            </w:r>
          </w:p>
          <w:p w14:paraId="77BA93DF" w14:textId="77777777" w:rsidR="001D7BB7" w:rsidRDefault="001D7BB7" w:rsidP="00605CC9">
            <w:pPr>
              <w:widowControl w:val="0"/>
            </w:pPr>
            <w:r>
              <w:rPr>
                <w:rFonts w:ascii="Times New Roman" w:eastAsia="Times New Roman" w:hAnsi="Times New Roman" w:cs="Times New Roman"/>
                <w:color w:val="000000"/>
                <w:u w:val="single"/>
              </w:rPr>
              <w:t>Churqui:</w:t>
            </w:r>
            <w:r>
              <w:rPr>
                <w:rFonts w:ascii="Times New Roman" w:eastAsia="Times New Roman" w:hAnsi="Times New Roman" w:cs="Times New Roman"/>
                <w:color w:val="000000"/>
              </w:rPr>
              <w:t xml:space="preserve"> 0.96 ± 0.47</w:t>
            </w:r>
          </w:p>
          <w:p w14:paraId="4BC7D2D0" w14:textId="77777777" w:rsidR="001D7BB7" w:rsidRDefault="001D7BB7" w:rsidP="00605CC9">
            <w:pPr>
              <w:widowControl w:val="0"/>
            </w:pPr>
            <w:r>
              <w:rPr>
                <w:rFonts w:ascii="Times New Roman" w:eastAsia="Times New Roman" w:hAnsi="Times New Roman" w:cs="Times New Roman"/>
                <w:color w:val="000000"/>
                <w:u w:val="single"/>
              </w:rPr>
              <w:t>Las Carreras</w:t>
            </w:r>
            <w:r>
              <w:rPr>
                <w:rFonts w:ascii="Times New Roman" w:eastAsia="Times New Roman" w:hAnsi="Times New Roman" w:cs="Times New Roman"/>
                <w:color w:val="000000"/>
              </w:rPr>
              <w:t>: 0.67 ± 0.56</w:t>
            </w:r>
          </w:p>
          <w:p w14:paraId="4BEF58B1" w14:textId="77777777" w:rsidR="001D7BB7" w:rsidRDefault="001D7BB7" w:rsidP="00605CC9">
            <w:pPr>
              <w:widowControl w:val="0"/>
            </w:pPr>
            <w:r>
              <w:rPr>
                <w:rFonts w:ascii="Times New Roman" w:eastAsia="Times New Roman" w:hAnsi="Times New Roman" w:cs="Times New Roman"/>
                <w:color w:val="000000"/>
                <w:u w:val="single"/>
              </w:rPr>
              <w:t>La Ovejeria:</w:t>
            </w:r>
            <w:r>
              <w:rPr>
                <w:rFonts w:ascii="Times New Roman" w:eastAsia="Times New Roman" w:hAnsi="Times New Roman" w:cs="Times New Roman"/>
                <w:color w:val="000000"/>
              </w:rPr>
              <w:t xml:space="preserve"> 1.02 ± 0.56</w:t>
            </w:r>
          </w:p>
          <w:p w14:paraId="382A640E" w14:textId="77777777" w:rsidR="001D7BB7" w:rsidRDefault="001D7BB7" w:rsidP="00605CC9">
            <w:pPr>
              <w:widowControl w:val="0"/>
            </w:pPr>
            <w:r>
              <w:rPr>
                <w:rFonts w:ascii="Times New Roman" w:eastAsia="Times New Roman" w:hAnsi="Times New Roman" w:cs="Times New Roman"/>
                <w:color w:val="000000"/>
                <w:u w:val="single"/>
              </w:rPr>
              <w:t>Tafi:</w:t>
            </w:r>
            <w:r>
              <w:rPr>
                <w:rFonts w:ascii="Times New Roman" w:eastAsia="Times New Roman" w:hAnsi="Times New Roman" w:cs="Times New Roman"/>
                <w:color w:val="000000"/>
              </w:rPr>
              <w:t xml:space="preserve"> 0.96 ± 0.44</w:t>
            </w:r>
          </w:p>
          <w:p w14:paraId="4D4D3A30" w14:textId="77777777" w:rsidR="001D7BB7" w:rsidRDefault="001D7BB7" w:rsidP="00605CC9">
            <w:pPr>
              <w:widowControl w:val="0"/>
            </w:pPr>
            <w:r>
              <w:rPr>
                <w:rFonts w:ascii="Times New Roman" w:eastAsia="Times New Roman" w:hAnsi="Times New Roman" w:cs="Times New Roman"/>
                <w:color w:val="000000"/>
                <w:u w:val="single"/>
              </w:rPr>
              <w:t xml:space="preserve">El Mollar: </w:t>
            </w:r>
            <w:r>
              <w:rPr>
                <w:rFonts w:ascii="Times New Roman" w:eastAsia="Times New Roman" w:hAnsi="Times New Roman" w:cs="Times New Roman"/>
                <w:color w:val="000000"/>
              </w:rPr>
              <w:t>1.08 ± 0.55</w:t>
            </w:r>
          </w:p>
          <w:p w14:paraId="26BE19C2" w14:textId="77777777" w:rsidR="001D7BB7" w:rsidRDefault="001D7BB7" w:rsidP="00605CC9">
            <w:pPr>
              <w:widowControl w:val="0"/>
            </w:pPr>
            <w:r>
              <w:rPr>
                <w:rFonts w:ascii="Times New Roman" w:eastAsia="Times New Roman" w:hAnsi="Times New Roman" w:cs="Times New Roman"/>
                <w:color w:val="000000"/>
                <w:u w:val="single"/>
              </w:rPr>
              <w:t xml:space="preserve">Los Sosa: </w:t>
            </w:r>
            <w:r>
              <w:rPr>
                <w:rFonts w:ascii="Times New Roman" w:eastAsia="Times New Roman" w:hAnsi="Times New Roman" w:cs="Times New Roman"/>
                <w:color w:val="000000"/>
              </w:rPr>
              <w:t>0.73 ± 0.42</w:t>
            </w:r>
          </w:p>
        </w:tc>
      </w:tr>
      <w:tr w:rsidR="001D7BB7" w14:paraId="6C95F059" w14:textId="77777777" w:rsidTr="00605CC9">
        <w:tc>
          <w:tcPr>
            <w:tcW w:w="2210" w:type="dxa"/>
            <w:tcBorders>
              <w:top w:val="single" w:sz="4" w:space="0" w:color="000000"/>
              <w:bottom w:val="single" w:sz="4" w:space="0" w:color="000000"/>
            </w:tcBorders>
          </w:tcPr>
          <w:p w14:paraId="18C283C3" w14:textId="77777777" w:rsidR="001D7BB7" w:rsidRDefault="001D7BB7" w:rsidP="00605CC9">
            <w:pPr>
              <w:rPr>
                <w:rFonts w:ascii="Times New Roman" w:hAnsi="Times New Roman"/>
              </w:rPr>
            </w:pPr>
            <w:bookmarkStart w:id="1" w:name="ZOTERO_BREF_S2bhbH9P4WX3"/>
            <w:r>
              <w:rPr>
                <w:rFonts w:ascii="Times New Roman" w:hAnsi="Times New Roman"/>
              </w:rPr>
              <w:t>Martínez De Marco et al. (2007)</w:t>
            </w:r>
            <w:bookmarkEnd w:id="1"/>
          </w:p>
          <w:p w14:paraId="79458C74" w14:textId="77777777" w:rsidR="001D7BB7" w:rsidRDefault="001D7BB7" w:rsidP="00605CC9">
            <w:pPr>
              <w:widowControl w:val="0"/>
              <w:rPr>
                <w:rFonts w:ascii="Times New Roman" w:eastAsia="Times New Roman" w:hAnsi="Times New Roman" w:cs="Times New Roman"/>
                <w:color w:val="000000"/>
              </w:rPr>
            </w:pPr>
          </w:p>
          <w:p w14:paraId="7C2A3C51" w14:textId="77777777" w:rsidR="001D7BB7" w:rsidRDefault="001D7BB7" w:rsidP="00605CC9">
            <w:pPr>
              <w:widowControl w:val="0"/>
              <w:rPr>
                <w:rFonts w:ascii="Times New Roman" w:hAnsi="Times New Roman"/>
              </w:rPr>
            </w:pPr>
            <w:r>
              <w:rPr>
                <w:rFonts w:ascii="Times New Roman" w:eastAsia="Times New Roman" w:hAnsi="Times New Roman" w:cs="Times New Roman"/>
                <w:color w:val="000000"/>
                <w:u w:val="single"/>
              </w:rPr>
              <w:t>Departments:</w:t>
            </w:r>
            <w:r>
              <w:rPr>
                <w:rFonts w:ascii="Times New Roman" w:eastAsia="Times New Roman" w:hAnsi="Times New Roman" w:cs="Times New Roman"/>
                <w:color w:val="000000"/>
              </w:rPr>
              <w:t xml:space="preserve"> Trancas and Tafí Viejo</w:t>
            </w:r>
          </w:p>
        </w:tc>
        <w:tc>
          <w:tcPr>
            <w:tcW w:w="2487" w:type="dxa"/>
            <w:tcBorders>
              <w:top w:val="single" w:sz="4" w:space="0" w:color="000000"/>
              <w:bottom w:val="single" w:sz="4" w:space="0" w:color="000000"/>
            </w:tcBorders>
          </w:tcPr>
          <w:p w14:paraId="7B58EB21" w14:textId="77777777" w:rsidR="001D7BB7" w:rsidRDefault="001D7BB7" w:rsidP="00605CC9">
            <w:pPr>
              <w:widowControl w:val="0"/>
            </w:pPr>
            <w:r>
              <w:rPr>
                <w:rFonts w:ascii="Times New Roman" w:eastAsia="Times New Roman" w:hAnsi="Times New Roman" w:cs="Times New Roman"/>
                <w:color w:val="000000"/>
              </w:rPr>
              <w:t>Evaluate the physical and chemical characteristics of rivers important for the province of Tucum</w:t>
            </w:r>
            <w:r>
              <w:rPr>
                <w:rFonts w:eastAsia="Liberation Serif" w:cs="Liberation Serif"/>
                <w:color w:val="000000"/>
              </w:rPr>
              <w:t>á</w:t>
            </w:r>
            <w:r>
              <w:rPr>
                <w:rFonts w:ascii="Times New Roman" w:eastAsia="Times New Roman" w:hAnsi="Times New Roman" w:cs="Times New Roman"/>
                <w:color w:val="000000"/>
              </w:rPr>
              <w:t xml:space="preserve">n and assess the concentration of agrochemicals. </w:t>
            </w:r>
          </w:p>
        </w:tc>
        <w:tc>
          <w:tcPr>
            <w:tcW w:w="2588" w:type="dxa"/>
            <w:tcBorders>
              <w:top w:val="single" w:sz="4" w:space="0" w:color="000000"/>
              <w:bottom w:val="single" w:sz="4" w:space="0" w:color="000000"/>
            </w:tcBorders>
          </w:tcPr>
          <w:p w14:paraId="1D414CF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4 sites. </w:t>
            </w:r>
          </w:p>
          <w:p w14:paraId="6D339DCA" w14:textId="77777777" w:rsidR="001D7BB7" w:rsidRDefault="001D7BB7" w:rsidP="00605CC9">
            <w:pPr>
              <w:widowControl w:val="0"/>
              <w:rPr>
                <w:rFonts w:ascii="Times New Roman" w:eastAsia="Times New Roman" w:hAnsi="Times New Roman" w:cs="Times New Roman"/>
                <w:color w:val="000000"/>
              </w:rPr>
            </w:pPr>
          </w:p>
          <w:p w14:paraId="70392F56"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1</w:t>
            </w:r>
            <w:r>
              <w:rPr>
                <w:rFonts w:ascii="Times New Roman" w:eastAsia="Times New Roman" w:hAnsi="Times New Roman" w:cs="Times New Roman"/>
                <w:color w:val="000000"/>
              </w:rPr>
              <w:t>: -65.21, -26.47</w:t>
            </w:r>
          </w:p>
          <w:p w14:paraId="5CD9F83E"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2</w:t>
            </w:r>
            <w:r>
              <w:rPr>
                <w:rFonts w:ascii="Times New Roman" w:eastAsia="Times New Roman" w:hAnsi="Times New Roman" w:cs="Times New Roman"/>
                <w:color w:val="000000"/>
              </w:rPr>
              <w:t>: -65.19, -26.64</w:t>
            </w:r>
          </w:p>
          <w:p w14:paraId="3115420F" w14:textId="77777777" w:rsidR="001D7BB7" w:rsidRDefault="001D7BB7" w:rsidP="00605CC9">
            <w:pPr>
              <w:widowControl w:val="0"/>
            </w:pPr>
            <w:r>
              <w:rPr>
                <w:rFonts w:ascii="Times New Roman" w:eastAsia="Times New Roman" w:hAnsi="Times New Roman" w:cs="Times New Roman"/>
                <w:color w:val="000000"/>
                <w:u w:val="single"/>
              </w:rPr>
              <w:t>Vipos:</w:t>
            </w:r>
            <w:r>
              <w:rPr>
                <w:rFonts w:ascii="Times New Roman" w:eastAsia="Times New Roman" w:hAnsi="Times New Roman" w:cs="Times New Roman"/>
                <w:color w:val="000000"/>
              </w:rPr>
              <w:t xml:space="preserve"> -65.22, -26.48</w:t>
            </w:r>
          </w:p>
          <w:p w14:paraId="179403A2" w14:textId="77777777" w:rsidR="001D7BB7" w:rsidRDefault="001D7BB7" w:rsidP="00605CC9">
            <w:pPr>
              <w:widowControl w:val="0"/>
            </w:pPr>
            <w:r>
              <w:rPr>
                <w:rFonts w:ascii="Times New Roman" w:eastAsia="Times New Roman" w:hAnsi="Times New Roman" w:cs="Times New Roman"/>
                <w:color w:val="000000"/>
                <w:u w:val="single"/>
              </w:rPr>
              <w:t>Tapia:</w:t>
            </w:r>
            <w:r>
              <w:rPr>
                <w:rFonts w:ascii="Times New Roman" w:eastAsia="Times New Roman" w:hAnsi="Times New Roman" w:cs="Times New Roman"/>
                <w:color w:val="000000"/>
              </w:rPr>
              <w:t xml:space="preserve"> -65.24, -26.30</w:t>
            </w:r>
          </w:p>
          <w:p w14:paraId="245C0A96" w14:textId="77777777" w:rsidR="001D7BB7" w:rsidRDefault="001D7BB7" w:rsidP="00605CC9">
            <w:pPr>
              <w:widowControl w:val="0"/>
              <w:rPr>
                <w:rFonts w:eastAsia="Liberation Serif" w:cs="Liberation Serif"/>
                <w:color w:val="000000"/>
              </w:rPr>
            </w:pPr>
          </w:p>
        </w:tc>
        <w:tc>
          <w:tcPr>
            <w:tcW w:w="2427" w:type="dxa"/>
            <w:tcBorders>
              <w:top w:val="single" w:sz="4" w:space="0" w:color="000000"/>
              <w:bottom w:val="single" w:sz="4" w:space="0" w:color="000000"/>
            </w:tcBorders>
          </w:tcPr>
          <w:p w14:paraId="7A0EE0D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BOD sampled from March-1998 to March-1999. </w:t>
            </w:r>
          </w:p>
          <w:p w14:paraId="27D3F1AB" w14:textId="77777777" w:rsidR="001D7BB7" w:rsidRDefault="001D7BB7" w:rsidP="00605CC9">
            <w:pPr>
              <w:widowControl w:val="0"/>
              <w:rPr>
                <w:rFonts w:ascii="Times New Roman" w:eastAsia="Times New Roman" w:hAnsi="Times New Roman" w:cs="Times New Roman"/>
                <w:color w:val="000000"/>
              </w:rPr>
            </w:pPr>
          </w:p>
          <w:p w14:paraId="08EB0012"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1</w:t>
            </w:r>
            <w:r>
              <w:rPr>
                <w:rFonts w:ascii="Times New Roman" w:eastAsia="Times New Roman" w:hAnsi="Times New Roman" w:cs="Times New Roman"/>
                <w:color w:val="000000"/>
              </w:rPr>
              <w:t>: 11 samples.</w:t>
            </w:r>
          </w:p>
          <w:p w14:paraId="3A6E68F0"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2</w:t>
            </w:r>
            <w:r>
              <w:rPr>
                <w:rFonts w:ascii="Times New Roman" w:eastAsia="Times New Roman" w:hAnsi="Times New Roman" w:cs="Times New Roman"/>
                <w:color w:val="000000"/>
              </w:rPr>
              <w:t>: 13 samples.</w:t>
            </w:r>
          </w:p>
          <w:p w14:paraId="38BC9415" w14:textId="77777777" w:rsidR="001D7BB7" w:rsidRDefault="001D7BB7" w:rsidP="00605CC9">
            <w:pPr>
              <w:widowControl w:val="0"/>
            </w:pPr>
            <w:r>
              <w:rPr>
                <w:rFonts w:ascii="Times New Roman" w:eastAsia="Times New Roman" w:hAnsi="Times New Roman" w:cs="Times New Roman"/>
                <w:color w:val="000000"/>
                <w:u w:val="single"/>
              </w:rPr>
              <w:t>Vipos:</w:t>
            </w:r>
            <w:r>
              <w:rPr>
                <w:rFonts w:ascii="Times New Roman" w:eastAsia="Times New Roman" w:hAnsi="Times New Roman" w:cs="Times New Roman"/>
                <w:color w:val="000000"/>
              </w:rPr>
              <w:t xml:space="preserve"> 9 samples.</w:t>
            </w:r>
          </w:p>
          <w:p w14:paraId="3589BBC0" w14:textId="77777777" w:rsidR="001D7BB7" w:rsidRDefault="001D7BB7" w:rsidP="00605CC9">
            <w:pPr>
              <w:widowControl w:val="0"/>
            </w:pPr>
            <w:r>
              <w:rPr>
                <w:rFonts w:ascii="Times New Roman" w:eastAsia="Times New Roman" w:hAnsi="Times New Roman" w:cs="Times New Roman"/>
                <w:color w:val="000000"/>
                <w:u w:val="single"/>
              </w:rPr>
              <w:t>Tapia:</w:t>
            </w:r>
            <w:r>
              <w:rPr>
                <w:rFonts w:ascii="Times New Roman" w:eastAsia="Times New Roman" w:hAnsi="Times New Roman" w:cs="Times New Roman"/>
                <w:color w:val="000000"/>
              </w:rPr>
              <w:t xml:space="preserve"> 13 samples.</w:t>
            </w:r>
          </w:p>
          <w:p w14:paraId="7FF49195" w14:textId="77777777" w:rsidR="001D7BB7" w:rsidRDefault="001D7BB7" w:rsidP="00605CC9">
            <w:pPr>
              <w:widowControl w:val="0"/>
              <w:rPr>
                <w:rFonts w:ascii="Times New Roman" w:eastAsia="Times New Roman" w:hAnsi="Times New Roman" w:cs="Times New Roman"/>
                <w:color w:val="000000"/>
              </w:rPr>
            </w:pPr>
          </w:p>
          <w:p w14:paraId="6482035A" w14:textId="77777777" w:rsidR="001D7BB7" w:rsidRDefault="001D7BB7" w:rsidP="00605CC9">
            <w:pPr>
              <w:widowControl w:val="0"/>
              <w:rPr>
                <w:rFonts w:ascii="Times New Roman" w:eastAsia="Times New Roman" w:hAnsi="Times New Roman" w:cs="Times New Roman"/>
                <w:color w:val="000000"/>
              </w:rPr>
            </w:pPr>
          </w:p>
          <w:p w14:paraId="6AC78835" w14:textId="77777777" w:rsidR="001D7BB7" w:rsidRDefault="001D7BB7" w:rsidP="00605CC9">
            <w:pPr>
              <w:widowControl w:val="0"/>
              <w:rPr>
                <w:rFonts w:ascii="Times New Roman" w:eastAsia="Times New Roman" w:hAnsi="Times New Roman" w:cs="Times New Roman"/>
                <w:color w:val="000000"/>
              </w:rPr>
            </w:pPr>
          </w:p>
        </w:tc>
        <w:tc>
          <w:tcPr>
            <w:tcW w:w="2430" w:type="dxa"/>
            <w:tcBorders>
              <w:top w:val="single" w:sz="4" w:space="0" w:color="000000"/>
              <w:bottom w:val="single" w:sz="4" w:space="0" w:color="000000"/>
            </w:tcBorders>
          </w:tcPr>
          <w:p w14:paraId="03C14468" w14:textId="77777777" w:rsidR="001D7BB7" w:rsidRDefault="001D7BB7" w:rsidP="00605CC9">
            <w:pPr>
              <w:widowControl w:val="0"/>
            </w:pPr>
            <w:r>
              <w:rPr>
                <w:rFonts w:ascii="Times New Roman" w:eastAsia="Times New Roman" w:hAnsi="Times New Roman" w:cs="Times New Roman"/>
                <w:color w:val="000000"/>
              </w:rPr>
              <w:t>Valley surrounded by hill with forest, low-density human settlements, and extensive livestock activities. Main river of the province of Tucum</w:t>
            </w:r>
            <w:r>
              <w:rPr>
                <w:rFonts w:eastAsia="Liberation Serif" w:cs="Liberation Serif"/>
                <w:color w:val="000000"/>
              </w:rPr>
              <w:t>á</w:t>
            </w:r>
            <w:r>
              <w:rPr>
                <w:rFonts w:ascii="Times New Roman" w:eastAsia="Times New Roman" w:hAnsi="Times New Roman" w:cs="Times New Roman"/>
                <w:color w:val="000000"/>
              </w:rPr>
              <w:t>n (Sal</w:t>
            </w:r>
            <w:r>
              <w:rPr>
                <w:rFonts w:eastAsia="Liberation Serif" w:cs="Liberation Serif"/>
                <w:color w:val="000000"/>
              </w:rPr>
              <w:t>í</w:t>
            </w:r>
            <w:r>
              <w:rPr>
                <w:rFonts w:ascii="Times New Roman" w:eastAsia="Times New Roman" w:hAnsi="Times New Roman" w:cs="Times New Roman"/>
                <w:color w:val="000000"/>
              </w:rPr>
              <w:t xml:space="preserve"> River) and sampling sites around the ‘El Cadillal’ reservoir, which provides water to the city of San Miguel de Tucum</w:t>
            </w:r>
            <w:r>
              <w:rPr>
                <w:rFonts w:eastAsia="Liberation Serif" w:cs="Liberation Serif"/>
                <w:color w:val="000000"/>
              </w:rPr>
              <w:t>á</w:t>
            </w:r>
            <w:r>
              <w:rPr>
                <w:rFonts w:ascii="Times New Roman" w:eastAsia="Times New Roman" w:hAnsi="Times New Roman" w:cs="Times New Roman"/>
                <w:color w:val="000000"/>
              </w:rPr>
              <w:t xml:space="preserve">n. </w:t>
            </w:r>
          </w:p>
        </w:tc>
        <w:tc>
          <w:tcPr>
            <w:tcW w:w="2428" w:type="dxa"/>
            <w:tcBorders>
              <w:top w:val="single" w:sz="4" w:space="0" w:color="000000"/>
              <w:bottom w:val="single" w:sz="4" w:space="0" w:color="000000"/>
            </w:tcBorders>
          </w:tcPr>
          <w:p w14:paraId="2869F3AB"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1</w:t>
            </w:r>
            <w:r>
              <w:rPr>
                <w:rFonts w:ascii="Times New Roman" w:eastAsia="Times New Roman" w:hAnsi="Times New Roman" w:cs="Times New Roman"/>
                <w:color w:val="000000"/>
              </w:rPr>
              <w:t>: 20.40 ± 32.7</w:t>
            </w:r>
          </w:p>
          <w:p w14:paraId="03B5AF35"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2</w:t>
            </w:r>
            <w:r>
              <w:rPr>
                <w:rFonts w:ascii="Times New Roman" w:eastAsia="Times New Roman" w:hAnsi="Times New Roman" w:cs="Times New Roman"/>
                <w:color w:val="000000"/>
              </w:rPr>
              <w:t>: 3.60 ± 5.40</w:t>
            </w:r>
          </w:p>
          <w:p w14:paraId="6C0F2DB0" w14:textId="77777777" w:rsidR="001D7BB7" w:rsidRDefault="001D7BB7" w:rsidP="00605CC9">
            <w:pPr>
              <w:widowControl w:val="0"/>
            </w:pPr>
            <w:r>
              <w:rPr>
                <w:rFonts w:ascii="Times New Roman" w:eastAsia="Times New Roman" w:hAnsi="Times New Roman" w:cs="Times New Roman"/>
                <w:color w:val="000000"/>
                <w:u w:val="single"/>
              </w:rPr>
              <w:t>Vipos:</w:t>
            </w:r>
            <w:r>
              <w:rPr>
                <w:rFonts w:ascii="Times New Roman" w:eastAsia="Times New Roman" w:hAnsi="Times New Roman" w:cs="Times New Roman"/>
                <w:color w:val="000000"/>
              </w:rPr>
              <w:t xml:space="preserve"> 14.00 ± 24.60</w:t>
            </w:r>
          </w:p>
          <w:p w14:paraId="1D58A3F0" w14:textId="77777777" w:rsidR="001D7BB7" w:rsidRDefault="001D7BB7" w:rsidP="00605CC9">
            <w:pPr>
              <w:widowControl w:val="0"/>
            </w:pPr>
            <w:r>
              <w:rPr>
                <w:rFonts w:ascii="Times New Roman" w:eastAsia="Times New Roman" w:hAnsi="Times New Roman" w:cs="Times New Roman"/>
                <w:color w:val="000000"/>
                <w:u w:val="single"/>
              </w:rPr>
              <w:t>Tapia:</w:t>
            </w:r>
            <w:r>
              <w:rPr>
                <w:rFonts w:ascii="Times New Roman" w:eastAsia="Times New Roman" w:hAnsi="Times New Roman" w:cs="Times New Roman"/>
                <w:color w:val="000000"/>
              </w:rPr>
              <w:t xml:space="preserve"> 1.40 ± 2.20</w:t>
            </w:r>
          </w:p>
        </w:tc>
      </w:tr>
      <w:tr w:rsidR="001D7BB7" w14:paraId="3380D24D" w14:textId="77777777" w:rsidTr="00605CC9">
        <w:trPr>
          <w:trHeight w:val="5211"/>
        </w:trPr>
        <w:tc>
          <w:tcPr>
            <w:tcW w:w="2210" w:type="dxa"/>
            <w:tcBorders>
              <w:bottom w:val="single" w:sz="4" w:space="0" w:color="000000"/>
            </w:tcBorders>
          </w:tcPr>
          <w:p w14:paraId="4F326F15" w14:textId="77777777" w:rsidR="001D7BB7" w:rsidRDefault="001D7BB7" w:rsidP="00605CC9">
            <w:pPr>
              <w:rPr>
                <w:rFonts w:ascii="Times New Roman" w:eastAsia="Times New Roman" w:hAnsi="Times New Roman" w:cs="Times New Roman"/>
                <w:color w:val="000000"/>
              </w:rPr>
            </w:pPr>
            <w:bookmarkStart w:id="2" w:name="ZOTERO_BREF_1JBncmq3rRBu"/>
            <w:r>
              <w:rPr>
                <w:rFonts w:ascii="Times New Roman" w:eastAsia="Times New Roman" w:hAnsi="Times New Roman" w:cs="Times New Roman"/>
                <w:color w:val="000000"/>
              </w:rPr>
              <w:lastRenderedPageBreak/>
              <w:t>Powell (2011)</w:t>
            </w:r>
            <w:bookmarkEnd w:id="2"/>
          </w:p>
          <w:p w14:paraId="5CDC5012" w14:textId="77777777" w:rsidR="001D7BB7" w:rsidRDefault="001D7BB7" w:rsidP="00605CC9">
            <w:pPr>
              <w:widowControl w:val="0"/>
              <w:rPr>
                <w:rFonts w:ascii="Times New Roman" w:eastAsia="Times New Roman" w:hAnsi="Times New Roman" w:cs="Times New Roman"/>
                <w:color w:val="000000"/>
              </w:rPr>
            </w:pPr>
          </w:p>
          <w:p w14:paraId="0AF89B68" w14:textId="77777777" w:rsidR="001D7BB7" w:rsidRDefault="001D7BB7" w:rsidP="00605CC9">
            <w:pPr>
              <w:widowControl w:val="0"/>
              <w:rPr>
                <w:rFonts w:ascii="Times New Roman" w:hAnsi="Times New Roman"/>
              </w:rPr>
            </w:pPr>
            <w:r>
              <w:rPr>
                <w:rFonts w:ascii="Times New Roman" w:eastAsia="Times New Roman" w:hAnsi="Times New Roman" w:cs="Times New Roman"/>
                <w:color w:val="000000"/>
                <w:u w:val="single"/>
              </w:rPr>
              <w:t>Departments:</w:t>
            </w:r>
            <w:r>
              <w:rPr>
                <w:rFonts w:ascii="Times New Roman" w:eastAsia="Times New Roman" w:hAnsi="Times New Roman" w:cs="Times New Roman"/>
                <w:color w:val="000000"/>
              </w:rPr>
              <w:t xml:space="preserve"> Monteros, Famaillá, Lules, and Tafí Viejo</w:t>
            </w:r>
          </w:p>
        </w:tc>
        <w:tc>
          <w:tcPr>
            <w:tcW w:w="2487" w:type="dxa"/>
            <w:tcBorders>
              <w:bottom w:val="single" w:sz="4" w:space="0" w:color="000000"/>
            </w:tcBorders>
          </w:tcPr>
          <w:p w14:paraId="7E6EA89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Evaluate the impact of industrial untreated wastewater discharge upon water quality. </w:t>
            </w:r>
          </w:p>
        </w:tc>
        <w:tc>
          <w:tcPr>
            <w:tcW w:w="2588" w:type="dxa"/>
            <w:tcBorders>
              <w:bottom w:val="single" w:sz="4" w:space="0" w:color="000000"/>
            </w:tcBorders>
          </w:tcPr>
          <w:p w14:paraId="76469174"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6 sites. </w:t>
            </w:r>
          </w:p>
          <w:p w14:paraId="0C46FEDD" w14:textId="77777777" w:rsidR="001D7BB7" w:rsidRDefault="001D7BB7" w:rsidP="00605CC9">
            <w:pPr>
              <w:widowControl w:val="0"/>
            </w:pPr>
            <w:r>
              <w:rPr>
                <w:rFonts w:ascii="Times New Roman" w:eastAsia="Times New Roman" w:hAnsi="Times New Roman" w:cs="Times New Roman"/>
                <w:color w:val="000000"/>
              </w:rPr>
              <w:t xml:space="preserve">There were 10 sites originally, but six of these were combined into two sites due to their closeness. Sites were originally assigned to three categories: 1) </w:t>
            </w:r>
            <w:r>
              <w:rPr>
                <w:rFonts w:ascii="Times New Roman" w:eastAsia="Times New Roman" w:hAnsi="Times New Roman" w:cs="Times New Roman"/>
                <w:color w:val="000000"/>
                <w:u w:val="single"/>
              </w:rPr>
              <w:t>ref</w:t>
            </w:r>
            <w:r>
              <w:rPr>
                <w:rFonts w:ascii="Times New Roman" w:eastAsia="Times New Roman" w:hAnsi="Times New Roman" w:cs="Times New Roman"/>
                <w:color w:val="000000"/>
              </w:rPr>
              <w:t xml:space="preserve">: denoting reference (control) sites; 2) </w:t>
            </w:r>
            <w:r>
              <w:rPr>
                <w:rFonts w:ascii="Times New Roman" w:eastAsia="Times New Roman" w:hAnsi="Times New Roman" w:cs="Times New Roman"/>
                <w:color w:val="000000"/>
                <w:u w:val="single"/>
              </w:rPr>
              <w:t>vert</w:t>
            </w:r>
            <w:r>
              <w:rPr>
                <w:rFonts w:ascii="Times New Roman" w:eastAsia="Times New Roman" w:hAnsi="Times New Roman" w:cs="Times New Roman"/>
                <w:color w:val="000000"/>
              </w:rPr>
              <w:t xml:space="preserve">: denoting sites receiving wastewater; and 3) </w:t>
            </w:r>
            <w:r>
              <w:rPr>
                <w:rFonts w:ascii="Times New Roman" w:eastAsia="Times New Roman" w:hAnsi="Times New Roman" w:cs="Times New Roman"/>
                <w:color w:val="000000"/>
                <w:u w:val="single"/>
              </w:rPr>
              <w:t>abaj</w:t>
            </w:r>
            <w:r>
              <w:rPr>
                <w:rFonts w:ascii="Times New Roman" w:eastAsia="Times New Roman" w:hAnsi="Times New Roman" w:cs="Times New Roman"/>
                <w:color w:val="000000"/>
              </w:rPr>
              <w:t xml:space="preserve">: denoting sites downstream of sites receiving wastewater. </w:t>
            </w:r>
          </w:p>
          <w:p w14:paraId="1AAC112B" w14:textId="77777777" w:rsidR="001D7BB7" w:rsidRDefault="001D7BB7" w:rsidP="00605CC9">
            <w:pPr>
              <w:widowControl w:val="0"/>
            </w:pPr>
            <w:r>
              <w:rPr>
                <w:rFonts w:ascii="Times New Roman" w:eastAsia="Times New Roman" w:hAnsi="Times New Roman" w:cs="Times New Roman"/>
                <w:color w:val="000000"/>
              </w:rPr>
              <w:t xml:space="preserve">Sites </w:t>
            </w:r>
            <w:r>
              <w:rPr>
                <w:rFonts w:ascii="Times New Roman" w:eastAsia="Times New Roman" w:hAnsi="Times New Roman" w:cs="Times New Roman"/>
                <w:color w:val="000000"/>
                <w:u w:val="single"/>
              </w:rPr>
              <w:t>Sref</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u w:val="single"/>
              </w:rPr>
              <w:t>Svert</w:t>
            </w:r>
            <w:r>
              <w:rPr>
                <w:rFonts w:ascii="Times New Roman" w:eastAsia="Times New Roman" w:hAnsi="Times New Roman" w:cs="Times New Roman"/>
                <w:color w:val="000000"/>
              </w:rPr>
              <w:t xml:space="preserve">, and </w:t>
            </w:r>
            <w:r>
              <w:rPr>
                <w:rFonts w:ascii="Times New Roman" w:eastAsia="Times New Roman" w:hAnsi="Times New Roman" w:cs="Times New Roman"/>
                <w:color w:val="000000"/>
                <w:u w:val="single"/>
              </w:rPr>
              <w:t>Sabaj</w:t>
            </w:r>
            <w:r>
              <w:rPr>
                <w:rFonts w:ascii="Times New Roman" w:eastAsia="Times New Roman" w:hAnsi="Times New Roman" w:cs="Times New Roman"/>
                <w:color w:val="000000"/>
              </w:rPr>
              <w:t xml:space="preserve"> were combined into one site. </w:t>
            </w:r>
          </w:p>
          <w:p w14:paraId="561B70E4" w14:textId="77777777" w:rsidR="001D7BB7" w:rsidRDefault="001D7BB7" w:rsidP="00605CC9">
            <w:pPr>
              <w:widowControl w:val="0"/>
            </w:pPr>
            <w:r>
              <w:rPr>
                <w:rFonts w:ascii="Times New Roman" w:eastAsia="Times New Roman" w:hAnsi="Times New Roman" w:cs="Times New Roman"/>
                <w:color w:val="000000"/>
              </w:rPr>
              <w:t xml:space="preserve">Sites </w:t>
            </w:r>
            <w:r>
              <w:rPr>
                <w:rFonts w:ascii="Times New Roman" w:eastAsia="Times New Roman" w:hAnsi="Times New Roman" w:cs="Times New Roman"/>
                <w:color w:val="000000"/>
                <w:u w:val="single"/>
              </w:rPr>
              <w:t>Dref</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u w:val="single"/>
              </w:rPr>
              <w:t>Dvert</w:t>
            </w:r>
            <w:r>
              <w:rPr>
                <w:rFonts w:ascii="Times New Roman" w:eastAsia="Times New Roman" w:hAnsi="Times New Roman" w:cs="Times New Roman"/>
                <w:color w:val="000000"/>
              </w:rPr>
              <w:t xml:space="preserve">, and </w:t>
            </w:r>
            <w:r>
              <w:rPr>
                <w:rFonts w:ascii="Times New Roman" w:eastAsia="Times New Roman" w:hAnsi="Times New Roman" w:cs="Times New Roman"/>
                <w:color w:val="000000"/>
                <w:u w:val="single"/>
              </w:rPr>
              <w:t>Dabaj</w:t>
            </w:r>
            <w:r>
              <w:rPr>
                <w:rFonts w:ascii="Times New Roman" w:eastAsia="Times New Roman" w:hAnsi="Times New Roman" w:cs="Times New Roman"/>
                <w:color w:val="000000"/>
              </w:rPr>
              <w:t xml:space="preserve"> were combined into one site. </w:t>
            </w:r>
          </w:p>
          <w:p w14:paraId="75C6C599" w14:textId="77777777" w:rsidR="001D7BB7" w:rsidRDefault="001D7BB7" w:rsidP="00605CC9">
            <w:pPr>
              <w:widowControl w:val="0"/>
              <w:rPr>
                <w:rFonts w:ascii="Times New Roman" w:eastAsia="Times New Roman" w:hAnsi="Times New Roman" w:cs="Times New Roman"/>
                <w:color w:val="000000"/>
              </w:rPr>
            </w:pPr>
          </w:p>
          <w:p w14:paraId="65977890" w14:textId="77777777" w:rsidR="001D7BB7" w:rsidRDefault="001D7BB7" w:rsidP="00605CC9">
            <w:pPr>
              <w:widowControl w:val="0"/>
            </w:pPr>
            <w:r>
              <w:rPr>
                <w:rFonts w:ascii="Times New Roman" w:eastAsia="Times New Roman" w:hAnsi="Times New Roman" w:cs="Times New Roman"/>
                <w:color w:val="000000"/>
                <w:u w:val="single"/>
              </w:rPr>
              <w:t>Calimayo (Cref):</w:t>
            </w:r>
            <w:r>
              <w:rPr>
                <w:rFonts w:ascii="Times New Roman" w:eastAsia="Times New Roman" w:hAnsi="Times New Roman" w:cs="Times New Roman"/>
                <w:color w:val="000000"/>
              </w:rPr>
              <w:t xml:space="preserve"> </w:t>
            </w:r>
          </w:p>
          <w:p w14:paraId="7EF9216C"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-65.39, -26.93, </w:t>
            </w:r>
          </w:p>
          <w:p w14:paraId="368428C4" w14:textId="77777777" w:rsidR="001D7BB7" w:rsidRDefault="001D7BB7" w:rsidP="00605CC9">
            <w:pPr>
              <w:widowControl w:val="0"/>
            </w:pPr>
            <w:r>
              <w:rPr>
                <w:rFonts w:ascii="Times New Roman" w:eastAsia="Times New Roman" w:hAnsi="Times New Roman" w:cs="Times New Roman"/>
                <w:color w:val="000000"/>
                <w:u w:val="single"/>
              </w:rPr>
              <w:t>Calimayo (Cvert):</w:t>
            </w:r>
            <w:r>
              <w:rPr>
                <w:rFonts w:ascii="Times New Roman" w:eastAsia="Times New Roman" w:hAnsi="Times New Roman" w:cs="Times New Roman"/>
                <w:color w:val="000000"/>
              </w:rPr>
              <w:t xml:space="preserve"> </w:t>
            </w:r>
          </w:p>
          <w:p w14:paraId="071CBCDA"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-65.36, -26.97 </w:t>
            </w:r>
          </w:p>
          <w:p w14:paraId="74859BE8" w14:textId="77777777" w:rsidR="001D7BB7" w:rsidRDefault="001D7BB7" w:rsidP="00605CC9">
            <w:pPr>
              <w:widowControl w:val="0"/>
            </w:pPr>
            <w:r>
              <w:rPr>
                <w:rFonts w:ascii="Times New Roman" w:eastAsia="Times New Roman" w:hAnsi="Times New Roman" w:cs="Times New Roman"/>
                <w:color w:val="000000"/>
                <w:u w:val="single"/>
              </w:rPr>
              <w:t>De La Cruz (Dref, Dvert, and Dabaj combined):</w:t>
            </w:r>
            <w:r>
              <w:rPr>
                <w:rFonts w:ascii="Times New Roman" w:eastAsia="Times New Roman" w:hAnsi="Times New Roman" w:cs="Times New Roman"/>
                <w:color w:val="000000"/>
              </w:rPr>
              <w:t xml:space="preserve"> </w:t>
            </w:r>
          </w:p>
          <w:p w14:paraId="44BB13A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-65.38, -27.03</w:t>
            </w:r>
          </w:p>
          <w:p w14:paraId="57ED0D89" w14:textId="77777777" w:rsidR="001D7BB7" w:rsidRDefault="001D7BB7" w:rsidP="00605CC9">
            <w:pPr>
              <w:widowControl w:val="0"/>
            </w:pPr>
            <w:r>
              <w:rPr>
                <w:rFonts w:ascii="Times New Roman" w:eastAsia="Times New Roman" w:hAnsi="Times New Roman" w:cs="Times New Roman"/>
                <w:color w:val="000000"/>
                <w:u w:val="single"/>
              </w:rPr>
              <w:t>Hollinado (Href):</w:t>
            </w:r>
            <w:r>
              <w:rPr>
                <w:rFonts w:ascii="Times New Roman" w:eastAsia="Times New Roman" w:hAnsi="Times New Roman" w:cs="Times New Roman"/>
                <w:color w:val="000000"/>
              </w:rPr>
              <w:t xml:space="preserve"> </w:t>
            </w:r>
          </w:p>
          <w:p w14:paraId="3C2D18E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-65.47, -27.12</w:t>
            </w:r>
          </w:p>
          <w:p w14:paraId="29208752" w14:textId="77777777" w:rsidR="001D7BB7" w:rsidRDefault="001D7BB7" w:rsidP="00605CC9">
            <w:pPr>
              <w:widowControl w:val="0"/>
            </w:pPr>
            <w:r>
              <w:rPr>
                <w:rFonts w:ascii="Times New Roman" w:eastAsia="Times New Roman" w:hAnsi="Times New Roman" w:cs="Times New Roman"/>
                <w:color w:val="000000"/>
                <w:u w:val="single"/>
              </w:rPr>
              <w:t>Hollinado (Hvert):</w:t>
            </w:r>
            <w:r>
              <w:rPr>
                <w:rFonts w:ascii="Times New Roman" w:eastAsia="Times New Roman" w:hAnsi="Times New Roman" w:cs="Times New Roman"/>
                <w:color w:val="000000"/>
              </w:rPr>
              <w:t xml:space="preserve"> </w:t>
            </w:r>
          </w:p>
          <w:p w14:paraId="5FF419D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-65.45, -27.13</w:t>
            </w:r>
          </w:p>
          <w:p w14:paraId="32916BFC"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(Sref, Svert, and Sabaj combined)</w:t>
            </w:r>
            <w:r>
              <w:rPr>
                <w:rFonts w:ascii="Times New Roman" w:eastAsia="Times New Roman" w:hAnsi="Times New Roman" w:cs="Times New Roman"/>
                <w:color w:val="000000"/>
              </w:rPr>
              <w:t xml:space="preserve">: </w:t>
            </w:r>
          </w:p>
          <w:p w14:paraId="0FE8729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-65.16, -26.72</w:t>
            </w:r>
          </w:p>
        </w:tc>
        <w:tc>
          <w:tcPr>
            <w:tcW w:w="2427" w:type="dxa"/>
            <w:tcBorders>
              <w:bottom w:val="single" w:sz="4" w:space="0" w:color="000000"/>
            </w:tcBorders>
          </w:tcPr>
          <w:p w14:paraId="63802494"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Six BOD samples taken on March, April, August, September, and December 2008; and February 2009.  </w:t>
            </w:r>
          </w:p>
          <w:p w14:paraId="46081DED" w14:textId="77777777" w:rsidR="001D7BB7" w:rsidRDefault="001D7BB7" w:rsidP="00605CC9">
            <w:pPr>
              <w:widowControl w:val="0"/>
              <w:rPr>
                <w:rFonts w:ascii="Times New Roman" w:eastAsia="Times New Roman" w:hAnsi="Times New Roman" w:cs="Times New Roman"/>
                <w:color w:val="000000"/>
              </w:rPr>
            </w:pPr>
          </w:p>
          <w:p w14:paraId="4070F6F9" w14:textId="77777777" w:rsidR="001D7BB7" w:rsidRDefault="001D7BB7" w:rsidP="00605CC9">
            <w:pPr>
              <w:widowControl w:val="0"/>
              <w:rPr>
                <w:rFonts w:ascii="Times New Roman" w:eastAsia="Times New Roman" w:hAnsi="Times New Roman" w:cs="Times New Roman"/>
                <w:color w:val="000000"/>
              </w:rPr>
            </w:pPr>
          </w:p>
          <w:p w14:paraId="48BF7B2F" w14:textId="77777777" w:rsidR="001D7BB7" w:rsidRDefault="001D7BB7" w:rsidP="00605CC9">
            <w:pPr>
              <w:widowControl w:val="0"/>
              <w:rPr>
                <w:rFonts w:ascii="Times New Roman" w:eastAsia="Times New Roman" w:hAnsi="Times New Roman" w:cs="Times New Roman"/>
                <w:color w:val="000000"/>
              </w:rPr>
            </w:pPr>
          </w:p>
          <w:p w14:paraId="74E593E9" w14:textId="77777777" w:rsidR="001D7BB7" w:rsidRDefault="001D7BB7" w:rsidP="00605CC9">
            <w:pPr>
              <w:widowControl w:val="0"/>
              <w:rPr>
                <w:rFonts w:ascii="Times New Roman" w:eastAsia="Times New Roman" w:hAnsi="Times New Roman" w:cs="Times New Roman"/>
                <w:color w:val="000000"/>
              </w:rPr>
            </w:pPr>
          </w:p>
        </w:tc>
        <w:tc>
          <w:tcPr>
            <w:tcW w:w="2430" w:type="dxa"/>
            <w:tcBorders>
              <w:bottom w:val="single" w:sz="4" w:space="0" w:color="000000"/>
            </w:tcBorders>
          </w:tcPr>
          <w:p w14:paraId="266849AE" w14:textId="77777777" w:rsidR="001D7BB7" w:rsidRDefault="001D7BB7" w:rsidP="00605CC9">
            <w:pPr>
              <w:widowControl w:val="0"/>
            </w:pPr>
            <w:r>
              <w:rPr>
                <w:rFonts w:ascii="Times New Roman" w:eastAsia="Times New Roman" w:hAnsi="Times New Roman" w:cs="Times New Roman"/>
                <w:color w:val="000000"/>
              </w:rPr>
              <w:t>Variety of environments in the central plateaus of the province of Tucum</w:t>
            </w:r>
            <w:r>
              <w:rPr>
                <w:rFonts w:eastAsia="Liberation Serif" w:cs="Liberation Serif"/>
                <w:color w:val="000000"/>
              </w:rPr>
              <w:t>á</w:t>
            </w:r>
            <w:r>
              <w:rPr>
                <w:rFonts w:ascii="Times New Roman" w:eastAsia="Times New Roman" w:hAnsi="Times New Roman" w:cs="Times New Roman"/>
                <w:color w:val="000000"/>
              </w:rPr>
              <w:t xml:space="preserve">n. Focussed on sampling both reference (unpolluted) and sites receiving raw wastewater from nearby industries. High levels of alteration and high population density. </w:t>
            </w:r>
          </w:p>
        </w:tc>
        <w:tc>
          <w:tcPr>
            <w:tcW w:w="2428" w:type="dxa"/>
            <w:tcBorders>
              <w:bottom w:val="single" w:sz="4" w:space="0" w:color="000000"/>
            </w:tcBorders>
          </w:tcPr>
          <w:p w14:paraId="09DF71C1" w14:textId="77777777" w:rsidR="001D7BB7" w:rsidRDefault="001D7BB7" w:rsidP="00605CC9">
            <w:pPr>
              <w:widowControl w:val="0"/>
            </w:pPr>
            <w:r>
              <w:rPr>
                <w:rFonts w:ascii="Times New Roman" w:eastAsia="Times New Roman" w:hAnsi="Times New Roman" w:cs="Times New Roman"/>
                <w:color w:val="000000"/>
                <w:u w:val="single"/>
              </w:rPr>
              <w:t>Calimayo (Cref):</w:t>
            </w:r>
            <w:r>
              <w:rPr>
                <w:rFonts w:ascii="Times New Roman" w:eastAsia="Times New Roman" w:hAnsi="Times New Roman" w:cs="Times New Roman"/>
                <w:color w:val="000000"/>
              </w:rPr>
              <w:t xml:space="preserve"> </w:t>
            </w:r>
          </w:p>
          <w:p w14:paraId="5C1BAEE9"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2.67 ± 1.75</w:t>
            </w:r>
          </w:p>
          <w:p w14:paraId="2D120A85" w14:textId="77777777" w:rsidR="001D7BB7" w:rsidRDefault="001D7BB7" w:rsidP="00605CC9">
            <w:pPr>
              <w:widowControl w:val="0"/>
            </w:pPr>
            <w:r>
              <w:rPr>
                <w:rFonts w:ascii="Times New Roman" w:eastAsia="Times New Roman" w:hAnsi="Times New Roman" w:cs="Times New Roman"/>
                <w:color w:val="000000"/>
                <w:u w:val="single"/>
              </w:rPr>
              <w:t>Calimayo (Cvert):</w:t>
            </w:r>
            <w:r>
              <w:rPr>
                <w:rFonts w:ascii="Times New Roman" w:eastAsia="Times New Roman" w:hAnsi="Times New Roman" w:cs="Times New Roman"/>
                <w:color w:val="000000"/>
              </w:rPr>
              <w:t xml:space="preserve"> 486.0 ± 437.39 </w:t>
            </w:r>
          </w:p>
          <w:p w14:paraId="282A5D0B" w14:textId="77777777" w:rsidR="001D7BB7" w:rsidRDefault="001D7BB7" w:rsidP="00605CC9">
            <w:pPr>
              <w:widowControl w:val="0"/>
              <w:rPr>
                <w:rFonts w:ascii="Times New Roman" w:eastAsia="Times New Roman" w:hAnsi="Times New Roman" w:cs="Times New Roman"/>
                <w:color w:val="000000"/>
                <w:u w:val="single"/>
              </w:rPr>
            </w:pPr>
            <w:r>
              <w:rPr>
                <w:rFonts w:ascii="Times New Roman" w:eastAsia="Times New Roman" w:hAnsi="Times New Roman" w:cs="Times New Roman"/>
                <w:color w:val="000000"/>
                <w:u w:val="single"/>
              </w:rPr>
              <w:t>De La Cruz (Dref, Dvert, and Dabaj combined):</w:t>
            </w:r>
          </w:p>
          <w:p w14:paraId="7C4048D5"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347.39 ± 577.55</w:t>
            </w:r>
          </w:p>
          <w:p w14:paraId="49370B6A" w14:textId="77777777" w:rsidR="001D7BB7" w:rsidRDefault="001D7BB7" w:rsidP="00605CC9">
            <w:pPr>
              <w:widowControl w:val="0"/>
            </w:pPr>
            <w:r>
              <w:rPr>
                <w:rFonts w:ascii="Times New Roman" w:eastAsia="Times New Roman" w:hAnsi="Times New Roman" w:cs="Times New Roman"/>
                <w:color w:val="000000"/>
                <w:u w:val="single"/>
              </w:rPr>
              <w:t>Hollinado (Href):</w:t>
            </w:r>
            <w:r>
              <w:rPr>
                <w:rFonts w:ascii="Times New Roman" w:eastAsia="Times New Roman" w:hAnsi="Times New Roman" w:cs="Times New Roman"/>
                <w:color w:val="000000"/>
              </w:rPr>
              <w:t xml:space="preserve"> </w:t>
            </w:r>
          </w:p>
          <w:p w14:paraId="5FBDBB0C"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4.50 ± 2.67</w:t>
            </w:r>
          </w:p>
          <w:p w14:paraId="0CBD9786" w14:textId="77777777" w:rsidR="001D7BB7" w:rsidRDefault="001D7BB7" w:rsidP="00605CC9">
            <w:pPr>
              <w:widowControl w:val="0"/>
            </w:pPr>
            <w:r>
              <w:rPr>
                <w:rFonts w:ascii="Times New Roman" w:eastAsia="Times New Roman" w:hAnsi="Times New Roman" w:cs="Times New Roman"/>
                <w:color w:val="000000"/>
                <w:u w:val="single"/>
              </w:rPr>
              <w:t>Hollinado (Hvert):</w:t>
            </w:r>
            <w:r>
              <w:rPr>
                <w:rFonts w:ascii="Times New Roman" w:eastAsia="Times New Roman" w:hAnsi="Times New Roman" w:cs="Times New Roman"/>
                <w:color w:val="000000"/>
              </w:rPr>
              <w:t xml:space="preserve"> </w:t>
            </w:r>
          </w:p>
          <w:p w14:paraId="606AB330"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29.50 ± 60.58</w:t>
            </w:r>
          </w:p>
          <w:p w14:paraId="78692B86" w14:textId="77777777" w:rsidR="001D7BB7" w:rsidRDefault="001D7BB7" w:rsidP="00605CC9">
            <w:pPr>
              <w:widowControl w:val="0"/>
            </w:pPr>
            <w:r>
              <w:rPr>
                <w:rFonts w:ascii="Times New Roman" w:eastAsia="Times New Roman" w:hAnsi="Times New Roman" w:cs="Times New Roman"/>
                <w:color w:val="000000"/>
                <w:u w:val="single"/>
              </w:rPr>
              <w:t>Sal</w:t>
            </w:r>
            <w:r>
              <w:rPr>
                <w:rFonts w:eastAsia="Liberation Serif" w:cs="Liberation Serif"/>
                <w:color w:val="000000"/>
                <w:u w:val="single"/>
              </w:rPr>
              <w:t>í</w:t>
            </w:r>
            <w:r>
              <w:rPr>
                <w:rFonts w:ascii="Times New Roman" w:eastAsia="Times New Roman" w:hAnsi="Times New Roman" w:cs="Times New Roman"/>
                <w:color w:val="000000"/>
                <w:u w:val="single"/>
              </w:rPr>
              <w:t xml:space="preserve"> (Sref, Svert, and Sabaj combined)</w:t>
            </w:r>
            <w:r>
              <w:rPr>
                <w:rFonts w:ascii="Times New Roman" w:eastAsia="Times New Roman" w:hAnsi="Times New Roman" w:cs="Times New Roman"/>
                <w:color w:val="000000"/>
              </w:rPr>
              <w:t xml:space="preserve">: </w:t>
            </w:r>
          </w:p>
          <w:p w14:paraId="75B7B3E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4.22 ± 4.51</w:t>
            </w:r>
          </w:p>
          <w:p w14:paraId="237CB6DA" w14:textId="77777777" w:rsidR="001D7BB7" w:rsidRDefault="001D7BB7" w:rsidP="00605CC9">
            <w:pPr>
              <w:widowControl w:val="0"/>
              <w:rPr>
                <w:rFonts w:ascii="Times New Roman" w:eastAsia="Times New Roman" w:hAnsi="Times New Roman" w:cs="Times New Roman"/>
                <w:color w:val="000000"/>
                <w:u w:val="single"/>
              </w:rPr>
            </w:pPr>
          </w:p>
          <w:p w14:paraId="027F8345" w14:textId="77777777" w:rsidR="001D7BB7" w:rsidRDefault="001D7BB7" w:rsidP="00605CC9">
            <w:pPr>
              <w:widowControl w:val="0"/>
              <w:rPr>
                <w:rFonts w:ascii="Times New Roman" w:eastAsia="Times New Roman" w:hAnsi="Times New Roman" w:cs="Times New Roman"/>
                <w:color w:val="000000"/>
              </w:rPr>
            </w:pPr>
          </w:p>
          <w:p w14:paraId="70DB98C6" w14:textId="77777777" w:rsidR="001D7BB7" w:rsidRDefault="001D7BB7" w:rsidP="00605CC9">
            <w:pPr>
              <w:widowControl w:val="0"/>
              <w:rPr>
                <w:rFonts w:ascii="Times New Roman" w:eastAsia="Times New Roman" w:hAnsi="Times New Roman" w:cs="Times New Roman"/>
                <w:color w:val="000000"/>
              </w:rPr>
            </w:pPr>
          </w:p>
        </w:tc>
      </w:tr>
    </w:tbl>
    <w:p w14:paraId="7010B3CE" w14:textId="77777777" w:rsidR="001D7BB7" w:rsidRDefault="001D7BB7" w:rsidP="001D7BB7">
      <w:pPr>
        <w:jc w:val="both"/>
      </w:pPr>
      <w:r>
        <w:br w:type="page"/>
      </w:r>
    </w:p>
    <w:p w14:paraId="4BCECBE3" w14:textId="77777777" w:rsidR="001D7BB7" w:rsidRDefault="001D7BB7" w:rsidP="001D7BB7">
      <w:pPr>
        <w:spacing w:line="480" w:lineRule="auto"/>
        <w:jc w:val="both"/>
      </w:pPr>
      <w:r>
        <w:rPr>
          <w:rFonts w:ascii="Times New Roman" w:eastAsia="Times New Roman" w:hAnsi="Times New Roman" w:cs="Times New Roman"/>
          <w:b/>
        </w:rPr>
        <w:lastRenderedPageBreak/>
        <w:t xml:space="preserve">Table 2. </w:t>
      </w:r>
      <w:r>
        <w:rPr>
          <w:rFonts w:ascii="Times New Roman" w:eastAsia="Times New Roman" w:hAnsi="Times New Roman" w:cs="Times New Roman"/>
        </w:rPr>
        <w:t xml:space="preserve">Description and data sources for the six environmental and socio-economic covariates used to explore correlates of predicted mean annual Biological Oxygen Demand (BOD) in the 17 departments of the province of Tucumán (Argentina) in 1980, 1991, 2001, 2010, and 2019. Covariates were first estimated for each 5-km cells, and then aggregated at the department level following the procedures described in the table. </w:t>
      </w:r>
    </w:p>
    <w:p w14:paraId="5770AC97" w14:textId="77777777" w:rsidR="001D7BB7" w:rsidRDefault="001D7BB7" w:rsidP="001D7BB7">
      <w:pPr>
        <w:jc w:val="both"/>
      </w:pPr>
    </w:p>
    <w:tbl>
      <w:tblPr>
        <w:tblW w:w="14570" w:type="dxa"/>
        <w:tblInd w:w="-5" w:type="dxa"/>
        <w:tblLayout w:type="fixed"/>
        <w:tblLook w:val="0000" w:firstRow="0" w:lastRow="0" w:firstColumn="0" w:lastColumn="0" w:noHBand="0" w:noVBand="0"/>
      </w:tblPr>
      <w:tblGrid>
        <w:gridCol w:w="4856"/>
        <w:gridCol w:w="4857"/>
        <w:gridCol w:w="4857"/>
      </w:tblGrid>
      <w:tr w:rsidR="001D7BB7" w14:paraId="3B7ABCA7" w14:textId="77777777" w:rsidTr="00605CC9">
        <w:tc>
          <w:tcPr>
            <w:tcW w:w="4856" w:type="dxa"/>
            <w:tcBorders>
              <w:top w:val="single" w:sz="4" w:space="0" w:color="000000"/>
              <w:bottom w:val="single" w:sz="4" w:space="0" w:color="000000"/>
            </w:tcBorders>
          </w:tcPr>
          <w:p w14:paraId="1899F0A1" w14:textId="77777777" w:rsidR="001D7BB7" w:rsidRDefault="001D7BB7" w:rsidP="00605CC9">
            <w:pPr>
              <w:widowControl w:val="0"/>
              <w:jc w:val="both"/>
              <w:rPr>
                <w:rFonts w:ascii="Times New Roman" w:eastAsia="Times New Roman" w:hAnsi="Times New Roman" w:cs="Times New Roman"/>
                <w:b/>
                <w:color w:val="000000"/>
              </w:rPr>
            </w:pPr>
            <w:r>
              <w:rPr>
                <w:rFonts w:ascii="Times New Roman" w:eastAsia="Times New Roman" w:hAnsi="Times New Roman" w:cs="Times New Roman"/>
                <w:b/>
                <w:color w:val="000000"/>
              </w:rPr>
              <w:t>Covariate</w:t>
            </w:r>
          </w:p>
        </w:tc>
        <w:tc>
          <w:tcPr>
            <w:tcW w:w="4857" w:type="dxa"/>
            <w:tcBorders>
              <w:top w:val="single" w:sz="4" w:space="0" w:color="000000"/>
              <w:bottom w:val="single" w:sz="4" w:space="0" w:color="000000"/>
            </w:tcBorders>
          </w:tcPr>
          <w:p w14:paraId="64B106CF" w14:textId="77777777" w:rsidR="001D7BB7" w:rsidRDefault="001D7BB7" w:rsidP="00605CC9">
            <w:pPr>
              <w:widowControl w:val="0"/>
              <w:jc w:val="both"/>
              <w:rPr>
                <w:rFonts w:ascii="Times New Roman" w:eastAsia="Times New Roman" w:hAnsi="Times New Roman" w:cs="Times New Roman"/>
                <w:b/>
                <w:color w:val="000000"/>
              </w:rPr>
            </w:pPr>
            <w:r>
              <w:rPr>
                <w:rFonts w:ascii="Times New Roman" w:eastAsia="Times New Roman" w:hAnsi="Times New Roman" w:cs="Times New Roman"/>
                <w:b/>
                <w:color w:val="000000"/>
              </w:rPr>
              <w:t>Source</w:t>
            </w:r>
          </w:p>
        </w:tc>
        <w:tc>
          <w:tcPr>
            <w:tcW w:w="4857" w:type="dxa"/>
            <w:tcBorders>
              <w:top w:val="single" w:sz="4" w:space="0" w:color="000000"/>
              <w:bottom w:val="single" w:sz="4" w:space="0" w:color="000000"/>
            </w:tcBorders>
          </w:tcPr>
          <w:p w14:paraId="765F277C" w14:textId="77777777" w:rsidR="001D7BB7" w:rsidRDefault="001D7BB7" w:rsidP="00605CC9">
            <w:pPr>
              <w:widowControl w:val="0"/>
              <w:jc w:val="both"/>
              <w:rPr>
                <w:rFonts w:ascii="Times New Roman" w:eastAsia="Times New Roman" w:hAnsi="Times New Roman" w:cs="Times New Roman"/>
                <w:b/>
                <w:color w:val="000000"/>
              </w:rPr>
            </w:pPr>
            <w:r>
              <w:rPr>
                <w:rFonts w:ascii="Times New Roman" w:eastAsia="Times New Roman" w:hAnsi="Times New Roman" w:cs="Times New Roman"/>
                <w:b/>
                <w:color w:val="000000"/>
              </w:rPr>
              <w:t>Explanation/Rationale</w:t>
            </w:r>
          </w:p>
        </w:tc>
      </w:tr>
      <w:tr w:rsidR="001D7BB7" w14:paraId="09538B51" w14:textId="77777777" w:rsidTr="00605CC9">
        <w:tc>
          <w:tcPr>
            <w:tcW w:w="4856" w:type="dxa"/>
            <w:tcBorders>
              <w:bottom w:val="single" w:sz="4" w:space="0" w:color="000000"/>
            </w:tcBorders>
          </w:tcPr>
          <w:p w14:paraId="6EA42F34" w14:textId="77777777" w:rsidR="001D7BB7" w:rsidRDefault="001D7BB7" w:rsidP="00605CC9">
            <w:pPr>
              <w:widowControl w:val="0"/>
              <w:jc w:val="both"/>
            </w:pPr>
            <w:r>
              <w:rPr>
                <w:rFonts w:ascii="Times New Roman" w:eastAsia="Times New Roman" w:hAnsi="Times New Roman" w:cs="Times New Roman"/>
                <w:color w:val="000000"/>
                <w:u w:val="single"/>
              </w:rPr>
              <w:t>Leaf Area Index of High Vegetation:</w:t>
            </w:r>
            <w:r>
              <w:rPr>
                <w:rFonts w:ascii="Times New Roman" w:eastAsia="Times New Roman" w:hAnsi="Times New Roman" w:cs="Times New Roman"/>
                <w:color w:val="000000"/>
              </w:rPr>
              <w:t xml:space="preserve"> Mean of the monthly LAI of high vegetation in a year.</w:t>
            </w:r>
          </w:p>
          <w:p w14:paraId="2BB3C43F" w14:textId="77777777" w:rsidR="001D7BB7" w:rsidRDefault="001D7BB7" w:rsidP="00605CC9">
            <w:pPr>
              <w:widowControl w:val="0"/>
              <w:jc w:val="both"/>
              <w:rPr>
                <w:rFonts w:eastAsia="Liberation Serif" w:cs="Liberation Serif"/>
                <w:color w:val="000000"/>
              </w:rPr>
            </w:pPr>
          </w:p>
          <w:p w14:paraId="2A7C5D29"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Aggregation: mean of all cells inside a department.</w:t>
            </w:r>
          </w:p>
          <w:p w14:paraId="000EB12F" w14:textId="77777777" w:rsidR="001D7BB7" w:rsidRDefault="001D7BB7" w:rsidP="00605CC9">
            <w:pPr>
              <w:widowControl w:val="0"/>
              <w:jc w:val="both"/>
              <w:rPr>
                <w:rFonts w:eastAsia="Liberation Serif" w:cs="Liberation Serif"/>
                <w:color w:val="000000"/>
              </w:rPr>
            </w:pPr>
          </w:p>
          <w:p w14:paraId="4EB00FE5"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Transformation: squared.</w:t>
            </w:r>
          </w:p>
        </w:tc>
        <w:tc>
          <w:tcPr>
            <w:tcW w:w="4857" w:type="dxa"/>
            <w:tcBorders>
              <w:bottom w:val="single" w:sz="4" w:space="0" w:color="000000"/>
            </w:tcBorders>
          </w:tcPr>
          <w:p w14:paraId="535EAA65" w14:textId="77777777" w:rsidR="001D7BB7" w:rsidRDefault="001D7BB7" w:rsidP="00605CC9">
            <w:pPr>
              <w:rPr>
                <w:rFonts w:ascii="Times New Roman" w:hAnsi="Times New Roman"/>
              </w:rPr>
            </w:pPr>
            <w:bookmarkStart w:id="3" w:name="ZOTERO_BREF_E6dme5PaQxig"/>
            <w:r>
              <w:rPr>
                <w:rFonts w:ascii="Times New Roman" w:hAnsi="Times New Roman"/>
              </w:rPr>
              <w:t>Muñoz Sabater (2024)</w:t>
            </w:r>
            <w:bookmarkEnd w:id="3"/>
          </w:p>
        </w:tc>
        <w:tc>
          <w:tcPr>
            <w:tcW w:w="4857" w:type="dxa"/>
            <w:tcBorders>
              <w:bottom w:val="single" w:sz="4" w:space="0" w:color="000000"/>
            </w:tcBorders>
          </w:tcPr>
          <w:p w14:paraId="71BBC2E0"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LAI measures green leaf area, and it is a proxy for vegetation cover and composition. Vegetation affects water quality, and we expect a high score of LAI of high vegetation to negatively correlate with BOD since it serves as a proxy for high forest cover and high ecosystem integrity. </w:t>
            </w:r>
          </w:p>
          <w:p w14:paraId="4B2FF194" w14:textId="77777777" w:rsidR="001D7BB7" w:rsidRDefault="001D7BB7" w:rsidP="00605CC9">
            <w:pPr>
              <w:widowControl w:val="0"/>
              <w:jc w:val="both"/>
              <w:rPr>
                <w:rFonts w:eastAsia="Liberation Serif" w:cs="Liberation Serif"/>
                <w:color w:val="000000"/>
              </w:rPr>
            </w:pPr>
          </w:p>
        </w:tc>
      </w:tr>
      <w:tr w:rsidR="001D7BB7" w14:paraId="762E032C" w14:textId="77777777" w:rsidTr="00605CC9">
        <w:tc>
          <w:tcPr>
            <w:tcW w:w="4856" w:type="dxa"/>
            <w:tcBorders>
              <w:bottom w:val="single" w:sz="4" w:space="0" w:color="000000"/>
            </w:tcBorders>
          </w:tcPr>
          <w:p w14:paraId="65146004" w14:textId="77777777" w:rsidR="001D7BB7" w:rsidRDefault="001D7BB7" w:rsidP="00605CC9">
            <w:pPr>
              <w:widowControl w:val="0"/>
              <w:jc w:val="both"/>
            </w:pPr>
            <w:r>
              <w:rPr>
                <w:rFonts w:ascii="Times New Roman" w:eastAsia="Times New Roman" w:hAnsi="Times New Roman" w:cs="Times New Roman"/>
                <w:color w:val="000000"/>
                <w:u w:val="single"/>
              </w:rPr>
              <w:t>Mean total annual precipitation:</w:t>
            </w:r>
            <w:r>
              <w:rPr>
                <w:rFonts w:ascii="Times New Roman" w:eastAsia="Times New Roman" w:hAnsi="Times New Roman" w:cs="Times New Roman"/>
                <w:color w:val="000000"/>
              </w:rPr>
              <w:t xml:space="preserve"> Sum of the total monthly precipitation in a year. </w:t>
            </w:r>
          </w:p>
          <w:p w14:paraId="59B45F21" w14:textId="77777777" w:rsidR="001D7BB7" w:rsidRDefault="001D7BB7" w:rsidP="00605CC9">
            <w:pPr>
              <w:widowControl w:val="0"/>
              <w:jc w:val="both"/>
              <w:rPr>
                <w:rFonts w:ascii="Times New Roman" w:eastAsia="Times New Roman" w:hAnsi="Times New Roman" w:cs="Times New Roman"/>
                <w:color w:val="000000"/>
              </w:rPr>
            </w:pPr>
          </w:p>
          <w:p w14:paraId="77B2617B"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Aggregation: mean of all cells inside a department.</w:t>
            </w:r>
          </w:p>
          <w:p w14:paraId="1152AC7D" w14:textId="77777777" w:rsidR="001D7BB7" w:rsidRDefault="001D7BB7" w:rsidP="00605CC9">
            <w:pPr>
              <w:widowControl w:val="0"/>
              <w:jc w:val="both"/>
              <w:rPr>
                <w:rFonts w:ascii="Times New Roman" w:eastAsia="Times New Roman" w:hAnsi="Times New Roman" w:cs="Times New Roman"/>
                <w:color w:val="000000"/>
              </w:rPr>
            </w:pPr>
          </w:p>
          <w:p w14:paraId="2BAFF42E"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Transformation: logarithm.</w:t>
            </w:r>
          </w:p>
        </w:tc>
        <w:tc>
          <w:tcPr>
            <w:tcW w:w="4857" w:type="dxa"/>
            <w:tcBorders>
              <w:bottom w:val="single" w:sz="4" w:space="0" w:color="000000"/>
            </w:tcBorders>
          </w:tcPr>
          <w:p w14:paraId="1837481A" w14:textId="77777777" w:rsidR="001D7BB7" w:rsidRDefault="001D7BB7" w:rsidP="00605CC9">
            <w:pPr>
              <w:rPr>
                <w:rFonts w:ascii="Times New Roman" w:hAnsi="Times New Roman"/>
              </w:rPr>
            </w:pPr>
            <w:bookmarkStart w:id="4" w:name="ZOTERO_BREF_ulcoLCKaOZtX"/>
            <w:r>
              <w:rPr>
                <w:rFonts w:ascii="Times New Roman" w:hAnsi="Times New Roman"/>
              </w:rPr>
              <w:t>Muñoz Sabater (2024)</w:t>
            </w:r>
            <w:bookmarkEnd w:id="4"/>
          </w:p>
        </w:tc>
        <w:tc>
          <w:tcPr>
            <w:tcW w:w="4857" w:type="dxa"/>
            <w:tcBorders>
              <w:bottom w:val="single" w:sz="4" w:space="0" w:color="000000"/>
            </w:tcBorders>
          </w:tcPr>
          <w:p w14:paraId="1BD5DA8D"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Precipitation contributes to water quality by dilluting pollutants. Therefore, we expect a positive relationship between the precipitation and the mean annual BOD. </w:t>
            </w:r>
          </w:p>
        </w:tc>
      </w:tr>
      <w:tr w:rsidR="001D7BB7" w14:paraId="19E592A8" w14:textId="77777777" w:rsidTr="00605CC9">
        <w:tc>
          <w:tcPr>
            <w:tcW w:w="4856" w:type="dxa"/>
            <w:tcBorders>
              <w:bottom w:val="single" w:sz="4" w:space="0" w:color="000000"/>
            </w:tcBorders>
          </w:tcPr>
          <w:p w14:paraId="5E3CB8C7" w14:textId="77777777" w:rsidR="001D7BB7" w:rsidRDefault="001D7BB7" w:rsidP="00605CC9">
            <w:pPr>
              <w:widowControl w:val="0"/>
              <w:jc w:val="both"/>
            </w:pPr>
            <w:r>
              <w:rPr>
                <w:rFonts w:ascii="Times New Roman" w:eastAsia="Times New Roman" w:hAnsi="Times New Roman" w:cs="Times New Roman"/>
                <w:color w:val="000000"/>
                <w:u w:val="single"/>
              </w:rPr>
              <w:t>Mean surface temperature:</w:t>
            </w:r>
            <w:r>
              <w:rPr>
                <w:rFonts w:ascii="Times New Roman" w:eastAsia="Times New Roman" w:hAnsi="Times New Roman" w:cs="Times New Roman"/>
                <w:color w:val="000000"/>
              </w:rPr>
              <w:t xml:space="preserve"> Mean of the monthly temperature in a year.</w:t>
            </w:r>
          </w:p>
          <w:p w14:paraId="5A8985A1" w14:textId="77777777" w:rsidR="001D7BB7" w:rsidRDefault="001D7BB7" w:rsidP="00605CC9">
            <w:pPr>
              <w:widowControl w:val="0"/>
              <w:jc w:val="both"/>
              <w:rPr>
                <w:rFonts w:ascii="Times New Roman" w:eastAsia="Times New Roman" w:hAnsi="Times New Roman" w:cs="Times New Roman"/>
                <w:color w:val="000000"/>
              </w:rPr>
            </w:pPr>
          </w:p>
          <w:p w14:paraId="68D85B6F"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Aggregation: mean of all cells inside a department.</w:t>
            </w:r>
          </w:p>
          <w:p w14:paraId="4F38AB62" w14:textId="77777777" w:rsidR="001D7BB7" w:rsidRDefault="001D7BB7" w:rsidP="00605CC9">
            <w:pPr>
              <w:widowControl w:val="0"/>
              <w:jc w:val="both"/>
              <w:rPr>
                <w:rFonts w:ascii="Times New Roman" w:eastAsia="Times New Roman" w:hAnsi="Times New Roman" w:cs="Times New Roman"/>
                <w:color w:val="000000"/>
              </w:rPr>
            </w:pPr>
          </w:p>
          <w:p w14:paraId="4C13A452"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Transformation: squared. </w:t>
            </w:r>
          </w:p>
        </w:tc>
        <w:tc>
          <w:tcPr>
            <w:tcW w:w="4857" w:type="dxa"/>
            <w:tcBorders>
              <w:bottom w:val="single" w:sz="4" w:space="0" w:color="000000"/>
            </w:tcBorders>
          </w:tcPr>
          <w:p w14:paraId="2893AFD6" w14:textId="77777777" w:rsidR="001D7BB7" w:rsidRDefault="001D7BB7" w:rsidP="00605CC9">
            <w:pPr>
              <w:rPr>
                <w:rFonts w:ascii="Times New Roman" w:hAnsi="Times New Roman"/>
              </w:rPr>
            </w:pPr>
            <w:bookmarkStart w:id="5" w:name="ZOTERO_BREF_UTw9hevR0Ioe"/>
            <w:r>
              <w:rPr>
                <w:rFonts w:ascii="Times New Roman" w:hAnsi="Times New Roman"/>
              </w:rPr>
              <w:t>Muñoz Sabater (2024)</w:t>
            </w:r>
            <w:bookmarkEnd w:id="5"/>
          </w:p>
        </w:tc>
        <w:tc>
          <w:tcPr>
            <w:tcW w:w="4857" w:type="dxa"/>
            <w:tcBorders>
              <w:bottom w:val="single" w:sz="4" w:space="0" w:color="000000"/>
            </w:tcBorders>
          </w:tcPr>
          <w:p w14:paraId="44CD7A9C"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Temperature influences the physical and bio-geochemical cycles determining water quality. We anticipate a positive relationship with mean annual BOD given that high temperatures lead to higher BOD. </w:t>
            </w:r>
          </w:p>
        </w:tc>
      </w:tr>
      <w:tr w:rsidR="001D7BB7" w14:paraId="6A43463B" w14:textId="77777777" w:rsidTr="00605CC9">
        <w:tc>
          <w:tcPr>
            <w:tcW w:w="4856" w:type="dxa"/>
            <w:tcBorders>
              <w:bottom w:val="single" w:sz="4" w:space="0" w:color="000000"/>
            </w:tcBorders>
          </w:tcPr>
          <w:p w14:paraId="173804A9" w14:textId="77777777" w:rsidR="001D7BB7" w:rsidRDefault="001D7BB7" w:rsidP="00605CC9">
            <w:pPr>
              <w:widowControl w:val="0"/>
              <w:jc w:val="both"/>
            </w:pPr>
            <w:r>
              <w:rPr>
                <w:rFonts w:ascii="Times New Roman" w:eastAsia="Times New Roman" w:hAnsi="Times New Roman" w:cs="Times New Roman"/>
                <w:color w:val="000000"/>
                <w:u w:val="single"/>
              </w:rPr>
              <w:t>Population density:</w:t>
            </w:r>
            <w:r>
              <w:rPr>
                <w:rFonts w:ascii="Times New Roman" w:eastAsia="Times New Roman" w:hAnsi="Times New Roman" w:cs="Times New Roman"/>
                <w:color w:val="000000"/>
              </w:rPr>
              <w:t xml:space="preserve"> Number of people / 100 km</w:t>
            </w:r>
            <w:r>
              <w:rPr>
                <w:rFonts w:ascii="Times New Roman" w:eastAsia="Times New Roman" w:hAnsi="Times New Roman" w:cs="Times New Roman"/>
                <w:color w:val="000000"/>
                <w:vertAlign w:val="superscript"/>
              </w:rPr>
              <w:t xml:space="preserve">2 </w:t>
            </w:r>
            <w:r>
              <w:rPr>
                <w:rFonts w:ascii="Times New Roman" w:eastAsia="Times New Roman" w:hAnsi="Times New Roman" w:cs="Times New Roman"/>
                <w:color w:val="000000"/>
              </w:rPr>
              <w:t xml:space="preserve">in each department. </w:t>
            </w:r>
          </w:p>
          <w:p w14:paraId="5B1781C3" w14:textId="77777777" w:rsidR="001D7BB7" w:rsidRDefault="001D7BB7" w:rsidP="00605CC9">
            <w:pPr>
              <w:widowControl w:val="0"/>
              <w:jc w:val="both"/>
              <w:rPr>
                <w:rFonts w:ascii="Times New Roman" w:eastAsia="Times New Roman" w:hAnsi="Times New Roman" w:cs="Times New Roman"/>
                <w:color w:val="000000"/>
              </w:rPr>
            </w:pPr>
          </w:p>
          <w:p w14:paraId="2FDA02C9"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Aggregation: none since the values are already represented at the department level.</w:t>
            </w:r>
          </w:p>
          <w:p w14:paraId="59A9B6E7" w14:textId="77777777" w:rsidR="001D7BB7" w:rsidRDefault="001D7BB7" w:rsidP="00605CC9">
            <w:pPr>
              <w:widowControl w:val="0"/>
              <w:jc w:val="both"/>
              <w:rPr>
                <w:rFonts w:ascii="Times New Roman" w:eastAsia="Times New Roman" w:hAnsi="Times New Roman" w:cs="Times New Roman"/>
                <w:color w:val="000000"/>
              </w:rPr>
            </w:pPr>
          </w:p>
          <w:p w14:paraId="5EDAAC9C"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Transformation: logarithm. </w:t>
            </w:r>
          </w:p>
        </w:tc>
        <w:tc>
          <w:tcPr>
            <w:tcW w:w="4857" w:type="dxa"/>
            <w:tcBorders>
              <w:bottom w:val="single" w:sz="4" w:space="0" w:color="000000"/>
            </w:tcBorders>
          </w:tcPr>
          <w:p w14:paraId="061CBDB5" w14:textId="77777777" w:rsidR="001D7BB7" w:rsidRDefault="001D7BB7" w:rsidP="00605CC9">
            <w:pPr>
              <w:rPr>
                <w:rFonts w:ascii="Times New Roman" w:hAnsi="Times New Roman"/>
              </w:rPr>
            </w:pPr>
            <w:bookmarkStart w:id="6" w:name="ZOTERO_BREF_HKX8JJfJXTzU"/>
            <w:r>
              <w:rPr>
                <w:rFonts w:ascii="Times New Roman" w:hAnsi="Times New Roman"/>
              </w:rPr>
              <w:t>Instituto Nacional de Estadística y Censos de la República Argentina INDEC (2024)</w:t>
            </w:r>
            <w:bookmarkEnd w:id="6"/>
          </w:p>
        </w:tc>
        <w:tc>
          <w:tcPr>
            <w:tcW w:w="4857" w:type="dxa"/>
            <w:tcBorders>
              <w:bottom w:val="single" w:sz="4" w:space="0" w:color="000000"/>
            </w:tcBorders>
          </w:tcPr>
          <w:p w14:paraId="17A684D9"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Higher population densities will result in higher pressures to waterbodies and a higher likelihood of pollution through untreated wastewater discharge and open-air garbage dumps, amongst others. Additionally, it will indicate if higher numbers of people are exposed to low water quality levels. </w:t>
            </w:r>
          </w:p>
        </w:tc>
      </w:tr>
      <w:tr w:rsidR="001D7BB7" w14:paraId="47172C60" w14:textId="77777777" w:rsidTr="00605CC9">
        <w:tc>
          <w:tcPr>
            <w:tcW w:w="4856" w:type="dxa"/>
            <w:tcBorders>
              <w:bottom w:val="single" w:sz="4" w:space="0" w:color="000000"/>
            </w:tcBorders>
          </w:tcPr>
          <w:p w14:paraId="31EA37A0" w14:textId="77777777" w:rsidR="001D7BB7" w:rsidRDefault="001D7BB7" w:rsidP="00605CC9">
            <w:pPr>
              <w:widowControl w:val="0"/>
              <w:jc w:val="both"/>
            </w:pPr>
            <w:r>
              <w:rPr>
                <w:rFonts w:ascii="Times New Roman" w:eastAsia="Times New Roman" w:hAnsi="Times New Roman" w:cs="Times New Roman"/>
                <w:color w:val="000000"/>
                <w:u w:val="single"/>
              </w:rPr>
              <w:t>Precarious housing:</w:t>
            </w:r>
            <w:r>
              <w:rPr>
                <w:rFonts w:ascii="Times New Roman" w:eastAsia="Times New Roman" w:hAnsi="Times New Roman" w:cs="Times New Roman"/>
                <w:color w:val="000000"/>
              </w:rPr>
              <w:t xml:space="preserve"> Proportion of the population of a department living in precarious conditions. </w:t>
            </w:r>
          </w:p>
          <w:p w14:paraId="0164C813" w14:textId="77777777" w:rsidR="001D7BB7" w:rsidRDefault="001D7BB7" w:rsidP="00605CC9">
            <w:pPr>
              <w:widowControl w:val="0"/>
              <w:jc w:val="both"/>
              <w:rPr>
                <w:rFonts w:ascii="Times New Roman" w:eastAsia="Times New Roman" w:hAnsi="Times New Roman" w:cs="Times New Roman"/>
                <w:color w:val="000000"/>
              </w:rPr>
            </w:pPr>
          </w:p>
          <w:p w14:paraId="125C374E"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Aggregation: none since the values are already represented at the department level.</w:t>
            </w:r>
          </w:p>
          <w:p w14:paraId="76C259DD" w14:textId="77777777" w:rsidR="001D7BB7" w:rsidRDefault="001D7BB7" w:rsidP="00605CC9">
            <w:pPr>
              <w:widowControl w:val="0"/>
              <w:jc w:val="both"/>
              <w:rPr>
                <w:rFonts w:ascii="Times New Roman" w:eastAsia="Times New Roman" w:hAnsi="Times New Roman" w:cs="Times New Roman"/>
                <w:color w:val="000000"/>
              </w:rPr>
            </w:pPr>
          </w:p>
          <w:p w14:paraId="18FE7746"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Transformation: arcsin. </w:t>
            </w:r>
          </w:p>
        </w:tc>
        <w:tc>
          <w:tcPr>
            <w:tcW w:w="4857" w:type="dxa"/>
            <w:tcBorders>
              <w:bottom w:val="single" w:sz="4" w:space="0" w:color="000000"/>
            </w:tcBorders>
          </w:tcPr>
          <w:p w14:paraId="75327D96" w14:textId="77777777" w:rsidR="001D7BB7" w:rsidRDefault="001D7BB7" w:rsidP="00605CC9">
            <w:pPr>
              <w:rPr>
                <w:rFonts w:ascii="Times New Roman" w:hAnsi="Times New Roman"/>
              </w:rPr>
            </w:pPr>
            <w:bookmarkStart w:id="7" w:name="ZOTERO_BREF_UwytlOGe9sJd"/>
            <w:r>
              <w:rPr>
                <w:rFonts w:ascii="Times New Roman" w:hAnsi="Times New Roman"/>
              </w:rPr>
              <w:lastRenderedPageBreak/>
              <w:t>Instituto Nacional de Estadística y Censos de la República Argentina INDEC (2024)</w:t>
            </w:r>
            <w:bookmarkEnd w:id="7"/>
          </w:p>
        </w:tc>
        <w:tc>
          <w:tcPr>
            <w:tcW w:w="4857" w:type="dxa"/>
            <w:tcBorders>
              <w:bottom w:val="single" w:sz="4" w:space="0" w:color="000000"/>
            </w:tcBorders>
          </w:tcPr>
          <w:p w14:paraId="2D08D66F"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Precarious houses are more likely to lack basic sanitation and access to safe disposal of garbage. Therefore, we expect the percentage of precarious housing to correlate positively with mean annual BOD. Additionally, it will indicate </w:t>
            </w:r>
            <w:r>
              <w:rPr>
                <w:rFonts w:ascii="Times New Roman" w:eastAsia="Times New Roman" w:hAnsi="Times New Roman" w:cs="Times New Roman"/>
                <w:color w:val="000000"/>
              </w:rPr>
              <w:lastRenderedPageBreak/>
              <w:t xml:space="preserve">the need for targeted measures to improve housing conditions to enhance water quality. </w:t>
            </w:r>
          </w:p>
        </w:tc>
      </w:tr>
      <w:tr w:rsidR="001D7BB7" w14:paraId="088E9E0B" w14:textId="77777777" w:rsidTr="00605CC9">
        <w:tc>
          <w:tcPr>
            <w:tcW w:w="4856" w:type="dxa"/>
            <w:tcBorders>
              <w:bottom w:val="single" w:sz="4" w:space="0" w:color="000000"/>
            </w:tcBorders>
          </w:tcPr>
          <w:p w14:paraId="5F0E46B9" w14:textId="77777777" w:rsidR="001D7BB7" w:rsidRDefault="001D7BB7" w:rsidP="00605CC9">
            <w:pPr>
              <w:widowControl w:val="0"/>
              <w:jc w:val="both"/>
            </w:pPr>
            <w:r>
              <w:rPr>
                <w:rFonts w:ascii="Times New Roman" w:eastAsia="Times New Roman" w:hAnsi="Times New Roman" w:cs="Times New Roman"/>
                <w:color w:val="000000"/>
                <w:u w:val="single"/>
              </w:rPr>
              <w:lastRenderedPageBreak/>
              <w:t>Density of industries:</w:t>
            </w:r>
            <w:r>
              <w:rPr>
                <w:rFonts w:ascii="Times New Roman" w:eastAsia="Times New Roman" w:hAnsi="Times New Roman" w:cs="Times New Roman"/>
                <w:color w:val="000000"/>
              </w:rPr>
              <w:t xml:space="preserve"> Number of industries / 100 km</w:t>
            </w:r>
            <w:r>
              <w:rPr>
                <w:rFonts w:ascii="Times New Roman" w:eastAsia="Times New Roman" w:hAnsi="Times New Roman" w:cs="Times New Roman"/>
                <w:color w:val="000000"/>
                <w:vertAlign w:val="superscript"/>
              </w:rPr>
              <w:t xml:space="preserve">2 </w:t>
            </w:r>
            <w:r>
              <w:rPr>
                <w:rFonts w:ascii="Times New Roman" w:eastAsia="Times New Roman" w:hAnsi="Times New Roman" w:cs="Times New Roman"/>
                <w:color w:val="000000"/>
              </w:rPr>
              <w:t xml:space="preserve">in each department. </w:t>
            </w:r>
          </w:p>
          <w:p w14:paraId="41BC1DF8" w14:textId="77777777" w:rsidR="001D7BB7" w:rsidRDefault="001D7BB7" w:rsidP="00605CC9">
            <w:pPr>
              <w:widowControl w:val="0"/>
              <w:jc w:val="both"/>
              <w:rPr>
                <w:rFonts w:ascii="Times New Roman" w:eastAsia="Times New Roman" w:hAnsi="Times New Roman" w:cs="Times New Roman"/>
                <w:color w:val="000000"/>
              </w:rPr>
            </w:pPr>
          </w:p>
          <w:p w14:paraId="68D6891C"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Aggregation: none since the values are already represented at the department level.</w:t>
            </w:r>
          </w:p>
          <w:p w14:paraId="0956E518" w14:textId="77777777" w:rsidR="001D7BB7" w:rsidRDefault="001D7BB7" w:rsidP="00605CC9">
            <w:pPr>
              <w:widowControl w:val="0"/>
              <w:jc w:val="both"/>
              <w:rPr>
                <w:rFonts w:ascii="Times New Roman" w:eastAsia="Times New Roman" w:hAnsi="Times New Roman" w:cs="Times New Roman"/>
                <w:color w:val="000000"/>
              </w:rPr>
            </w:pPr>
          </w:p>
          <w:p w14:paraId="659F8F1A" w14:textId="77777777" w:rsidR="001D7BB7" w:rsidRDefault="001D7BB7" w:rsidP="00605CC9">
            <w:pPr>
              <w:widowControl w:val="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Transformation: logarithm. </w:t>
            </w:r>
          </w:p>
        </w:tc>
        <w:tc>
          <w:tcPr>
            <w:tcW w:w="4857" w:type="dxa"/>
            <w:tcBorders>
              <w:bottom w:val="single" w:sz="4" w:space="0" w:color="000000"/>
            </w:tcBorders>
          </w:tcPr>
          <w:p w14:paraId="3541B9EE" w14:textId="77777777" w:rsidR="001D7BB7" w:rsidRDefault="001D7BB7" w:rsidP="00605CC9">
            <w:pPr>
              <w:rPr>
                <w:rFonts w:ascii="Times New Roman" w:hAnsi="Times New Roman"/>
              </w:rPr>
            </w:pPr>
            <w:bookmarkStart w:id="8" w:name="ZOTERO_BREF_IqhE1sz1STnU"/>
            <w:r>
              <w:rPr>
                <w:rFonts w:ascii="Times New Roman" w:hAnsi="Times New Roman"/>
              </w:rPr>
              <w:t>Instituto Geográfico Nacional (2025)</w:t>
            </w:r>
            <w:bookmarkEnd w:id="8"/>
          </w:p>
        </w:tc>
        <w:tc>
          <w:tcPr>
            <w:tcW w:w="4857" w:type="dxa"/>
            <w:tcBorders>
              <w:bottom w:val="single" w:sz="4" w:space="0" w:color="000000"/>
            </w:tcBorders>
          </w:tcPr>
          <w:p w14:paraId="35869F00" w14:textId="77777777" w:rsidR="001D7BB7" w:rsidRDefault="001D7BB7" w:rsidP="00605CC9">
            <w:pPr>
              <w:widowControl w:val="0"/>
              <w:jc w:val="both"/>
            </w:pPr>
            <w:r>
              <w:rPr>
                <w:rFonts w:ascii="Times New Roman" w:eastAsia="Times New Roman" w:hAnsi="Times New Roman" w:cs="Times New Roman"/>
                <w:color w:val="000000"/>
              </w:rPr>
              <w:t>Industries</w:t>
            </w:r>
            <w:r>
              <w:t xml:space="preserve"> </w:t>
            </w:r>
            <w:r>
              <w:rPr>
                <w:rFonts w:ascii="Times New Roman" w:eastAsia="Times New Roman" w:hAnsi="Times New Roman" w:cs="Times New Roman"/>
                <w:color w:val="000000"/>
              </w:rPr>
              <w:t xml:space="preserve">are potential sources of water pollution. We expect a positive correlation with mean annual BOD. </w:t>
            </w:r>
          </w:p>
        </w:tc>
      </w:tr>
    </w:tbl>
    <w:p w14:paraId="6251B3B5" w14:textId="77777777" w:rsidR="001D7BB7" w:rsidRDefault="001D7BB7" w:rsidP="001D7BB7">
      <w:pPr>
        <w:jc w:val="both"/>
      </w:pPr>
      <w:r>
        <w:br w:type="page"/>
      </w:r>
    </w:p>
    <w:p w14:paraId="73680AEE" w14:textId="77777777" w:rsidR="001D7BB7" w:rsidRDefault="001D7BB7" w:rsidP="001D7BB7">
      <w:pPr>
        <w:spacing w:line="480" w:lineRule="auto"/>
        <w:jc w:val="both"/>
      </w:pPr>
      <w:r>
        <w:rPr>
          <w:rFonts w:ascii="Times New Roman" w:eastAsia="Times New Roman" w:hAnsi="Times New Roman" w:cs="Times New Roman"/>
          <w:b/>
        </w:rPr>
        <w:lastRenderedPageBreak/>
        <w:t xml:space="preserve">Table 3. </w:t>
      </w:r>
      <w:r>
        <w:rPr>
          <w:rFonts w:ascii="Times New Roman" w:eastAsia="Times New Roman" w:hAnsi="Times New Roman" w:cs="Times New Roman"/>
        </w:rPr>
        <w:t>Spearman’s partial correlations (</w:t>
      </w:r>
      <w:r>
        <w:rPr>
          <w:rFonts w:ascii="Times New Roman" w:eastAsia="Times New Roman" w:hAnsi="Times New Roman" w:cs="Times New Roman"/>
          <w:i/>
        </w:rPr>
        <w:t>ρ</w:t>
      </w:r>
      <w:r>
        <w:rPr>
          <w:rFonts w:ascii="Times New Roman" w:eastAsia="Times New Roman" w:hAnsi="Times New Roman" w:cs="Times New Roman"/>
        </w:rPr>
        <w:t xml:space="preserve">; maximum a posteriori probability estimate ± standard deviations, and 95% highest density intervals) between the predicted mean annual Biological Oxygen Demand (BOD) and six environmental and socio-economic weighted covariates in the 17 departments of the province of Tucumán (Argentina) in 1980, 1991, 2001, 2010, and 2019. Covariates were weighted according to the number of 5-km cells in each department. See Table 2 for descriptions of the covariates and the methods section for details on the methods. </w:t>
      </w:r>
    </w:p>
    <w:tbl>
      <w:tblPr>
        <w:tblW w:w="14570" w:type="dxa"/>
        <w:tblInd w:w="-5" w:type="dxa"/>
        <w:tblLayout w:type="fixed"/>
        <w:tblLook w:val="0000" w:firstRow="0" w:lastRow="0" w:firstColumn="0" w:lastColumn="0" w:noHBand="0" w:noVBand="0"/>
      </w:tblPr>
      <w:tblGrid>
        <w:gridCol w:w="2428"/>
        <w:gridCol w:w="2429"/>
        <w:gridCol w:w="2429"/>
        <w:gridCol w:w="2429"/>
        <w:gridCol w:w="2430"/>
        <w:gridCol w:w="2425"/>
      </w:tblGrid>
      <w:tr w:rsidR="001D7BB7" w14:paraId="0ABB30A3" w14:textId="77777777" w:rsidTr="00605CC9">
        <w:tc>
          <w:tcPr>
            <w:tcW w:w="2428" w:type="dxa"/>
            <w:tcBorders>
              <w:top w:val="single" w:sz="4" w:space="0" w:color="000000"/>
              <w:bottom w:val="single" w:sz="4" w:space="0" w:color="000000"/>
            </w:tcBorders>
          </w:tcPr>
          <w:p w14:paraId="7978470A"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Covariate/Year</w:t>
            </w:r>
          </w:p>
        </w:tc>
        <w:tc>
          <w:tcPr>
            <w:tcW w:w="2429" w:type="dxa"/>
            <w:tcBorders>
              <w:top w:val="single" w:sz="4" w:space="0" w:color="000000"/>
              <w:bottom w:val="single" w:sz="4" w:space="0" w:color="000000"/>
            </w:tcBorders>
          </w:tcPr>
          <w:p w14:paraId="164A5122"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1980</w:t>
            </w:r>
          </w:p>
        </w:tc>
        <w:tc>
          <w:tcPr>
            <w:tcW w:w="2429" w:type="dxa"/>
            <w:tcBorders>
              <w:top w:val="single" w:sz="4" w:space="0" w:color="000000"/>
              <w:bottom w:val="single" w:sz="4" w:space="0" w:color="000000"/>
            </w:tcBorders>
          </w:tcPr>
          <w:p w14:paraId="3C173AA0"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1991</w:t>
            </w:r>
          </w:p>
        </w:tc>
        <w:tc>
          <w:tcPr>
            <w:tcW w:w="2429" w:type="dxa"/>
            <w:tcBorders>
              <w:top w:val="single" w:sz="4" w:space="0" w:color="000000"/>
              <w:bottom w:val="single" w:sz="4" w:space="0" w:color="000000"/>
            </w:tcBorders>
          </w:tcPr>
          <w:p w14:paraId="6230EB95"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2001</w:t>
            </w:r>
          </w:p>
        </w:tc>
        <w:tc>
          <w:tcPr>
            <w:tcW w:w="2430" w:type="dxa"/>
            <w:tcBorders>
              <w:top w:val="single" w:sz="4" w:space="0" w:color="000000"/>
              <w:bottom w:val="single" w:sz="4" w:space="0" w:color="000000"/>
            </w:tcBorders>
          </w:tcPr>
          <w:p w14:paraId="09CA9CB5"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2010</w:t>
            </w:r>
          </w:p>
        </w:tc>
        <w:tc>
          <w:tcPr>
            <w:tcW w:w="2425" w:type="dxa"/>
            <w:tcBorders>
              <w:top w:val="single" w:sz="4" w:space="0" w:color="000000"/>
              <w:bottom w:val="single" w:sz="4" w:space="0" w:color="000000"/>
            </w:tcBorders>
          </w:tcPr>
          <w:p w14:paraId="3CEA7C9C" w14:textId="77777777" w:rsidR="001D7BB7" w:rsidRDefault="001D7BB7" w:rsidP="00605CC9">
            <w:pPr>
              <w:widowControl w:val="0"/>
              <w:rPr>
                <w:rFonts w:ascii="Times New Roman" w:eastAsia="Times New Roman" w:hAnsi="Times New Roman" w:cs="Times New Roman"/>
                <w:b/>
                <w:color w:val="000000"/>
              </w:rPr>
            </w:pPr>
            <w:r>
              <w:rPr>
                <w:rFonts w:ascii="Times New Roman" w:eastAsia="Times New Roman" w:hAnsi="Times New Roman" w:cs="Times New Roman"/>
                <w:b/>
                <w:color w:val="000000"/>
              </w:rPr>
              <w:t>2019</w:t>
            </w:r>
          </w:p>
        </w:tc>
      </w:tr>
      <w:tr w:rsidR="001D7BB7" w14:paraId="224742CC" w14:textId="77777777" w:rsidTr="00605CC9">
        <w:tc>
          <w:tcPr>
            <w:tcW w:w="2428" w:type="dxa"/>
            <w:tcBorders>
              <w:bottom w:val="single" w:sz="4" w:space="0" w:color="000000"/>
            </w:tcBorders>
          </w:tcPr>
          <w:p w14:paraId="4A45870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Leaf Area Index of High Vegetation</w:t>
            </w:r>
          </w:p>
        </w:tc>
        <w:tc>
          <w:tcPr>
            <w:tcW w:w="2429" w:type="dxa"/>
            <w:tcBorders>
              <w:bottom w:val="single" w:sz="4" w:space="0" w:color="000000"/>
            </w:tcBorders>
          </w:tcPr>
          <w:p w14:paraId="6859D8A7"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0.12 ± 0.19</w:t>
            </w:r>
          </w:p>
          <w:p w14:paraId="59D978F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(-0.27, 0.48)</w:t>
            </w:r>
          </w:p>
          <w:p w14:paraId="0701ECE7" w14:textId="77777777" w:rsidR="001D7BB7" w:rsidRDefault="001D7BB7" w:rsidP="00605CC9">
            <w:pPr>
              <w:widowControl w:val="0"/>
              <w:rPr>
                <w:rFonts w:ascii="Times New Roman" w:eastAsia="Times New Roman" w:hAnsi="Times New Roman" w:cs="Times New Roman"/>
                <w:color w:val="000000"/>
              </w:rPr>
            </w:pPr>
          </w:p>
          <w:p w14:paraId="6FEA1F99"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0.23</w:t>
            </w:r>
          </w:p>
        </w:tc>
        <w:tc>
          <w:tcPr>
            <w:tcW w:w="2429" w:type="dxa"/>
            <w:tcBorders>
              <w:bottom w:val="single" w:sz="4" w:space="0" w:color="000000"/>
            </w:tcBorders>
          </w:tcPr>
          <w:p w14:paraId="03CB2DF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0.17 ± 0.20</w:t>
            </w:r>
          </w:p>
          <w:p w14:paraId="24AE25A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(-0.26, 0.52)</w:t>
            </w:r>
          </w:p>
          <w:p w14:paraId="47E867B7" w14:textId="77777777" w:rsidR="001D7BB7" w:rsidRDefault="001D7BB7" w:rsidP="00605CC9">
            <w:pPr>
              <w:widowControl w:val="0"/>
              <w:rPr>
                <w:rFonts w:ascii="Times New Roman" w:eastAsia="Times New Roman" w:hAnsi="Times New Roman" w:cs="Times New Roman"/>
                <w:color w:val="000000"/>
              </w:rPr>
            </w:pPr>
          </w:p>
          <w:p w14:paraId="39DFB9B6"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0.23</w:t>
            </w:r>
          </w:p>
        </w:tc>
        <w:tc>
          <w:tcPr>
            <w:tcW w:w="2429" w:type="dxa"/>
            <w:tcBorders>
              <w:bottom w:val="single" w:sz="4" w:space="0" w:color="000000"/>
            </w:tcBorders>
          </w:tcPr>
          <w:p w14:paraId="56E459FA"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0.26 ± 0.20</w:t>
            </w:r>
          </w:p>
          <w:p w14:paraId="115CA404"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(-0.15, 0.61)</w:t>
            </w:r>
          </w:p>
          <w:p w14:paraId="2A0CD8EA" w14:textId="77777777" w:rsidR="001D7BB7" w:rsidRDefault="001D7BB7" w:rsidP="00605CC9">
            <w:pPr>
              <w:widowControl w:val="0"/>
              <w:rPr>
                <w:rFonts w:ascii="Times New Roman" w:eastAsia="Times New Roman" w:hAnsi="Times New Roman" w:cs="Times New Roman"/>
                <w:color w:val="000000"/>
              </w:rPr>
            </w:pPr>
          </w:p>
          <w:p w14:paraId="49EA49F8"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0.10</w:t>
            </w:r>
          </w:p>
        </w:tc>
        <w:tc>
          <w:tcPr>
            <w:tcW w:w="2430" w:type="dxa"/>
            <w:tcBorders>
              <w:bottom w:val="single" w:sz="4" w:space="0" w:color="000000"/>
            </w:tcBorders>
          </w:tcPr>
          <w:p w14:paraId="3C249B7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0.44 ± 0.24</w:t>
            </w:r>
          </w:p>
          <w:p w14:paraId="636C0A8D"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(-0.18, 0.72)</w:t>
            </w:r>
          </w:p>
          <w:p w14:paraId="42DDAE85" w14:textId="77777777" w:rsidR="001D7BB7" w:rsidRDefault="001D7BB7" w:rsidP="00605CC9">
            <w:pPr>
              <w:widowControl w:val="0"/>
              <w:rPr>
                <w:rFonts w:ascii="Times New Roman" w:eastAsia="Times New Roman" w:hAnsi="Times New Roman" w:cs="Times New Roman"/>
                <w:color w:val="000000"/>
              </w:rPr>
            </w:pPr>
          </w:p>
          <w:p w14:paraId="4D7D025A"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0.11</w:t>
            </w:r>
          </w:p>
        </w:tc>
        <w:tc>
          <w:tcPr>
            <w:tcW w:w="2425" w:type="dxa"/>
            <w:tcBorders>
              <w:bottom w:val="single" w:sz="4" w:space="0" w:color="000000"/>
            </w:tcBorders>
          </w:tcPr>
          <w:p w14:paraId="4FD00EF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0.12 ± 0.26</w:t>
            </w:r>
          </w:p>
          <w:p w14:paraId="7BDACC27"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(-0.40, 0.61)</w:t>
            </w:r>
          </w:p>
          <w:p w14:paraId="13D6FDBD" w14:textId="77777777" w:rsidR="001D7BB7" w:rsidRDefault="001D7BB7" w:rsidP="00605CC9">
            <w:pPr>
              <w:widowControl w:val="0"/>
              <w:rPr>
                <w:rFonts w:ascii="Times New Roman" w:eastAsia="Times New Roman" w:hAnsi="Times New Roman" w:cs="Times New Roman"/>
                <w:color w:val="000000"/>
              </w:rPr>
            </w:pPr>
          </w:p>
          <w:p w14:paraId="39D10205"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0.49</w:t>
            </w:r>
          </w:p>
        </w:tc>
      </w:tr>
      <w:tr w:rsidR="001D7BB7" w14:paraId="7421D944" w14:textId="77777777" w:rsidTr="00605CC9">
        <w:tc>
          <w:tcPr>
            <w:tcW w:w="2428" w:type="dxa"/>
            <w:tcBorders>
              <w:bottom w:val="single" w:sz="4" w:space="0" w:color="000000"/>
            </w:tcBorders>
          </w:tcPr>
          <w:p w14:paraId="22DA62CE"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Mean total annual precipitation</w:t>
            </w:r>
          </w:p>
        </w:tc>
        <w:tc>
          <w:tcPr>
            <w:tcW w:w="2429" w:type="dxa"/>
            <w:tcBorders>
              <w:bottom w:val="single" w:sz="4" w:space="0" w:color="000000"/>
            </w:tcBorders>
          </w:tcPr>
          <w:p w14:paraId="2F0D326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-0.13 ± 0.19</w:t>
            </w:r>
          </w:p>
          <w:p w14:paraId="2852A04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(-0.45, -0.31)</w:t>
            </w:r>
          </w:p>
          <w:p w14:paraId="04DAE8D5" w14:textId="77777777" w:rsidR="001D7BB7" w:rsidRDefault="001D7BB7" w:rsidP="00605CC9">
            <w:pPr>
              <w:widowControl w:val="0"/>
              <w:rPr>
                <w:rFonts w:ascii="Times New Roman" w:eastAsia="Times New Roman" w:hAnsi="Times New Roman" w:cs="Times New Roman"/>
                <w:color w:val="000000"/>
              </w:rPr>
            </w:pPr>
          </w:p>
          <w:p w14:paraId="5D22F996"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0.31</w:t>
            </w:r>
          </w:p>
        </w:tc>
        <w:tc>
          <w:tcPr>
            <w:tcW w:w="2429" w:type="dxa"/>
            <w:tcBorders>
              <w:bottom w:val="single" w:sz="4" w:space="0" w:color="000000"/>
            </w:tcBorders>
          </w:tcPr>
          <w:p w14:paraId="21CDD0E7"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-0.07 ± 0.18</w:t>
            </w:r>
          </w:p>
          <w:p w14:paraId="6FD3E67C"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(-0.48, 0.27)</w:t>
            </w:r>
          </w:p>
          <w:p w14:paraId="2F3E2892" w14:textId="77777777" w:rsidR="001D7BB7" w:rsidRDefault="001D7BB7" w:rsidP="00605CC9">
            <w:pPr>
              <w:widowControl w:val="0"/>
              <w:rPr>
                <w:rFonts w:ascii="Times New Roman" w:eastAsia="Times New Roman" w:hAnsi="Times New Roman" w:cs="Times New Roman"/>
                <w:color w:val="000000"/>
              </w:rPr>
            </w:pPr>
          </w:p>
          <w:p w14:paraId="7EA736E3"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0.33</w:t>
            </w:r>
          </w:p>
        </w:tc>
        <w:tc>
          <w:tcPr>
            <w:tcW w:w="2429" w:type="dxa"/>
            <w:tcBorders>
              <w:bottom w:val="single" w:sz="4" w:space="0" w:color="000000"/>
            </w:tcBorders>
          </w:tcPr>
          <w:p w14:paraId="6FF1981A"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0.02 ± 0.30</w:t>
            </w:r>
          </w:p>
          <w:p w14:paraId="2264FE2E"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(-0.57, 0.50)</w:t>
            </w:r>
          </w:p>
          <w:p w14:paraId="1777F15F" w14:textId="77777777" w:rsidR="001D7BB7" w:rsidRDefault="001D7BB7" w:rsidP="00605CC9">
            <w:pPr>
              <w:widowControl w:val="0"/>
              <w:rPr>
                <w:rFonts w:ascii="Times New Roman" w:eastAsia="Times New Roman" w:hAnsi="Times New Roman" w:cs="Times New Roman"/>
                <w:color w:val="000000"/>
              </w:rPr>
            </w:pPr>
          </w:p>
          <w:p w14:paraId="6F738800"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0.45</w:t>
            </w:r>
          </w:p>
        </w:tc>
        <w:tc>
          <w:tcPr>
            <w:tcW w:w="2430" w:type="dxa"/>
            <w:tcBorders>
              <w:bottom w:val="single" w:sz="4" w:space="0" w:color="000000"/>
            </w:tcBorders>
          </w:tcPr>
          <w:p w14:paraId="3E35549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-0.06 ± 0.24</w:t>
            </w:r>
          </w:p>
          <w:p w14:paraId="1EFA468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(-0.56, 0.38)</w:t>
            </w:r>
          </w:p>
          <w:p w14:paraId="02704239" w14:textId="77777777" w:rsidR="001D7BB7" w:rsidRDefault="001D7BB7" w:rsidP="00605CC9">
            <w:pPr>
              <w:widowControl w:val="0"/>
              <w:rPr>
                <w:rFonts w:ascii="Times New Roman" w:eastAsia="Times New Roman" w:hAnsi="Times New Roman" w:cs="Times New Roman"/>
                <w:color w:val="000000"/>
              </w:rPr>
            </w:pPr>
          </w:p>
          <w:p w14:paraId="27A93962"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0.40</w:t>
            </w:r>
          </w:p>
        </w:tc>
        <w:tc>
          <w:tcPr>
            <w:tcW w:w="2425" w:type="dxa"/>
            <w:tcBorders>
              <w:bottom w:val="single" w:sz="4" w:space="0" w:color="000000"/>
            </w:tcBorders>
          </w:tcPr>
          <w:p w14:paraId="220B32AE"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0.05 ± 0.27</w:t>
            </w:r>
          </w:p>
          <w:p w14:paraId="22A41208"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(-0.51, 0.51)</w:t>
            </w:r>
          </w:p>
          <w:p w14:paraId="0B548810" w14:textId="77777777" w:rsidR="001D7BB7" w:rsidRDefault="001D7BB7" w:rsidP="00605CC9">
            <w:pPr>
              <w:widowControl w:val="0"/>
              <w:rPr>
                <w:rFonts w:ascii="Times New Roman" w:eastAsia="Times New Roman" w:hAnsi="Times New Roman" w:cs="Times New Roman"/>
                <w:color w:val="000000"/>
              </w:rPr>
            </w:pPr>
          </w:p>
          <w:p w14:paraId="44F48868"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0.49</w:t>
            </w:r>
          </w:p>
        </w:tc>
      </w:tr>
      <w:tr w:rsidR="001D7BB7" w14:paraId="21622E9F" w14:textId="77777777" w:rsidTr="00605CC9">
        <w:tc>
          <w:tcPr>
            <w:tcW w:w="2428" w:type="dxa"/>
            <w:tcBorders>
              <w:bottom w:val="single" w:sz="4" w:space="0" w:color="000000"/>
            </w:tcBorders>
          </w:tcPr>
          <w:p w14:paraId="5198FD9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Mean surface temperature</w:t>
            </w:r>
          </w:p>
        </w:tc>
        <w:tc>
          <w:tcPr>
            <w:tcW w:w="2429" w:type="dxa"/>
            <w:tcBorders>
              <w:bottom w:val="single" w:sz="4" w:space="0" w:color="000000"/>
            </w:tcBorders>
          </w:tcPr>
          <w:p w14:paraId="7545554E"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0.47 ± 0.18</w:t>
            </w:r>
          </w:p>
          <w:p w14:paraId="7FE68E2A"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(0.08, 0.76)</w:t>
            </w:r>
          </w:p>
          <w:p w14:paraId="4AE8D2C6" w14:textId="77777777" w:rsidR="001D7BB7" w:rsidRDefault="001D7BB7" w:rsidP="00605CC9">
            <w:pPr>
              <w:widowControl w:val="0"/>
              <w:rPr>
                <w:rFonts w:ascii="Times New Roman" w:eastAsia="Times New Roman" w:hAnsi="Times New Roman" w:cs="Times New Roman"/>
                <w:color w:val="000000"/>
              </w:rPr>
            </w:pPr>
          </w:p>
          <w:p w14:paraId="60EAD6F6"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0.02</w:t>
            </w:r>
          </w:p>
        </w:tc>
        <w:tc>
          <w:tcPr>
            <w:tcW w:w="2429" w:type="dxa"/>
            <w:tcBorders>
              <w:bottom w:val="single" w:sz="4" w:space="0" w:color="000000"/>
            </w:tcBorders>
          </w:tcPr>
          <w:p w14:paraId="2C457DD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0.64 ± 0.15</w:t>
            </w:r>
          </w:p>
          <w:p w14:paraId="00F8D50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(0.28, 0.85)</w:t>
            </w:r>
          </w:p>
          <w:p w14:paraId="651245E9" w14:textId="77777777" w:rsidR="001D7BB7" w:rsidRDefault="001D7BB7" w:rsidP="00605CC9">
            <w:pPr>
              <w:widowControl w:val="0"/>
              <w:rPr>
                <w:rFonts w:ascii="Times New Roman" w:eastAsia="Times New Roman" w:hAnsi="Times New Roman" w:cs="Times New Roman"/>
                <w:color w:val="000000"/>
              </w:rPr>
            </w:pPr>
          </w:p>
          <w:p w14:paraId="0910F4F5"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c>
          <w:tcPr>
            <w:tcW w:w="2429" w:type="dxa"/>
            <w:tcBorders>
              <w:bottom w:val="single" w:sz="4" w:space="0" w:color="000000"/>
            </w:tcBorders>
          </w:tcPr>
          <w:p w14:paraId="6A921CDD"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0.20 ± 0.27</w:t>
            </w:r>
          </w:p>
          <w:p w14:paraId="026A3D87"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(-0.30, 0.66)</w:t>
            </w:r>
          </w:p>
          <w:p w14:paraId="40C72575" w14:textId="77777777" w:rsidR="001D7BB7" w:rsidRDefault="001D7BB7" w:rsidP="00605CC9">
            <w:pPr>
              <w:widowControl w:val="0"/>
              <w:rPr>
                <w:rFonts w:ascii="Times New Roman" w:eastAsia="Times New Roman" w:hAnsi="Times New Roman" w:cs="Times New Roman"/>
                <w:color w:val="000000"/>
              </w:rPr>
            </w:pPr>
          </w:p>
          <w:p w14:paraId="32F4C2F0"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0.27</w:t>
            </w:r>
          </w:p>
        </w:tc>
        <w:tc>
          <w:tcPr>
            <w:tcW w:w="2430" w:type="dxa"/>
            <w:tcBorders>
              <w:bottom w:val="single" w:sz="4" w:space="0" w:color="000000"/>
            </w:tcBorders>
          </w:tcPr>
          <w:p w14:paraId="72E73BF7"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0.64 ± 0.19</w:t>
            </w:r>
          </w:p>
          <w:p w14:paraId="2BF4573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(0.17, 0.86)</w:t>
            </w:r>
          </w:p>
          <w:p w14:paraId="57C27C6C" w14:textId="77777777" w:rsidR="001D7BB7" w:rsidRDefault="001D7BB7" w:rsidP="00605CC9">
            <w:pPr>
              <w:widowControl w:val="0"/>
              <w:rPr>
                <w:rFonts w:ascii="Times New Roman" w:eastAsia="Times New Roman" w:hAnsi="Times New Roman" w:cs="Times New Roman"/>
                <w:color w:val="000000"/>
              </w:rPr>
            </w:pPr>
          </w:p>
          <w:p w14:paraId="5B2C11DA"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c>
          <w:tcPr>
            <w:tcW w:w="2425" w:type="dxa"/>
            <w:tcBorders>
              <w:bottom w:val="single" w:sz="4" w:space="0" w:color="000000"/>
            </w:tcBorders>
          </w:tcPr>
          <w:p w14:paraId="44B5B12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0.71 ± 0.18</w:t>
            </w:r>
          </w:p>
          <w:p w14:paraId="0959567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(0.23, 0.90)</w:t>
            </w:r>
          </w:p>
          <w:p w14:paraId="43580441" w14:textId="77777777" w:rsidR="001D7BB7" w:rsidRDefault="001D7BB7" w:rsidP="00605CC9">
            <w:pPr>
              <w:widowControl w:val="0"/>
              <w:rPr>
                <w:rFonts w:ascii="Times New Roman" w:eastAsia="Times New Roman" w:hAnsi="Times New Roman" w:cs="Times New Roman"/>
                <w:color w:val="000000"/>
              </w:rPr>
            </w:pPr>
          </w:p>
          <w:p w14:paraId="22A7FB58"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r>
      <w:tr w:rsidR="001D7BB7" w14:paraId="02FE930A" w14:textId="77777777" w:rsidTr="00605CC9">
        <w:tc>
          <w:tcPr>
            <w:tcW w:w="2428" w:type="dxa"/>
            <w:tcBorders>
              <w:bottom w:val="single" w:sz="4" w:space="0" w:color="000000"/>
            </w:tcBorders>
          </w:tcPr>
          <w:p w14:paraId="4EA34075"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Population density</w:t>
            </w:r>
          </w:p>
        </w:tc>
        <w:tc>
          <w:tcPr>
            <w:tcW w:w="2429" w:type="dxa"/>
            <w:tcBorders>
              <w:bottom w:val="single" w:sz="4" w:space="0" w:color="000000"/>
            </w:tcBorders>
          </w:tcPr>
          <w:p w14:paraId="67ECB945"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-0.13 ± 0.24</w:t>
            </w:r>
          </w:p>
          <w:p w14:paraId="7F8C7410"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(-0.49, 0.44)</w:t>
            </w:r>
          </w:p>
          <w:p w14:paraId="4A4D8E83" w14:textId="77777777" w:rsidR="001D7BB7" w:rsidRDefault="001D7BB7" w:rsidP="00605CC9">
            <w:pPr>
              <w:widowControl w:val="0"/>
              <w:rPr>
                <w:rFonts w:ascii="Times New Roman" w:eastAsia="Times New Roman" w:hAnsi="Times New Roman" w:cs="Times New Roman"/>
                <w:color w:val="000000"/>
              </w:rPr>
            </w:pPr>
          </w:p>
          <w:p w14:paraId="1C610571"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0.36</w:t>
            </w:r>
          </w:p>
        </w:tc>
        <w:tc>
          <w:tcPr>
            <w:tcW w:w="2429" w:type="dxa"/>
            <w:tcBorders>
              <w:bottom w:val="single" w:sz="4" w:space="0" w:color="000000"/>
            </w:tcBorders>
          </w:tcPr>
          <w:p w14:paraId="511A8F5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-0.42 ± 0.25</w:t>
            </w:r>
          </w:p>
          <w:p w14:paraId="02F943BD"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(-0.73, -0.22)</w:t>
            </w:r>
          </w:p>
          <w:p w14:paraId="2FA8624F" w14:textId="77777777" w:rsidR="001D7BB7" w:rsidRDefault="001D7BB7" w:rsidP="00605CC9">
            <w:pPr>
              <w:widowControl w:val="0"/>
              <w:rPr>
                <w:rFonts w:ascii="Times New Roman" w:eastAsia="Times New Roman" w:hAnsi="Times New Roman" w:cs="Times New Roman"/>
                <w:color w:val="000000"/>
              </w:rPr>
            </w:pPr>
          </w:p>
          <w:p w14:paraId="69D03077"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0.10</w:t>
            </w:r>
          </w:p>
        </w:tc>
        <w:tc>
          <w:tcPr>
            <w:tcW w:w="2429" w:type="dxa"/>
            <w:tcBorders>
              <w:bottom w:val="single" w:sz="4" w:space="0" w:color="000000"/>
            </w:tcBorders>
          </w:tcPr>
          <w:p w14:paraId="72E025C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-0.49 ± 0.12</w:t>
            </w:r>
          </w:p>
          <w:p w14:paraId="1C177B9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(-0.70, -0.23)</w:t>
            </w:r>
          </w:p>
          <w:p w14:paraId="4BEC762A" w14:textId="77777777" w:rsidR="001D7BB7" w:rsidRDefault="001D7BB7" w:rsidP="00605CC9">
            <w:pPr>
              <w:widowControl w:val="0"/>
              <w:rPr>
                <w:rFonts w:ascii="Times New Roman" w:eastAsia="Times New Roman" w:hAnsi="Times New Roman" w:cs="Times New Roman"/>
                <w:color w:val="000000"/>
              </w:rPr>
            </w:pPr>
          </w:p>
          <w:p w14:paraId="497E1933"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c>
          <w:tcPr>
            <w:tcW w:w="2430" w:type="dxa"/>
            <w:tcBorders>
              <w:bottom w:val="single" w:sz="4" w:space="0" w:color="000000"/>
            </w:tcBorders>
          </w:tcPr>
          <w:p w14:paraId="0599A19B"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-0.16 ± 0.30</w:t>
            </w:r>
          </w:p>
          <w:p w14:paraId="71D9763F"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(-0.59, 0.54)</w:t>
            </w:r>
          </w:p>
          <w:p w14:paraId="3E9A3EE8" w14:textId="77777777" w:rsidR="001D7BB7" w:rsidRDefault="001D7BB7" w:rsidP="00605CC9">
            <w:pPr>
              <w:widowControl w:val="0"/>
              <w:rPr>
                <w:rFonts w:ascii="Times New Roman" w:eastAsia="Times New Roman" w:hAnsi="Times New Roman" w:cs="Times New Roman"/>
                <w:color w:val="000000"/>
              </w:rPr>
            </w:pPr>
          </w:p>
          <w:p w14:paraId="3E6C1309"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0.36</w:t>
            </w:r>
          </w:p>
        </w:tc>
        <w:tc>
          <w:tcPr>
            <w:tcW w:w="2425" w:type="dxa"/>
            <w:tcBorders>
              <w:bottom w:val="single" w:sz="4" w:space="0" w:color="000000"/>
            </w:tcBorders>
          </w:tcPr>
          <w:p w14:paraId="5323286B"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0.02 ± 0.30</w:t>
            </w:r>
          </w:p>
          <w:p w14:paraId="06D27D25"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(-0.54, 0.60)</w:t>
            </w:r>
          </w:p>
          <w:p w14:paraId="5417B9F9" w14:textId="77777777" w:rsidR="001D7BB7" w:rsidRDefault="001D7BB7" w:rsidP="00605CC9">
            <w:pPr>
              <w:widowControl w:val="0"/>
              <w:rPr>
                <w:rFonts w:ascii="Times New Roman" w:eastAsia="Times New Roman" w:hAnsi="Times New Roman" w:cs="Times New Roman"/>
                <w:color w:val="000000"/>
              </w:rPr>
            </w:pPr>
          </w:p>
          <w:p w14:paraId="2D4674E0"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0.49</w:t>
            </w:r>
          </w:p>
        </w:tc>
      </w:tr>
      <w:tr w:rsidR="001D7BB7" w14:paraId="770EE526" w14:textId="77777777" w:rsidTr="00605CC9">
        <w:tc>
          <w:tcPr>
            <w:tcW w:w="2428" w:type="dxa"/>
            <w:tcBorders>
              <w:bottom w:val="single" w:sz="4" w:space="0" w:color="000000"/>
            </w:tcBorders>
          </w:tcPr>
          <w:p w14:paraId="7B5B9C0E"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Precarious housing</w:t>
            </w:r>
          </w:p>
        </w:tc>
        <w:tc>
          <w:tcPr>
            <w:tcW w:w="2429" w:type="dxa"/>
            <w:tcBorders>
              <w:bottom w:val="single" w:sz="4" w:space="0" w:color="000000"/>
            </w:tcBorders>
          </w:tcPr>
          <w:p w14:paraId="047EB27D"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-0.18 ± 0.20</w:t>
            </w:r>
          </w:p>
          <w:p w14:paraId="0B921119"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(-0.52, 0.25)</w:t>
            </w:r>
          </w:p>
          <w:p w14:paraId="7DA69B95" w14:textId="77777777" w:rsidR="001D7BB7" w:rsidRDefault="001D7BB7" w:rsidP="00605CC9">
            <w:pPr>
              <w:widowControl w:val="0"/>
              <w:rPr>
                <w:rFonts w:ascii="Times New Roman" w:eastAsia="Times New Roman" w:hAnsi="Times New Roman" w:cs="Times New Roman"/>
                <w:color w:val="000000"/>
              </w:rPr>
            </w:pPr>
          </w:p>
          <w:p w14:paraId="7BABA979"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0.25</w:t>
            </w:r>
          </w:p>
        </w:tc>
        <w:tc>
          <w:tcPr>
            <w:tcW w:w="2429" w:type="dxa"/>
            <w:tcBorders>
              <w:bottom w:val="single" w:sz="4" w:space="0" w:color="000000"/>
            </w:tcBorders>
          </w:tcPr>
          <w:p w14:paraId="03917B0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0.13 ± 0.23</w:t>
            </w:r>
          </w:p>
          <w:p w14:paraId="7F295697"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(-0.33, 0.57)</w:t>
            </w:r>
          </w:p>
          <w:p w14:paraId="6FEBCEA5" w14:textId="77777777" w:rsidR="001D7BB7" w:rsidRDefault="001D7BB7" w:rsidP="00605CC9">
            <w:pPr>
              <w:widowControl w:val="0"/>
              <w:rPr>
                <w:rFonts w:ascii="Times New Roman" w:eastAsia="Times New Roman" w:hAnsi="Times New Roman" w:cs="Times New Roman"/>
                <w:color w:val="000000"/>
              </w:rPr>
            </w:pPr>
          </w:p>
          <w:p w14:paraId="44639072"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0.30</w:t>
            </w:r>
          </w:p>
        </w:tc>
        <w:tc>
          <w:tcPr>
            <w:tcW w:w="2429" w:type="dxa"/>
            <w:tcBorders>
              <w:bottom w:val="single" w:sz="4" w:space="0" w:color="000000"/>
            </w:tcBorders>
          </w:tcPr>
          <w:p w14:paraId="3AA92CAC"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-0.13 ± 0.18</w:t>
            </w:r>
          </w:p>
          <w:p w14:paraId="0723925D"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(-0.45, 0.23)</w:t>
            </w:r>
          </w:p>
          <w:p w14:paraId="7AB29F05" w14:textId="77777777" w:rsidR="001D7BB7" w:rsidRDefault="001D7BB7" w:rsidP="00605CC9">
            <w:pPr>
              <w:widowControl w:val="0"/>
              <w:rPr>
                <w:rFonts w:ascii="Times New Roman" w:eastAsia="Times New Roman" w:hAnsi="Times New Roman" w:cs="Times New Roman"/>
                <w:color w:val="000000"/>
              </w:rPr>
            </w:pPr>
          </w:p>
          <w:p w14:paraId="318B8D96"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0.23</w:t>
            </w:r>
          </w:p>
        </w:tc>
        <w:tc>
          <w:tcPr>
            <w:tcW w:w="2430" w:type="dxa"/>
            <w:tcBorders>
              <w:bottom w:val="single" w:sz="4" w:space="0" w:color="000000"/>
            </w:tcBorders>
          </w:tcPr>
          <w:p w14:paraId="51C3764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-0.37 ± 0.29</w:t>
            </w:r>
          </w:p>
          <w:p w14:paraId="529C6F6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(-074, 0.35)</w:t>
            </w:r>
          </w:p>
          <w:p w14:paraId="5669DF49" w14:textId="77777777" w:rsidR="001D7BB7" w:rsidRDefault="001D7BB7" w:rsidP="00605CC9">
            <w:pPr>
              <w:widowControl w:val="0"/>
              <w:rPr>
                <w:rFonts w:ascii="Times New Roman" w:eastAsia="Times New Roman" w:hAnsi="Times New Roman" w:cs="Times New Roman"/>
                <w:color w:val="000000"/>
              </w:rPr>
            </w:pPr>
          </w:p>
          <w:p w14:paraId="36A7E7CF"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0.18</w:t>
            </w:r>
          </w:p>
        </w:tc>
        <w:tc>
          <w:tcPr>
            <w:tcW w:w="2425" w:type="dxa"/>
            <w:tcBorders>
              <w:bottom w:val="single" w:sz="4" w:space="0" w:color="000000"/>
            </w:tcBorders>
          </w:tcPr>
          <w:p w14:paraId="6274C67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-0.40 ± 0.30</w:t>
            </w:r>
          </w:p>
          <w:p w14:paraId="34EDB983"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(-0.80, 0.30)</w:t>
            </w:r>
          </w:p>
          <w:p w14:paraId="1EF2B5FA" w14:textId="77777777" w:rsidR="001D7BB7" w:rsidRDefault="001D7BB7" w:rsidP="00605CC9">
            <w:pPr>
              <w:widowControl w:val="0"/>
              <w:rPr>
                <w:rFonts w:ascii="Times New Roman" w:eastAsia="Times New Roman" w:hAnsi="Times New Roman" w:cs="Times New Roman"/>
                <w:color w:val="000000"/>
              </w:rPr>
            </w:pPr>
          </w:p>
          <w:p w14:paraId="603BF410"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0.18</w:t>
            </w:r>
          </w:p>
        </w:tc>
      </w:tr>
      <w:tr w:rsidR="001D7BB7" w14:paraId="22A9CF97" w14:textId="77777777" w:rsidTr="00605CC9">
        <w:tc>
          <w:tcPr>
            <w:tcW w:w="2428" w:type="dxa"/>
            <w:tcBorders>
              <w:bottom w:val="single" w:sz="4" w:space="0" w:color="000000"/>
            </w:tcBorders>
          </w:tcPr>
          <w:p w14:paraId="1179CCC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 xml:space="preserve">Density of industries </w:t>
            </w:r>
          </w:p>
        </w:tc>
        <w:tc>
          <w:tcPr>
            <w:tcW w:w="2429" w:type="dxa"/>
            <w:tcBorders>
              <w:bottom w:val="single" w:sz="4" w:space="0" w:color="000000"/>
            </w:tcBorders>
          </w:tcPr>
          <w:p w14:paraId="08B0DBF6"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0.67 ± 0.15</w:t>
            </w:r>
          </w:p>
          <w:p w14:paraId="03F329AA"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(0.34, 0.84)</w:t>
            </w:r>
          </w:p>
          <w:p w14:paraId="22920233" w14:textId="77777777" w:rsidR="001D7BB7" w:rsidRDefault="001D7BB7" w:rsidP="00605CC9">
            <w:pPr>
              <w:widowControl w:val="0"/>
              <w:rPr>
                <w:rFonts w:ascii="Times New Roman" w:eastAsia="Times New Roman" w:hAnsi="Times New Roman" w:cs="Times New Roman"/>
                <w:color w:val="000000"/>
              </w:rPr>
            </w:pPr>
          </w:p>
          <w:p w14:paraId="566B3525"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c>
          <w:tcPr>
            <w:tcW w:w="2429" w:type="dxa"/>
            <w:tcBorders>
              <w:bottom w:val="single" w:sz="4" w:space="0" w:color="000000"/>
            </w:tcBorders>
          </w:tcPr>
          <w:p w14:paraId="69E2A56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0.63 ± 0.17</w:t>
            </w:r>
          </w:p>
          <w:p w14:paraId="36EF6B6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(0.22, 0.82)</w:t>
            </w:r>
          </w:p>
          <w:p w14:paraId="19F74CB8" w14:textId="77777777" w:rsidR="001D7BB7" w:rsidRDefault="001D7BB7" w:rsidP="00605CC9">
            <w:pPr>
              <w:widowControl w:val="0"/>
              <w:rPr>
                <w:rFonts w:ascii="Times New Roman" w:eastAsia="Times New Roman" w:hAnsi="Times New Roman" w:cs="Times New Roman"/>
                <w:color w:val="000000"/>
              </w:rPr>
            </w:pPr>
          </w:p>
          <w:p w14:paraId="3F46F893"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0.02</w:t>
            </w:r>
          </w:p>
        </w:tc>
        <w:tc>
          <w:tcPr>
            <w:tcW w:w="2429" w:type="dxa"/>
            <w:tcBorders>
              <w:bottom w:val="single" w:sz="4" w:space="0" w:color="000000"/>
            </w:tcBorders>
          </w:tcPr>
          <w:p w14:paraId="20BAEF0E"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0.39 ± 0.14</w:t>
            </w:r>
          </w:p>
          <w:p w14:paraId="3E71A2C9"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(0.10, 0.64)</w:t>
            </w:r>
          </w:p>
          <w:p w14:paraId="287EC36D" w14:textId="77777777" w:rsidR="001D7BB7" w:rsidRDefault="001D7BB7" w:rsidP="00605CC9">
            <w:pPr>
              <w:widowControl w:val="0"/>
              <w:rPr>
                <w:rFonts w:ascii="Times New Roman" w:eastAsia="Times New Roman" w:hAnsi="Times New Roman" w:cs="Times New Roman"/>
                <w:color w:val="000000"/>
              </w:rPr>
            </w:pPr>
          </w:p>
          <w:p w14:paraId="221BEE3D"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c>
          <w:tcPr>
            <w:tcW w:w="2430" w:type="dxa"/>
            <w:tcBorders>
              <w:bottom w:val="single" w:sz="4" w:space="0" w:color="000000"/>
            </w:tcBorders>
          </w:tcPr>
          <w:p w14:paraId="248F5222"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0.77 ± 0.18</w:t>
            </w:r>
          </w:p>
          <w:p w14:paraId="294EB021"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(0.35, 0.92)</w:t>
            </w:r>
          </w:p>
          <w:p w14:paraId="4AC7AA4B" w14:textId="77777777" w:rsidR="001D7BB7" w:rsidRDefault="001D7BB7" w:rsidP="00605CC9">
            <w:pPr>
              <w:widowControl w:val="0"/>
              <w:rPr>
                <w:rFonts w:ascii="Times New Roman" w:eastAsia="Times New Roman" w:hAnsi="Times New Roman" w:cs="Times New Roman"/>
                <w:color w:val="000000"/>
              </w:rPr>
            </w:pPr>
          </w:p>
          <w:p w14:paraId="68DCE3F3"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c>
          <w:tcPr>
            <w:tcW w:w="2425" w:type="dxa"/>
            <w:tcBorders>
              <w:bottom w:val="single" w:sz="4" w:space="0" w:color="000000"/>
            </w:tcBorders>
          </w:tcPr>
          <w:p w14:paraId="7D21BFE9"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0.75 ± 0.18</w:t>
            </w:r>
          </w:p>
          <w:p w14:paraId="12CC374C" w14:textId="77777777" w:rsidR="001D7BB7" w:rsidRDefault="001D7BB7" w:rsidP="00605CC9">
            <w:pPr>
              <w:widowControl w:val="0"/>
              <w:rPr>
                <w:rFonts w:ascii="Times New Roman" w:eastAsia="Times New Roman" w:hAnsi="Times New Roman" w:cs="Times New Roman"/>
                <w:color w:val="000000"/>
              </w:rPr>
            </w:pPr>
            <w:r>
              <w:rPr>
                <w:rFonts w:ascii="Times New Roman" w:eastAsia="Times New Roman" w:hAnsi="Times New Roman" w:cs="Times New Roman"/>
                <w:color w:val="000000"/>
              </w:rPr>
              <w:t>(0.32, 0.91)</w:t>
            </w:r>
          </w:p>
          <w:p w14:paraId="3F721695" w14:textId="77777777" w:rsidR="001D7BB7" w:rsidRDefault="001D7BB7" w:rsidP="00605CC9">
            <w:pPr>
              <w:widowControl w:val="0"/>
              <w:rPr>
                <w:rFonts w:ascii="Times New Roman" w:eastAsia="Times New Roman" w:hAnsi="Times New Roman" w:cs="Times New Roman"/>
                <w:color w:val="000000"/>
              </w:rPr>
            </w:pPr>
          </w:p>
          <w:p w14:paraId="16D91FE8" w14:textId="77777777" w:rsidR="001D7BB7" w:rsidRDefault="001D7BB7" w:rsidP="00605CC9">
            <w:pPr>
              <w:widowControl w:val="0"/>
            </w:pPr>
            <w:r>
              <w:rPr>
                <w:rFonts w:ascii="Times New Roman" w:eastAsia="Times New Roman" w:hAnsi="Times New Roman" w:cs="Times New Roman"/>
                <w:color w:val="000000"/>
              </w:rPr>
              <w:t>P(</w:t>
            </w:r>
            <w:r>
              <w:rPr>
                <w:rFonts w:ascii="Times New Roman" w:eastAsia="Times New Roman" w:hAnsi="Times New Roman" w:cs="Times New Roman"/>
                <w:i/>
                <w:color w:val="000000"/>
              </w:rPr>
              <w:t>ρ</w:t>
            </w:r>
            <w:r>
              <w:rPr>
                <w:rFonts w:ascii="Times New Roman" w:eastAsia="Times New Roman" w:hAnsi="Times New Roman" w:cs="Times New Roman"/>
                <w:color w:val="000000"/>
              </w:rPr>
              <w:t xml:space="preserve"> ≠ 0) = 0.01</w:t>
            </w:r>
          </w:p>
        </w:tc>
      </w:tr>
    </w:tbl>
    <w:p w14:paraId="678D9232" w14:textId="77777777" w:rsidR="001D7BB7" w:rsidRDefault="001D7BB7" w:rsidP="001D7BB7">
      <w:pPr>
        <w:jc w:val="both"/>
        <w:rPr>
          <w:rFonts w:ascii="Times New Roman" w:eastAsia="Times New Roman" w:hAnsi="Times New Roman" w:cs="Times New Roman"/>
          <w:b/>
        </w:rPr>
      </w:pPr>
      <w:r>
        <w:br w:type="page"/>
      </w:r>
    </w:p>
    <w:p w14:paraId="7061B73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BB7"/>
    <w:rsid w:val="001D7BB7"/>
    <w:rsid w:val="002978F5"/>
    <w:rsid w:val="003852CF"/>
    <w:rsid w:val="004E780C"/>
    <w:rsid w:val="007E680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68BD4"/>
  <w15:chartTrackingRefBased/>
  <w15:docId w15:val="{041E286B-8319-4497-A435-8AC0C0BEB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BB7"/>
    <w:pPr>
      <w:suppressAutoHyphens/>
      <w:overflowPunct w:val="0"/>
      <w:spacing w:after="0" w:line="240" w:lineRule="auto"/>
    </w:pPr>
    <w:rPr>
      <w:rFonts w:ascii="Liberation Serif" w:eastAsia="NSimSun" w:hAnsi="Liberation Serif" w:cs="Lucida Sans"/>
      <w:lang w:val="en-GB" w:eastAsia="zh-CN" w:bidi="hi-IN"/>
      <w14:ligatures w14:val="none"/>
    </w:rPr>
  </w:style>
  <w:style w:type="paragraph" w:styleId="Heading1">
    <w:name w:val="heading 1"/>
    <w:basedOn w:val="Normal"/>
    <w:next w:val="Normal"/>
    <w:link w:val="Heading1Char"/>
    <w:uiPriority w:val="9"/>
    <w:qFormat/>
    <w:rsid w:val="001D7BB7"/>
    <w:pPr>
      <w:keepNext/>
      <w:keepLines/>
      <w:suppressAutoHyphens w:val="0"/>
      <w:overflowPunct/>
      <w:spacing w:before="360" w:after="80" w:line="278" w:lineRule="auto"/>
      <w:outlineLvl w:val="0"/>
    </w:pPr>
    <w:rPr>
      <w:rFonts w:asciiTheme="majorHAnsi" w:eastAsiaTheme="majorEastAsia" w:hAnsiTheme="majorHAnsi" w:cstheme="majorBidi"/>
      <w:color w:val="0F4761" w:themeColor="accent1" w:themeShade="BF"/>
      <w:sz w:val="40"/>
      <w:szCs w:val="40"/>
      <w:lang w:val="en-US" w:eastAsia="en-US" w:bidi="ar-SA"/>
      <w14:ligatures w14:val="standardContextual"/>
    </w:rPr>
  </w:style>
  <w:style w:type="paragraph" w:styleId="Heading2">
    <w:name w:val="heading 2"/>
    <w:basedOn w:val="Normal"/>
    <w:next w:val="Normal"/>
    <w:link w:val="Heading2Char"/>
    <w:uiPriority w:val="9"/>
    <w:semiHidden/>
    <w:unhideWhenUsed/>
    <w:qFormat/>
    <w:rsid w:val="001D7BB7"/>
    <w:pPr>
      <w:keepNext/>
      <w:keepLines/>
      <w:suppressAutoHyphens w:val="0"/>
      <w:overflowPunct/>
      <w:spacing w:before="160" w:after="80" w:line="278" w:lineRule="auto"/>
      <w:outlineLvl w:val="1"/>
    </w:pPr>
    <w:rPr>
      <w:rFonts w:asciiTheme="majorHAnsi" w:eastAsiaTheme="majorEastAsia" w:hAnsiTheme="majorHAnsi" w:cstheme="majorBidi"/>
      <w:color w:val="0F4761" w:themeColor="accent1" w:themeShade="BF"/>
      <w:sz w:val="32"/>
      <w:szCs w:val="32"/>
      <w:lang w:val="en-US" w:eastAsia="en-US" w:bidi="ar-SA"/>
      <w14:ligatures w14:val="standardContextual"/>
    </w:rPr>
  </w:style>
  <w:style w:type="paragraph" w:styleId="Heading3">
    <w:name w:val="heading 3"/>
    <w:basedOn w:val="Normal"/>
    <w:next w:val="Normal"/>
    <w:link w:val="Heading3Char"/>
    <w:uiPriority w:val="9"/>
    <w:semiHidden/>
    <w:unhideWhenUsed/>
    <w:qFormat/>
    <w:rsid w:val="001D7BB7"/>
    <w:pPr>
      <w:keepNext/>
      <w:keepLines/>
      <w:suppressAutoHyphens w:val="0"/>
      <w:overflowPunct/>
      <w:spacing w:before="160" w:after="80" w:line="278" w:lineRule="auto"/>
      <w:outlineLvl w:val="2"/>
    </w:pPr>
    <w:rPr>
      <w:rFonts w:asciiTheme="minorHAnsi" w:eastAsiaTheme="majorEastAsia" w:hAnsiTheme="minorHAnsi" w:cstheme="majorBidi"/>
      <w:color w:val="0F4761" w:themeColor="accent1" w:themeShade="BF"/>
      <w:sz w:val="28"/>
      <w:szCs w:val="28"/>
      <w:lang w:val="en-US" w:eastAsia="en-US" w:bidi="ar-SA"/>
      <w14:ligatures w14:val="standardContextual"/>
    </w:rPr>
  </w:style>
  <w:style w:type="paragraph" w:styleId="Heading4">
    <w:name w:val="heading 4"/>
    <w:basedOn w:val="Normal"/>
    <w:next w:val="Normal"/>
    <w:link w:val="Heading4Char"/>
    <w:uiPriority w:val="9"/>
    <w:semiHidden/>
    <w:unhideWhenUsed/>
    <w:qFormat/>
    <w:rsid w:val="001D7BB7"/>
    <w:pPr>
      <w:keepNext/>
      <w:keepLines/>
      <w:suppressAutoHyphens w:val="0"/>
      <w:overflowPunct/>
      <w:spacing w:before="80" w:after="40" w:line="278" w:lineRule="auto"/>
      <w:outlineLvl w:val="3"/>
    </w:pPr>
    <w:rPr>
      <w:rFonts w:asciiTheme="minorHAnsi" w:eastAsiaTheme="majorEastAsia" w:hAnsiTheme="minorHAnsi" w:cstheme="majorBidi"/>
      <w:i/>
      <w:iCs/>
      <w:color w:val="0F4761" w:themeColor="accent1" w:themeShade="BF"/>
      <w:lang w:val="en-US" w:eastAsia="en-US" w:bidi="ar-SA"/>
      <w14:ligatures w14:val="standardContextual"/>
    </w:rPr>
  </w:style>
  <w:style w:type="paragraph" w:styleId="Heading5">
    <w:name w:val="heading 5"/>
    <w:basedOn w:val="Normal"/>
    <w:next w:val="Normal"/>
    <w:link w:val="Heading5Char"/>
    <w:uiPriority w:val="9"/>
    <w:semiHidden/>
    <w:unhideWhenUsed/>
    <w:qFormat/>
    <w:rsid w:val="001D7BB7"/>
    <w:pPr>
      <w:keepNext/>
      <w:keepLines/>
      <w:suppressAutoHyphens w:val="0"/>
      <w:overflowPunct/>
      <w:spacing w:before="80" w:after="40" w:line="278" w:lineRule="auto"/>
      <w:outlineLvl w:val="4"/>
    </w:pPr>
    <w:rPr>
      <w:rFonts w:asciiTheme="minorHAnsi" w:eastAsiaTheme="majorEastAsia" w:hAnsiTheme="minorHAnsi" w:cstheme="majorBidi"/>
      <w:color w:val="0F4761" w:themeColor="accent1" w:themeShade="BF"/>
      <w:lang w:val="en-US" w:eastAsia="en-US" w:bidi="ar-SA"/>
      <w14:ligatures w14:val="standardContextual"/>
    </w:rPr>
  </w:style>
  <w:style w:type="paragraph" w:styleId="Heading6">
    <w:name w:val="heading 6"/>
    <w:basedOn w:val="Normal"/>
    <w:next w:val="Normal"/>
    <w:link w:val="Heading6Char"/>
    <w:uiPriority w:val="9"/>
    <w:semiHidden/>
    <w:unhideWhenUsed/>
    <w:qFormat/>
    <w:rsid w:val="001D7BB7"/>
    <w:pPr>
      <w:keepNext/>
      <w:keepLines/>
      <w:suppressAutoHyphens w:val="0"/>
      <w:overflowPunct/>
      <w:spacing w:before="40" w:line="278" w:lineRule="auto"/>
      <w:outlineLvl w:val="5"/>
    </w:pPr>
    <w:rPr>
      <w:rFonts w:asciiTheme="minorHAnsi" w:eastAsiaTheme="majorEastAsia" w:hAnsiTheme="minorHAnsi" w:cstheme="majorBidi"/>
      <w:i/>
      <w:iCs/>
      <w:color w:val="595959" w:themeColor="text1" w:themeTint="A6"/>
      <w:lang w:val="en-US" w:eastAsia="en-US" w:bidi="ar-SA"/>
      <w14:ligatures w14:val="standardContextual"/>
    </w:rPr>
  </w:style>
  <w:style w:type="paragraph" w:styleId="Heading7">
    <w:name w:val="heading 7"/>
    <w:basedOn w:val="Normal"/>
    <w:next w:val="Normal"/>
    <w:link w:val="Heading7Char"/>
    <w:uiPriority w:val="9"/>
    <w:semiHidden/>
    <w:unhideWhenUsed/>
    <w:qFormat/>
    <w:rsid w:val="001D7BB7"/>
    <w:pPr>
      <w:keepNext/>
      <w:keepLines/>
      <w:suppressAutoHyphens w:val="0"/>
      <w:overflowPunct/>
      <w:spacing w:before="40" w:line="278" w:lineRule="auto"/>
      <w:outlineLvl w:val="6"/>
    </w:pPr>
    <w:rPr>
      <w:rFonts w:asciiTheme="minorHAnsi" w:eastAsiaTheme="majorEastAsia" w:hAnsiTheme="minorHAnsi" w:cstheme="majorBidi"/>
      <w:color w:val="595959" w:themeColor="text1" w:themeTint="A6"/>
      <w:lang w:val="en-US" w:eastAsia="en-US" w:bidi="ar-SA"/>
      <w14:ligatures w14:val="standardContextual"/>
    </w:rPr>
  </w:style>
  <w:style w:type="paragraph" w:styleId="Heading8">
    <w:name w:val="heading 8"/>
    <w:basedOn w:val="Normal"/>
    <w:next w:val="Normal"/>
    <w:link w:val="Heading8Char"/>
    <w:uiPriority w:val="9"/>
    <w:semiHidden/>
    <w:unhideWhenUsed/>
    <w:qFormat/>
    <w:rsid w:val="001D7BB7"/>
    <w:pPr>
      <w:keepNext/>
      <w:keepLines/>
      <w:suppressAutoHyphens w:val="0"/>
      <w:overflowPunct/>
      <w:spacing w:line="278" w:lineRule="auto"/>
      <w:outlineLvl w:val="7"/>
    </w:pPr>
    <w:rPr>
      <w:rFonts w:asciiTheme="minorHAnsi" w:eastAsiaTheme="majorEastAsia" w:hAnsiTheme="minorHAnsi" w:cstheme="majorBidi"/>
      <w:i/>
      <w:iCs/>
      <w:color w:val="272727" w:themeColor="text1" w:themeTint="D8"/>
      <w:lang w:val="en-US" w:eastAsia="en-US" w:bidi="ar-SA"/>
      <w14:ligatures w14:val="standardContextual"/>
    </w:rPr>
  </w:style>
  <w:style w:type="paragraph" w:styleId="Heading9">
    <w:name w:val="heading 9"/>
    <w:basedOn w:val="Normal"/>
    <w:next w:val="Normal"/>
    <w:link w:val="Heading9Char"/>
    <w:uiPriority w:val="9"/>
    <w:semiHidden/>
    <w:unhideWhenUsed/>
    <w:qFormat/>
    <w:rsid w:val="001D7BB7"/>
    <w:pPr>
      <w:keepNext/>
      <w:keepLines/>
      <w:suppressAutoHyphens w:val="0"/>
      <w:overflowPunct/>
      <w:spacing w:line="278" w:lineRule="auto"/>
      <w:outlineLvl w:val="8"/>
    </w:pPr>
    <w:rPr>
      <w:rFonts w:asciiTheme="minorHAnsi" w:eastAsiaTheme="majorEastAsia" w:hAnsiTheme="minorHAnsi" w:cstheme="majorBidi"/>
      <w:color w:val="272727" w:themeColor="text1" w:themeTint="D8"/>
      <w:lang w:val="en-US"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7B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7B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7B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7B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7B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7B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7B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7B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7BB7"/>
    <w:rPr>
      <w:rFonts w:eastAsiaTheme="majorEastAsia" w:cstheme="majorBidi"/>
      <w:color w:val="272727" w:themeColor="text1" w:themeTint="D8"/>
    </w:rPr>
  </w:style>
  <w:style w:type="paragraph" w:styleId="Title">
    <w:name w:val="Title"/>
    <w:basedOn w:val="Normal"/>
    <w:next w:val="Normal"/>
    <w:link w:val="TitleChar"/>
    <w:uiPriority w:val="10"/>
    <w:qFormat/>
    <w:rsid w:val="001D7BB7"/>
    <w:pPr>
      <w:suppressAutoHyphens w:val="0"/>
      <w:overflowPunct/>
      <w:spacing w:after="80"/>
      <w:contextualSpacing/>
    </w:pPr>
    <w:rPr>
      <w:rFonts w:asciiTheme="majorHAnsi" w:eastAsiaTheme="majorEastAsia" w:hAnsiTheme="majorHAnsi" w:cstheme="majorBidi"/>
      <w:spacing w:val="-10"/>
      <w:kern w:val="28"/>
      <w:sz w:val="56"/>
      <w:szCs w:val="56"/>
      <w:lang w:val="en-US" w:eastAsia="en-US" w:bidi="ar-SA"/>
      <w14:ligatures w14:val="standardContextual"/>
    </w:rPr>
  </w:style>
  <w:style w:type="character" w:customStyle="1" w:styleId="TitleChar">
    <w:name w:val="Title Char"/>
    <w:basedOn w:val="DefaultParagraphFont"/>
    <w:link w:val="Title"/>
    <w:uiPriority w:val="10"/>
    <w:rsid w:val="001D7B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7BB7"/>
    <w:pPr>
      <w:numPr>
        <w:ilvl w:val="1"/>
      </w:numPr>
      <w:suppressAutoHyphens w:val="0"/>
      <w:overflowPunct/>
      <w:spacing w:after="160" w:line="278" w:lineRule="auto"/>
    </w:pPr>
    <w:rPr>
      <w:rFonts w:asciiTheme="minorHAnsi" w:eastAsiaTheme="majorEastAsia" w:hAnsiTheme="minorHAnsi" w:cstheme="majorBidi"/>
      <w:color w:val="595959" w:themeColor="text1" w:themeTint="A6"/>
      <w:spacing w:val="15"/>
      <w:sz w:val="28"/>
      <w:szCs w:val="28"/>
      <w:lang w:val="en-US" w:eastAsia="en-US" w:bidi="ar-SA"/>
      <w14:ligatures w14:val="standardContextual"/>
    </w:rPr>
  </w:style>
  <w:style w:type="character" w:customStyle="1" w:styleId="SubtitleChar">
    <w:name w:val="Subtitle Char"/>
    <w:basedOn w:val="DefaultParagraphFont"/>
    <w:link w:val="Subtitle"/>
    <w:uiPriority w:val="11"/>
    <w:rsid w:val="001D7B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7BB7"/>
    <w:pPr>
      <w:suppressAutoHyphens w:val="0"/>
      <w:overflowPunct/>
      <w:spacing w:before="160" w:after="160" w:line="278" w:lineRule="auto"/>
      <w:jc w:val="center"/>
    </w:pPr>
    <w:rPr>
      <w:rFonts w:asciiTheme="minorHAnsi" w:eastAsiaTheme="minorHAnsi" w:hAnsiTheme="minorHAnsi" w:cstheme="minorBidi"/>
      <w:i/>
      <w:iCs/>
      <w:color w:val="404040" w:themeColor="text1" w:themeTint="BF"/>
      <w:lang w:val="en-US" w:eastAsia="en-US" w:bidi="ar-SA"/>
      <w14:ligatures w14:val="standardContextual"/>
    </w:rPr>
  </w:style>
  <w:style w:type="character" w:customStyle="1" w:styleId="QuoteChar">
    <w:name w:val="Quote Char"/>
    <w:basedOn w:val="DefaultParagraphFont"/>
    <w:link w:val="Quote"/>
    <w:uiPriority w:val="29"/>
    <w:rsid w:val="001D7BB7"/>
    <w:rPr>
      <w:i/>
      <w:iCs/>
      <w:color w:val="404040" w:themeColor="text1" w:themeTint="BF"/>
    </w:rPr>
  </w:style>
  <w:style w:type="paragraph" w:styleId="ListParagraph">
    <w:name w:val="List Paragraph"/>
    <w:basedOn w:val="Normal"/>
    <w:uiPriority w:val="34"/>
    <w:qFormat/>
    <w:rsid w:val="001D7BB7"/>
    <w:pPr>
      <w:suppressAutoHyphens w:val="0"/>
      <w:overflowPunct/>
      <w:spacing w:after="160" w:line="278" w:lineRule="auto"/>
      <w:ind w:left="720"/>
      <w:contextualSpacing/>
    </w:pPr>
    <w:rPr>
      <w:rFonts w:asciiTheme="minorHAnsi" w:eastAsiaTheme="minorHAnsi" w:hAnsiTheme="minorHAnsi" w:cstheme="minorBidi"/>
      <w:lang w:val="en-US" w:eastAsia="en-US" w:bidi="ar-SA"/>
      <w14:ligatures w14:val="standardContextual"/>
    </w:rPr>
  </w:style>
  <w:style w:type="character" w:styleId="IntenseEmphasis">
    <w:name w:val="Intense Emphasis"/>
    <w:basedOn w:val="DefaultParagraphFont"/>
    <w:uiPriority w:val="21"/>
    <w:qFormat/>
    <w:rsid w:val="001D7BB7"/>
    <w:rPr>
      <w:i/>
      <w:iCs/>
      <w:color w:val="0F4761" w:themeColor="accent1" w:themeShade="BF"/>
    </w:rPr>
  </w:style>
  <w:style w:type="paragraph" w:styleId="IntenseQuote">
    <w:name w:val="Intense Quote"/>
    <w:basedOn w:val="Normal"/>
    <w:next w:val="Normal"/>
    <w:link w:val="IntenseQuoteChar"/>
    <w:uiPriority w:val="30"/>
    <w:qFormat/>
    <w:rsid w:val="001D7BB7"/>
    <w:pPr>
      <w:pBdr>
        <w:top w:val="single" w:sz="4" w:space="10" w:color="0F4761" w:themeColor="accent1" w:themeShade="BF"/>
        <w:bottom w:val="single" w:sz="4" w:space="10" w:color="0F4761" w:themeColor="accent1" w:themeShade="BF"/>
      </w:pBdr>
      <w:suppressAutoHyphens w:val="0"/>
      <w:overflowPunct/>
      <w:spacing w:before="360" w:after="360" w:line="278" w:lineRule="auto"/>
      <w:ind w:left="864" w:right="864"/>
      <w:jc w:val="center"/>
    </w:pPr>
    <w:rPr>
      <w:rFonts w:asciiTheme="minorHAnsi" w:eastAsiaTheme="minorHAnsi" w:hAnsiTheme="minorHAnsi" w:cstheme="minorBidi"/>
      <w:i/>
      <w:iCs/>
      <w:color w:val="0F4761" w:themeColor="accent1" w:themeShade="BF"/>
      <w:lang w:val="en-US" w:eastAsia="en-US" w:bidi="ar-SA"/>
      <w14:ligatures w14:val="standardContextual"/>
    </w:rPr>
  </w:style>
  <w:style w:type="character" w:customStyle="1" w:styleId="IntenseQuoteChar">
    <w:name w:val="Intense Quote Char"/>
    <w:basedOn w:val="DefaultParagraphFont"/>
    <w:link w:val="IntenseQuote"/>
    <w:uiPriority w:val="30"/>
    <w:rsid w:val="001D7BB7"/>
    <w:rPr>
      <w:i/>
      <w:iCs/>
      <w:color w:val="0F4761" w:themeColor="accent1" w:themeShade="BF"/>
    </w:rPr>
  </w:style>
  <w:style w:type="character" w:styleId="IntenseReference">
    <w:name w:val="Intense Reference"/>
    <w:basedOn w:val="DefaultParagraphFont"/>
    <w:uiPriority w:val="32"/>
    <w:qFormat/>
    <w:rsid w:val="001D7B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1279</Words>
  <Characters>7293</Characters>
  <Application>Microsoft Office Word</Application>
  <DocSecurity>0</DocSecurity>
  <Lines>60</Lines>
  <Paragraphs>17</Paragraphs>
  <ScaleCrop>false</ScaleCrop>
  <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2025-07-01T18:02:00Z</dcterms:created>
  <dcterms:modified xsi:type="dcterms:W3CDTF">2025-07-01T18:02:00Z</dcterms:modified>
</cp:coreProperties>
</file>