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57B54" w14:textId="77777777" w:rsidR="007D02AC" w:rsidRDefault="009D602D" w:rsidP="00774D17">
      <w:pPr>
        <w:pStyle w:val="Title"/>
      </w:pPr>
      <w:r w:rsidRPr="004E7C73">
        <w:t xml:space="preserve">Supplementary Materials for </w:t>
      </w:r>
    </w:p>
    <w:p w14:paraId="545ED48D" w14:textId="7ADDE2F7" w:rsidR="009D602D" w:rsidRPr="004E7C73" w:rsidRDefault="009D602D" w:rsidP="00851DA5">
      <w:pPr>
        <w:pStyle w:val="Title"/>
      </w:pPr>
      <w:r w:rsidRPr="004E7C73">
        <w:t>“</w:t>
      </w:r>
      <w:r w:rsidR="00CE2A29" w:rsidRPr="00CE2A29">
        <w:rPr>
          <w:rFonts w:eastAsia="等线"/>
        </w:rPr>
        <w:t>Neural Signatures</w:t>
      </w:r>
      <w:r w:rsidR="00851DA5" w:rsidRPr="00851DA5">
        <w:rPr>
          <w:rFonts w:eastAsia="等线"/>
        </w:rPr>
        <w:t xml:space="preserve"> of Cannabis Use: Reversing Cognitive Aging via Whole-Brain Functional</w:t>
      </w:r>
      <w:r w:rsidR="00851DA5" w:rsidRPr="00851DA5">
        <w:rPr>
          <w:rFonts w:eastAsia="等线" w:hint="eastAsia"/>
        </w:rPr>
        <w:t xml:space="preserve"> Network</w:t>
      </w:r>
      <w:r w:rsidR="00851DA5" w:rsidRPr="00851DA5">
        <w:rPr>
          <w:rFonts w:eastAsia="等线"/>
        </w:rPr>
        <w:t xml:space="preserve"> Connectivity</w:t>
      </w:r>
      <w:r w:rsidRPr="004E7C73">
        <w:t>”</w:t>
      </w:r>
    </w:p>
    <w:p w14:paraId="550D0F65" w14:textId="77777777" w:rsidR="00A157CB" w:rsidRPr="004E7C73" w:rsidRDefault="00A157CB" w:rsidP="00A157CB"/>
    <w:p w14:paraId="52E4D4BA" w14:textId="20BA4BFB" w:rsidR="0031441B" w:rsidRDefault="0031441B" w:rsidP="0031441B">
      <w:pPr>
        <w:pStyle w:val="Heading1"/>
      </w:pPr>
      <w:r w:rsidRPr="004E7C73">
        <w:t>Image Acquisition</w:t>
      </w:r>
    </w:p>
    <w:p w14:paraId="35453E39" w14:textId="7EE6D24C" w:rsidR="004B446C" w:rsidRPr="004B446C" w:rsidRDefault="004B446C" w:rsidP="004B446C">
      <w:r w:rsidRPr="004B446C">
        <w:t>The resting-state functional MRI (rsfMRI) data from the UK Biobank (UKB) were acquired using a Siemens Skyra 3T MRI system (software version VD13A SP4) equipped with a standard 32-channel Siemens RF receive head coil. Echo-planar imaging (EPI) acquisitions employed simultaneous multi-slice (multiband) acceleration. The UKB scanning protocol incorporates pulse sequences and image reconstruction algorithms developed by the Center for Magnetic Resonance Research (CMRR) at the University of Minnesota, which were partially developed as part of the Human Connectome Project (HCP).</w:t>
      </w:r>
    </w:p>
    <w:p w14:paraId="3C70E680" w14:textId="77777777" w:rsidR="004B446C" w:rsidRPr="004B446C" w:rsidRDefault="004B446C" w:rsidP="004B446C">
      <w:r w:rsidRPr="004B446C">
        <w:t>To correct for susceptibility-induced distortions in the EPI data, a static magnetic field (B₀) map is estimated using a pair of spin-echo EPI images acquired with reversed phase-encoding directions. This estimated field map is subsequently applied to correct geometric distortions in the rsfMRI datasets.</w:t>
      </w:r>
    </w:p>
    <w:p w14:paraId="67C8431B" w14:textId="0816C53B" w:rsidR="000A2853" w:rsidRDefault="004B446C" w:rsidP="00E052D4">
      <w:r w:rsidRPr="004B446C">
        <w:t>The rsfMRI scans were acquired with the following imaging parameters: repetition time (TR) = 735 ms, echo time (TE) = 39 ms, flip angle (FA) = 52°, isotropic voxel size = 2.4 × 2.4 × 2.4 mm³, field of view (FOV) = 88 × 88 × 64 matrix, and a total acquisition time of 6 minutes, yielding 490 timepoints. In addition, a single-band reference scan—acquired with the same spatial geometry and EPI distortion profile as the multiband timeseries data—was collected. This scan, characterized by higher tissue contrast-to-noise ratio, is used as the reference image for head motion correction.</w:t>
      </w:r>
    </w:p>
    <w:p w14:paraId="5F54BB52" w14:textId="345F9BA3" w:rsidR="0031441B" w:rsidRDefault="00920ABD" w:rsidP="0031441B">
      <w:pPr>
        <w:pStyle w:val="Heading1"/>
      </w:pPr>
      <w:r>
        <w:t>Minimal Preprocessed Data and Normalization</w:t>
      </w:r>
    </w:p>
    <w:p w14:paraId="436671C4" w14:textId="4F87D6DF" w:rsidR="00B74CF6" w:rsidRDefault="00B74CF6" w:rsidP="00B74CF6">
      <w:r>
        <w:t xml:space="preserve">We utilized minimally preprocessed rsfMRI data from the UKB database. </w:t>
      </w:r>
      <w:r w:rsidR="00134DF0" w:rsidRPr="00543B93">
        <w:t xml:space="preserve">The preprocessing procedures are detailed in the </w:t>
      </w:r>
      <w:r w:rsidR="00134DF0">
        <w:t>UKB</w:t>
      </w:r>
      <w:r w:rsidR="00134DF0" w:rsidRPr="00543B93">
        <w:t xml:space="preserve"> notebook, section 3.1 (https://biobank.ctsu.ox.ac.uk/crystal/crystal/docs/brain_mri.pdf). </w:t>
      </w:r>
      <w:r>
        <w:t>The minimal preprocessing pipeline implemented by UKB includes several standardized steps designed to ensure data quality and consistency across subjects. Preprocessing steps include motion correction using MCFLIRT</w:t>
      </w:r>
      <w:r w:rsidR="0099556D">
        <w:fldChar w:fldCharType="begin" w:fldLock="1"/>
      </w:r>
      <w:r w:rsidR="00393624">
        <w:instrText>ADDIN CSL_CITATION {"citationItems":[{"id":"ITEM-1","itemData":{"DOI":"10.1016/S1053-8119(02)91132-8","ISSN":"10538119","PMID":"12377157","abstract":"Linear registration and motion correction are important components of structural and functional brain image analysis. Most modern methods optimize some intensity-based cost function to determine the best registration. To date, little attention has been focused on the optimization method itself, even though the success of most registration methods hinges on the quality of this optimization. This paper examines the optimization process in detail and demonstrates that the commonly used multiresolution local optimization methods can, and do, get trapped in local minima. To address this problem, two approaches are taken: (1) to apodize the cost function and (2) to employ a novel hybrid global-local optimization method. This new optimization method is specifically designed for registering whole brain images. It substantially reduces the likelihood of producing misregistrations due to being trapped by local minima. The increased robustness of the method, compared to other commonly used methods, is demonstrated by a consistency test. In addition, the accuracy of the registration is demonstrated by a series of experiments with motion correction. These motion correction experiments also investigate how the results are affected by different cost functions and interpolation methods. © 2002 Elsevier Science (USA).","author":[{"dropping-particle":"","family":"Jenkinson","given":"Mark","non-dropping-particle":"","parse-names":false,"suffix":""},{"dropping-particle":"","family":"Bannister","given":"Peter","non-dropping-particle":"","parse-names":false,"suffix":""},{"dropping-particle":"","family":"Brady","given":"Michael","non-dropping-particle":"","parse-names":false,"suffix":""},{"dropping-particle":"","family":"Smith","given":"Stephen","non-dropping-particle":"","parse-names":false,"suffix":""}],"container-title":"NeuroImage","id":"ITEM-1","issue":"2","issued":{"date-parts":[["2002"]]},"page":"825-841","title":"Improved optimization for the robust and accurate linear registration and motion correction of brain images","type":"article-journal","volume":"17"},"uris":["http://www.mendeley.com/documents/?uuid=bf59b495-85fb-3244-b632-55a73b12d246"]}],"mendeley":{"formattedCitation":"&lt;sup&gt;1&lt;/sup&gt;","plainTextFormattedCitation":"1","previouslyFormattedCitation":"[1]"},"properties":{"noteIndex":0},"schema":"https://github.com/citation-style-language/schema/raw/master/csl-citation.json"}</w:instrText>
      </w:r>
      <w:r w:rsidR="0099556D">
        <w:fldChar w:fldCharType="separate"/>
      </w:r>
      <w:r w:rsidR="00393624" w:rsidRPr="00393624">
        <w:rPr>
          <w:noProof/>
          <w:vertAlign w:val="superscript"/>
        </w:rPr>
        <w:t>1</w:t>
      </w:r>
      <w:r w:rsidR="0099556D">
        <w:fldChar w:fldCharType="end"/>
      </w:r>
      <w:r>
        <w:t xml:space="preserve">, followed by grand-mean intensity normalization of the entire 4D dataset via a single </w:t>
      </w:r>
      <w:r>
        <w:lastRenderedPageBreak/>
        <w:t>multiplicative scaling factor. Temporal high-pass filtering is applied using Gaussian-weighted least-squares straight line fitting (σ = 50 s) to remove low-frequency drifts. Geometric distortions inherent to EPI are corrected using fieldmap-based EPI unwarping and gradient distortion correction (GDC) procedures. Subsequently, structured noise and artifacts are identified and removed using ICA+FIX denoising. This approach applies Independent Component Analysis (ICA) followed by FMRIB's ICA-based X-noiseifier (FIX)</w:t>
      </w:r>
      <w:r w:rsidR="00E32BAF">
        <w:fldChar w:fldCharType="begin" w:fldLock="1"/>
      </w:r>
      <w:r w:rsidR="00393624">
        <w:instrText>ADDIN CSL_CITATION {"citationItems":[{"id":"ITEM-1","itemData":{"DOI":"10.1109/TMI.2003.822821","ISSN":"02780062","PMID":"14964560","abstract":"We present an integrated approach to probabilistic independent component analysis (ICA) for functional MRI (FMRI) data that allows for nonsquare mixing in the presence of Gaussian noise. In order to avoid overfitting, we employ objective estimation of the amount of Gaussian noise through Bayesian analysis of the true dimensionality of the data, i.e., the number of activation and non-Gaussian noise sources. This enables us to carry out probabilistic modeling and achieves an asymptotically unique decomposition of the data. It reduces problems of interpretation, as each final independent component is now much more likely to be due to only one physical or physiological process. We also describe other improvements to standard ICA, such as temporal prewhitening and variance normalization of timeseries, the latter being particularly useful in the context of dimensionality reduction when weak activation is present. We discuss the use of prior information about the spatiotemporal nature of the source processes, and an alternative-hypothesis testing approach for inference, using Gaussian mixture models. The performance of our approach is illustrated and evaluated on real and artificial FMRI data, and compared to the spatio-temporal accuracy of results obtained from classical ICA and GLM analyses.","author":[{"dropping-particle":"","family":"Beckmann","given":"Christian F.","non-dropping-particle":"","parse-names":false,"suffix":""},{"dropping-particle":"","family":"Smith","given":"Stephen M.","non-dropping-particle":"","parse-names":false,"suffix":""}],"container-title":"IEEE Transactions on Medical Imaging","id":"ITEM-1","issue":"2","issued":{"date-parts":[["2004","2"]]},"page":"137-152","title":"Probabilistic Independent Component Analysis for Functional Magnetic Resonance Imaging","type":"article-journal","volume":"23"},"uris":["http://www.mendeley.com/documents/?uuid=59ac65d9-5b16-34e4-89ea-48d1235b40f8"]},{"id":"ITEM-2","itemData":{"DOI":"10.1016/j.neuroimage.2016.12.036","ISSN":"10959572","PMID":"27989777","abstract":"We present a practical “how-to” guide to help determine whether single-subject fMRI independent components (ICs) characterise structured noise or not. Manual identification of signal and noise after ICA decomposition is required for efficient data denoising: to train supervised algorithms, to check the results of unsupervised ones or to manually clean the data. In this paper we describe the main spatial and temporal features of ICs and provide general guidelines on how to evaluate these. Examples of signal and noise components are provided from a wide range of datasets (3T data, including examples from the UK Biobank and the Human Connectome Project, and 7T data), together with practical guidelines for their identification. Finally, we discuss how the data quality, data type and preprocessing can influence the characteristics of the ICs and present examples of particularly challenging datasets.","author":[{"dropping-particle":"","family":"Griffanti","given":"Ludovica","non-dropping-particle":"","parse-names":false,"suffix":""},{"dropping-particle":"","family":"Douaud","given":"Gwenaëlle","non-dropping-particle":"","parse-names":false,"suffix":""},{"dropping-particle":"","family":"Bijsterbosch","given":"Janine","non-dropping-particle":"","parse-names":false,"suffix":""},{"dropping-particle":"","family":"Evangelisti","given":"Stefania","non-dropping-particle":"","parse-names":false,"suffix":""},{"dropping-particle":"","family":"Alfaro-Almagro","given":"Fidel","non-dropping-particle":"","parse-names":false,"suffix":""},{"dropping-particle":"","family":"Glasser","given":"Matthew F.","non-dropping-particle":"","parse-names":false,"suffix":""},{"dropping-particle":"","family":"Duff","given":"Eugene P.","non-dropping-particle":"","parse-names":false,"suffix":""},{"dropping-particle":"","family":"Fitzgibbon","given":"Sean","non-dropping-particle":"","parse-names":false,"suffix":""},{"dropping-particle":"","family":"Westphal","given":"Robert","non-dropping-particle":"","parse-names":false,"suffix":""},{"dropping-particle":"","family":"Carone","given":"Davide","non-dropping-particle":"","parse-names":false,"suffix":""},{"dropping-particle":"","family":"Beckmann","given":"Christian F.","non-dropping-particle":"","parse-names":false,"suffix":""},{"dropping-particle":"","family":"Smith","given":"Stephen M.","non-dropping-particle":"","parse-names":false,"suffix":""}],"container-title":"NeuroImage","id":"ITEM-2","issued":{"date-parts":[["2017"]]},"page":"188-205","title":"Hand classification of fMRI ICA noise components","type":"article-journal","volume":"154"},"uris":["http://www.mendeley.com/documents/?uuid=0d1ac5a2-8123-3d9f-9f51-8d38add4d310"]},{"id":"ITEM-3","itemData":{"DOI":"10.1016/j.neuroimage.2013.11.046","ISSN":"10959572","PMID":"24389422","abstract":"Many sources of fluctuation contribute to the fMRI signal, and this makes identifying the effects that are truly related to the underlying neuronal activity difficult. Independent component analysis (ICA) - one of the most widely used techniques for the exploratory analysis of fMRI data - has shown to be a powerful technique in identifying various sources of neuronally-related and artefactual fluctuation in fMRI data (both with the application of external stimuli and with the subject \"at rest\"). ICA decomposes fMRI data into patterns of activity (a set of spatial maps and their corresponding time series) that are statistically independent and add linearly to explain voxel-wise time series. Given the set of ICA components, if the components representing \"signal\" (brain activity) can be distinguished form the \"noise\" components (effects of motion, non-neuronal physiology, scanner artefacts and other nuisance sources), the latter can then be removed from the data, providing an effective cleanup of structured noise. Manual classification of components is labour intensive and requires expertise; hence, a fully automatic noise detection algorithm that can reliably detect various types of noise sources (in both task and resting fMRI) is desirable. In this paper, we introduce FIX (\"FMRIB's ICA-based X-noiseifier\"), which provides an automatic solution for denoising fMRI data via accurate classification of ICA components. For each ICA component FIX generates a large number of distinct spatial and temporal features, each describing a different aspect of the data (e.g., what proportion of temporal fluctuations are at high frequencies). The set of features is then fed into a multi-level classifier (built around several different classifiers). Once trained through the hand-classification of a sufficient number of training datasets, the classifier can then automatically classify new datasets. The noise components can then be subtracted from (or regressed out of) the original data, to provide automated cleanup. On conventional resting-state fMRI (rfMRI) single-run datasets, FIX achieved about 95% overall accuracy. On high-quality rfMRI data from the Human Connectome Project, FIX achieves over 99% classification accuracy, and as a result is being used in the default rfMRI processing pipeline for generating HCP connectomes. FIX is publicly available as a plugin for FSL. © 2014.","author":[{"dropping-particle":"","family":"Salimi-Khorshidi","given":"Gholamreza","non-dropping-particle":"","parse-names":false,"suffix":""},{"dropping-particle":"","family":"Douaud","given":"Gwenaëlle","non-dropping-particle":"","parse-names":false,"suffix":""},{"dropping-particle":"","family":"Beckmann","given":"Christian F.","non-dropping-particle":"","parse-names":false,"suffix":""},{"dropping-particle":"","family":"Glasser","given":"Matthew F.","non-dropping-particle":"","parse-names":false,"suffix":""},{"dropping-particle":"","family":"Griffanti","given":"Ludovica","non-dropping-particle":"","parse-names":false,"suffix":""},{"dropping-particle":"","family":"Smith","given":"Stephen M.","non-dropping-particle":"","parse-names":false,"suffix":""}],"container-title":"NeuroImage","id":"ITEM-3","issued":{"date-parts":[["2014"]]},"page":"449-468","title":"Automatic denoising of functional MRI data: Combining independent component analysis and hierarchical fusion of classifiers","type":"article-journal","volume":"90"},"uris":["http://www.mendeley.com/documents/?uuid=a0a24446-af5f-34f7-a3f5-bb9ab529e2f2"]}],"mendeley":{"formattedCitation":"&lt;sup&gt;2–4&lt;/sup&gt;","plainTextFormattedCitation":"2–4","previouslyFormattedCitation":"[2–4]"},"properties":{"noteIndex":0},"schema":"https://github.com/citation-style-language/schema/raw/master/csl-citation.json"}</w:instrText>
      </w:r>
      <w:r w:rsidR="00E32BAF">
        <w:fldChar w:fldCharType="separate"/>
      </w:r>
      <w:r w:rsidR="00393624" w:rsidRPr="00393624">
        <w:rPr>
          <w:noProof/>
          <w:vertAlign w:val="superscript"/>
        </w:rPr>
        <w:t>2–4</w:t>
      </w:r>
      <w:r w:rsidR="00E32BAF">
        <w:fldChar w:fldCharType="end"/>
      </w:r>
      <w:r>
        <w:t xml:space="preserve">. The FIX classifier was hand-trained on 40 UKB rfMRI datasets and validated using a leave-one-out approach, achieving classification accuracies of 99.1%/100.0% for non-artifactual components and 98.1%/98.3% for artifactual components. </w:t>
      </w:r>
      <w:r w:rsidRPr="00B74CF6">
        <w:t>The final preprocessed and denoised rsfMRI time series data are stored in the file filtered_func_data_clean.</w:t>
      </w:r>
    </w:p>
    <w:p w14:paraId="444A6766" w14:textId="7697A086" w:rsidR="000A2853" w:rsidRPr="004E7C73" w:rsidRDefault="00E729E7" w:rsidP="000A2853">
      <w:r w:rsidRPr="00E729E7">
        <w:t>We applied additional spatial normalization procedures to transform the minimally preprocessed rsfMRI data into the NeuroMark template space. Initially, the data were linearly registered to the standard Montreal Neurological Institute (MNI) space using the FMRIB’s Linear Image Registration Tool (FLIRT) within the FSL software suite, employing an echo-planar imaging (EPI) template to improve alignment accuracy for functional data. During this process, the data were resampled to an isotropic voxel resolution of 3 × 3 × 3 mm³ to ensure compatibility with downstream analyses. Following spatial normalization, the rsfMRI volumes were smoothed using a Gaussian kernel with a full width at half maximum (FWHM) of 6 mm to enhance the signal-to-noise ratio and accommodate inter-subject anatomical variability.</w:t>
      </w:r>
      <w:r w:rsidR="000A2853" w:rsidRPr="004E7C73">
        <w:rPr>
          <w:color w:val="222222"/>
          <w:shd w:val="clear" w:color="auto" w:fill="FFFFFF"/>
        </w:rPr>
        <w:t> </w:t>
      </w:r>
    </w:p>
    <w:p w14:paraId="7450DF3C" w14:textId="47825D21" w:rsidR="0031441B" w:rsidRDefault="00D217A1" w:rsidP="0031441B">
      <w:pPr>
        <w:pStyle w:val="Heading1"/>
        <w:jc w:val="both"/>
      </w:pPr>
      <w:r>
        <w:t>Quality Control for the rsfMRI data</w:t>
      </w:r>
    </w:p>
    <w:p w14:paraId="10965469" w14:textId="16224BED" w:rsidR="00825C84" w:rsidRDefault="00825C84" w:rsidP="00825C84">
      <w:r>
        <w:t>Ensuring high temporal and spatial quality preprocessed rsfMRI data is critical for independent component analysis (ICA) and subsequent functional network connectivity (FNC) estimation. To this end, we implemented the NeuroMark quality control (QC) procedure to identify and retain high-quality rsfMRI datasets for further analysis. The NeuroMark QC has been extensively validated and widely applied in previous studies, demonstrating its effectiveness in selecting data for producing robust and reproducible neuroimaging biomarkers</w:t>
      </w:r>
      <w:r>
        <w:fldChar w:fldCharType="begin" w:fldLock="1"/>
      </w:r>
      <w:r w:rsidR="00393624">
        <w:instrText>ADDIN CSL_CITATION {"citationItems":[{"id":"ITEM-1","itemData":{"DOI":"10.1016/j.bpsc.2021.07.004","ISSN":"24519030","PMID":"34303848","abstract":"Background: Depressive episodes (DEPs), characterized by abnormalities in cognitive functions and mood, are a leading cause of disability. Electroconvulsive therapy (ECT), which involves a brief electrical stimulation of the anesthetized brain, is one of the most effective treatments used in patients with DEP due to its rapid efficacy. Methods: In this work, we investigated how dynamic brain functional connectivity responds to ECT and whether the dynamic responses are associated with treatment outcomes and side effects in patients. We applied a fully automated independent component analysis–based pipeline to 110 patients with DEP (including diagnosis of unipolar depression or bipolar depression) and 60 healthy control subjects. The dynamic functional connectivity was analyzed by a combination of the sliding window approach and clustering analysis. Results: Five recurring connectivity states were identified, and patients with DEPs had fewer occurrences in one brain state (state 1) with strong positive and negative connectivity. Patients with DEP changed the occupancy of two states (states 3 and 4) after ECT, resulting in significantly different occurrences of one additional state (state 3) compared with healthy control subjects. We further found that patients with DEP had diminished global metastate dynamism, two of which recovered to normal after ECT. The changes in dynamic connectivity characteristics were associated with the changes in memory recall and Hamilton Depression Rating Scale of DEP after ECT. Conclusions: These converging results extend current findings on subcortical-cortical dysfunction and dysrhythmia in DEP and demonstrate that ECT might cause remodeling of brain functional dynamics that enhance the neuroplasticity of the diseased brain.","author":[{"dropping-particle":"","family":"Fu","given":"Zening","non-dropping-particle":"","parse-names":false,"suffix":""},{"dropping-particle":"","family":"Sui","given":"Jing","non-dropping-particle":"","parse-names":false,"suffix":""},{"dropping-particle":"","family":"Espinoza","given":"Randall","non-dropping-particle":"","parse-names":false,"suffix":""},{"dropping-particle":"","family":"Narr","given":"Katherine","non-dropping-particle":"","parse-names":false,"suffix":""},{"dropping-particle":"","family":"Qi","given":"Shile","non-dropping-particle":"","parse-names":false,"suffix":""},{"dropping-particle":"","family":"Sendi","given":"Mohammad S.E.","non-dropping-particle":"","parse-names":false,"suffix":""},{"dropping-particle":"","family":"Abbott","given":"Christopher C.","non-dropping-particle":"","parse-names":false,"suffix":""},{"dropping-particle":"","family":"Calhoun","given":"Vince D.","non-dropping-particle":"","parse-names":false,"suffix":""}],"container-title":"Biological Psychiatry: Cognitive Neuroscience and Neuroimaging","id":"ITEM-1","issue":"3","issued":{"date-parts":[["2022","7","23"]]},"page":"312-322","publisher":"Elsevier","title":"Whole-Brain Functional Connectivity Dynamics Associated With Electroconvulsive Therapy Treatment Response","type":"article-journal","volume":"7"},"uris":["http://www.mendeley.com/documents/?uuid=339e52b4-cf37-3684-9c5f-55d4ab39fe8d"]},{"id":"ITEM-2","itemData":{"DOI":"10.1038/s42003-021-02592-2","ISSN":"23993642","abstract":"Schizophrenia (SZ) and autism spectrum disorder (ASD) share considerable clinical features and intertwined historical roots. It is greatly needed to explore their similarities and differences in pathophysiologic mechanisms. We assembled a large sample size of neuroimaging data (about 600 SZ patients, 1000 ASD patients, and 1700 healthy controls) to study the shared and unique brain abnormality of the two illnesses. We analyzed multi-scale brain functional connectivity among functional networks and brain regions, intra-network connectivity, and cerebral gray matter density and volume. Both SZ and ASD showed lower functional integration within default mode and sensorimotor domains, but increased interaction between cognitive control and default mode domains. The shared abnormalties in intra-network connectivity involved default mode, sensorimotor, and cognitive control networks. Reduced gray matter volume and density in the occipital gyrus and cerebellum were observed in both illnesses. Interestingly, ASD had overall weaker changes than SZ in the shared abnormalities. Interaction between visual and cognitive regions showed disorder-unique deficits. In summary, we provide strong neuroimaging evidence of the convergent and divergent changes in SZ and ASD that correlated with clinical features.","author":[{"dropping-particle":"","family":"Du","given":"Yuhui","non-dropping-particle":"","parse-names":false,"suffix":""},{"dropping-particle":"","family":"Fu","given":"Zening","non-dropping-particle":"","parse-names":false,"suffix":""},{"dropping-particle":"","family":"Xing","given":"Ying","non-dropping-particle":"","parse-names":false,"suffix":""},{"dropping-particle":"","family":"Lin","given":"Dongdong","non-dropping-particle":"","parse-names":false,"suffix":""},{"dropping-particle":"","family":"Pearlson","given":"Godfrey","non-dropping-particle":"","parse-names":false,"suffix":""},{"dropping-particle":"","family":"Kochunov","given":"Peter","non-dropping-particle":"","parse-names":false,"suffix":""},{"dropping-particle":"","family":"Hong","given":"L. Elliot","non-dropping-particle":"","parse-names":false,"suffix":""},{"dropping-particle":"","family":"Qi","given":"Shile","non-dropping-particle":"","parse-names":false,"suffix":""},{"dropping-particle":"","family":"Salman","given":"Mustafa","non-dropping-particle":"","parse-names":false,"suffix":""},{"dropping-particle":"","family":"Abrol","given":"Anees","non-dropping-particle":"","parse-names":false,"suffix":""},{"dropping-particle":"","family":"Calhoun","given":"Vince D.","non-dropping-particle":"","parse-names":false,"suffix":""}],"container-title":"Communications Biology","id":"ITEM-2","issue":"1","issued":{"date-parts":[["2021","9","14"]]},"page":"1-16","publisher":"Nature Publishing Group","title":"Evidence of shared and distinct functional and structural brain signatures in schizophrenia and autism spectrum disorder","type":"article-journal","volume":"4"},"uris":["http://www.mendeley.com/documents/?uuid=2f6dec7b-76f2-3c25-b629-7a55875dc240"]},{"id":"ITEM-3","itemData":{"DOI":"10.1089/brain.2020.0819","ISSN":"21580022","PMID":"33198482","abstract":"Background: Alzheimer's disease (AD) is a chronic neurodegenerative disorder frequently accompanied by cerebral small vessel disease (CSVD). However, the influence of CSVD on the brain functional connectivity in subjects along the AD continuum is still largely unknown. The current study combined the static and dynamic functional network connectivity (FNC) to explore the underlying mechanism. Materials and Methods: In this study, we included 182 healthy controls, 27 individuals with subjective cognitive decline (SCD), 27 with SCD+CSVD, 104 with mild cognitive impairment (MCI), 123 with MCI+CSVD, 16 with AD, and 62 with AD+CSVD. We examined the static and dynamic FNC within the default mode, salience, and cognitive control domains. We also assessed the association between atypical FNC patterns and cognitive impairments, as well as the pathologies. Results: Static FNC results showed progressively increased within-domain connectivity and decreased between-domain connectivity along the AD continuum, especially in CSVD subjects. Dynamic FNC in CSVD subjects showed more occurrences in a highly modularized state and fewer occurrences in the diffusely connected state. Further analysis showed that neuropathology and CSVD burden divergently affect the FNC changes. Conclusions: The overall results demonstrate divergent abnormalities of FNC in CSVD and non-CSVD individuals along the AD continuum, which were divergently affected by neuropathology and CSVD burden. Specifically, those with CSVD show more static and dynamic FNC impairments, associated with cognitive decline. These findings may advance our understanding of the effect of CSVD on AD onset and progression, and provide potential hints for clinical treatment. By combining the static and dynamic brain functional network connectivity (FNC), our study explored the effect of vascular pathology on FNC in subjects along the Alzheimer's disease (AD) continuum. Results demonstrate divergent FNC abnormalities in individuals with/without cerebral small vessel disease (CSVD) along the AD continuum, which could be divergently affected by neuropathology (amyloid and tau) and CSVD burden. Notably, AD-continuum subjects with CSVD show more static and dynamic FNC impairments, associated with cognitive decline. Conclusively, these findings may advance our understanding of the effect of vascular pathology on AD onset and progression, and provide potential hints for clinical treatment.","author":[{"dropping-particle":"","family":"Li","given":"Kaicheng","non-dropping-particle":"","parse-names":false,"suffix":""},{"dropping-particle":"","family":"Fu","given":"Zening","non-dropping-particle":"","parse-names":false,"suffix":""},{"dropping-particle":"","family":"Luo","given":"Xiao","non-dropping-particle":"","parse-names":false,"suffix":""},{"dropping-particle":"","family":"Zeng","given":"Qingze","non-dropping-particle":"","parse-names":false,"suffix":""},{"dropping-particle":"","family":"Huang","given":"Peiyu","non-dropping-particle":"","parse-names":false,"suffix":""},{"dropping-particle":"","family":"Zhang","given":"Minming","non-dropping-particle":"","parse-names":false,"suffix":""},{"dropping-particle":"","family":"Vince","given":"Calhoun D.","non-dropping-particle":"","parse-names":false,"suffix":""}],"container-title":"Brain Connectivity","id":"ITEM-3","issue":"3","issued":{"date-parts":[["2021","4","1"]]},"page":"189-200","publisher":"Mary Ann Liebert Inc.","title":"The Influence of Cerebral Small Vessel Disease on Static and Dynamic Functional Network Connectivity in Subjects along Alzheimer's Disease Continuum","type":"article-journal","volume":"11"},"uris":["http://www.mendeley.com/documents/?uuid=3ca59dbf-fff9-309d-a552-132a4e264658"]},{"id":"ITEM-4","itemData":{"DOI":"10.1002/hbm.25205","ISSN":"1065-9471","author":[{"dropping-particle":"","family":"Fu","given":"Zening","non-dropping-particle":"","parse-names":false,"suffix":""},{"dropping-particle":"","family":"Sui","given":"Jing","non-dropping-particle":"","parse-names":false,"suffix":""},{"dropping-particle":"","family":"Turner","given":"Jessica A.","non-dropping-particle":"","parse-names":false,"suffix":""},{"dropping-particle":"","family":"Du","given":"Yuhui","non-dropping-particle":"","parse-names":false,"suffix":""},{"dropping-particle":"","family":"Assaf","given":"Michal","non-dropping-particle":"","parse-names":false,"suffix":""},{"dropping-particle":"","family":"Pearlson","given":"Godfrey D.","non-dropping-particle":"","parse-names":false,"suffix":""},{"dropping-particle":"","family":"Calhoun","given":"Vince D.","non-dropping-particle":"","parse-names":false,"suffix":""}],"container-title":"Human Brain Mapping","id":"ITEM-4","issued":{"date-parts":[["2020","9","23"]]},"page":"hbm.25205","publisher":"John Wiley &amp; Sons, Ltd","title":"Dynamic functional network reconfiguration underlying the pathophysiology of schizophrenia and autism spectrum disorder","type":"article-journal"},"uris":["http://www.mendeley.com/documents/?uuid=916853c3-b6b5-39f6-97bc-dc0769d9f14a"]},{"id":"ITEM-5","itemData":{"DOI":"10.1038/s41398-023-02312-w","ISSN":"21583188","PMID":"36746924","abstract":"Electroconvulsive therapy (ECT) is the most effective treatment for severe depression and works by applying an electric current through the brain. The applied current generates an electric field (E-field) and seizure activity, changing the brain’s functional organization. The E-field, which is determined by electrode placement (right unilateral or bitemporal) and pulse amplitude (600, 700, or 800 milliamperes), is associated with the ECT response. However, the neural mechanisms underlying the relationship between E-field, functional brain changes, and clinical outcomes of ECT are not well understood. Here, we investigated the relationships between whole-brain E-field (Ebrain, the 90th percentile of E-field magnitude in the brain), cerebro-cerebellar functional network connectivity (FNC), and clinical outcomes (cognitive performance and depression severity). A fully automated independent component analysis framework determined the FNC between the cerebro-cerebellar networks. We found a linear relationship between Ebrain and cognitive outcomes. The mediation analysis showed that the cerebellum to middle occipital gyrus (MOG)/posterior cingulate cortex (PCC) FNC mediated the effects of Ebrain on cognitive performance. In addition, there is a mediation effect through the cerebellum to parietal lobule FNC between Ebrain and antidepressant outcomes. The pair-wise t-tests further demonstrated that a larger Ebrain was associated with increased FNC between cerebellum and MOG and decreased FNC between cerebellum and PCC, which were linked with decreased cognitive performance. This study implies that an optimal E-field balancing the antidepressant and cognitive outcomes should be considered in relation to cerebro-cerebellar functional neuroplasticity.","author":[{"dropping-particle":"","family":"Fu","given":"Zening","non-dropping-particle":"","parse-names":false,"suffix":""},{"dropping-particle":"","family":"Abbott","given":"Christopher C.","non-dropping-particle":"","parse-names":false,"suffix":""},{"dropping-particle":"","family":"Miller","given":"Jeremy","non-dropping-particle":"","parse-names":false,"suffix":""},{"dropping-particle":"De","family":"Deng","given":"Zhi","non-dropping-particle":"","parse-names":false,"suffix":""},{"dropping-particle":"","family":"McClintock","given":"Shawn M.","non-dropping-particle":"","parse-names":false,"suffix":""},{"dropping-particle":"","family":"Sendi","given":"Mohammad S.E.","non-dropping-particle":"","parse-names":false,"suffix":""},{"dropping-particle":"","family":"Sui","given":"Jing","non-dropping-particle":"","parse-names":false,"suffix":""},{"dropping-particle":"","family":"Calhoun","given":"Vince D.","non-dropping-particle":"","parse-names":false,"suffix":""}],"container-title":"Translational Psychiatry","id":"ITEM-5","issue":"1","issued":{"date-parts":[["2023"]]},"title":"Cerebro-cerebellar functional neuroplasticity mediates the effect of electric field on electroconvulsive therapy outcomes","type":"article-journal","volume":"13"},"uris":["http://www.mendeley.com/documents/?uuid=aa4fcd8a-0627-3f53-aaa9-1db0158f8803"]},{"id":"ITEM-6","itemData":{"DOI":"10.1038/s44220-023-00151-8","abstract":" Brain functional connectivity (FC) derived from functional magnetic resonance imaging has been serving as a potential ‘fingerprint’ for adults. However, cross-scan variation of FC can be substantial and carries biological information, especially during childhood. Here we performed a large-scale cross-sectional analysis on cross-scan FC stability and its associations with a diverse range of health measures in children. Functional network connectivity (FNC) was extracted via a hybrid independent component analysis framework on 9,071 participants and compared across four scans. We found that FNC can identify a given child from a large group with high accuracy (maximum &gt;94%) and replicated the results across multiple scans. We then performed a linear mixed-effects model to investigate how cross-scan FNC stability was predictive of children’s behaviour. Although we could not find strong relationships between FNC stability and children’s behaviour, we observed significant but small associations between them (maximum r = 0.1070), with higher stability correlated with better cognitive performance, longer sleep duration and less psychotic expression. Via a multivariate analysis method, we captured larger effects between FNC stability and children’s cognitive performance (maximum r = 0.2932), which further proved the relevance of FNC stability to neurocognitive development. Overall, our findings show that a child’s connectivity profile is not only intrinsic but also exhibits reliable variability across scans, regardless of brain growth and development. Cross-scan connectivity stability may serve as a valuable neuroimaging feature to draw inferences on early cognitive and psychiatric behaviours in children. ","author":[{"dropping-particle":"","family":"Fu","given":"Zening","non-dropping-particle":"","parse-names":false,"suffix":""},{"dropping-particle":"","family":"Liu","given":"Jingyu","non-dropping-particle":"","parse-names":false,"suffix":""},{"dropping-particle":"","family":"Salman","given":"Mustafa S.","non-dropping-particle":"","parse-names":false,"suffix":""},{"dropping-particle":"","family":"Sui","given":"Jing","non-dropping-particle":"","parse-names":false,"suffix":""},{"dropping-particle":"","family":"Calhoun","given":"Vince D.","non-dropping-particle":"","parse-names":false,"suffix":""}],"container-title":"Nature Mental Health","id":"ITEM-6","issue":"12","issued":{"date-parts":[["2023"]]},"page":"956-970","title":"Functional connectivity uniqueness and variability? Linkages with cognitive and psychiatric problems in children","type":"article-journal","volume":"1"},"uris":["http://www.mendeley.com/documents/?uuid=55c65193-d604-3245-b8e9-377c26adadb8"]},{"id":"ITEM-7","itemData":{"DOI":"10.1038/s41380-024-02683-6","ISSN":"14765578","abstract":"Children’s brains dynamically adapt to the stimuli from the internal state and the external environment, allowing for changes in cognitive and mental behavior. In this work, we performed a large-scale analysis of dynamic functional connectivity (DFC) in children aged 9~11 years, investigating how brain dynamics relate to cognitive performance and mental health at an early age. A hybrid independent component analysis framework was applied to the Adolescent Brain Cognitive Development (ABCD) data containing 10,988 children. We combined a sliding-window approach with k-means clustering to identify five brain states with distinct DFC patterns. Interestingly, the occurrence of a strongly connected state with the most within-network synchrony and the anticorrelations between networks, especially between the sensory networks and between the cerebellum and other networks, was negatively correlated with cognitive performance and positively correlated with dimensional psychopathology in children. Meanwhile, opposite relationships were observed for a DFC state showing integration of sensory networks and antagonism between default-mode and sensorimotor networks but weak segregation of the cerebellum. The mediation analysis further showed that attention problems mediated the effect of DFC states on cognitive performance. This investigation unveils the neurological underpinnings of DFC states, which suggests that tracking the transient dynamic connectivity may help to characterize cognitive and mental problems in children and guide people to provide early intervention to buffer adverse influences.","author":[{"dropping-particle":"","family":"Fu","given":"Zening","non-dropping-particle":"","parse-names":false,"suffix":""},{"dropping-particle":"","family":"Sui","given":"Jing","non-dropping-particle":"","parse-names":false,"suffix":""},{"dropping-particle":"","family":"Iraji","given":"Armin","non-dropping-particle":"","parse-names":false,"suffix":""},{"dropping-particle":"","family":"Liu","given":"Jingyu","non-dropping-particle":"","parse-names":false,"suffix":""},{"dropping-particle":"","family":"Calhoun","given":"Vince D.","non-dropping-particle":"","parse-names":false,"suffix":""}],"container-title":"Molecular Psychiatry","id":"ITEM-7","issue":"2","issued":{"date-parts":[["2024","7","31"]]},"page":"402-413","publisher":"Nature Publishing Group","title":"Cognitive and psychiatric relevance of dynamic functional connectivity states in a large (N &gt; 10,000) children population","type":"article-journal","volume":"30"},"uris":["http://www.mendeley.com/documents/?uuid=ef5260b7-4bc8-3fbf-ab48-8a6b8b402130"]}],"mendeley":{"formattedCitation":"&lt;sup&gt;5–11&lt;/sup&gt;","plainTextFormattedCitation":"5–11","previouslyFormattedCitation":"[5–11]"},"properties":{"noteIndex":0},"schema":"https://github.com/citation-style-language/schema/raw/master/csl-citation.json"}</w:instrText>
      </w:r>
      <w:r>
        <w:fldChar w:fldCharType="separate"/>
      </w:r>
      <w:r w:rsidR="00393624" w:rsidRPr="00393624">
        <w:rPr>
          <w:noProof/>
          <w:vertAlign w:val="superscript"/>
        </w:rPr>
        <w:t>5–11</w:t>
      </w:r>
      <w:r>
        <w:fldChar w:fldCharType="end"/>
      </w:r>
      <w:r>
        <w:t>.</w:t>
      </w:r>
    </w:p>
    <w:p w14:paraId="70AA3D45" w14:textId="5EB73EE1" w:rsidR="00855ABF" w:rsidRDefault="00825C84" w:rsidP="00825C84">
      <w:r>
        <w:t xml:space="preserve">We first assessed head motion using the estimated rigid-body motion parameters obtained during the motion correction step. Scans were excluded if they exhibited excessive motion, defined as any rotational displacement exceeding 3 degrees or translational displacement larger than 3 mm in any direction at any time point. In addition, we computed framewise displacement </w:t>
      </w:r>
      <w:r>
        <w:lastRenderedPageBreak/>
        <w:t>(FD) as described by Power et al.</w:t>
      </w:r>
      <w:r>
        <w:fldChar w:fldCharType="begin" w:fldLock="1"/>
      </w:r>
      <w:r w:rsidR="00393624">
        <w:instrText>ADDIN CSL_CITATION {"citationItems":[{"id":"ITEM-1","itemData":{"DOI":"10.1016/j.neuroimage.2011.10.018","ISSN":"10538119","PMID":"22019881","abstract":"Here,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Inc.","author":[{"dropping-particle":"","family":"Power","given":"Jonathan D.","non-dropping-particle":"","parse-names":false,"suffix":""},{"dropping-particle":"","family":"Barnes","given":"Kelly A.","non-dropping-particle":"","parse-names":false,"suffix":""},{"dropping-particle":"","family":"Snyder","given":"Abraham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E.","non-dropping-particle":"","parse-names":false,"suffix":""}],"container-title":"NeuroImage","id":"ITEM-1","issue":"3","issued":{"date-parts":[["2012"]]},"page":"2142-2154","title":"Spurious but systematic correlations in functional connectivity MRI networks arise from subject motion","type":"article-journal","volume":"59"},"uris":["http://www.mendeley.com/documents/?uuid=13ee596b-4e0f-31e3-b1a5-414d428630e1"]}],"mendeley":{"formattedCitation":"&lt;sup&gt;12&lt;/sup&gt;","plainTextFormattedCitation":"12","previouslyFormattedCitation":"[12]"},"properties":{"noteIndex":0},"schema":"https://github.com/citation-style-language/schema/raw/master/csl-citation.json"}</w:instrText>
      </w:r>
      <w:r>
        <w:fldChar w:fldCharType="separate"/>
      </w:r>
      <w:r w:rsidR="00393624" w:rsidRPr="00393624">
        <w:rPr>
          <w:noProof/>
          <w:vertAlign w:val="superscript"/>
        </w:rPr>
        <w:t>12</w:t>
      </w:r>
      <w:r>
        <w:fldChar w:fldCharType="end"/>
      </w:r>
      <w:r>
        <w:t xml:space="preserve"> to quantify volume-to-volume head motion. Scans with a mean FD exceeding 0.35 mm were excluded from further analysis. This temporal QC ensures that retained datasets exhibit minimal motion-related artifacts, thereby improving the reliability and accuracy of imaging feature extraction.</w:t>
      </w:r>
    </w:p>
    <w:p w14:paraId="0DD60F5B" w14:textId="1A9DD9EB" w:rsidR="00855ABF" w:rsidRDefault="008820B8" w:rsidP="00C9023D">
      <w:r>
        <w:t>For spatial QC, we employed a</w:t>
      </w:r>
      <w:r w:rsidR="00340893">
        <w:t>n</w:t>
      </w:r>
      <w:r>
        <w:t xml:space="preserve"> approach based on brain coverage and mask consistency. First, an individual brain mask was generated for each scan using the first volume of the rsfMRI time series. Voxels with intensity values exceeding 90% of the whole-brain mean signal were assigned a value of 1 to define the individual mask. A group-level mask was then constructed by including only those voxels present in more than 90% of individual masks across all scans. We computed the spatial correlation between each mask (from each scan) and the group mask. These correlations were calculated separately for three regions: the superior portion (top 10 axial slices), the inferior portion (bottom 10 axial slices), and the entire brain mask. For each scan, three correlation coefficients were obtained. A scan was considered to meet the spatial QC criteria if it exhibited a spatial correlation greater than 0.75 in the top 10 slices, greater than 0.55 in the bottom 10 slices, and greater than 0.80 across the whole brain. Scans satisfying all three thresholds were deemed to have adequate brain coverage and spatial alignment and were retained for subsequent analysis.</w:t>
      </w:r>
      <w:r w:rsidR="004336EB">
        <w:t xml:space="preserve"> </w:t>
      </w:r>
    </w:p>
    <w:p w14:paraId="779DCFAF" w14:textId="2C15AA14" w:rsidR="0031441B" w:rsidRPr="004E7C73" w:rsidRDefault="0031441B" w:rsidP="0031441B">
      <w:pPr>
        <w:pStyle w:val="Heading1"/>
      </w:pPr>
      <w:r w:rsidRPr="004E7C73">
        <w:t>Neuro</w:t>
      </w:r>
      <w:r w:rsidR="007573A1">
        <w:t>M</w:t>
      </w:r>
      <w:r w:rsidRPr="004E7C73">
        <w:t>ark Framework</w:t>
      </w:r>
      <w:r w:rsidR="007B5712">
        <w:t xml:space="preserve"> and Functional Network Connectivity</w:t>
      </w:r>
    </w:p>
    <w:p w14:paraId="3D2AF068" w14:textId="6F6D6E1C" w:rsidR="00521E25" w:rsidRDefault="00521E25" w:rsidP="00521E25">
      <w:r>
        <w:t>We applied a hybrid data-driven framework, NeuroMark</w:t>
      </w:r>
      <w:r>
        <w:fldChar w:fldCharType="begin" w:fldLock="1"/>
      </w:r>
      <w:r w:rsidR="00393624">
        <w:instrText>ADDIN CSL_CITATION {"citationItems":[{"id":"ITEM-1","itemData":{"DOI":"10.1016/j.neuroimage.2024.120617","ISSN":"10959572","PMID":"38636639","abstract":"A primary challenge to the data-driven analysis is the balance between poor generalizability of population-based research and characterizing more subject-, study- and population-specific variability. We previously introduced a fully automated spatially constrained independent component analysis (ICA) framework called NeuroMark and its functional MRI (fMRI) template. NeuroMark has been successfully applied in numerous studies, identifying brain markers reproducible across datasets and disorders. The first NeuroMark template was constructed based on young adult cohorts. We recently expanded on this initiative by creating a standardized normative multi-spatial-scale functional template using over 100,000 subjects, aiming to improve generalizability and comparability across studies involving diverse cohorts. While a unified template across the lifespan is desirable, a comprehensive investigation of the similarities and differences between components from different age populations might help systematically transform our understanding of the human brain by revealing the most well-replicated and variable network features throughout the lifespan. In this work, we introduced two significant expansions of NeuroMark templates first by generating replicable fMRI templates for infants, adolescents, and aging cohorts, and second by incorporating structural MRI (sMRI) and diffusion MRI (dMRI) modalities. Specifically, we built spatiotemporal fMRI templates based on 6,000 resting-state scans from four datasets. This is the first attempt to create robust ICA templates covering dynamic brain development across the lifespan. For the sMRI and dMRI data, we used two large publicly available datasets including more than 30,000 scans to build reliable templates. We employed a spatial similarity analysis to identify replicable templates and investigate the degree to which unique and similar patterns are reflective in different age populations. Our results suggest remarkably high similarity of the resulting adapted components, even across extreme age differences. With the new templates, the NeuroMark framework allows us to perform age-specific adaptations and to capture features adaptable to each modality, therefore facilitating biomarker identification across brain disorders. In sum, the present work demonstrates the generalizability of NeuroMark templates and suggests the potential of new templates to boost accuracy in mental health research and advance our understanding of l…","author":[{"dropping-particle":"","family":"Fu","given":"Zening","non-dropping-particle":"","parse-names":false,"suffix":""},{"dropping-particle":"","family":"Batta","given":"Ishaan","non-dropping-particle":"","parse-names":false,"suffix":""},{"dropping-particle":"","family":"Wu","given":"Lei","non-dropping-particle":"","parse-names":false,"suffix":""},{"dropping-particle":"","family":"Abrol","given":"Anees","non-dropping-particle":"","parse-names":false,"suffix":""},{"dropping-particle":"","family":"Agcaoglu","given":"Oktay","non-dropping-particle":"","parse-names":false,"suffix":""},{"dropping-particle":"","family":"Salman","given":"Mustafa S.","non-dropping-particle":"","parse-names":false,"suffix":""},{"dropping-particle":"","family":"Du","given":"Yuhui","non-dropping-particle":"","parse-names":false,"suffix":""},{"dropping-particle":"","family":"Iraji","given":"Armin","non-dropping-particle":"","parse-names":false,"suffix":""},{"dropping-particle":"","family":"Shultz","given":"Sarah","non-dropping-particle":"","parse-names":false,"suffix":""},{"dropping-particle":"","family":"Sui","given":"Jing","non-dropping-particle":"","parse-names":false,"suffix":""},{"dropping-particle":"","family":"Calhoun","given":"Vince D.","non-dropping-particle":"","parse-names":false,"suffix":""}],"container-title":"NeuroImage","id":"ITEM-1","issued":{"date-parts":[["2024","4","16"]]},"page":"120617","publisher":"Academic Press","title":"Searching Reproducible Brain Features using NeuroMark: Templates for Different Age Populations and Imaging Modalities","type":"article-journal","volume":"292"},"uris":["http://www.mendeley.com/documents/?uuid=27e13ba0-ad34-3072-9f50-613838610a2e"]},{"id":"ITEM-2","itemData":{"DOI":"10.1016/j.nicl.2020.102375","ISSN":"22131582","PMID":"32961402","abstract":"Many mental illnesses share overlapping or similar clinical symptoms, confounding the diagnosis. It is important to systematically characterize the degree to which unique and similar changing patterns are reflective of brain disorders. Increasing sharing initiatives on neuroimaging data have provided unprecedented opportunities to study brain disorders. However, it is still an open question on replicating and translating findings across studies. Standardized approaches for capturing reproducible and comparable imaging markers are greatly needed. Here, we propose a pipeline based on the priori-driven independent component analysis, NeuroMark, which is capable of estimating brain functional network measures from functional magnetic resonance imaging (fMRI) data that can be used to link brain network abnormalities among different datasets, studies, and disorders. NeuroMark automatically estimates features adaptable to each individual subject and comparable across datasets/studies/disorders by taking advantage of the reliable brain network templates extracted from 1828 healthy controls as guidance. Four studies including 2442 subjects were conducted spanning six brain disorders (schizophrenia, autism spectrum disorder, mild cognitive impairment, Alzheimer's disease, bipolar disorder, and major depressive disorder) to evaluate validity of the proposed pipeline from different perspectives (replication of brain abnormalities, cross-study comparison, identification of subtle brain changes, and multi-disorder classification using identified biomarkers). Our results highlight that NeuroMark effectively identified replicated brain network abnormalities of schizophrenia across different datasets; revealed interesting neural clues on the overlap and specificity between autism and schizophrenia; demonstrated brain functional impairments present to varying degrees in mild cognitive impairments and Alzheimer's disease; and captured biomarkers that achieved good performance in classifying bipolar disorder and major depressive disorder.","author":[{"dropping-particle":"","family":"Du","given":"Yuhui","non-dropping-particle":"","parse-names":false,"suffix":""},{"dropping-particle":"","family":"Fu","given":"Zening","non-dropping-particle":"","parse-names":false,"suffix":""},{"dropping-particle":"","family":"Sui","given":"Jing","non-dropping-particle":"","parse-names":false,"suffix":""},{"dropping-particle":"","family":"Gao","given":"Shuang","non-dropping-particle":"","parse-names":false,"suffix":""},{"dropping-particle":"","family":"Xing","given":"Ying","non-dropping-particle":"","parse-names":false,"suffix":""},{"dropping-particle":"","family":"Lin","given":"Dongdong","non-dropping-particle":"","parse-names":false,"suffix":""},{"dropping-particle":"","family":"Salman","given":"Mustafa","non-dropping-particle":"","parse-names":false,"suffix":""},{"dropping-particle":"","family":"Abrol","given":"Anees","non-dropping-particle":"","parse-names":false,"suffix":""},{"dropping-particle":"","family":"Rahaman","given":"Md Abdur","non-dropping-particle":"","parse-names":false,"suffix":""},{"dropping-particle":"","family":"Chen","given":"Jiayu","non-dropping-particle":"","parse-names":false,"suffix":""},{"dropping-particle":"","family":"Hong","given":"L. Elliot","non-dropping-particle":"","parse-names":false,"suffix":""},{"dropping-particle":"","family":"Kochunov","given":"Peter","non-dropping-particle":"","parse-names":false,"suffix":""},{"dropping-particle":"","family":"Osuch","given":"Elizabeth A.","non-dropping-particle":"","parse-names":false,"suffix":""},{"dropping-particle":"","family":"Calhoun","given":"Vince D.","non-dropping-particle":"","parse-names":false,"suffix":""}],"container-title":"NeuroImage: Clinical","id":"ITEM-2","issued":{"date-parts":[["2020"]]},"title":"NeuroMark: An automated and adaptive ICA based pipeline to identify reproducible fMRI markers of brain disorders","type":"article-journal","volume":"28"},"uris":["http://www.mendeley.com/documents/?uuid=d6cfb656-8f9a-3482-92b7-ce4467704256"]}],"mendeley":{"formattedCitation":"&lt;sup&gt;13,14&lt;/sup&gt;","plainTextFormattedCitation":"13,14","previouslyFormattedCitation":"[13, 14]"},"properties":{"noteIndex":0},"schema":"https://github.com/citation-style-language/schema/raw/master/csl-citation.json"}</w:instrText>
      </w:r>
      <w:r>
        <w:fldChar w:fldCharType="separate"/>
      </w:r>
      <w:r w:rsidR="00393624" w:rsidRPr="00393624">
        <w:rPr>
          <w:noProof/>
          <w:vertAlign w:val="superscript"/>
        </w:rPr>
        <w:t>13,14</w:t>
      </w:r>
      <w:r>
        <w:fldChar w:fldCharType="end"/>
      </w:r>
      <w:r>
        <w:t xml:space="preserve">, to the rsfMRI data to extract subject-specific intrinsic connectivity networks (ICNs) for subsequent functional network connectivity (FNC) analysis. The NeuroMark framework integrates the strengths of both atlas-based and data-driven approaches by combining a robust, pre-defined spatial network template with spatially constrained independent component analysis (ICA). This template-guided ICA approach addresses key limitations of traditional atlas-based methods—such as limited flexibility and reliance on arbitrary parcellations—and of fully data-driven decomposition methods, which often yield components that are not directly comparable across individuals or studies. By enforcing spatial constraints derived from a standardized template, NeuroMark ensures the extraction of ICNs that are spatially consistent and directly comparable across subjects and datasets. It enhances the reproducibility and generalizability of network-level findings while still retaining sensitivity to individual variability in functional organization. The NeuroMark framework offers a principled and reproducible approach to identifying intrinsic brain networks, </w:t>
      </w:r>
      <w:r>
        <w:lastRenderedPageBreak/>
        <w:t>thereby enabling robust cross-subject and cross-cohort analyses of large-scale functional connectivity patterns.</w:t>
      </w:r>
    </w:p>
    <w:p w14:paraId="650FEA37" w14:textId="2C378364" w:rsidR="00F25589" w:rsidRDefault="00F25589" w:rsidP="00010132">
      <w:r w:rsidRPr="00F25589">
        <w:t>In this study, we employed the NeuroMark 1.0 functional template as a reference framework. This template comprises 53 robust and reproducible ICNs, characterized by peak activations predominantly located in meaningful gray matter regions and associated with low-frequency fluctuations in their corresponding time courses (TCs). The 53 ICNs are categorized into seven functional domains—sensorimotor, visual, cognitive control, default mode, auditory, subcortical, and cerebellar—based on prior anatomical and functional knowledge. The spatial maps of these ICNs are shown in Figure S1, and their detailed labels and domain assignments are provided in Table S1.</w:t>
      </w:r>
      <w:r w:rsidR="007517DB">
        <w:t xml:space="preserve"> </w:t>
      </w:r>
      <w:r w:rsidR="007517DB" w:rsidRPr="007517DB">
        <w:t>For each scan, NeuroMark estimated ICN spatial maps and associated TCs using group-information-guided independent component analysis (GIG-ICA)</w:t>
      </w:r>
      <w:r w:rsidR="007517DB" w:rsidRPr="00116A1E">
        <w:fldChar w:fldCharType="begin" w:fldLock="1"/>
      </w:r>
      <w:r w:rsidR="00393624">
        <w:instrText>ADDIN CSL_CITATION {"citationItems":[{"id":"ITEM-1","itemData":{"DOI":"10.1016/j.neuroimage.2012.11.008","ISSN":"10538119","abstract":"Group independent component analysis (ICA) has been widely applied to studies of multi-subject fMRI data for computing subject specific independent components with correspondence across subjects. However, the independence of subject specific independent components (ICs) derived from group ICA has not been explicitly optimized in existing group ICA methods. In order to preserve independence of ICs at the subject level and simultaneously establish correspondence of ICs across subjects, we present a new framework for obtaining subject specific ICs, which we coined group-information guided ICA (GIG-ICA). In this framework, group information captured by standard ICA on the group level is exploited as guidance to compute individual subject specific ICs using a multi-objective optimization strategy. Specifically, we propose a framework with two stages: at first, group ICs (GICs) are obtained using standard group ICA tools, and then the GICs are used as references in a new one-unit ICA with spatial reference (ICA-R) using a multi-objective optimization solver. Comparison experiments with back-reconstruction (GICA1 and GICA3) and dual regression on simulated and real fMRI data have demonstrated that GIG-ICA is able to obtain subject specific ICs with stronger independence and better spatial correspondence across different subjects in addition to higher spatial and temporal accuracy. © 2012 Elsevier Inc.","author":[{"dropping-particle":"","family":"Du","given":"Yuhui","non-dropping-particle":"","parse-names":false,"suffix":""},{"dropping-particle":"","family":"Fan","given":"Yong","non-dropping-particle":"","parse-names":false,"suffix":""}],"container-title":"NeuroImage","id":"ITEM-1","issued":{"date-parts":[["2013"]]},"page":"157-197","title":"Group information guided ICA for fMRI data analysis","type":"article-journal","volume":"69"},"uris":["http://www.mendeley.com/documents/?uuid=38ed1e65-cd00-3196-aab4-ac239e09d816"]}],"mendeley":{"formattedCitation":"&lt;sup&gt;15&lt;/sup&gt;","plainTextFormattedCitation":"15","previouslyFormattedCitation":"[15]"},"properties":{"noteIndex":0},"schema":"https://github.com/citation-style-language/schema/raw/master/csl-citation.json"}</w:instrText>
      </w:r>
      <w:r w:rsidR="007517DB" w:rsidRPr="00116A1E">
        <w:fldChar w:fldCharType="separate"/>
      </w:r>
      <w:r w:rsidR="00393624" w:rsidRPr="00393624">
        <w:rPr>
          <w:noProof/>
          <w:vertAlign w:val="superscript"/>
        </w:rPr>
        <w:t>15</w:t>
      </w:r>
      <w:r w:rsidR="007517DB" w:rsidRPr="00116A1E">
        <w:fldChar w:fldCharType="end"/>
      </w:r>
      <w:r w:rsidR="007517DB" w:rsidRPr="007517DB">
        <w:t>, a back-reconstruction approach that consists of two objective functions, one to optimize the independence of single-subject ICNs and the other to optimize the correspondence between single-subject ICNs and the template prior. Compared to conventional ICA back-reconstruction techniques, GIG-ICA has demonstrated improved estimation accuracy and higher intra-class correlation coefficients (ICCs) for single-subject ICNs</w:t>
      </w:r>
      <w:r w:rsidR="007517DB" w:rsidRPr="00116A1E">
        <w:fldChar w:fldCharType="begin" w:fldLock="1"/>
      </w:r>
      <w:r w:rsidR="00393624">
        <w:instrText>ADDIN CSL_CITATION {"citationItems":[{"id":"ITEM-1","itemData":{"DOI":"10.3389/fnins.2017.00267","ISSN":"1662453X","abstract":"Spatial group independent component analysis (GICA) methods decompose multiple-subject functional magnetic resonance imaging (fMRI) data into a linear mixture of spatially independent components (ICs), some of which are subsequently characterized as brain functional networks. Group information guided independent component analysis (GIG-ICA) as a variant of GICA has been proposed to improve the accuracy of the subject-specific ICs estimation by optimizing their independence. Independent vector analysis (IVA) is another method which optimizes the independence among each subject's components and the dependence among corresponding components of different subjects. Both methods are promising in neuroimaging study and showed a better performance than the traditional GICA. However, the difference between IVA and GIG-ICA has not been well studied. A detailed comparison between them is demanded to provide guidance for functional network analyses. In this work, we employed multiple simulations to evaluate the performances of the two approaches in estimating subject-specific components and time courses under conditions of different data quality and quantity, varied number of sources generated and inaccurate number of components used in computation, as well as the presence of spatially subject-unique sources. We also compared the two methods using healthy subjects' test-retest resting-state fMRI data in terms of spatial functional networks and functional network connectivity (FNC). Results from simulations support that GIG-ICA showed better recovery accuracy of both components and time courses than IVA for those subject-common sources, and IVA outperformed GIG-ICA in component and time course estimation for the subject-unique sources. Results from real fMRI data suggest that GIG-ICA resulted in more reliable spatial functional networks and yielded higher and more robust modularity property of FNC, compared to IVA. Taken together, GIG-ICA is appropriate for estimating networks which are consistent across subjects, while IVA is able to estimate networks with great inter-subject variability or subject-unique property.","author":[{"dropping-particle":"","family":"Du","given":"Yuhui","non-dropping-particle":"","parse-names":false,"suffix":""},{"dropping-particle":"","family":"Lin","given":"Dongdong","non-dropping-particle":"","parse-names":false,"suffix":""},{"dropping-particle":"","family":"Yu","given":"Qingbao","non-dropping-particle":"","parse-names":false,"suffix":""},{"dropping-particle":"","family":"Sui","given":"Jing","non-dropping-particle":"","parse-names":false,"suffix":""},{"dropping-particle":"","family":"Chen","given":"Jiayu","non-dropping-particle":"","parse-names":false,"suffix":""},{"dropping-particle":"","family":"Rachakonda","given":"Srinivas","non-dropping-particle":"","parse-names":false,"suffix":""},{"dropping-particle":"","family":"Adali","given":"Tulay","non-dropping-particle":"","parse-names":false,"suffix":""},{"dropping-particle":"","family":"Calhoun","given":"Vince D.","non-dropping-particle":"","parse-names":false,"suffix":""}],"container-title":"Frontiers in Neuroscience","id":"ITEM-1","issue":"MAY","issued":{"date-parts":[["2017","5","19"]]},"publisher":"Frontiers Research Foundation","title":"Comparison of IVA and GIG-ICA in brain functional network estimation using fMRI data","type":"article-journal","volume":"11"},"uris":["http://www.mendeley.com/documents/?uuid=6dcc165b-477f-305d-8407-adf6a4a66bf5"]},{"id":"ITEM-2","itemData":{"DOI":"10.1002/hbm.23086","ISSN":"10970193","PMID":"26859308","abstract":"Independent component analysis (ICA) has been widely applied to identify intrinsic brain networks from fMRI data. Group ICA computes group-level components from all data and subsequently estimates individual-level components to recapture intersubject variability. However, the best approach to handle artifacts, which may vary widely among subjects, is not yet clear. In this work, we study and compare two ICA approaches for artifacts removal. One approach, recommended in recent work by the Human Connectome Project, first performs ICA on individual subject data to remove artifacts, and then applies a group ICA on the cleaned data from all subjects. We refer to this approach as Individual ICA based artifacts Removal Plus Group ICA (IRPG). A second proposed approach, called Group Information Guided ICA (GIG-ICA), performs ICA on group data, then removes the group-level artifact components, and finally performs subject-specific ICAs using the group-level non-artifact components as spatial references. We used simulations to evaluate the two approaches with respect to the effects of data quality, data quantity, variable number of sources among subjects, and spatially unique artifacts. Resting-state test-retest datasets were also employed to investigate the reliability of functional networks. Results from simulations demonstrate GIG-ICA has greater performance compared with IRPG, even in the case when single-subject artifacts removal is perfect and when individual subjects have spatially unique artifacts. Experiments using test-retest data suggest that GIG-ICA provides more reliable functional networks. Based on high estimation accuracy, ease of implementation, and high reliability of functional networks, we find GIG-ICA to be a promising approach. Hum Brain Mapp 37:1005-1025, 2016.","author":[{"dropping-particle":"","family":"Du","given":"Yuhui","non-dropping-particle":"","parse-names":false,"suffix":""},{"dropping-particle":"","family":"Allen","given":"Elena A.","non-dropping-particle":"","parse-names":false,"suffix":""},{"dropping-particle":"","family":"He","given":"Hao","non-dropping-particle":"","parse-names":false,"suffix":""},{"dropping-particle":"","family":"Sui","given":"Jing","non-dropping-particle":"","parse-names":false,"suffix":""},{"dropping-particle":"","family":"Wu","given":"Lei","non-dropping-particle":"","parse-names":false,"suffix":""},{"dropping-particle":"","family":"Calhoun","given":"Vince D.","non-dropping-particle":"","parse-names":false,"suffix":""}],"container-title":"Human Brain Mapping","id":"ITEM-2","issue":"3","issued":{"date-parts":[["2016","3","1"]]},"page":"1005-1025","publisher":"John Wiley and Sons Inc.","title":"Artifact removal in the context of group ICA: A comparison of single-subject and group approaches","type":"article-journal","volume":"37"},"uris":["http://www.mendeley.com/documents/?uuid=b5e4a5d8-34ac-331e-9ae6-825835ada74e"]}],"mendeley":{"formattedCitation":"&lt;sup&gt;16,17&lt;/sup&gt;","plainTextFormattedCitation":"16,17","previouslyFormattedCitation":"[16, 17]"},"properties":{"noteIndex":0},"schema":"https://github.com/citation-style-language/schema/raw/master/csl-citation.json"}</w:instrText>
      </w:r>
      <w:r w:rsidR="007517DB" w:rsidRPr="00116A1E">
        <w:fldChar w:fldCharType="separate"/>
      </w:r>
      <w:r w:rsidR="00393624" w:rsidRPr="00393624">
        <w:rPr>
          <w:noProof/>
          <w:vertAlign w:val="superscript"/>
        </w:rPr>
        <w:t>16,17</w:t>
      </w:r>
      <w:r w:rsidR="007517DB" w:rsidRPr="00116A1E">
        <w:fldChar w:fldCharType="end"/>
      </w:r>
      <w:r w:rsidR="007517DB" w:rsidRPr="007517DB">
        <w:t>. Additionally, GIG-ICA is more sensitive to inter-individual variations in functional network features, making it particularly beneficial for distinguishing clinical populations from healthy controls</w:t>
      </w:r>
      <w:r w:rsidR="007517DB" w:rsidRPr="00116A1E">
        <w:fldChar w:fldCharType="begin" w:fldLock="1"/>
      </w:r>
      <w:r w:rsidR="00393624">
        <w:instrText>ADDIN CSL_CITATION {"citationItems":[{"id":"ITEM-1","itemData":{"DOI":"10.1016/j.nicl.2019.101747","ISSN":"22131582","abstract":"Brain functional networks identified from fMRI data can provide potential biomarkers for brain disorders. Group independent component analysis (GICA) is popular for extracting brain functional networks from multiple subjects. In GICA, different strategies exist for reconstructing subject-specific networks from the group-level networks. However, it is unknown whether these strategies have different sensitivities to group differences and abilities in distinguishing patients. Among GICA, spatio-temporal regression (STR) and spatially constrained ICA approaches such as group information guided ICA (GIG-ICA) can be used to propagate components (indicating networks) to a new subject that is not included in the original subjects. In this study, based on the same a priori network maps, we reconstructed subject-specific networks using these two methods separately from resting-state fMRI data of 151 schizophrenia patients (SZs) and 163 healthy controls (HCs). We investigated group differences in the estimated functional networks and the functional network connectivity (FNC) obtained by each method. The networks were also used as features in a cross-validated support vector machine (SVM) for classifying SZs and HCs. We selected features using different strategies to provide a comprehensive comparison between the two methods. GIG-ICA generally showed greater sensitivity in statistical analysis and better classification performance (accuracy 76.45 ± 8.9%, sensitivity 0.74 ± 0.11, specificity 0.79 ± 0.11) than STR (accuracy 67.45 ± 8.13%, sensitivity 0.65 ± 0.11, specificity 0.71 ± 0.11). Importantly, results were also consistent when applied to an independent dataset including 82 HCs and 82 SZs. Our work suggests that the functional networks estimated by GIG-ICA are more sensitive to group differences, and GIG-ICA is promising for identifying image-derived biomarkers of brain disease.","author":[{"dropping-particle":"","family":"Salman","given":"Mustafa S.","non-dropping-particle":"","parse-names":false,"suffix":""},{"dropping-particle":"","family":"Du","given":"Yuhui","non-dropping-particle":"","parse-names":false,"suffix":""},{"dropping-particle":"","family":"Lin","given":"Dongdong","non-dropping-particle":"","parse-names":false,"suffix":""},{"dropping-particle":"","family":"Fu","given":"Zening","non-dropping-particle":"","parse-names":false,"suffix":""},{"dropping-particle":"","family":"Fedorov","given":"Alex","non-dropping-particle":"","parse-names":false,"suffix":""},{"dropping-particle":"","family":"Damaraju","given":"Eswar","non-dropping-particle":"","parse-names":false,"suffix":""},{"dropping-particle":"","family":"Sui","given":"Jing","non-dropping-particle":"","parse-names":false,"suffix":""},{"dropping-particle":"","family":"Chen","given":"Jiayu","non-dropping-particle":"","parse-names":false,"suffix":""},{"dropping-particle":"","family":"Mayer","given":"Andrew R.","non-dropping-particle":"","parse-names":false,"suffix":""},{"dropping-particle":"","family":"Posse","given":"Stefan","non-dropping-particle":"","parse-names":false,"suffix":""},{"dropping-particle":"","family":"Mathalon","given":"Daniel H.","non-dropping-particle":"","parse-names":false,"suffix":""},{"dropping-particle":"","family":"Ford","given":"Judith M.","non-dropping-particle":"","parse-names":false,"suffix":""},{"dropping-particle":"","family":"Erp","given":"Theodorus","non-dropping-particle":"Van","parse-names":false,"suffix":""},{"dropping-particle":"","family":"Calhoun","given":"Vince D.","non-dropping-particle":"","parse-names":false,"suffix":""}],"container-title":"NeuroImage: Clinical","id":"ITEM-1","issued":{"date-parts":[["2019","1","1"]]},"page":"101747","publisher":"Elsevier Inc.","title":"Group ICA for identifying biomarkers in schizophrenia: ‘Adaptive’ networks via spatially constrained ICA show more sensitivity to group differences than spatio-temporal regression","type":"article-journal","volume":"22"},"uris":["http://www.mendeley.com/documents/?uuid=6db82dfa-b9bf-36cc-81ed-19277b0f521d"]}],"mendeley":{"formattedCitation":"&lt;sup&gt;18&lt;/sup&gt;","plainTextFormattedCitation":"18","previouslyFormattedCitation":"[18]"},"properties":{"noteIndex":0},"schema":"https://github.com/citation-style-language/schema/raw/master/csl-citation.json"}</w:instrText>
      </w:r>
      <w:r w:rsidR="007517DB" w:rsidRPr="00116A1E">
        <w:fldChar w:fldCharType="separate"/>
      </w:r>
      <w:r w:rsidR="00393624" w:rsidRPr="00393624">
        <w:rPr>
          <w:noProof/>
          <w:vertAlign w:val="superscript"/>
        </w:rPr>
        <w:t>18</w:t>
      </w:r>
      <w:r w:rsidR="007517DB" w:rsidRPr="00116A1E">
        <w:fldChar w:fldCharType="end"/>
      </w:r>
      <w:r w:rsidR="007517DB" w:rsidRPr="007517DB">
        <w:t>.</w:t>
      </w:r>
      <w:r w:rsidR="007517DB">
        <w:t xml:space="preserve"> </w:t>
      </w:r>
      <w:r w:rsidR="007517DB" w:rsidRPr="007517DB">
        <w:t>The NeuroMark framework, in conjunction with the 1.0 functional template, has been widely adopted in the neuroimaging community and has proven effective in identifying robust and reproducible functional biomarkers across a broad range of studies and clinical populations</w:t>
      </w:r>
      <w:r w:rsidR="007517DB" w:rsidRPr="00116A1E">
        <w:fldChar w:fldCharType="begin" w:fldLock="1"/>
      </w:r>
      <w:r w:rsidR="00393624">
        <w:instrText xml:space="preserve">ADDIN CSL_CITATION {"citationItems":[{"id":"ITEM-1","itemData":{"DOI":"10.1016/j.biopsych.2022.09.024","ISSN":"18732402","PMID":"36577634","abstract":"Psychiatric illnesses are heterogeneous in nature. No illness manifests in the same way across individuals, and no two patients with a shared diagnosis exhibit identical symptom profiles. Over the last several decades, group-level analyses of in vivo neuroimaging data have led to fundamental advances in our understanding of the neurobiology of psychiatric illnesses. More recently, access to computational resources and large, publicly available datasets alongside the rise of predictive modeling and precision medicine approaches have facilitated the study of psychiatric illnesses at an individual level. Data-driven machine learning analyses can be applied to identify disease-relevant biological subtypes, predict individual symptom profiles, and recommend personalized therapeutic interventions. However, when developing these predictive models, methodological choices must be carefully considered to ensure accurate, robust, and interpretable results. Choices pertaining to algorithms, neuroimaging modalities and states, data transformation, phenotypes, parcellations, sample sizes, and populations we are specifically studying can influence model performance. Here, we review applications of neuroimaging-based machine learning models to study psychiatric illnesses and discuss the effects of different methodological choices on model performance. An understanding of these effects is crucial for the proper implementation of predictive models in psychiatry and will facilitate more accurate diagnoses, prognoses, and therapeutics.","author":[{"dropping-particle":"","family":"Dhamala","given":"Elvisha","non-dropping-particle":"","parse-names":false,"suffix":""},{"dropping-particle":"","family":"Yeo","given":"B. T.Thomas","non-dropping-particle":"","parse-names":false,"suffix":""},{"dropping-particle":"","family":"Holmes","given":"Avram J.","non-dropping-particle":"","parse-names":false,"suffix":""}],"container-title":"Biological Psychiatry","id":"ITEM-1","issue":"8","issued":{"date-parts":[["2023"]]},"page":"717-728","title":"One Size Does Not Fit All: Methodological Considerations for Brain-Based Predictive Modeling in Psychiatry","type":"article-journal","volume":"93"},"uris":["http://www.mendeley.com/documents/?uuid=5e38974b-790d-351e-bae5-b7dd4aeaf2d6"]},{"id":"ITEM-2","itemData":{"DOI":"10.1093/brain/awab452","ISSN":"14602156","PMID":"34919634","abstract":"The locus coeruleus is the initial site of Alzheimer's disease neuropathology, with hyperphosphorylated Tau appearing in early adulthood followed by neurodegeneration in dementia. Locus coeruleus dysfunction contributes to Alzheimer's pathobiology in experimental models, which can be rescued by increasing norepinephrine transmission. To test norepinephrine augmentation as a potential disease-modifying therapy, we performed a biomarker-driven phase II trial of atomoxetine, a clinically-approved norepinephrine transporter inhibitor, in subjects with mild cognitive impairment due to Alzheimer's disease. The design was a single-centre, 12-month double-blind crossover trial. Thirty-nine participants with mild cognitive impairment and biomarker evidence of Alzheimer's disease were randomized to atomoxetine or placebo treatment. Assessments were collected at baseline, 6- (crossover) and 12-months (completer). Target engagement was assessed by CSF and plasma measures of norepinephrine and metabolites. Prespecified primary outcomes were CSF levels of IL1α and TECK. Secondary/exploratory outcomes included clinical measures, CSF analyses of amyloid-β42, Tau, and pTau181, mass spectrometry proteomics and immune-based targeted inflammation-related cytokines, as well as brain imaging with MRI and fluorodeoxyglucose-PET. Baseline demographic and clinical measures were similar across trial arms. Dropout rates were 5.1% for atomoxetine and 2.7% for placebo, with no significant differences in adverse events. Atomoxetine robustly increased plasma and CSF norepinephrine levels. IL-1α and TECK were not measurable in most samples. There were no significant treatment effects on cognition and clinical outcomes, as expected given the short trial duration. Atomoxetine was associated with a significant reduction in CSF Tau and pTau181 compared to placebo, but not associated with change in amyloid-β42. Atomoxetine treatment also significantly altered CSF abundances of protein panels linked to brain pathophysiologies, including synaptic, metabolism and glial immunity, as well as inflammation-related CDCP1, CD244, TWEAK and osteoprotegerin proteins. Treatment was also associated with significantly increased brain-derived neurotrophic factor and reduced triglycerides in plasma. Resting state functional MRI showed significantly increased inter-network connectivity due to atomoxetine between the insula and the hippocampus. Fluorodeoxyglucose-PET showed atomoxetine-associated increased …","author":[{"dropping-particle":"","family":"Levey","given":"Allan I.","non-dropping-particle":"","parse-names":false,"suffix":""},{"dropping-particle":"","family":"Qiu","given":"Deqiang","non-dropping-particle":"","parse-names":false,"suffix":""},{"dropping-particle":"","family":"Zhao","given":"Liping","non-dropping-particle":"","parse-names":false,"suffix":""},{"dropping-particle":"","family":"Hu","given":"William T.","non-dropping-particle":"","parse-names":false,"suffix":""},{"dropping-particle":"","family":"Duong","given":"Duc M.","non-dropping-particle":"","parse-names":false,"suffix":""},{"dropping-particle":"","family":"Higginbotham","given":"Lenora","non-dropping-particle":"","parse-names":false,"suffix":""},{"dropping-particle":"","family":"Dammer","given":"Eric B.","non-dropping-particle":"","parse-names":false,"suffix":""},{"dropping-particle":"","family":"Seyfried","given":"Nicholas T.","non-dropping-particle":"","parse-names":false,"suffix":""},{"dropping-particle":"","family":"Wingo","given":"Thomas S.","non-dropping-particle":"","parse-names":false,"suffix":""},{"dropping-particle":"","family":"Hales","given":"Chadwick M.","non-dropping-particle":"","parse-names":false,"suffix":""},{"dropping-particle":"","family":"Tansey","given":"Malú Gámez","non-dropping-particle":"","parse-names":false,"suffix":""},{"dropping-particle":"","family":"Goldstein","given":"David S.","non-dropping-particle":"","parse-names":false,"suffix":""},{"dropping-particle":"","family":"Abrol","given":"Anees","non-dropping-particle":"","parse-names":false,"suffix":""},{"dropping-particle":"","family":"Calhoun","given":"Vince D.","non-dropping-particle":"","parse-names":false,"suffix":""},{"dropping-particle":"","family":"Goldstein","given":"Felicia C.","non-dropping-particle":"","parse-names":false,"suffix":""},{"dropping-particle":"","family":"Hajjar","given":"Ihab","non-dropping-particle":"","parse-names":false,"suffix":""},{"dropping-particle":"","family":"Fagan","given":"Anne M.","non-dropping-particle":"","parse-names":false,"suffix":""},{"dropping-particle":"","family":"Galasko","given":"Doug","non-dropping-particle":"","parse-names":false,"suffix":""},{"dropping-particle":"","family":"Edland","given":"Steven D.","non-dropping-particle":"","parse-names":false,"suffix":""},{"dropping-particle":"","family":"Hanfelt","given":"John","non-dropping-particle":"","parse-names":false,"suffix":""},{"dropping-particle":"","family":"Lah","given":"James J.","non-dropping-particle":"","parse-names":false,"suffix":""},{"dropping-particle":"","family":"Weinshenker","given":"David","non-dropping-particle":"","parse-names":false,"suffix":""}],"container-title":"Brain","id":"ITEM-2","issue":"6","issued":{"date-parts":[["2022"]]},"page":"1924-1938","title":"A phase II study repurposing atomoxetine for neuroprotection in mild cognitive impairment","type":"article-journal","volume":"145"},"uris":["http://www.mendeley.com/documents/?uuid=4b19d294-c404-3797-828e-9c934b9acd28"]},{"id":"ITEM-3","itemData":{"DOI":"10.1016/j.media.2022.102413","ISSN":"13618423","PMID":"35305447","abstract":"Functional magnetic resonance imaging (fMRI) as a promising tool to investigate psychotic disorders can be decomposed into useful imaging features such as time courses (TCs) of independent components (ICs) and functional network connectivity (FNC) calculated by TC cross-correlation. TCs reflect the temporal dynamics of brain activity and the FNC characterizes temporal coherence across intrinsic brain networks. Both features have been used as input to deep learning approaches with decent results. However, few studies have tried to leverage their complementary information to learn optimal representations at multiple facets. Motivated by this, we proposed a Hybrid Deep Learning Framework integrating brain Connectivity and Activity (HDLFCA) together by combining convolutional recurrent neural network (C-RNN) and deep neural network (DNN), aiming to improve classification accuracy and interpretability simultaneously. Specifically, C-RNNAM was proposed to extract temporal dynamic dependencies with an attention module (AM) to automatically learn discriminative knowledge from TC nodes, while DNN was applied to identify the most group-discriminative FNC patterns with layer-wise relevance propagation (LRP). Then, both prediction outputs were concatenated to build a new feature matrix, generating the final decision by logistic regression. The effectiveness of HDLFCA was validated on both multi-site schizophrenia (SZ, n </w:instrText>
      </w:r>
      <w:r w:rsidR="00393624">
        <w:rPr>
          <w:rFonts w:ascii="Cambria Math" w:hAnsi="Cambria Math" w:cs="Cambria Math"/>
        </w:rPr>
        <w:instrText>∼</w:instrText>
      </w:r>
      <w:r w:rsidR="00393624">
        <w:instrText xml:space="preserve"> 1100) and public autism datasets (ABIDE, n </w:instrText>
      </w:r>
      <w:r w:rsidR="00393624">
        <w:rPr>
          <w:rFonts w:ascii="Cambria Math" w:hAnsi="Cambria Math" w:cs="Cambria Math"/>
        </w:rPr>
        <w:instrText>∼</w:instrText>
      </w:r>
      <w:r w:rsidR="00393624">
        <w:instrText xml:space="preserve"> 1522) by outperforming 12 alternative models at 2.8-8.9% accuracy, including 8 models using either static FNC or TCs and 4 models using dynamic FNC. Appreciable classification accuracy was achieved for HC vs. SZ (85.3%) and HC vs. Autism (72.4%) respectively. More importantly, the most group-discriminative brain regions can be easily attributed and visualized, providing meaningful biological interpretability and highlighting the great potential of the proposed HDLFCA model in the identification of valid neuroimaging biomarkers.","author":[{"dropping-particle":"","family":"Zhao","given":"Min","non-dropping-particle":"","parse-names":false,"suffix":""},{"dropping-particle":"","family":"Yan","given":"Weizheng","non-dropping-particle":"","parse-names":false,"suffix":""},{"dropping-particle":"","family":"Luo","given":"Na","non-dropping-particle":"","parse-names":false,"suffix":""},{"dropping-particle":"","family":"Zhi","given":"Dongmei","non-dropping-particle":"","parse-names":false,"suffix":""},{"dropping-particle":"","family":"Fu","given":"Zening","non-dropping-particle":"","parse-names":false,"suffix":""},{"dropping-particle":"","family":"Du","given":"Yuhui","non-dropping-particle":"","parse-names":false,"suffix":""},{"dropping-particle":"","family":"Yu","given":"Shan","non-dropping-particle":"","parse-names":false,"suffix":""},{"dropping-particle":"","family":"Jiang","given":"Tianzi","non-dropping-particle":"","parse-names":false,"suffix":""},{"dropping-particle":"","family":"Calhoun","given":"Vince D.","non-dropping-particle":"","parse-names":false,"suffix":""},{"dropping-particle":"","family":"Sui","given":"Jing","non-dropping-particle":"","parse-names":false,"suffix":""}],"container-title":"Medical Image Analysis","id":"ITEM-3","issued":{"date-parts":[["2022"]]},"title":"An attention-based hybrid deep learning framework integrating brain connectivity and activity of resting-state functional MRI data","type":"article-journal","volume":"78"},"uris":["http://www.mendeley.com/documents/?uuid=6491de9f-19e9-3450-b85e-73d7fa51c6ae"]},{"id":"ITEM-4","itemData":{"DOI":"10.1038/s42003-021-02592-2","ISSN":"23993642","abstract":"Schizophrenia (SZ) and autism spectrum disorder (ASD) share considerable clinical features and intertwined historical roots. It is greatly needed to explore their similarities and differences in pathophysiologic mechanisms. We assembled a large sample size of neuroimaging data (about 600 SZ patients, 1000 ASD patients, and 1700 healthy controls) to study the shared and unique brain abnormality of the two illnesses. We analyzed multi-scale brain functional connectivity among functional networks and brain regions, intra-network connectivity, and cerebral gray matter density and volume. Both SZ and ASD showed lower functional integration within default mode and sensorimotor domains, but increased interaction between cognitive control and default mode domains. The shared abnormalties in intra-network connectivity involved default mode, sensorimotor, and cognitive control networks. Reduced gray matter volume and density in the occipital gyrus and cerebellum were observed in both illnesses. Interestingly, ASD had overall weaker changes than SZ in the shared abnormalities. Interaction between visual and cognitive regions showed disorder-unique deficits. In summary, we provide strong neuroimaging evidence of the convergent and divergent changes in SZ and ASD that correlated with clinical features.","author":[{"dropping-particle":"","family":"Du","given":"Yuhui","non-dropping-particle":"","parse-names":false,"suffix":""},{"dropping-particle":"","family":"Fu","given":"Zening","non-dropping-particle":"","parse-names":false,"suffix":""},{"dropping-particle":"","family":"Xing","given":"Ying","non-dropping-particle":"","parse-names":false,"suffix":""},{"dropping-particle":"","family":"Lin","given":"Dongdong","non-dropping-particle":"","parse-names":false,"suffix":""},{"dropping-particle":"","family":"Pearlson","given":"Godfrey","non-dropping-particle":"","parse-names":false,"suffix":""},{"dropping-particle":"","family":"Kochunov","given":"Peter","non-dropping-particle":"","parse-names":false,"suffix":""},{"dropping-particle":"","family":"Hong","given":"L. Elliot","non-dropping-particle":"","parse-names":false,"suffix":""},{"dropping-particle":"","family":"Qi","given":"Shile","non-dropping-particle":"","parse-names":false,"suffix":""},{"dropping-particle":"","family":"Salman","given":"Mustafa","non-dropping-particle":"","parse-names":false,"suffix":""},{"dropping-particle":"","family":"Abrol","given":"Anees","non-dropping-particle":"","parse-names":false,"suffix":""},{"dropping-particle":"","family":"Calhoun","given":"Vince D.","non-dropping-particle":"","parse-names":false,"suffix":""}],"container-title":"Communications Biology","id":"ITEM-4","issue":"1","issued":{"date-parts":[["2021","9","14"]]},"page":"1-16","publisher":"Nature Publishing Group","title":"Evidence of shared and distinct functional and structural brain signatures in schizophrenia and autism spectrum disorder","type":"article-journal","volume":"4"},"uris":["http://www.mendeley.com/documents/?uuid=2f6dec7b-76f2-3c25-b629-7a55875dc240"]},{"id":"ITEM-5","itemData":{"DOI":"10.1016/j.ynstr.2021.100377","ISSN":"23522895","abstract":"Accumulating evidence shows that Coronavirus Disease 19 (COVID-19) survivors may encounter prolonged mental issues, especially post-traumatic stress symptoms (PTSS). Despite manifesting a plethora of behavioral or mental issues in COVID-19 survivors, previous studies illustrated that static brain functional networks of these survivors remain intact. The insignificant results could be due to the conventional statistic network analysis was unable to reveal information that can vary considerably in different temporal scales. In contrast, time-varying characteristics of the dynamic functional networks may help reveal important brain abnormalities in COVID-19 survivors. To test this hypothesis, we assessed PTSS and collected functional magnetic resonance imaging (fMRI) with COVID-19 survivors discharged from hospitals and matched controls. Results showed that COVID-19 survivors self-reported a significantly higher PTSS than controls. Tapping into the moment-to-moment variations of the fMRI data, we captured the dynamic functional network connectivity (dFNC) states, and three discriminative reoccurring brain dFNC states were identified. First of all, COVID-19 survivors showed an increased occurrence of a dFNC state with heterogeneous patterns between sensorimotor and visual networks. More importantly, the occurrence rate of this state was significantly correlated with the severity of PTSS. Finally, COVID-19 survivors demonstrated decreased topological organizations in this dFNC state than controls, including the node strength, degree, and local efficiency of the supplementary motor area. To conclude, our findings revealed the altered temporal characteristics of functional networks and their associations with PTSS due to COVID- 19. The current results highlight the importance of evaluating dynamic functional network changes with COVID-19 survivors.","author":[{"dropping-particle":"","family":"Fu","given":"Zening","non-dropping-particle":"","parse-names":false,"suffix":""},{"dropping-particle":"","family":"Tu","given":"Yiheng","non-dropping-particle":"","parse-names":false,"suffix":""},{"dropping-particle":"","family":"Calhoun","given":"Vince D.","non-dropping-particle":"","parse-names":false,"suffix":""},{"dropping-particle":"","family":"Zhang","given":"Yuqi","non-dropping-particle":"","parse-names":false,"suffix":""},{"dropping-particle":"","family":"Zhao","given":"Qing","non-dropping-particle":"","parse-names":false,"suffix":""},{"dropping-particle":"","family":"Chen","given":"Jun","non-dropping-particle":"","parse-names":false,"suffix":""},{"dropping-particle":"","family":"Meng","given":"Qingtao","non-dropping-particle":"","parse-names":false,"suffix":""},{"dropping-particle":"","family":"Lu","given":"Zhijie","non-dropping-particle":"","parse-names":false,"suffix":""},{"dropping-particle":"","family":"Hu","given":"Li","non-dropping-particle":"","parse-names":false,"suffix":""}],"container-title":"Neurobiology of Stress","id":"ITEM-5","issued":{"date-parts":[["2021"]]},"title":"Dynamic functional network connectivity associated with post-traumatic stress symptoms in COVID-19 survivors","type":"article-journal","volume":"15"},"uris":["http://www.mendeley.com/documents/?uuid=ed0f7cf6-527e-30bf-afb9-8dcb54bbddef"]},{"id":"ITEM-6","itemData":{"DOI":"10.1001/JAMANETWORKOPEN.2023.12810","ISSN":"2574-3805","abstract":"&lt;h3&gt;Importance&lt;/h3&gt;&lt;p&gt;Arsenic, a contaminant of groundwater and irrigated crops, is a global public health hazard. Exposure to low levels of arsenic through food extends well beyond the areas with high arsenic content in water.&lt;/p&gt;&lt;h3&gt;Objective&lt;/h3&gt;&lt;p&gt;To identify cognitive impairments following commonly prevalent low-level arsenic exposure and characterize their underlying brain mechanisms.&lt;/p&gt;&lt;h3&gt;Design, Setting, and Participants&lt;/h3&gt;&lt;p&gt;This multicenter population-based cohort study analyzed cross-sectional data of the Indian Consortium on Vulnerability to Externalizing Disorders and Addictions (cVEDA) cohort, recruited between November 4, 2016, and May 4, 2019. Participants aged 6 to 23 years were characterized using deep phenotyping measures of behavior, neuropsychology, psychopathology, brain neuroimaging, and exposure to developmental adversities and environmental neurotoxins. All analyses were performed between June 1, 2020, and December 31, 2021.&lt;/p&gt;&lt;h3&gt;Exposure&lt;/h3&gt;&lt;p&gt;Arsenic levels were measured in urine as an index of exposure.&lt;/p&gt;&lt;h3&gt;Main Outcomes and Measures&lt;/h3&gt;&lt;p&gt;Executive function measured using the cVEDA neuropsychological battery, gray matter volume (GMV) from T1-weighted magnetic resonance imaging, and functional network connectivity measures from resting state functional magnetic resonance imaging.&lt;/p&gt;&lt;h3&gt;Results&lt;/h3&gt;&lt;p&gt;A total of 1014 participants aged 6 to 23 years (589 male [58.1%]; mean [SD] age, 14.86 [4.79] years) were included from 5 geographic locations. Sparse-partial least squares analysis was used to describe a negative association of arsenic exposure with executive function (&lt;i&gt;r&lt;/i&gt; = −0.12 [&lt;i&gt;P&lt;/i&gt; = 5.4 × 10&lt;sup&gt;−4&lt;/sup&gt;]), brain structure (&lt;i&gt;r&lt;/i&gt; = −0.20 [&lt;i&gt;P&lt;/i&gt; = 1.8 × 10&lt;sup&gt;−8&lt;/sup&gt;]), and functional connectivity (within network,&lt;i&gt;r&lt;/i&gt; = −0.12 [&lt;i&gt;P&lt;/i&gt; = 7.5 × 10&lt;sup&gt;−4&lt;/sup&gt;]; between network,&lt;i&gt;r&lt;/i&gt; = −0.23 [&lt;i&gt;P&lt;/i&gt; = 1.8 × 10&lt;sup&gt;−10&lt;/sup&gt;]). Alterations in executive function were partially mediated by GMV (&lt;i&gt;b&lt;/i&gt; = −0.004 [95% CI, −0.007 to −0.002]) and within-network functional connectivity (&lt;i&gt;b&lt;/i&gt; = −0.004 [95% CI, −0.008 to −0.002]). Socioeconomic status and body mass index moderated the association between arsenic and GMV, such that the association was strongest in participants with lower socioeconomic status and body mass index.&lt;/p&gt;&lt;h3&gt;Conclusions and Relevance&lt;/h3&gt;&lt;p&gt;The findings of this cross-sectional study suggest that low-level arsenic exposure was associated with alterations in executiv…","author":[{"dropping-particle":"","family":"Vaidya","given":"Nilakshi","non-dropping-particle":"","parse-names":false,"suffix":""},{"dropping-particle":"","family":"Holla","given":"Bharath","non-dropping-particle":"","parse-names":false,"suffix":""},{"dropping-particle":"","family":"Heron","given":"Jon","non-dropping-particle":"","parse-names":false,"suffix":""},{"dropping-particle":"","family":"Sharma","given":"Eesha","non-dropping-particle":"","parse-names":false,"suffix":""},{"dropping-particle":"","family":"Zhang","given":"Yuning","non-dropping-particle":"","parse-names":false,"suffix":""},{"dropping-particle":"","family":"Fernandes","given":"Gwen","non-dropping-particle":"","parse-names":false,"suffix":""},{"dropping-particle":"","family":"Iyengar","given":"Udita","non-dropping-particle":"","parse-names":false,"suffix":""},{"dropping-particle":"","family":"Spiers","given":"Alex","non-dropping-particle":"","parse-names":false,"suffix":""},{"dropping-particle":"","family":"Yadav","given":"Anupa","non-dropping-particle":"","parse-names":false,"suffix":""},{"dropping-particle":"","family":"Das","given":"Surajit","non-dropping-particle":"","parse-names":false,"suffix":""},{"dropping-particle":"","family":"Roy","given":"Sanjit","non-dropping-particle":"","parse-names":false,"suffix":""},{"dropping-particle":"","family":"Ahuja","given":"Chirag K.","non-dropping-particle":"","parse-names":false,"suffix":""},{"dropping-particle":"","family":"Barker","given":"Gareth J.","non-dropping-particle":"","parse-names":false,"suffix":""},{"dropping-particle":"","family":"Basu","given":"Debasish","non-dropping-particle":"","parse-names":false,"suffix":""},{"dropping-particle":"","family":"Bharath","given":"Rose Dawn","non-dropping-particle":"","parse-names":false,"suffix":""},{"dropping-particle":"","family":"Hickman","given":"Matthew","non-dropping-particle":"","parse-names":false,"suffix":""},{"dropping-particle":"","family":"Jain","given":"Sanjeev","non-dropping-particle":"","parse-names":false,"suffix":""},{"dropping-particle":"","family":"Kalyanram","given":"Kartik","non-dropping-particle":"","parse-names":false,"suffix":""},{"dropping-particle":"","family":"Kartik","given":"Kamakshi","non-dropping-particle":"","parse-names":false,"suffix":""},{"dropping-particle":"","family":"Krishna","given":"Murali","non-dropping-particle":"","parse-names":false,"suffix":""},{"dropping-particle":"","family":"Krishnaveni","given":"Ghattu","non-dropping-particle":"","parse-names":false,"suffix":""},{"dropping-particle":"","family":"Kumaran","given":"Kalyanaraman","non-dropping-particle":"","parse-names":false,"suffix":""},{"dropping-particle":"","family":"Kuriyan","given":"Rebecca","non-dropping-particle":"","parse-names":false,"suffix":""},{"dropping-particle":"","family":"Murthy","given":"Pratima","non-dropping-particle":"","parse-names":false,"suffix":""},{"dropping-particle":"","family":"Orfanos","given":"Dimitri Papadopoulos","non-dropping-particle":"","parse-names":false,"suffix":""},{"dropping-particle":"","family":"Purushottam","given":"Meera","non-dropping-particle":"","parse-names":false,"suffix":""},{"dropping-particle":"","family":"Kurpad","given":"Sunita Simon","non-dropping-particle":"","parse-names":false,"suffix":""},{"dropping-particle":"","family":"Singh","given":"Lenin","non-dropping-particle":"","parse-names":false,"suffix":""},{"dropping-particle":"","family":"Singh","given":"Roshan","non-dropping-particle":"","parse-names":false,"suffix":""},{"dropping-particle":"","family":"Subodh","given":"B. N.","non-dropping-particle":"","parse-names":false,"suffix":""},{"dropping-particle":"","family":"Toledano","given":"Mireille","non-dropping-particle":"","parse-names":false,"suffix":""},{"dropping-particle":"","family":"Walter","given":"Henrik","non-dropping-particle":"","parse-names":false,"suffix":""},{"dropping-particle":"","family":"Desrivières","given":"Sylvane","non-dropping-particle":"","parse-names":false,"suffix":""},{"dropping-particle":"","family":"Chakrabarti","given":"Amit","non-dropping-particle":"","parse-names":false,"suffix":""},{"dropping-particle":"","family":"Benegal","given":"Vivek","non-dropping-particle":"","parse-names":false,"suffix":""},{"dropping-particle":"","family":"Schumann","given":"Gunter","non-dropping-particle":"","parse-names":false,"suffix":""},{"dropping-particle":"","family":"(cVEDA)","given":"Consortium on Vulnerability to Externalizing Disorders and Addictions","non-dropping-particle":"","parse-names":false,"suffix":""},{"dropping-particle":"","family":"Varghese","given":"Mathew","non-dropping-particle":"","parse-names":false,"suffix":""},{"dropping-particle":"","family":"Thennarasu","given":"Kandavel","non-dropping-particle":"","parse-names":false,"suffix":""},{"dropping-particle":"","family":"Metha","given":"Urvakhsh","non-dropping-particle":"","parse-names":false,"suffix":""},{"dropping-particle":"","family":"Girimaji","given":"Satish","non-dropping-particle":"","parse-names":false,"suffix":""},{"dropping-particle":"","family":"Jacob","given":"Preeti","non-dropping-particle":"","parse-names":false,"suffix":""},{"dropping-particle":"","family":"Jayarajan","given":"Deepak","non-dropping-particle":"","parse-names":false,"suffix":""},{"dropping-particle":"","family":"Kumar","given":"Keshav","non-dropping-particle":"","parse-names":false,"suffix":""},{"dropping-particle":"","family":"Narayanan","given":"Gitanjali","non-dropping-particle":"","parse-names":false,"suffix":""},{"dropping-particle":"","family":"Khullar","given":"Madhu","non-dropping-particle":"","parse-names":false,"suffix":""},{"dropping-particle":"","family":"Khandelwal","given":"Niranjan","non-dropping-particle":"","parse-names":false,"suffix":""},{"dropping-particle":"","family":"Ghosh","given":"Abhishek","non-dropping-particle":"","parse-names":false,"suffix":""},{"dropping-particle":"","family":"Joshi","given":"Nainesh","non-dropping-particle":"","parse-names":false,"suffix":""},{"dropping-particle":"","family":"Chanu","given":"Ningthoujam Debala","non-dropping-particle":"","parse-names":false,"suffix":""},{"dropping-particle":"","family":"M.C.","given":"Fujica","non-dropping-particle":"","parse-names":false,"suffix":""},{"dropping-particle":"","family":"Ph.","given":"Victoria","non-dropping-particle":"","parse-names":false,"suffix":""},{"dropping-particle":"","family":"Phurailatpam","given":"Celina","non-dropping-particle":"","parse-names":false,"suffix":""},{"dropping-particle":"","family":"Bhattacharya","given":"Debangana","non-dropping-particle":"","parse-names":false,"suffix":""},{"dropping-particle":"","family":"Haque","given":"Bidisha","non-dropping-particle":"","parse-names":false,"suffix":""},{"dropping-particle":"","family":"Nagraj","given":"Alisha","non-dropping-particle":"","parse-names":false,"suffix":""},{"dropping-particle":"","family":"Ghosh","given":"Arpita","non-dropping-particle":"","parse-names":false,"suffix":""},{"dropping-particle":"","family":"Basu","given":"Anirban","non-dropping-particle":"","parse-names":false,"suffix":""},{"dropping-particle":"","family":"Pandit","given":"Mriganka","non-dropping-particle":"","parse-names":false,"suffix":""},{"dropping-particle":"","family":"Das","given":"Subhadip","non-dropping-particle":"","parse-names":false,"suffix":""},{"dropping-particle":"","family":"Maurya","given":"Pawan","non-dropping-particle":"","parse-names":false,"suffix":""},{"dropping-particle":"","family":"Gourisankar","given":"Amritha","non-dropping-particle":"","parse-names":false,"suffix":""},{"dropping-particle":"","family":"T","given":"Geetha Rani","non-dropping-particle":"","parse-names":false,"suffix":""},{"dropping-particle":"","family":"B","given":"Sujatha","non-dropping-particle":"","parse-names":false,"suffix":""},{"dropping-particle":"","family":"Rangaswamy","given":"Madhavi","non-dropping-particle":"","parse-names":false,"suffix":""},{"dropping-particle":"","family":"Fall","given":"Caroline","non-dropping-particle":"","parse-names":false,"suffix":""},{"dropping-particle":"","family":"KN","given":"Kiran","non-dropping-particle":"","parse-names":false,"suffix":""},{"dropping-particle":"","family":"MC","given":"Ramya","non-dropping-particle":"","parse-names":false,"suffix":""},{"dropping-particle":"","family":"Urs","given":"Chaitra","non-dropping-particle":"","parse-names":false,"suffix":""},{"dropping-particle":"","family":"N","given":"Santhosh","non-dropping-particle":"","parse-names":false,"suffix":""},{"dropping-particle":"","family":"R","given":"Somashekhara","non-dropping-particle":"","parse-names":false,"suffix":""},{"dropping-particle":"","family":"K","given":"Divyashree","non-dropping-particle":"","parse-names":false,"suffix":""},{"dropping-particle":"","family":"Rao","given":"Arathi","non-dropping-particle":"","parse-names":false,"suffix":""},{"dropping-particle":"","family":"R","given":"Poornima","non-dropping-particle":"","parse-names":false,"suffix":""},{"dropping-particle":"","family":"Tripathy","given":"Saswathika","non-dropping-particle":"","parse-names":false,"suffix":""},{"dropping-particle":"","family":"Parashar","given":"Neha","non-dropping-particle":"","parse-names":false,"suffix":""},{"dropping-particle":"","family":"B","given":"Nayana K","non-dropping-particle":"","parse-names":false,"suffix":""},{"dropping-particle":"","family":"Seshadri","given":"Ashwini","non-dropping-particle":"","parse-names":false,"suffix":""},{"dropping-particle":"","family":"Kumar","given":"Sathish","non-dropping-particle":"","parse-names":false,"suffix":""},{"dropping-particle":"","family":"Baligar","given":"Suneela","non-dropping-particle":"","parse-names":false,"suffix":""},{"dropping-particle":"","family":"Arumugam","given":"Thamodaran","non-dropping-particle":"","parse-names":false,"suffix":""},{"dropping-particle":"","family":"Safai","given":"Apoorva","non-dropping-particle":"","parse-names":false,"suffix":""},{"dropping-particle":"","family":"Cyril","given":"Anthony","non-dropping-particle":"","parse-names":false,"suffix":""},{"dropping-particle":"","family":"Roy","given":"Ashika","non-dropping-particle":"","parse-names":false,"suffix":""},{"dropping-particle":"","family":"D","given":"Dhanalakshmi","non-dropping-particle":"","parse-names":false,"suffix":""},{"dropping-particle":"","family":"D","given":"Shivamma","non-dropping-particle":"","parse-names":false,"suffix":""},{"dropping-particle":"","family":"R","given":"Bhavana B","non-dropping-particle":"","parse-names":false,"suffix":""}],"container-title":"JAMA Network Open","id":"ITEM-6","issue":"5","issued":{"date-parts":[["2023","5","1"]]},"page":"e2312810-e2312810","publisher":"American Medical Association","title":"Neurocognitive Analysis of Low-level Arsenic Exposure and Executive Function Mediated by Brain Anomalies Among Children, Adolescents, and Young Adults in India","type":"article-journal","volume":"6"},"uris":["http://www.mendeley.com/documents/?uuid=c312d165-663b-30ca-936f-dfdc0108af4f"]},{"id":"ITEM-7","itemData":{"DOI":"10.1038/s41467-020-17788-z","ISSN":"20411723","abstract":"Thalamocortical dysrhythmia is a key pathology of chronic neuropathic pain, but few studies have investigated thalamocortical networks in chronic low back pain (cLBP) given its non-specific etiology and complexity. Using fMRI, we propose an analytical pipeline to identify abnormal thalamocortical network dynamics in cLBP patients and validate the findings in two independent cohorts. We first identify two reoccurring dynamic connectivity states and their associations with chronic and temporary pain. Further analyses show that cLBP patients have abnormal connectivity between the ventral lateral/posterolateral nucleus (VL/VPL) and postcentral gyrus (PoCG) and between the dorsal/ventral medial nucleus and insula in the less frequent connectivity state, and temporary pain exacerbation alters connectivity between the VL/VPL and PoCG and the default mode network in the more frequent connectivity state. These results extend current findings on thalamocortical dysfunction and dysrhythmia in chronic pain and demonstrate that cLBP pathophysiology and clinical pain intensity are associated with distinct thalamocortical network dynamics.","author":[{"dropping-particle":"","family":"Tu","given":"Yiheng","non-dropping-particle":"","parse-names":false,"suffix":""},{"dropping-particle":"","family":"Fu","given":"Zening","non-dropping-particle":"","parse-names":false,"suffix":""},{"dropping-particle":"","family":"Mao","given":"Cuiping","non-dropping-particle":"","parse-names":false,"suffix":""},{"dropping-particle":"","family":"Falahpour","given":"Maryam","non-dropping-particle":"","parse-names":false,"suffix":""},{"dropping-particle":"","family":"Gollub","given":"Randy L.","non-dropping-particle":"","parse-names":false,"suffix":""},{"dropping-particle":"","family":"Park","given":"Joel","non-dropping-particle":"","parse-names":false,"suffix":""},{"dropping-particle":"","family":"Wilson","given":"Georgia","non-dropping-particle":"","parse-names":false,"suffix":""},{"dropping-particle":"","family":"Napadow","given":"Vitaly","non-dropping-particle":"","parse-names":false,"suffix":""},{"dropping-particle":"","family":"Gerber","given":"Jessica","non-dropping-particle":"","parse-names":false,"suffix":""},{"dropping-particle":"","family":"Chan","given":"Suk Tak","non-dropping-particle":"","parse-names":false,"suffix":""},{"dropping-particle":"","family":"Edwards","given":"Robert R.","non-dropping-particle":"","parse-names":false,"suffix":""},{"dropping-particle":"","family":"Kaptchuk","given":"Ted J.","non-dropping-particle":"","parse-names":false,"suffix":""},{"dropping-particle":"","family":"Liu","given":"Thomas","non-dropping-particle":"","parse-names":false,"suffix":""},{"dropping-particle":"","family":"Calhoun","given":"Vince","non-dropping-particle":"","parse-names":false,"suffix":""},{"dropping-particle":"","family":"Rosen","given":"Bruce","non-dropping-particle":"","parse-names":false,"suffix":""},{"dropping-particle":"","family":"Kong","given":"Jian","non-dropping-particle":"","parse-names":false,"suffix":""}],"container-title":"Nature Communications","id":"ITEM-7","issue":"1","issued":{"date-parts":[["2020","12","1"]]},"page":"1-12","publisher":"Nature Research","title":"Distinct thalamocortical network dynamics are associated with the pathophysiology of chronic low back pain","type":"article-journal","volume":"11"},"uris":["http://www.mendeley.com/documents/?uuid=52d054e2-bcfc-3352-b7e0-5d6a4ed87d26"]},{"id":"ITEM-8","itemData":{"DOI":"10.3389/fnins.2021.682110","ISBN":"2021.682110","abstract":"Psychosis disorders share overlapping symptoms and are characterized by a wide-spread breakdown in functional brain integration. Although neuroimaging studies have identified numerous connectivity abnormalities in affective and non-affective psychoses, whether they have specific or unique connectivity abnormalities, especially within the early stage is still poorly understood. The early phase of psychosis is a critical period with fewer chronic confounds and when treatment intervention may be most effective. In this work, we examined whole-brain functional network connectivity (FNC) from both static and dynamic perspectives in patients with affective psychosis (PAP) or with non-affective psychosis (PnAP) and healthy controls (HCs). A fully automated independent component analysis (ICA) pipeline called “Neuromark” was applied to high-quality functional magnetic resonance imaging (fMRI) data with 113 early-phase psychosis patients (32 PAP and 81 PnAP) and 52 HCs. Relative to the HCs, both psychosis groups showed common abnormalities in static FNC (sFNC) between the thalamus and sensorimotor domain, and between subcortical regions and the cerebellum. PAP had specifically decreased sFNC between the superior temporal gyrus and the paracentral lobule, and between the cerebellum and the middle temporal gyrus/inferior parietal lobule. On the other hand, PnAP showed increased sFNC between the fusiform gyrus and the superior medial frontal gyrus. Dynamic FNC (dFNC) was investigated using a combination of a sliding window approach, clustering analysis, and graph analysis. Three reoccurring brain states were identified, among which both psychosis groups had fewer occurrences in one antagonism state (state 2) and showed decreased network efficiency within an intermediate state (state 1). Compared with HCs and PnAP, PAP also showed a significantly increased number of state transitions, indicating more unstable brain connections in affective psychosis. We further found that the identified connectivity features were associated with the overall positive and negative syndrome scale, an assessment instrument for general psychopathology and positive symptoms. Our findings support the view that subcortical-cortical information processing is disrupted within five years of the initial onset of psychosis and provide new evidence that abnormalities in both static and dynamic connectivity consist of shared and unique features for the early affective and non-affective psychoses.","author":[{"dropping-particle":"","family":"Fu","given":"Zening","non-dropping-particle":"","parse-names":false,"suffix":""},{"dropping-particle":"","family":"Iraji","given":"Armin","non-dropping-particle":"","parse-names":false,"suffix":""},{"dropping-particle":"","family":"Sui","given":"Jing","non-dropping-particle":"","parse-names":false,"suffix":""},{"dropping-particle":"","family":"Calhoun","given":"Vince D.","non-dropping-particle":"","parse-names":false,"suffix":""}],"container-title":"Frontiers in Neuroscience","id":"ITEM-8","issued":{"date-parts":[["2021"]]},"title":"Whole-Brain Functional Network Connectivity Abnormalities in Affective and Non-Affective Early Phase Psychosis","type":"article-journal","volume":"15"},"uris":["http://www.mendeley.com/documents/?uuid=0793bb00-f1a7-3b95-bbce-dbcf44bdd441"]},{"id":"ITEM-9","itemData":{"DOI":"10.1016/j.pscychresns.2023.111655","ISSN":"18727506","PMID":"37201216","abstract":"Clinicians often face a dilemma in diagnosing bipolar disorder patients with complex symptoms who spend more time in a depressive state than a manic state. The current gold standard for such diagnosis, the Diagnostic and Statistical Manual (DSM), is not objectively grounded in pathophysiology. In such complex cases, relying solely on the DSM may result in misdiagnosis as major depressive disorder (MDD). A biologically-based classification algorithm that can accurately predict treatment response may help patients suffering from mood disorders. Here we used an algorithm to do so using neuroimaging data. We used the neuromark framework to learn a kernel function for support vector machine (SVM) on multiple feature subspaces. The neuromark framework achieves up to 95.45% accuracy, 0.90 sensitivity, and 0.92 specificity in predicting antidepressant (AD) vs. mood stabilizer (MS) response in patients. We incorporated two additional datasets to evaluate the generalizability of our approach. The trained algorithm achieved up to 89% accuracy, 0.88 sensitivity, and 0.89 specificity in predicting the DSM-based diagnosis on these datasets. We also translated the model to distinguish responders to treatment from nonresponders with up to 70% accuracy. This approach reveals multiple salient biomarkers of medication-class of response within mood disorders.","author":[{"dropping-particle":"","family":"Salman","given":"Mustafa S.","non-dropping-particle":"","parse-names":false,"suffix":""},{"dropping-particle":"","family":"Verner","given":"Eric","non-dropping-particle":"","parse-names":false,"suffix":""},{"dropping-particle":"","family":"Bockholt","given":"H. Jeremy","non-dropping-particle":"","parse-names":false,"suffix":""},{"dropping-particle":"","family":"Fu","given":"Zening","non-dropping-particle":"","parse-names":false,"suffix":""},{"dropping-particle":"","family":"Misiura","given":"Maria","non-dropping-particle":"","parse-names":false,"suffix":""},{"dropping-particle":"","family":"Baker","given":"Bradley T.","non-dropping-particle":"","parse-names":false,"suffix":""},{"dropping-particle":"","family":"Osuch","given":"Elizabeth","non-dropping-particle":"","parse-names":false,"suffix":""},{"dropping-particle":"","family":"Sui","given":"Jing","non-dropping-particle":"","parse-names":false,"suffix":""},{"dropping-particle":"","family":"Calhoun","given":"Vince D.","non-dropping-particle":"","parse-names":false,"suffix":""}],"container-title":"Psychiatry Research - Neuroimaging","id":"ITEM-9","issued":{"date-parts":[["2023"]]},"title":"Multi-study evaluation of neuroimaging-based prediction of medication class in mood disorders","type":"article-journal","volume":"333"},"uris":["http://www.mendeley.com/documents/?uuid=40445caf-6f94-3f7c-9a5b-a938d7c74707"]},{"id":"ITEM-10","itemData":{"DOI":"10.1038/s44220-023-00151-8","abstract":" Brain functional connectivity (FC) derived from functional magnetic resonance imaging has been serving as a potential ‘fingerprint’ for adults. However, cross-scan variation of FC can be substantial and carries biological information, especially during childhood. Here we performed a large-scale cross-sectional analysis on cross-scan FC stability and its associations with a diverse range of health measures in children. Functional network connectivity (FNC) was extracted via a hybrid independent component analysis framework on 9,071 participants and compared across four scans. We found that FNC can identify a given child from a large group with high accuracy (maximum &gt;94%) and replicated the results across multiple scans. We then performed a linear mixed-effects model to investigate how cross-scan FNC stability was predictive of children’s behaviour. Although we could not find strong relationships between FNC stability and children’s behaviour, we observed significant but small associations between them (maximum r = 0.1070), with higher stability correlated with better cognitive performance, longer sleep duration and less psychotic expression. Via a multivariate analysis method, we captured larger effects between FNC stability and children’s cognitive performance (maximum r = 0.2932), which further proved the relevance of FNC stability to neurocognitive development. Overall, our findings show that a child’s connectivity profile is not only intrinsic but also exhibits reliable variability across scans, regardless of brain growth and development. Cross-scan connectivity stability may serve as a valuable neuroimaging feature to draw inferences on early cognitive and psychiatric behaviours in children. ","author":[{"dropping-particle":"","family":"Fu","given":"Zening","non-dropping-particle":"","parse-names":false,"suffix":""},{"dropping-particle":"","family":"Liu","given":"Jingyu","non-dropping-particle":"","parse-names":false,"suffix":""},{"dropping-particle":"","family":"Salman","given":"Mustafa S.","non-dropping-particle":"","parse-names":false,"suffix":""},{"dropping-particle":"","family":"Sui","given":"Jing","non-dropping-particle":"","parse-names":false,"suffix":""},{"dropping-particle":"","family":"Calhoun","given":"Vince D.","non-dropping-particle":"","parse-names":false,"suffix":""}],"container-title":"Nature Mental Health","id":"ITEM-10","issue":"12","issued":{"date-parts":[["2023"]]},"page":"956-970","title":"Functional connectivity uniqueness and variability? Linkages with cognitive and psychiatric problems in children","type":"article-journal","volume":"1"},"uris":["http://www.mendeley.com/documents/?uuid=55c65193-d604-3245-b8e9-377c26adadb8"]},{"id":"ITEM-11","itemData":{"DOI":"10.1016/j.biopsych.2023.09.017","ISSN":"00063223","PMID":"37769983","abstract":"&lt;h2&gt;ABSTRACT&lt;/h2&gt;&lt;h3&gt;Background&lt;/h3&gt;&lt;p&gt;Accurate psychiatric risk assessment requires biomarkers that are both stable and adaptable to development. Functional network connectivity (FNC), which steadily reconfigures over time, potentially contains abundant information to assess psychiatric risks. However, the absence of suitable analytical methodologies has constrained this area of investigation.&lt;/p&gt;&lt;h3&gt;Methods&lt;/h3&gt;&lt;p&gt;We investigated brain-wide risk score (BRS), a novel FNC-based metric that contrasts the relative distances of an individual's FNC to that of psychiatric disorders versus healthy control references. To generate group-level disorder and healthy control references, we utilized a large brain imaging dataset containing 5231 total individuals diagnosed with schizophrenia, autism spectrum, major depressive, and bipolar disorders, and their corresponding healthy controls. The BRS metric was employed to assess the psychiatric risk in two new datasets: Adolescent Brain and Cognitive Development (ABCD, N=8191) and Human Connectome Project Early Psychosis (HCP-EP, N=170).&lt;/p&gt;&lt;h3&gt;Results&lt;/h3&gt;&lt;p&gt;The BRS revealed clear, reproducible gradient of FNC patterns from low-to-high-risk for each psychiatric disorder in unaffected adolescents. We found that low-risk ABCD adolescent FNC patterns for each disorder were strongly present in over 25% of the ABCD subjects and homogeneous, whereas high-risk patterns of each psychiatric disorder were strongly present in about 1% of ABCD subjects and heterogeneous. The BRS also showed its effectiveness in predicting psychosis scores and distinguishing individuals with early psychosis from healthy controls.&lt;/p&gt;&lt;h3&gt;Conclusions&lt;/h3&gt;&lt;p&gt;The BRS could be a new image-based tool for assessing psychiatric vulnerability over time and in unaffected individuals, and it could also serve as a potential biomarker, facilitating early screening and monitoring interventions.&lt;/p&gt;","author":[{"dropping-particle":"","family":"Yan","given":"Weizheng","non-dropping-particle":"","parse-names":false,"suffix":""},{"dropping-particle":"","family":"Pearlson","given":"Godfrey D.","non-dropping-particle":"","parse-names":false,"suffix":""},{"dropping-particle":"","family":"Fu","given":"Zening","non-dropping-particle":"","parse-names":false,"suffix":""},{"dropping-particle":"","family":"Li","given":"Xinhui","non-dropping-particle":"","parse-names":false,"suffix":""},{"dropping-particle":"","family":"Iraji","given":"Armin","non-dropping-particle":"","parse-names":false,"suffix":""},{"dropping-particle":"","family":"Chen","given":"Jiayu","non-dropping-particle":"","parse-names":false,"suffix":""},{"dropping-particle":"","family":"Sui","given":"Jing","non-dropping-particle":"","parse-names":false,"suffix":""},{"dropping-particle":"","family":"Volkow","given":"Nora D.","non-dropping-particle":"","parse-names":false,"suffix":""},{"dropping-particle":"","family":"Calhoun","given":"Vince D.","non-dropping-particle":"","parse-names":false,"suffix":""}],"container-title":"Biological Psychiatry","id":"ITEM-11","issued":{"date-parts":[["2023"]]},"title":"A brain-wide risk score for psychiatric disorder evaluated in a large adolescent population reveals increased divergence among higher-risk groups relative to controls","type":"article-journal"},"uris":["http://www.mendeley.com/documents/?uuid=1215e8e4-1b13-341c-9fb6-17f5e0182dee"]}],"mendeley":{"formattedCitation":"&lt;sup&gt;6,10,27,19–26&lt;/sup&gt;","plainTextFormattedCitation":"6,10,27,19–26","previouslyFormattedCitation":"[6, 10, 27, 19–26]"},"properties":{"noteIndex":0},"schema":"https://github.com/citation-style-language/schema/raw/master/csl-citation.json"}</w:instrText>
      </w:r>
      <w:r w:rsidR="007517DB" w:rsidRPr="00116A1E">
        <w:fldChar w:fldCharType="separate"/>
      </w:r>
      <w:r w:rsidR="00393624" w:rsidRPr="00393624">
        <w:rPr>
          <w:noProof/>
          <w:vertAlign w:val="superscript"/>
        </w:rPr>
        <w:t>6,10,27,19–26</w:t>
      </w:r>
      <w:r w:rsidR="007517DB" w:rsidRPr="00116A1E">
        <w:fldChar w:fldCharType="end"/>
      </w:r>
      <w:r w:rsidR="007517DB">
        <w:t xml:space="preserve">. </w:t>
      </w:r>
    </w:p>
    <w:p w14:paraId="7640F2B3" w14:textId="265BCF81" w:rsidR="00DE2AF7" w:rsidRDefault="007022F9" w:rsidP="003F39A5">
      <w:r>
        <w:t xml:space="preserve"> </w:t>
      </w:r>
      <w:r w:rsidR="00754649" w:rsidRPr="00754649">
        <w:t>To further reduce residual noise, we applied a post-processing pipeline to the TCs of the ICNs. This pipeline consisted of the following steps: (1) detrending to remove linear, quadratic, and cubic trends; (2) multiple linear regression to eliminate the effects of six motion realignment parameters and their first-order temporal derivatives; (3) removal of outlier volumes identified as temporal artifacts; and (4) temporal band-pass filtering within the frequency range of 0.01–0.15 Hz to retain physiologically relevant low-frequency fluctuations. Following denoising, FNC was computed by calculating Pearson correlation coefficients between the TCs of all ICN pairs. This resulted in a 53 × 53 symmetric FNC matrix for each subject, representing whole-brain functional connectivity patterns among the 53 networks.</w:t>
      </w:r>
      <w:r w:rsidR="003F39A5">
        <w:t xml:space="preserve"> </w:t>
      </w:r>
    </w:p>
    <w:p w14:paraId="010E0D07" w14:textId="525F78A8" w:rsidR="003E356D" w:rsidRPr="004E7C73" w:rsidRDefault="00773DC8" w:rsidP="003E356D">
      <w:pPr>
        <w:pStyle w:val="TableTitle"/>
        <w:rPr>
          <w:rFonts w:cs="Times New Roman"/>
        </w:rPr>
      </w:pPr>
      <w:r>
        <w:rPr>
          <w:rFonts w:cs="Times New Roman"/>
        </w:rPr>
        <w:t xml:space="preserve">Labels and </w:t>
      </w:r>
      <w:r w:rsidR="003E356D" w:rsidRPr="004E7C73">
        <w:rPr>
          <w:rFonts w:cs="Times New Roman"/>
        </w:rPr>
        <w:t xml:space="preserve">Peak Coordinates of </w:t>
      </w:r>
      <w:r w:rsidR="002A52B8">
        <w:rPr>
          <w:rFonts w:cs="Times New Roman"/>
        </w:rPr>
        <w:t xml:space="preserve">53 </w:t>
      </w:r>
      <w:r w:rsidR="003E356D" w:rsidRPr="004E7C73">
        <w:rPr>
          <w:rFonts w:cs="Times New Roman"/>
        </w:rPr>
        <w:t>Intrinsic Connectivity Networks (ICNs)</w:t>
      </w:r>
    </w:p>
    <w:tbl>
      <w:tblPr>
        <w:tblW w:w="937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8"/>
        <w:gridCol w:w="1620"/>
        <w:gridCol w:w="1530"/>
        <w:gridCol w:w="1350"/>
      </w:tblGrid>
      <w:tr w:rsidR="003E356D" w:rsidRPr="0081629E" w14:paraId="1A86FFB4" w14:textId="77777777" w:rsidTr="0081629E">
        <w:tc>
          <w:tcPr>
            <w:tcW w:w="4878" w:type="dxa"/>
            <w:tcBorders>
              <w:top w:val="thinThickSmallGap" w:sz="24" w:space="0" w:color="auto"/>
              <w:bottom w:val="single" w:sz="4" w:space="0" w:color="auto"/>
              <w:right w:val="nil"/>
            </w:tcBorders>
            <w:shd w:val="clear" w:color="auto" w:fill="auto"/>
            <w:vAlign w:val="center"/>
          </w:tcPr>
          <w:p w14:paraId="13166C5C" w14:textId="77777777" w:rsidR="003E356D" w:rsidRPr="0081629E" w:rsidRDefault="003E356D" w:rsidP="0081629E">
            <w:pPr>
              <w:pStyle w:val="table"/>
              <w:jc w:val="left"/>
              <w:rPr>
                <w:rFonts w:cs="Times New Roman"/>
                <w:b/>
              </w:rPr>
            </w:pPr>
            <w:r w:rsidRPr="0081629E">
              <w:rPr>
                <w:rFonts w:cs="Times New Roman"/>
                <w:b/>
              </w:rPr>
              <w:lastRenderedPageBreak/>
              <w:t>ICNs</w:t>
            </w:r>
          </w:p>
        </w:tc>
        <w:tc>
          <w:tcPr>
            <w:tcW w:w="1620" w:type="dxa"/>
            <w:tcBorders>
              <w:top w:val="thinThickSmallGap" w:sz="24" w:space="0" w:color="auto"/>
              <w:left w:val="nil"/>
              <w:bottom w:val="single" w:sz="4" w:space="0" w:color="auto"/>
              <w:right w:val="nil"/>
            </w:tcBorders>
            <w:shd w:val="clear" w:color="auto" w:fill="auto"/>
            <w:vAlign w:val="center"/>
          </w:tcPr>
          <w:p w14:paraId="5E47BC58" w14:textId="77777777" w:rsidR="003E356D" w:rsidRPr="0081629E" w:rsidRDefault="003E356D" w:rsidP="00E7048A">
            <w:pPr>
              <w:pStyle w:val="table"/>
              <w:rPr>
                <w:rFonts w:cs="Times New Roman"/>
                <w:b/>
              </w:rPr>
            </w:pPr>
            <w:r w:rsidRPr="0081629E">
              <w:rPr>
                <w:rFonts w:cs="Times New Roman"/>
                <w:b/>
              </w:rPr>
              <w:t>X</w:t>
            </w:r>
          </w:p>
        </w:tc>
        <w:tc>
          <w:tcPr>
            <w:tcW w:w="1530" w:type="dxa"/>
            <w:tcBorders>
              <w:top w:val="thinThickSmallGap" w:sz="24" w:space="0" w:color="auto"/>
              <w:left w:val="nil"/>
              <w:bottom w:val="single" w:sz="4" w:space="0" w:color="auto"/>
              <w:right w:val="nil"/>
            </w:tcBorders>
            <w:shd w:val="clear" w:color="auto" w:fill="auto"/>
            <w:vAlign w:val="center"/>
          </w:tcPr>
          <w:p w14:paraId="011166C8" w14:textId="77777777" w:rsidR="003E356D" w:rsidRPr="0081629E" w:rsidRDefault="003E356D" w:rsidP="00E7048A">
            <w:pPr>
              <w:pStyle w:val="table"/>
              <w:rPr>
                <w:rFonts w:cs="Times New Roman"/>
                <w:b/>
              </w:rPr>
            </w:pPr>
            <w:r w:rsidRPr="0081629E">
              <w:rPr>
                <w:rFonts w:cs="Times New Roman"/>
                <w:b/>
              </w:rPr>
              <w:t>Y</w:t>
            </w:r>
          </w:p>
        </w:tc>
        <w:tc>
          <w:tcPr>
            <w:tcW w:w="1350" w:type="dxa"/>
            <w:tcBorders>
              <w:top w:val="thinThickSmallGap" w:sz="24" w:space="0" w:color="auto"/>
              <w:left w:val="nil"/>
              <w:bottom w:val="single" w:sz="4" w:space="0" w:color="auto"/>
            </w:tcBorders>
            <w:shd w:val="clear" w:color="auto" w:fill="auto"/>
            <w:vAlign w:val="center"/>
          </w:tcPr>
          <w:p w14:paraId="13A0CA8B" w14:textId="77777777" w:rsidR="003E356D" w:rsidRPr="0081629E" w:rsidRDefault="003E356D" w:rsidP="00E7048A">
            <w:pPr>
              <w:pStyle w:val="table"/>
              <w:rPr>
                <w:rFonts w:cs="Times New Roman"/>
                <w:b/>
              </w:rPr>
            </w:pPr>
            <w:r w:rsidRPr="0081629E">
              <w:rPr>
                <w:rFonts w:cs="Times New Roman"/>
                <w:b/>
              </w:rPr>
              <w:t>Z</w:t>
            </w:r>
          </w:p>
        </w:tc>
      </w:tr>
      <w:tr w:rsidR="003E356D" w:rsidRPr="0081629E" w14:paraId="1FC346D2" w14:textId="77777777" w:rsidTr="0081629E">
        <w:tc>
          <w:tcPr>
            <w:tcW w:w="9378" w:type="dxa"/>
            <w:gridSpan w:val="4"/>
            <w:tcBorders>
              <w:top w:val="single" w:sz="4" w:space="0" w:color="auto"/>
              <w:bottom w:val="single" w:sz="4" w:space="0" w:color="auto"/>
            </w:tcBorders>
            <w:shd w:val="clear" w:color="auto" w:fill="D0CECE"/>
            <w:vAlign w:val="center"/>
          </w:tcPr>
          <w:p w14:paraId="480C6D20" w14:textId="3262A6B7" w:rsidR="003E356D" w:rsidRPr="0081629E" w:rsidRDefault="003E356D" w:rsidP="0081629E">
            <w:pPr>
              <w:pStyle w:val="table"/>
              <w:jc w:val="left"/>
              <w:rPr>
                <w:rFonts w:cs="Times New Roman"/>
                <w:b/>
              </w:rPr>
            </w:pPr>
            <w:r w:rsidRPr="0081629E">
              <w:rPr>
                <w:rFonts w:cs="Times New Roman"/>
                <w:b/>
              </w:rPr>
              <w:t>Sub-cortical domain (SC)</w:t>
            </w:r>
            <w:r w:rsidR="00EB5712">
              <w:rPr>
                <w:rFonts w:cs="Times New Roman"/>
                <w:b/>
              </w:rPr>
              <w:t>: 5 ICNs</w:t>
            </w:r>
          </w:p>
        </w:tc>
      </w:tr>
      <w:tr w:rsidR="003E356D" w:rsidRPr="0081629E" w14:paraId="5EB8BD00" w14:textId="77777777" w:rsidTr="0081629E">
        <w:tc>
          <w:tcPr>
            <w:tcW w:w="4878" w:type="dxa"/>
            <w:tcBorders>
              <w:top w:val="single" w:sz="4" w:space="0" w:color="auto"/>
              <w:bottom w:val="nil"/>
              <w:right w:val="nil"/>
            </w:tcBorders>
            <w:shd w:val="clear" w:color="auto" w:fill="auto"/>
            <w:vAlign w:val="center"/>
          </w:tcPr>
          <w:p w14:paraId="2180AE86" w14:textId="22AAFE95" w:rsidR="003E356D" w:rsidRPr="0081629E" w:rsidRDefault="003E356D" w:rsidP="0081629E">
            <w:pPr>
              <w:pStyle w:val="table"/>
              <w:jc w:val="left"/>
              <w:rPr>
                <w:rFonts w:cs="Times New Roman"/>
              </w:rPr>
            </w:pPr>
            <w:r w:rsidRPr="0081629E">
              <w:rPr>
                <w:rFonts w:cs="Times New Roman"/>
              </w:rPr>
              <w:t>Caudate (</w:t>
            </w:r>
            <w:r w:rsidR="00ED101D">
              <w:rPr>
                <w:rFonts w:cs="Times New Roman"/>
              </w:rPr>
              <w:t>1</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60B4020D" w14:textId="77777777" w:rsidR="003E356D" w:rsidRPr="0081629E" w:rsidRDefault="003E356D" w:rsidP="00E7048A">
            <w:pPr>
              <w:pStyle w:val="table"/>
              <w:rPr>
                <w:rFonts w:cs="Times New Roman"/>
              </w:rPr>
            </w:pPr>
            <w:r w:rsidRPr="0081629E">
              <w:rPr>
                <w:rFonts w:cs="Times New Roman"/>
              </w:rPr>
              <w:t>6.5</w:t>
            </w:r>
          </w:p>
        </w:tc>
        <w:tc>
          <w:tcPr>
            <w:tcW w:w="1530" w:type="dxa"/>
            <w:tcBorders>
              <w:top w:val="single" w:sz="4" w:space="0" w:color="auto"/>
              <w:left w:val="nil"/>
              <w:bottom w:val="nil"/>
              <w:right w:val="nil"/>
            </w:tcBorders>
            <w:shd w:val="clear" w:color="auto" w:fill="auto"/>
            <w:vAlign w:val="center"/>
          </w:tcPr>
          <w:p w14:paraId="74BF8F7A" w14:textId="77777777" w:rsidR="003E356D" w:rsidRPr="0081629E" w:rsidRDefault="003E356D" w:rsidP="00E7048A">
            <w:pPr>
              <w:pStyle w:val="table"/>
              <w:rPr>
                <w:rFonts w:cs="Times New Roman"/>
              </w:rPr>
            </w:pPr>
            <w:r w:rsidRPr="0081629E">
              <w:rPr>
                <w:rFonts w:cs="Times New Roman"/>
              </w:rPr>
              <w:t>10.5</w:t>
            </w:r>
          </w:p>
        </w:tc>
        <w:tc>
          <w:tcPr>
            <w:tcW w:w="1350" w:type="dxa"/>
            <w:tcBorders>
              <w:top w:val="single" w:sz="4" w:space="0" w:color="auto"/>
              <w:left w:val="nil"/>
              <w:bottom w:val="nil"/>
            </w:tcBorders>
            <w:shd w:val="clear" w:color="auto" w:fill="auto"/>
            <w:vAlign w:val="center"/>
          </w:tcPr>
          <w:p w14:paraId="73F02497" w14:textId="77777777" w:rsidR="003E356D" w:rsidRPr="0081629E" w:rsidRDefault="003E356D" w:rsidP="00E7048A">
            <w:pPr>
              <w:pStyle w:val="table"/>
              <w:rPr>
                <w:rFonts w:cs="Times New Roman"/>
              </w:rPr>
            </w:pPr>
            <w:r w:rsidRPr="0081629E">
              <w:rPr>
                <w:rFonts w:cs="Times New Roman"/>
              </w:rPr>
              <w:t>5.5</w:t>
            </w:r>
          </w:p>
        </w:tc>
      </w:tr>
      <w:tr w:rsidR="003E356D" w:rsidRPr="0081629E" w14:paraId="137D2359" w14:textId="77777777" w:rsidTr="0081629E">
        <w:tc>
          <w:tcPr>
            <w:tcW w:w="4878" w:type="dxa"/>
            <w:tcBorders>
              <w:top w:val="nil"/>
              <w:bottom w:val="nil"/>
              <w:right w:val="nil"/>
            </w:tcBorders>
            <w:shd w:val="clear" w:color="auto" w:fill="auto"/>
            <w:vAlign w:val="center"/>
          </w:tcPr>
          <w:p w14:paraId="7037847C" w14:textId="4BD072A2" w:rsidR="003E356D" w:rsidRPr="0081629E" w:rsidRDefault="003E356D" w:rsidP="0081629E">
            <w:pPr>
              <w:pStyle w:val="table"/>
              <w:jc w:val="left"/>
              <w:rPr>
                <w:rFonts w:cs="Times New Roman"/>
              </w:rPr>
            </w:pPr>
            <w:r w:rsidRPr="0081629E">
              <w:rPr>
                <w:rFonts w:cs="Times New Roman"/>
              </w:rPr>
              <w:t>Subthalamus/hypothalamus (</w:t>
            </w:r>
            <w:r w:rsidR="00ED101D">
              <w:rPr>
                <w:rFonts w:cs="Times New Roman"/>
              </w:rPr>
              <w:t>2</w:t>
            </w:r>
            <w:r w:rsidRPr="0081629E">
              <w:rPr>
                <w:rFonts w:cs="Times New Roman"/>
              </w:rPr>
              <w:t>)</w:t>
            </w:r>
          </w:p>
        </w:tc>
        <w:tc>
          <w:tcPr>
            <w:tcW w:w="1620" w:type="dxa"/>
            <w:tcBorders>
              <w:top w:val="nil"/>
              <w:left w:val="nil"/>
              <w:bottom w:val="nil"/>
              <w:right w:val="nil"/>
            </w:tcBorders>
            <w:shd w:val="clear" w:color="auto" w:fill="auto"/>
            <w:vAlign w:val="center"/>
          </w:tcPr>
          <w:p w14:paraId="1CE280EF" w14:textId="77777777" w:rsidR="003E356D" w:rsidRPr="0081629E" w:rsidRDefault="003E356D" w:rsidP="00E7048A">
            <w:pPr>
              <w:pStyle w:val="table"/>
              <w:rPr>
                <w:rFonts w:cs="Times New Roman"/>
              </w:rPr>
            </w:pPr>
            <w:r w:rsidRPr="0081629E">
              <w:rPr>
                <w:rFonts w:cs="Times New Roman"/>
              </w:rPr>
              <w:t>-2.5</w:t>
            </w:r>
          </w:p>
        </w:tc>
        <w:tc>
          <w:tcPr>
            <w:tcW w:w="1530" w:type="dxa"/>
            <w:tcBorders>
              <w:top w:val="nil"/>
              <w:left w:val="nil"/>
              <w:bottom w:val="nil"/>
              <w:right w:val="nil"/>
            </w:tcBorders>
            <w:shd w:val="clear" w:color="auto" w:fill="auto"/>
            <w:vAlign w:val="center"/>
          </w:tcPr>
          <w:p w14:paraId="38791C47" w14:textId="77777777" w:rsidR="003E356D" w:rsidRPr="0081629E" w:rsidRDefault="003E356D" w:rsidP="00E7048A">
            <w:pPr>
              <w:pStyle w:val="table"/>
              <w:rPr>
                <w:rFonts w:cs="Times New Roman"/>
              </w:rPr>
            </w:pPr>
            <w:r w:rsidRPr="0081629E">
              <w:rPr>
                <w:rFonts w:cs="Times New Roman"/>
              </w:rPr>
              <w:t>-13.5</w:t>
            </w:r>
          </w:p>
        </w:tc>
        <w:tc>
          <w:tcPr>
            <w:tcW w:w="1350" w:type="dxa"/>
            <w:tcBorders>
              <w:top w:val="nil"/>
              <w:left w:val="nil"/>
              <w:bottom w:val="nil"/>
            </w:tcBorders>
            <w:shd w:val="clear" w:color="auto" w:fill="auto"/>
            <w:vAlign w:val="center"/>
          </w:tcPr>
          <w:p w14:paraId="193EA643" w14:textId="77777777" w:rsidR="003E356D" w:rsidRPr="0081629E" w:rsidRDefault="003E356D" w:rsidP="00E7048A">
            <w:pPr>
              <w:pStyle w:val="table"/>
              <w:rPr>
                <w:rFonts w:cs="Times New Roman"/>
              </w:rPr>
            </w:pPr>
            <w:r w:rsidRPr="0081629E">
              <w:rPr>
                <w:rFonts w:cs="Times New Roman"/>
              </w:rPr>
              <w:t>-1.5</w:t>
            </w:r>
          </w:p>
        </w:tc>
      </w:tr>
      <w:tr w:rsidR="003E356D" w:rsidRPr="0081629E" w14:paraId="23497231" w14:textId="77777777" w:rsidTr="0081629E">
        <w:tc>
          <w:tcPr>
            <w:tcW w:w="4878" w:type="dxa"/>
            <w:tcBorders>
              <w:top w:val="nil"/>
              <w:bottom w:val="nil"/>
              <w:right w:val="nil"/>
            </w:tcBorders>
            <w:shd w:val="clear" w:color="auto" w:fill="auto"/>
            <w:vAlign w:val="center"/>
          </w:tcPr>
          <w:p w14:paraId="42C1B9FD" w14:textId="2669520A" w:rsidR="003E356D" w:rsidRPr="0081629E" w:rsidRDefault="003E356D" w:rsidP="0081629E">
            <w:pPr>
              <w:pStyle w:val="table"/>
              <w:jc w:val="left"/>
              <w:rPr>
                <w:rFonts w:cs="Times New Roman"/>
              </w:rPr>
            </w:pPr>
            <w:r w:rsidRPr="0081629E">
              <w:rPr>
                <w:rFonts w:cs="Times New Roman"/>
              </w:rPr>
              <w:t>Putamen (</w:t>
            </w:r>
            <w:r w:rsidR="00ED101D">
              <w:rPr>
                <w:rFonts w:cs="Times New Roman"/>
              </w:rPr>
              <w:t>3</w:t>
            </w:r>
            <w:r w:rsidRPr="0081629E">
              <w:rPr>
                <w:rFonts w:cs="Times New Roman"/>
              </w:rPr>
              <w:t>)</w:t>
            </w:r>
          </w:p>
        </w:tc>
        <w:tc>
          <w:tcPr>
            <w:tcW w:w="1620" w:type="dxa"/>
            <w:tcBorders>
              <w:top w:val="nil"/>
              <w:left w:val="nil"/>
              <w:bottom w:val="nil"/>
              <w:right w:val="nil"/>
            </w:tcBorders>
            <w:shd w:val="clear" w:color="auto" w:fill="auto"/>
            <w:vAlign w:val="center"/>
          </w:tcPr>
          <w:p w14:paraId="1D0902A4" w14:textId="77777777" w:rsidR="003E356D" w:rsidRPr="0081629E" w:rsidRDefault="003E356D" w:rsidP="00E7048A">
            <w:pPr>
              <w:pStyle w:val="table"/>
              <w:rPr>
                <w:rFonts w:cs="Times New Roman"/>
              </w:rPr>
            </w:pPr>
            <w:r w:rsidRPr="0081629E">
              <w:rPr>
                <w:rFonts w:cs="Times New Roman"/>
              </w:rPr>
              <w:t>-26.5</w:t>
            </w:r>
          </w:p>
        </w:tc>
        <w:tc>
          <w:tcPr>
            <w:tcW w:w="1530" w:type="dxa"/>
            <w:tcBorders>
              <w:top w:val="nil"/>
              <w:left w:val="nil"/>
              <w:bottom w:val="nil"/>
              <w:right w:val="nil"/>
            </w:tcBorders>
            <w:shd w:val="clear" w:color="auto" w:fill="auto"/>
            <w:vAlign w:val="center"/>
          </w:tcPr>
          <w:p w14:paraId="7DB71E59" w14:textId="77777777" w:rsidR="003E356D" w:rsidRPr="0081629E" w:rsidRDefault="003E356D" w:rsidP="00E7048A">
            <w:pPr>
              <w:pStyle w:val="table"/>
              <w:rPr>
                <w:rFonts w:cs="Times New Roman"/>
              </w:rPr>
            </w:pPr>
            <w:r w:rsidRPr="0081629E">
              <w:rPr>
                <w:rFonts w:cs="Times New Roman"/>
              </w:rPr>
              <w:t>1.5</w:t>
            </w:r>
          </w:p>
        </w:tc>
        <w:tc>
          <w:tcPr>
            <w:tcW w:w="1350" w:type="dxa"/>
            <w:tcBorders>
              <w:top w:val="nil"/>
              <w:left w:val="nil"/>
              <w:bottom w:val="nil"/>
            </w:tcBorders>
            <w:shd w:val="clear" w:color="auto" w:fill="auto"/>
            <w:vAlign w:val="center"/>
          </w:tcPr>
          <w:p w14:paraId="75143530" w14:textId="77777777" w:rsidR="003E356D" w:rsidRPr="0081629E" w:rsidRDefault="003E356D" w:rsidP="00E7048A">
            <w:pPr>
              <w:pStyle w:val="table"/>
              <w:rPr>
                <w:rFonts w:cs="Times New Roman"/>
              </w:rPr>
            </w:pPr>
            <w:r w:rsidRPr="0081629E">
              <w:rPr>
                <w:rFonts w:cs="Times New Roman"/>
              </w:rPr>
              <w:t>-0.5</w:t>
            </w:r>
          </w:p>
        </w:tc>
      </w:tr>
      <w:tr w:rsidR="003E356D" w:rsidRPr="0081629E" w14:paraId="5C41ACB5" w14:textId="77777777" w:rsidTr="0081629E">
        <w:tc>
          <w:tcPr>
            <w:tcW w:w="4878" w:type="dxa"/>
            <w:tcBorders>
              <w:top w:val="nil"/>
              <w:bottom w:val="nil"/>
              <w:right w:val="nil"/>
            </w:tcBorders>
            <w:shd w:val="clear" w:color="auto" w:fill="auto"/>
            <w:vAlign w:val="center"/>
          </w:tcPr>
          <w:p w14:paraId="53AE901A" w14:textId="49E040A4" w:rsidR="003E356D" w:rsidRPr="0081629E" w:rsidRDefault="003E356D" w:rsidP="0081629E">
            <w:pPr>
              <w:pStyle w:val="table"/>
              <w:jc w:val="left"/>
              <w:rPr>
                <w:rFonts w:cs="Times New Roman"/>
              </w:rPr>
            </w:pPr>
            <w:r w:rsidRPr="0081629E">
              <w:rPr>
                <w:rFonts w:cs="Times New Roman"/>
              </w:rPr>
              <w:t>Caudate (</w:t>
            </w:r>
            <w:r w:rsidR="00ED101D">
              <w:rPr>
                <w:rFonts w:cs="Times New Roman"/>
              </w:rPr>
              <w:t>4</w:t>
            </w:r>
            <w:r w:rsidRPr="0081629E">
              <w:rPr>
                <w:rFonts w:cs="Times New Roman"/>
              </w:rPr>
              <w:t>)</w:t>
            </w:r>
          </w:p>
        </w:tc>
        <w:tc>
          <w:tcPr>
            <w:tcW w:w="1620" w:type="dxa"/>
            <w:tcBorders>
              <w:top w:val="nil"/>
              <w:left w:val="nil"/>
              <w:bottom w:val="nil"/>
              <w:right w:val="nil"/>
            </w:tcBorders>
            <w:shd w:val="clear" w:color="auto" w:fill="auto"/>
            <w:vAlign w:val="center"/>
          </w:tcPr>
          <w:p w14:paraId="6ADB082A" w14:textId="77777777" w:rsidR="003E356D" w:rsidRPr="0081629E" w:rsidRDefault="003E356D" w:rsidP="00E7048A">
            <w:pPr>
              <w:pStyle w:val="table"/>
              <w:rPr>
                <w:rFonts w:cs="Times New Roman"/>
              </w:rPr>
            </w:pPr>
            <w:r w:rsidRPr="0081629E">
              <w:rPr>
                <w:rFonts w:cs="Times New Roman"/>
              </w:rPr>
              <w:t>21.5</w:t>
            </w:r>
          </w:p>
        </w:tc>
        <w:tc>
          <w:tcPr>
            <w:tcW w:w="1530" w:type="dxa"/>
            <w:tcBorders>
              <w:top w:val="nil"/>
              <w:left w:val="nil"/>
              <w:bottom w:val="nil"/>
              <w:right w:val="nil"/>
            </w:tcBorders>
            <w:shd w:val="clear" w:color="auto" w:fill="auto"/>
            <w:vAlign w:val="center"/>
          </w:tcPr>
          <w:p w14:paraId="6FD5217A" w14:textId="77777777" w:rsidR="003E356D" w:rsidRPr="0081629E" w:rsidRDefault="003E356D" w:rsidP="00E7048A">
            <w:pPr>
              <w:pStyle w:val="table"/>
              <w:rPr>
                <w:rFonts w:cs="Times New Roman"/>
              </w:rPr>
            </w:pPr>
            <w:r w:rsidRPr="0081629E">
              <w:rPr>
                <w:rFonts w:cs="Times New Roman"/>
              </w:rPr>
              <w:t>10.5</w:t>
            </w:r>
          </w:p>
        </w:tc>
        <w:tc>
          <w:tcPr>
            <w:tcW w:w="1350" w:type="dxa"/>
            <w:tcBorders>
              <w:top w:val="nil"/>
              <w:left w:val="nil"/>
              <w:bottom w:val="nil"/>
            </w:tcBorders>
            <w:shd w:val="clear" w:color="auto" w:fill="auto"/>
            <w:vAlign w:val="center"/>
          </w:tcPr>
          <w:p w14:paraId="5E7226A7" w14:textId="77777777" w:rsidR="003E356D" w:rsidRPr="0081629E" w:rsidRDefault="003E356D" w:rsidP="00E7048A">
            <w:pPr>
              <w:pStyle w:val="table"/>
              <w:rPr>
                <w:rFonts w:cs="Times New Roman"/>
              </w:rPr>
            </w:pPr>
            <w:r w:rsidRPr="0081629E">
              <w:rPr>
                <w:rFonts w:cs="Times New Roman"/>
              </w:rPr>
              <w:t>-3.5</w:t>
            </w:r>
          </w:p>
        </w:tc>
      </w:tr>
      <w:tr w:rsidR="003E356D" w:rsidRPr="0081629E" w14:paraId="5717B59A" w14:textId="77777777" w:rsidTr="0081629E">
        <w:tc>
          <w:tcPr>
            <w:tcW w:w="4878" w:type="dxa"/>
            <w:tcBorders>
              <w:top w:val="nil"/>
              <w:bottom w:val="single" w:sz="4" w:space="0" w:color="auto"/>
              <w:right w:val="nil"/>
            </w:tcBorders>
            <w:shd w:val="clear" w:color="auto" w:fill="auto"/>
            <w:vAlign w:val="center"/>
          </w:tcPr>
          <w:p w14:paraId="5E8B8600" w14:textId="3B1CBA88" w:rsidR="003E356D" w:rsidRPr="0081629E" w:rsidRDefault="003E356D" w:rsidP="0081629E">
            <w:pPr>
              <w:pStyle w:val="table"/>
              <w:jc w:val="left"/>
              <w:rPr>
                <w:rFonts w:cs="Times New Roman"/>
              </w:rPr>
            </w:pPr>
            <w:r w:rsidRPr="0081629E">
              <w:rPr>
                <w:rFonts w:cs="Times New Roman"/>
              </w:rPr>
              <w:t>Thalamus (5)</w:t>
            </w:r>
          </w:p>
        </w:tc>
        <w:tc>
          <w:tcPr>
            <w:tcW w:w="1620" w:type="dxa"/>
            <w:tcBorders>
              <w:top w:val="nil"/>
              <w:left w:val="nil"/>
              <w:bottom w:val="single" w:sz="4" w:space="0" w:color="auto"/>
              <w:right w:val="nil"/>
            </w:tcBorders>
            <w:shd w:val="clear" w:color="auto" w:fill="auto"/>
            <w:vAlign w:val="center"/>
          </w:tcPr>
          <w:p w14:paraId="29A09D92" w14:textId="77777777" w:rsidR="003E356D" w:rsidRPr="0081629E" w:rsidRDefault="003E356D" w:rsidP="00E7048A">
            <w:pPr>
              <w:pStyle w:val="table"/>
              <w:rPr>
                <w:rFonts w:cs="Times New Roman"/>
              </w:rPr>
            </w:pPr>
            <w:r w:rsidRPr="0081629E">
              <w:rPr>
                <w:rFonts w:cs="Times New Roman"/>
              </w:rPr>
              <w:t>-12.5</w:t>
            </w:r>
          </w:p>
        </w:tc>
        <w:tc>
          <w:tcPr>
            <w:tcW w:w="1530" w:type="dxa"/>
            <w:tcBorders>
              <w:top w:val="nil"/>
              <w:left w:val="nil"/>
              <w:bottom w:val="single" w:sz="4" w:space="0" w:color="auto"/>
              <w:right w:val="nil"/>
            </w:tcBorders>
            <w:shd w:val="clear" w:color="auto" w:fill="auto"/>
            <w:vAlign w:val="center"/>
          </w:tcPr>
          <w:p w14:paraId="11C9AF47" w14:textId="77777777" w:rsidR="003E356D" w:rsidRPr="0081629E" w:rsidRDefault="003E356D" w:rsidP="00E7048A">
            <w:pPr>
              <w:pStyle w:val="table"/>
              <w:rPr>
                <w:rFonts w:cs="Times New Roman"/>
              </w:rPr>
            </w:pPr>
            <w:r w:rsidRPr="0081629E">
              <w:rPr>
                <w:rFonts w:cs="Times New Roman"/>
              </w:rPr>
              <w:t>-18.5</w:t>
            </w:r>
          </w:p>
        </w:tc>
        <w:tc>
          <w:tcPr>
            <w:tcW w:w="1350" w:type="dxa"/>
            <w:tcBorders>
              <w:top w:val="nil"/>
              <w:left w:val="nil"/>
              <w:bottom w:val="single" w:sz="4" w:space="0" w:color="auto"/>
            </w:tcBorders>
            <w:shd w:val="clear" w:color="auto" w:fill="auto"/>
            <w:vAlign w:val="center"/>
          </w:tcPr>
          <w:p w14:paraId="0155E3FB" w14:textId="77777777" w:rsidR="003E356D" w:rsidRPr="0081629E" w:rsidRDefault="003E356D" w:rsidP="00E7048A">
            <w:pPr>
              <w:pStyle w:val="table"/>
              <w:rPr>
                <w:rFonts w:cs="Times New Roman"/>
              </w:rPr>
            </w:pPr>
            <w:r w:rsidRPr="0081629E">
              <w:rPr>
                <w:rFonts w:cs="Times New Roman"/>
              </w:rPr>
              <w:t>11.5</w:t>
            </w:r>
          </w:p>
        </w:tc>
      </w:tr>
      <w:tr w:rsidR="003E356D" w:rsidRPr="0081629E" w14:paraId="39B57161" w14:textId="77777777" w:rsidTr="0081629E">
        <w:tc>
          <w:tcPr>
            <w:tcW w:w="9378" w:type="dxa"/>
            <w:gridSpan w:val="4"/>
            <w:tcBorders>
              <w:top w:val="single" w:sz="4" w:space="0" w:color="auto"/>
              <w:bottom w:val="single" w:sz="4" w:space="0" w:color="auto"/>
            </w:tcBorders>
            <w:shd w:val="clear" w:color="auto" w:fill="D0CECE"/>
            <w:vAlign w:val="center"/>
          </w:tcPr>
          <w:p w14:paraId="439EAF3C" w14:textId="57B8693F" w:rsidR="003E356D" w:rsidRPr="0081629E" w:rsidRDefault="003E356D" w:rsidP="0081629E">
            <w:pPr>
              <w:pStyle w:val="table"/>
              <w:jc w:val="left"/>
              <w:rPr>
                <w:rFonts w:cs="Times New Roman"/>
                <w:b/>
              </w:rPr>
            </w:pPr>
            <w:r w:rsidRPr="0081629E">
              <w:rPr>
                <w:rFonts w:cs="Times New Roman"/>
                <w:b/>
              </w:rPr>
              <w:t>Auditory domain (AUD)</w:t>
            </w:r>
            <w:r w:rsidR="00EB5712">
              <w:rPr>
                <w:rFonts w:cs="Times New Roman"/>
                <w:b/>
              </w:rPr>
              <w:t>: 2 ICNs</w:t>
            </w:r>
          </w:p>
        </w:tc>
      </w:tr>
      <w:tr w:rsidR="003E356D" w:rsidRPr="0081629E" w14:paraId="581623AC" w14:textId="77777777" w:rsidTr="0081629E">
        <w:tc>
          <w:tcPr>
            <w:tcW w:w="4878" w:type="dxa"/>
            <w:tcBorders>
              <w:top w:val="single" w:sz="4" w:space="0" w:color="auto"/>
              <w:bottom w:val="nil"/>
              <w:right w:val="nil"/>
            </w:tcBorders>
            <w:shd w:val="clear" w:color="auto" w:fill="auto"/>
            <w:vAlign w:val="center"/>
          </w:tcPr>
          <w:p w14:paraId="00CB7540" w14:textId="19940A2D" w:rsidR="003E356D" w:rsidRPr="0081629E" w:rsidRDefault="003E356D" w:rsidP="0081629E">
            <w:pPr>
              <w:pStyle w:val="table"/>
              <w:jc w:val="left"/>
              <w:rPr>
                <w:rFonts w:cs="Times New Roman"/>
              </w:rPr>
            </w:pPr>
            <w:r w:rsidRPr="0081629E">
              <w:rPr>
                <w:rFonts w:cs="Times New Roman"/>
              </w:rPr>
              <w:t xml:space="preserve">Superior temporal gyrus ([STG], </w:t>
            </w:r>
            <w:r w:rsidR="00ED101D">
              <w:rPr>
                <w:rFonts w:cs="Times New Roman"/>
              </w:rPr>
              <w:t>6</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185DD804" w14:textId="77777777" w:rsidR="003E356D" w:rsidRPr="0081629E" w:rsidRDefault="003E356D" w:rsidP="00E7048A">
            <w:pPr>
              <w:pStyle w:val="table"/>
              <w:rPr>
                <w:rFonts w:cs="Times New Roman"/>
              </w:rPr>
            </w:pPr>
            <w:r w:rsidRPr="0081629E">
              <w:rPr>
                <w:rFonts w:cs="Times New Roman"/>
              </w:rPr>
              <w:t>62.5</w:t>
            </w:r>
          </w:p>
        </w:tc>
        <w:tc>
          <w:tcPr>
            <w:tcW w:w="1530" w:type="dxa"/>
            <w:tcBorders>
              <w:top w:val="single" w:sz="4" w:space="0" w:color="auto"/>
              <w:left w:val="nil"/>
              <w:bottom w:val="nil"/>
              <w:right w:val="nil"/>
            </w:tcBorders>
            <w:shd w:val="clear" w:color="auto" w:fill="auto"/>
            <w:vAlign w:val="center"/>
          </w:tcPr>
          <w:p w14:paraId="6334DB08" w14:textId="77777777" w:rsidR="003E356D" w:rsidRPr="0081629E" w:rsidRDefault="003E356D" w:rsidP="00E7048A">
            <w:pPr>
              <w:pStyle w:val="table"/>
              <w:rPr>
                <w:rFonts w:cs="Times New Roman"/>
              </w:rPr>
            </w:pPr>
            <w:r w:rsidRPr="0081629E">
              <w:rPr>
                <w:rFonts w:cs="Times New Roman"/>
              </w:rPr>
              <w:t>-22.5</w:t>
            </w:r>
          </w:p>
        </w:tc>
        <w:tc>
          <w:tcPr>
            <w:tcW w:w="1350" w:type="dxa"/>
            <w:tcBorders>
              <w:top w:val="single" w:sz="4" w:space="0" w:color="auto"/>
              <w:left w:val="nil"/>
              <w:bottom w:val="nil"/>
            </w:tcBorders>
            <w:shd w:val="clear" w:color="auto" w:fill="auto"/>
            <w:vAlign w:val="center"/>
          </w:tcPr>
          <w:p w14:paraId="7DC3B57B" w14:textId="77777777" w:rsidR="003E356D" w:rsidRPr="0081629E" w:rsidRDefault="003E356D" w:rsidP="00E7048A">
            <w:pPr>
              <w:pStyle w:val="table"/>
              <w:rPr>
                <w:rFonts w:cs="Times New Roman"/>
              </w:rPr>
            </w:pPr>
            <w:r w:rsidRPr="0081629E">
              <w:rPr>
                <w:rFonts w:cs="Times New Roman"/>
              </w:rPr>
              <w:t>7.5</w:t>
            </w:r>
          </w:p>
        </w:tc>
      </w:tr>
      <w:tr w:rsidR="003E356D" w:rsidRPr="0081629E" w14:paraId="4B3E6468" w14:textId="77777777" w:rsidTr="0081629E">
        <w:tc>
          <w:tcPr>
            <w:tcW w:w="4878" w:type="dxa"/>
            <w:tcBorders>
              <w:top w:val="nil"/>
              <w:bottom w:val="single" w:sz="4" w:space="0" w:color="auto"/>
              <w:right w:val="nil"/>
            </w:tcBorders>
            <w:shd w:val="clear" w:color="auto" w:fill="auto"/>
            <w:vAlign w:val="center"/>
          </w:tcPr>
          <w:p w14:paraId="64635E37" w14:textId="3E4D42BA" w:rsidR="003E356D" w:rsidRPr="0081629E" w:rsidRDefault="003E356D" w:rsidP="0081629E">
            <w:pPr>
              <w:pStyle w:val="table"/>
              <w:jc w:val="left"/>
              <w:rPr>
                <w:rFonts w:cs="Times New Roman"/>
              </w:rPr>
            </w:pPr>
            <w:r w:rsidRPr="0081629E">
              <w:rPr>
                <w:rFonts w:cs="Times New Roman"/>
              </w:rPr>
              <w:t xml:space="preserve">Middle temporal gyrus ([MTG], </w:t>
            </w:r>
            <w:r w:rsidR="00ED101D">
              <w:rPr>
                <w:rFonts w:cs="Times New Roman"/>
              </w:rPr>
              <w:t>7</w:t>
            </w:r>
            <w:r w:rsidRPr="0081629E">
              <w:rPr>
                <w:rFonts w:cs="Times New Roman"/>
              </w:rPr>
              <w:t>)</w:t>
            </w:r>
          </w:p>
        </w:tc>
        <w:tc>
          <w:tcPr>
            <w:tcW w:w="1620" w:type="dxa"/>
            <w:tcBorders>
              <w:top w:val="nil"/>
              <w:left w:val="nil"/>
              <w:bottom w:val="single" w:sz="4" w:space="0" w:color="auto"/>
              <w:right w:val="nil"/>
            </w:tcBorders>
            <w:shd w:val="clear" w:color="auto" w:fill="auto"/>
            <w:vAlign w:val="center"/>
          </w:tcPr>
          <w:p w14:paraId="532250ED" w14:textId="77777777" w:rsidR="003E356D" w:rsidRPr="0081629E" w:rsidRDefault="003E356D" w:rsidP="00E7048A">
            <w:pPr>
              <w:pStyle w:val="table"/>
              <w:rPr>
                <w:rFonts w:cs="Times New Roman"/>
              </w:rPr>
            </w:pPr>
            <w:r w:rsidRPr="0081629E">
              <w:rPr>
                <w:rFonts w:cs="Times New Roman"/>
              </w:rPr>
              <w:t>-42.5</w:t>
            </w:r>
          </w:p>
        </w:tc>
        <w:tc>
          <w:tcPr>
            <w:tcW w:w="1530" w:type="dxa"/>
            <w:tcBorders>
              <w:top w:val="nil"/>
              <w:left w:val="nil"/>
              <w:bottom w:val="single" w:sz="4" w:space="0" w:color="auto"/>
              <w:right w:val="nil"/>
            </w:tcBorders>
            <w:shd w:val="clear" w:color="auto" w:fill="auto"/>
            <w:vAlign w:val="center"/>
          </w:tcPr>
          <w:p w14:paraId="668771FB" w14:textId="77777777" w:rsidR="003E356D" w:rsidRPr="0081629E" w:rsidRDefault="003E356D" w:rsidP="00E7048A">
            <w:pPr>
              <w:pStyle w:val="table"/>
              <w:rPr>
                <w:rFonts w:cs="Times New Roman"/>
              </w:rPr>
            </w:pPr>
            <w:r w:rsidRPr="0081629E">
              <w:rPr>
                <w:rFonts w:cs="Times New Roman"/>
              </w:rPr>
              <w:t>-6.5</w:t>
            </w:r>
          </w:p>
        </w:tc>
        <w:tc>
          <w:tcPr>
            <w:tcW w:w="1350" w:type="dxa"/>
            <w:tcBorders>
              <w:top w:val="nil"/>
              <w:left w:val="nil"/>
              <w:bottom w:val="single" w:sz="4" w:space="0" w:color="auto"/>
            </w:tcBorders>
            <w:shd w:val="clear" w:color="auto" w:fill="auto"/>
            <w:vAlign w:val="center"/>
          </w:tcPr>
          <w:p w14:paraId="752C9ADF" w14:textId="77777777" w:rsidR="003E356D" w:rsidRPr="0081629E" w:rsidRDefault="003E356D" w:rsidP="00E7048A">
            <w:pPr>
              <w:pStyle w:val="table"/>
              <w:rPr>
                <w:rFonts w:cs="Times New Roman"/>
              </w:rPr>
            </w:pPr>
            <w:r w:rsidRPr="0081629E">
              <w:rPr>
                <w:rFonts w:cs="Times New Roman"/>
              </w:rPr>
              <w:t>10.5</w:t>
            </w:r>
          </w:p>
        </w:tc>
      </w:tr>
      <w:tr w:rsidR="003E356D" w:rsidRPr="0081629E" w14:paraId="6E10ED6E" w14:textId="77777777" w:rsidTr="0081629E">
        <w:tc>
          <w:tcPr>
            <w:tcW w:w="9378" w:type="dxa"/>
            <w:gridSpan w:val="4"/>
            <w:tcBorders>
              <w:top w:val="single" w:sz="4" w:space="0" w:color="auto"/>
              <w:bottom w:val="single" w:sz="4" w:space="0" w:color="auto"/>
            </w:tcBorders>
            <w:shd w:val="clear" w:color="auto" w:fill="D0CECE"/>
            <w:vAlign w:val="center"/>
          </w:tcPr>
          <w:p w14:paraId="339ECC50" w14:textId="06BF315E" w:rsidR="003E356D" w:rsidRPr="0081629E" w:rsidRDefault="003E356D" w:rsidP="0081629E">
            <w:pPr>
              <w:pStyle w:val="table"/>
              <w:jc w:val="left"/>
              <w:rPr>
                <w:rFonts w:cs="Times New Roman"/>
              </w:rPr>
            </w:pPr>
            <w:r w:rsidRPr="0081629E">
              <w:rPr>
                <w:rFonts w:cs="Times New Roman"/>
                <w:b/>
              </w:rPr>
              <w:t>Sensorimotor domain (SM)</w:t>
            </w:r>
            <w:r w:rsidR="00EB5712">
              <w:rPr>
                <w:rFonts w:cs="Times New Roman"/>
                <w:b/>
              </w:rPr>
              <w:t>: 9 ICNs</w:t>
            </w:r>
          </w:p>
        </w:tc>
      </w:tr>
      <w:tr w:rsidR="003E356D" w:rsidRPr="0081629E" w14:paraId="5393B4E4" w14:textId="77777777" w:rsidTr="0081629E">
        <w:tc>
          <w:tcPr>
            <w:tcW w:w="4878" w:type="dxa"/>
            <w:tcBorders>
              <w:top w:val="single" w:sz="4" w:space="0" w:color="auto"/>
              <w:bottom w:val="nil"/>
              <w:right w:val="nil"/>
            </w:tcBorders>
            <w:shd w:val="clear" w:color="auto" w:fill="auto"/>
            <w:vAlign w:val="center"/>
          </w:tcPr>
          <w:p w14:paraId="1A718309" w14:textId="341A3357" w:rsidR="003E356D" w:rsidRPr="0081629E" w:rsidRDefault="003E356D" w:rsidP="0081629E">
            <w:pPr>
              <w:pStyle w:val="table"/>
              <w:jc w:val="left"/>
              <w:rPr>
                <w:rFonts w:cs="Times New Roman"/>
              </w:rPr>
            </w:pPr>
            <w:r w:rsidRPr="0081629E">
              <w:rPr>
                <w:rFonts w:cs="Times New Roman"/>
              </w:rPr>
              <w:t xml:space="preserve">Postcentral gyrus ([PoCG], </w:t>
            </w:r>
            <w:r w:rsidR="00ED101D">
              <w:rPr>
                <w:rFonts w:cs="Times New Roman"/>
              </w:rPr>
              <w:t>8</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0FBC9D4E" w14:textId="77777777" w:rsidR="003E356D" w:rsidRPr="0081629E" w:rsidRDefault="003E356D" w:rsidP="00E7048A">
            <w:pPr>
              <w:pStyle w:val="table"/>
              <w:rPr>
                <w:rFonts w:cs="Times New Roman"/>
              </w:rPr>
            </w:pPr>
            <w:r w:rsidRPr="0081629E">
              <w:rPr>
                <w:rFonts w:cs="Times New Roman"/>
              </w:rPr>
              <w:t>56.5</w:t>
            </w:r>
          </w:p>
        </w:tc>
        <w:tc>
          <w:tcPr>
            <w:tcW w:w="1530" w:type="dxa"/>
            <w:tcBorders>
              <w:top w:val="single" w:sz="4" w:space="0" w:color="auto"/>
              <w:left w:val="nil"/>
              <w:bottom w:val="nil"/>
              <w:right w:val="nil"/>
            </w:tcBorders>
            <w:shd w:val="clear" w:color="auto" w:fill="auto"/>
            <w:vAlign w:val="center"/>
          </w:tcPr>
          <w:p w14:paraId="51EB732E" w14:textId="77777777" w:rsidR="003E356D" w:rsidRPr="0081629E" w:rsidRDefault="003E356D" w:rsidP="00E7048A">
            <w:pPr>
              <w:pStyle w:val="table"/>
              <w:rPr>
                <w:rFonts w:cs="Times New Roman"/>
              </w:rPr>
            </w:pPr>
            <w:r w:rsidRPr="0081629E">
              <w:rPr>
                <w:rFonts w:cs="Times New Roman"/>
              </w:rPr>
              <w:t>-4.5</w:t>
            </w:r>
          </w:p>
        </w:tc>
        <w:tc>
          <w:tcPr>
            <w:tcW w:w="1350" w:type="dxa"/>
            <w:tcBorders>
              <w:top w:val="single" w:sz="4" w:space="0" w:color="auto"/>
              <w:left w:val="nil"/>
              <w:bottom w:val="nil"/>
            </w:tcBorders>
            <w:shd w:val="clear" w:color="auto" w:fill="auto"/>
            <w:vAlign w:val="center"/>
          </w:tcPr>
          <w:p w14:paraId="50AE8E3E" w14:textId="77777777" w:rsidR="003E356D" w:rsidRPr="0081629E" w:rsidRDefault="003E356D" w:rsidP="00E7048A">
            <w:pPr>
              <w:pStyle w:val="table"/>
              <w:rPr>
                <w:rFonts w:cs="Times New Roman"/>
              </w:rPr>
            </w:pPr>
            <w:r w:rsidRPr="0081629E">
              <w:rPr>
                <w:rFonts w:cs="Times New Roman"/>
              </w:rPr>
              <w:t>28.5</w:t>
            </w:r>
          </w:p>
        </w:tc>
      </w:tr>
      <w:tr w:rsidR="003E356D" w:rsidRPr="0081629E" w14:paraId="5D0B94CD" w14:textId="77777777" w:rsidTr="0081629E">
        <w:tc>
          <w:tcPr>
            <w:tcW w:w="4878" w:type="dxa"/>
            <w:tcBorders>
              <w:top w:val="nil"/>
              <w:bottom w:val="nil"/>
              <w:right w:val="nil"/>
            </w:tcBorders>
            <w:shd w:val="clear" w:color="auto" w:fill="auto"/>
            <w:vAlign w:val="center"/>
          </w:tcPr>
          <w:p w14:paraId="648F7CE5" w14:textId="77777777" w:rsidR="003E356D" w:rsidRPr="0081629E" w:rsidRDefault="003E356D" w:rsidP="0081629E">
            <w:pPr>
              <w:pStyle w:val="table"/>
              <w:jc w:val="left"/>
              <w:rPr>
                <w:rFonts w:cs="Times New Roman"/>
              </w:rPr>
            </w:pPr>
            <w:r w:rsidRPr="0081629E">
              <w:rPr>
                <w:rFonts w:cs="Times New Roman"/>
              </w:rPr>
              <w:t>Left postcentral gyrus ([L PoCG], 9)</w:t>
            </w:r>
          </w:p>
        </w:tc>
        <w:tc>
          <w:tcPr>
            <w:tcW w:w="1620" w:type="dxa"/>
            <w:tcBorders>
              <w:top w:val="nil"/>
              <w:left w:val="nil"/>
              <w:bottom w:val="nil"/>
              <w:right w:val="nil"/>
            </w:tcBorders>
            <w:shd w:val="clear" w:color="auto" w:fill="auto"/>
            <w:vAlign w:val="center"/>
          </w:tcPr>
          <w:p w14:paraId="6FB756DF" w14:textId="77777777" w:rsidR="003E356D" w:rsidRPr="0081629E" w:rsidRDefault="003E356D" w:rsidP="00E7048A">
            <w:pPr>
              <w:pStyle w:val="table"/>
              <w:rPr>
                <w:rFonts w:cs="Times New Roman"/>
              </w:rPr>
            </w:pPr>
            <w:r w:rsidRPr="0081629E">
              <w:rPr>
                <w:rFonts w:cs="Times New Roman"/>
              </w:rPr>
              <w:t>-38.5</w:t>
            </w:r>
          </w:p>
        </w:tc>
        <w:tc>
          <w:tcPr>
            <w:tcW w:w="1530" w:type="dxa"/>
            <w:tcBorders>
              <w:top w:val="nil"/>
              <w:left w:val="nil"/>
              <w:bottom w:val="nil"/>
              <w:right w:val="nil"/>
            </w:tcBorders>
            <w:shd w:val="clear" w:color="auto" w:fill="auto"/>
            <w:vAlign w:val="center"/>
          </w:tcPr>
          <w:p w14:paraId="678CA89D" w14:textId="77777777" w:rsidR="003E356D" w:rsidRPr="0081629E" w:rsidRDefault="003E356D" w:rsidP="00E7048A">
            <w:pPr>
              <w:pStyle w:val="table"/>
              <w:rPr>
                <w:rFonts w:cs="Times New Roman"/>
              </w:rPr>
            </w:pPr>
            <w:r w:rsidRPr="0081629E">
              <w:rPr>
                <w:rFonts w:cs="Times New Roman"/>
              </w:rPr>
              <w:t>-22.5</w:t>
            </w:r>
          </w:p>
        </w:tc>
        <w:tc>
          <w:tcPr>
            <w:tcW w:w="1350" w:type="dxa"/>
            <w:tcBorders>
              <w:top w:val="nil"/>
              <w:left w:val="nil"/>
              <w:bottom w:val="nil"/>
            </w:tcBorders>
            <w:shd w:val="clear" w:color="auto" w:fill="auto"/>
            <w:vAlign w:val="center"/>
          </w:tcPr>
          <w:p w14:paraId="1A2D75C4" w14:textId="77777777" w:rsidR="003E356D" w:rsidRPr="0081629E" w:rsidRDefault="003E356D" w:rsidP="00E7048A">
            <w:pPr>
              <w:pStyle w:val="table"/>
              <w:rPr>
                <w:rFonts w:cs="Times New Roman"/>
              </w:rPr>
            </w:pPr>
            <w:r w:rsidRPr="0081629E">
              <w:rPr>
                <w:rFonts w:cs="Times New Roman"/>
              </w:rPr>
              <w:t>56.5</w:t>
            </w:r>
          </w:p>
        </w:tc>
      </w:tr>
      <w:tr w:rsidR="003E356D" w:rsidRPr="0081629E" w14:paraId="4DCC408F" w14:textId="77777777" w:rsidTr="0081629E">
        <w:tc>
          <w:tcPr>
            <w:tcW w:w="4878" w:type="dxa"/>
            <w:tcBorders>
              <w:top w:val="nil"/>
              <w:bottom w:val="nil"/>
              <w:right w:val="nil"/>
            </w:tcBorders>
            <w:shd w:val="clear" w:color="auto" w:fill="auto"/>
            <w:vAlign w:val="center"/>
          </w:tcPr>
          <w:p w14:paraId="205869F2" w14:textId="12847B57" w:rsidR="003E356D" w:rsidRPr="0081629E" w:rsidRDefault="003E356D" w:rsidP="0081629E">
            <w:pPr>
              <w:pStyle w:val="table"/>
              <w:jc w:val="left"/>
              <w:rPr>
                <w:rFonts w:cs="Times New Roman"/>
              </w:rPr>
            </w:pPr>
            <w:r w:rsidRPr="0081629E">
              <w:rPr>
                <w:rFonts w:cs="Times New Roman"/>
              </w:rPr>
              <w:t xml:space="preserve">Paracentral lobule ([ParaCL], </w:t>
            </w:r>
            <w:r w:rsidR="00ED101D">
              <w:rPr>
                <w:rFonts w:cs="Times New Roman"/>
              </w:rPr>
              <w:t>10</w:t>
            </w:r>
            <w:r w:rsidRPr="0081629E">
              <w:rPr>
                <w:rFonts w:cs="Times New Roman"/>
              </w:rPr>
              <w:t>)</w:t>
            </w:r>
          </w:p>
        </w:tc>
        <w:tc>
          <w:tcPr>
            <w:tcW w:w="1620" w:type="dxa"/>
            <w:tcBorders>
              <w:top w:val="nil"/>
              <w:left w:val="nil"/>
              <w:bottom w:val="nil"/>
              <w:right w:val="nil"/>
            </w:tcBorders>
            <w:shd w:val="clear" w:color="auto" w:fill="auto"/>
            <w:vAlign w:val="center"/>
          </w:tcPr>
          <w:p w14:paraId="7AE52AD9" w14:textId="77777777" w:rsidR="003E356D" w:rsidRPr="0081629E" w:rsidRDefault="003E356D" w:rsidP="00E7048A">
            <w:pPr>
              <w:pStyle w:val="table"/>
              <w:rPr>
                <w:rFonts w:cs="Times New Roman"/>
              </w:rPr>
            </w:pPr>
            <w:r w:rsidRPr="0081629E">
              <w:rPr>
                <w:rFonts w:cs="Times New Roman"/>
              </w:rPr>
              <w:t>0.5</w:t>
            </w:r>
          </w:p>
        </w:tc>
        <w:tc>
          <w:tcPr>
            <w:tcW w:w="1530" w:type="dxa"/>
            <w:tcBorders>
              <w:top w:val="nil"/>
              <w:left w:val="nil"/>
              <w:bottom w:val="nil"/>
              <w:right w:val="nil"/>
            </w:tcBorders>
            <w:shd w:val="clear" w:color="auto" w:fill="auto"/>
            <w:vAlign w:val="center"/>
          </w:tcPr>
          <w:p w14:paraId="44A9C10A" w14:textId="77777777" w:rsidR="003E356D" w:rsidRPr="0081629E" w:rsidRDefault="003E356D" w:rsidP="00E7048A">
            <w:pPr>
              <w:pStyle w:val="table"/>
              <w:rPr>
                <w:rFonts w:cs="Times New Roman"/>
              </w:rPr>
            </w:pPr>
            <w:r w:rsidRPr="0081629E">
              <w:rPr>
                <w:rFonts w:cs="Times New Roman"/>
              </w:rPr>
              <w:t>-22.5</w:t>
            </w:r>
          </w:p>
        </w:tc>
        <w:tc>
          <w:tcPr>
            <w:tcW w:w="1350" w:type="dxa"/>
            <w:tcBorders>
              <w:top w:val="nil"/>
              <w:left w:val="nil"/>
              <w:bottom w:val="nil"/>
            </w:tcBorders>
            <w:shd w:val="clear" w:color="auto" w:fill="auto"/>
            <w:vAlign w:val="center"/>
          </w:tcPr>
          <w:p w14:paraId="3F5F805D" w14:textId="77777777" w:rsidR="003E356D" w:rsidRPr="0081629E" w:rsidRDefault="003E356D" w:rsidP="00E7048A">
            <w:pPr>
              <w:pStyle w:val="table"/>
              <w:rPr>
                <w:rFonts w:cs="Times New Roman"/>
              </w:rPr>
            </w:pPr>
            <w:r w:rsidRPr="0081629E">
              <w:rPr>
                <w:rFonts w:cs="Times New Roman"/>
              </w:rPr>
              <w:t>65.5</w:t>
            </w:r>
          </w:p>
        </w:tc>
      </w:tr>
      <w:tr w:rsidR="003E356D" w:rsidRPr="0081629E" w14:paraId="5BF7FE73" w14:textId="77777777" w:rsidTr="0081629E">
        <w:tc>
          <w:tcPr>
            <w:tcW w:w="4878" w:type="dxa"/>
            <w:tcBorders>
              <w:top w:val="nil"/>
              <w:bottom w:val="nil"/>
              <w:right w:val="nil"/>
            </w:tcBorders>
            <w:shd w:val="clear" w:color="auto" w:fill="auto"/>
            <w:vAlign w:val="center"/>
          </w:tcPr>
          <w:p w14:paraId="2FD58072" w14:textId="77777777" w:rsidR="003E356D" w:rsidRPr="0081629E" w:rsidRDefault="003E356D" w:rsidP="0081629E">
            <w:pPr>
              <w:pStyle w:val="table"/>
              <w:jc w:val="left"/>
              <w:rPr>
                <w:rFonts w:cs="Times New Roman"/>
              </w:rPr>
            </w:pPr>
            <w:r w:rsidRPr="0081629E">
              <w:rPr>
                <w:rFonts w:cs="Times New Roman"/>
              </w:rPr>
              <w:t>Right postcentral gyrus ([R PoCG], 11)</w:t>
            </w:r>
          </w:p>
        </w:tc>
        <w:tc>
          <w:tcPr>
            <w:tcW w:w="1620" w:type="dxa"/>
            <w:tcBorders>
              <w:top w:val="nil"/>
              <w:left w:val="nil"/>
              <w:bottom w:val="nil"/>
              <w:right w:val="nil"/>
            </w:tcBorders>
            <w:shd w:val="clear" w:color="auto" w:fill="auto"/>
            <w:vAlign w:val="center"/>
          </w:tcPr>
          <w:p w14:paraId="2CAD6EBB" w14:textId="77777777" w:rsidR="003E356D" w:rsidRPr="0081629E" w:rsidRDefault="003E356D" w:rsidP="00E7048A">
            <w:pPr>
              <w:pStyle w:val="table"/>
              <w:rPr>
                <w:rFonts w:cs="Times New Roman"/>
              </w:rPr>
            </w:pPr>
            <w:r w:rsidRPr="0081629E">
              <w:rPr>
                <w:rFonts w:cs="Times New Roman"/>
              </w:rPr>
              <w:t>38.5</w:t>
            </w:r>
          </w:p>
        </w:tc>
        <w:tc>
          <w:tcPr>
            <w:tcW w:w="1530" w:type="dxa"/>
            <w:tcBorders>
              <w:top w:val="nil"/>
              <w:left w:val="nil"/>
              <w:bottom w:val="nil"/>
              <w:right w:val="nil"/>
            </w:tcBorders>
            <w:shd w:val="clear" w:color="auto" w:fill="auto"/>
            <w:vAlign w:val="center"/>
          </w:tcPr>
          <w:p w14:paraId="147DC332" w14:textId="77777777" w:rsidR="003E356D" w:rsidRPr="0081629E" w:rsidRDefault="003E356D" w:rsidP="00E7048A">
            <w:pPr>
              <w:pStyle w:val="table"/>
              <w:rPr>
                <w:rFonts w:cs="Times New Roman"/>
              </w:rPr>
            </w:pPr>
            <w:r w:rsidRPr="0081629E">
              <w:rPr>
                <w:rFonts w:cs="Times New Roman"/>
              </w:rPr>
              <w:t>-19.5</w:t>
            </w:r>
          </w:p>
        </w:tc>
        <w:tc>
          <w:tcPr>
            <w:tcW w:w="1350" w:type="dxa"/>
            <w:tcBorders>
              <w:top w:val="nil"/>
              <w:left w:val="nil"/>
              <w:bottom w:val="nil"/>
            </w:tcBorders>
            <w:shd w:val="clear" w:color="auto" w:fill="auto"/>
            <w:vAlign w:val="center"/>
          </w:tcPr>
          <w:p w14:paraId="37B5FEAD" w14:textId="77777777" w:rsidR="003E356D" w:rsidRPr="0081629E" w:rsidRDefault="003E356D" w:rsidP="00E7048A">
            <w:pPr>
              <w:pStyle w:val="table"/>
              <w:rPr>
                <w:rFonts w:cs="Times New Roman"/>
              </w:rPr>
            </w:pPr>
            <w:r w:rsidRPr="0081629E">
              <w:rPr>
                <w:rFonts w:cs="Times New Roman"/>
              </w:rPr>
              <w:t>55.5</w:t>
            </w:r>
          </w:p>
        </w:tc>
      </w:tr>
      <w:tr w:rsidR="003E356D" w:rsidRPr="0081629E" w14:paraId="3F0B4BB8" w14:textId="77777777" w:rsidTr="0081629E">
        <w:tc>
          <w:tcPr>
            <w:tcW w:w="4878" w:type="dxa"/>
            <w:tcBorders>
              <w:top w:val="nil"/>
              <w:bottom w:val="nil"/>
              <w:right w:val="nil"/>
            </w:tcBorders>
            <w:shd w:val="clear" w:color="auto" w:fill="auto"/>
            <w:vAlign w:val="center"/>
          </w:tcPr>
          <w:p w14:paraId="53E9662E" w14:textId="36E1390B" w:rsidR="003E356D" w:rsidRPr="0081629E" w:rsidRDefault="003E356D" w:rsidP="0081629E">
            <w:pPr>
              <w:pStyle w:val="table"/>
              <w:jc w:val="left"/>
              <w:rPr>
                <w:rFonts w:cs="Times New Roman"/>
              </w:rPr>
            </w:pPr>
            <w:r w:rsidRPr="0081629E">
              <w:rPr>
                <w:rFonts w:cs="Times New Roman"/>
              </w:rPr>
              <w:t xml:space="preserve">Superior parietal lobule ([SPL], </w:t>
            </w:r>
            <w:r w:rsidR="00ED101D">
              <w:rPr>
                <w:rFonts w:cs="Times New Roman"/>
              </w:rPr>
              <w:t>12</w:t>
            </w:r>
            <w:r w:rsidRPr="0081629E">
              <w:rPr>
                <w:rFonts w:cs="Times New Roman"/>
              </w:rPr>
              <w:t>)</w:t>
            </w:r>
          </w:p>
        </w:tc>
        <w:tc>
          <w:tcPr>
            <w:tcW w:w="1620" w:type="dxa"/>
            <w:tcBorders>
              <w:top w:val="nil"/>
              <w:left w:val="nil"/>
              <w:bottom w:val="nil"/>
              <w:right w:val="nil"/>
            </w:tcBorders>
            <w:shd w:val="clear" w:color="auto" w:fill="auto"/>
            <w:vAlign w:val="center"/>
          </w:tcPr>
          <w:p w14:paraId="3C01DBD6" w14:textId="77777777" w:rsidR="003E356D" w:rsidRPr="0081629E" w:rsidRDefault="003E356D" w:rsidP="00E7048A">
            <w:pPr>
              <w:pStyle w:val="table"/>
              <w:rPr>
                <w:rFonts w:cs="Times New Roman"/>
              </w:rPr>
            </w:pPr>
            <w:r w:rsidRPr="0081629E">
              <w:rPr>
                <w:rFonts w:cs="Times New Roman"/>
              </w:rPr>
              <w:t>-18.5</w:t>
            </w:r>
          </w:p>
        </w:tc>
        <w:tc>
          <w:tcPr>
            <w:tcW w:w="1530" w:type="dxa"/>
            <w:tcBorders>
              <w:top w:val="nil"/>
              <w:left w:val="nil"/>
              <w:bottom w:val="nil"/>
              <w:right w:val="nil"/>
            </w:tcBorders>
            <w:shd w:val="clear" w:color="auto" w:fill="auto"/>
            <w:vAlign w:val="center"/>
          </w:tcPr>
          <w:p w14:paraId="2E5B7483" w14:textId="77777777" w:rsidR="003E356D" w:rsidRPr="0081629E" w:rsidRDefault="003E356D" w:rsidP="00E7048A">
            <w:pPr>
              <w:pStyle w:val="table"/>
              <w:rPr>
                <w:rFonts w:cs="Times New Roman"/>
              </w:rPr>
            </w:pPr>
            <w:r w:rsidRPr="0081629E">
              <w:rPr>
                <w:rFonts w:cs="Times New Roman"/>
              </w:rPr>
              <w:t>-43.5</w:t>
            </w:r>
          </w:p>
        </w:tc>
        <w:tc>
          <w:tcPr>
            <w:tcW w:w="1350" w:type="dxa"/>
            <w:tcBorders>
              <w:top w:val="nil"/>
              <w:left w:val="nil"/>
              <w:bottom w:val="nil"/>
            </w:tcBorders>
            <w:shd w:val="clear" w:color="auto" w:fill="auto"/>
            <w:vAlign w:val="center"/>
          </w:tcPr>
          <w:p w14:paraId="0591A248" w14:textId="77777777" w:rsidR="003E356D" w:rsidRPr="0081629E" w:rsidRDefault="003E356D" w:rsidP="00E7048A">
            <w:pPr>
              <w:pStyle w:val="table"/>
              <w:rPr>
                <w:rFonts w:cs="Times New Roman"/>
              </w:rPr>
            </w:pPr>
            <w:r w:rsidRPr="0081629E">
              <w:rPr>
                <w:rFonts w:cs="Times New Roman"/>
              </w:rPr>
              <w:t>65.5</w:t>
            </w:r>
          </w:p>
        </w:tc>
      </w:tr>
      <w:tr w:rsidR="003E356D" w:rsidRPr="0081629E" w14:paraId="49CF7FDB" w14:textId="77777777" w:rsidTr="0081629E">
        <w:tc>
          <w:tcPr>
            <w:tcW w:w="4878" w:type="dxa"/>
            <w:tcBorders>
              <w:top w:val="nil"/>
              <w:bottom w:val="nil"/>
              <w:right w:val="nil"/>
            </w:tcBorders>
            <w:shd w:val="clear" w:color="auto" w:fill="auto"/>
            <w:vAlign w:val="center"/>
          </w:tcPr>
          <w:p w14:paraId="2F64A816" w14:textId="69D9A83D" w:rsidR="003E356D" w:rsidRPr="0081629E" w:rsidRDefault="003E356D" w:rsidP="0081629E">
            <w:pPr>
              <w:pStyle w:val="table"/>
              <w:jc w:val="left"/>
              <w:rPr>
                <w:rFonts w:cs="Times New Roman"/>
              </w:rPr>
            </w:pPr>
            <w:r w:rsidRPr="0081629E">
              <w:rPr>
                <w:rFonts w:cs="Times New Roman"/>
              </w:rPr>
              <w:t xml:space="preserve">Paracentral lobule ([ParaCL], </w:t>
            </w:r>
            <w:r w:rsidR="00ED101D">
              <w:rPr>
                <w:rFonts w:cs="Times New Roman"/>
              </w:rPr>
              <w:t>13</w:t>
            </w:r>
            <w:r w:rsidRPr="0081629E">
              <w:rPr>
                <w:rFonts w:cs="Times New Roman"/>
              </w:rPr>
              <w:t>)</w:t>
            </w:r>
          </w:p>
        </w:tc>
        <w:tc>
          <w:tcPr>
            <w:tcW w:w="1620" w:type="dxa"/>
            <w:tcBorders>
              <w:top w:val="nil"/>
              <w:left w:val="nil"/>
              <w:bottom w:val="nil"/>
              <w:right w:val="nil"/>
            </w:tcBorders>
            <w:shd w:val="clear" w:color="auto" w:fill="auto"/>
            <w:vAlign w:val="center"/>
          </w:tcPr>
          <w:p w14:paraId="43913074" w14:textId="77777777" w:rsidR="003E356D" w:rsidRPr="0081629E" w:rsidRDefault="003E356D" w:rsidP="00E7048A">
            <w:pPr>
              <w:pStyle w:val="table"/>
              <w:rPr>
                <w:rFonts w:cs="Times New Roman"/>
              </w:rPr>
            </w:pPr>
            <w:r w:rsidRPr="0081629E">
              <w:rPr>
                <w:rFonts w:cs="Times New Roman"/>
              </w:rPr>
              <w:t>-18.5</w:t>
            </w:r>
          </w:p>
        </w:tc>
        <w:tc>
          <w:tcPr>
            <w:tcW w:w="1530" w:type="dxa"/>
            <w:tcBorders>
              <w:top w:val="nil"/>
              <w:left w:val="nil"/>
              <w:bottom w:val="nil"/>
              <w:right w:val="nil"/>
            </w:tcBorders>
            <w:shd w:val="clear" w:color="auto" w:fill="auto"/>
            <w:vAlign w:val="center"/>
          </w:tcPr>
          <w:p w14:paraId="33FCB187" w14:textId="77777777" w:rsidR="003E356D" w:rsidRPr="0081629E" w:rsidRDefault="003E356D" w:rsidP="00E7048A">
            <w:pPr>
              <w:pStyle w:val="table"/>
              <w:rPr>
                <w:rFonts w:cs="Times New Roman"/>
              </w:rPr>
            </w:pPr>
            <w:r w:rsidRPr="0081629E">
              <w:rPr>
                <w:rFonts w:cs="Times New Roman"/>
              </w:rPr>
              <w:t>-9.5</w:t>
            </w:r>
          </w:p>
        </w:tc>
        <w:tc>
          <w:tcPr>
            <w:tcW w:w="1350" w:type="dxa"/>
            <w:tcBorders>
              <w:top w:val="nil"/>
              <w:left w:val="nil"/>
              <w:bottom w:val="nil"/>
            </w:tcBorders>
            <w:shd w:val="clear" w:color="auto" w:fill="auto"/>
            <w:vAlign w:val="center"/>
          </w:tcPr>
          <w:p w14:paraId="0033444A" w14:textId="77777777" w:rsidR="003E356D" w:rsidRPr="0081629E" w:rsidRDefault="003E356D" w:rsidP="00E7048A">
            <w:pPr>
              <w:pStyle w:val="table"/>
              <w:rPr>
                <w:rFonts w:cs="Times New Roman"/>
              </w:rPr>
            </w:pPr>
            <w:r w:rsidRPr="0081629E">
              <w:rPr>
                <w:rFonts w:cs="Times New Roman"/>
              </w:rPr>
              <w:t>56.5</w:t>
            </w:r>
          </w:p>
        </w:tc>
      </w:tr>
      <w:tr w:rsidR="003E356D" w:rsidRPr="0081629E" w14:paraId="7300E13C" w14:textId="77777777" w:rsidTr="0081629E">
        <w:tc>
          <w:tcPr>
            <w:tcW w:w="4878" w:type="dxa"/>
            <w:tcBorders>
              <w:top w:val="nil"/>
              <w:bottom w:val="nil"/>
              <w:right w:val="nil"/>
            </w:tcBorders>
            <w:shd w:val="clear" w:color="auto" w:fill="auto"/>
            <w:vAlign w:val="center"/>
          </w:tcPr>
          <w:p w14:paraId="3868DE82" w14:textId="45501673" w:rsidR="003E356D" w:rsidRPr="0081629E" w:rsidRDefault="003E356D" w:rsidP="0081629E">
            <w:pPr>
              <w:pStyle w:val="table"/>
              <w:jc w:val="left"/>
              <w:rPr>
                <w:rFonts w:cs="Times New Roman"/>
              </w:rPr>
            </w:pPr>
            <w:r w:rsidRPr="0081629E">
              <w:rPr>
                <w:rFonts w:cs="Times New Roman"/>
              </w:rPr>
              <w:t xml:space="preserve">Precentral gyrus ([PreCG], </w:t>
            </w:r>
            <w:r w:rsidR="00ED101D">
              <w:rPr>
                <w:rFonts w:cs="Times New Roman"/>
              </w:rPr>
              <w:t>14</w:t>
            </w:r>
            <w:r w:rsidRPr="0081629E">
              <w:rPr>
                <w:rFonts w:cs="Times New Roman"/>
              </w:rPr>
              <w:t>)</w:t>
            </w:r>
          </w:p>
        </w:tc>
        <w:tc>
          <w:tcPr>
            <w:tcW w:w="1620" w:type="dxa"/>
            <w:tcBorders>
              <w:top w:val="nil"/>
              <w:left w:val="nil"/>
              <w:bottom w:val="nil"/>
              <w:right w:val="nil"/>
            </w:tcBorders>
            <w:shd w:val="clear" w:color="auto" w:fill="auto"/>
            <w:vAlign w:val="center"/>
          </w:tcPr>
          <w:p w14:paraId="2A2D034F" w14:textId="77777777" w:rsidR="003E356D" w:rsidRPr="0081629E" w:rsidRDefault="003E356D" w:rsidP="00E7048A">
            <w:pPr>
              <w:pStyle w:val="table"/>
              <w:rPr>
                <w:rFonts w:cs="Times New Roman"/>
              </w:rPr>
            </w:pPr>
            <w:r w:rsidRPr="0081629E">
              <w:rPr>
                <w:rFonts w:cs="Times New Roman"/>
              </w:rPr>
              <w:t>-42.5</w:t>
            </w:r>
          </w:p>
        </w:tc>
        <w:tc>
          <w:tcPr>
            <w:tcW w:w="1530" w:type="dxa"/>
            <w:tcBorders>
              <w:top w:val="nil"/>
              <w:left w:val="nil"/>
              <w:bottom w:val="nil"/>
              <w:right w:val="nil"/>
            </w:tcBorders>
            <w:shd w:val="clear" w:color="auto" w:fill="auto"/>
            <w:vAlign w:val="center"/>
          </w:tcPr>
          <w:p w14:paraId="1BE4BEA0" w14:textId="77777777" w:rsidR="003E356D" w:rsidRPr="0081629E" w:rsidRDefault="003E356D" w:rsidP="00E7048A">
            <w:pPr>
              <w:pStyle w:val="table"/>
              <w:rPr>
                <w:rFonts w:cs="Times New Roman"/>
              </w:rPr>
            </w:pPr>
            <w:r w:rsidRPr="0081629E">
              <w:rPr>
                <w:rFonts w:cs="Times New Roman"/>
              </w:rPr>
              <w:t>-7.5</w:t>
            </w:r>
          </w:p>
        </w:tc>
        <w:tc>
          <w:tcPr>
            <w:tcW w:w="1350" w:type="dxa"/>
            <w:tcBorders>
              <w:top w:val="nil"/>
              <w:left w:val="nil"/>
              <w:bottom w:val="nil"/>
            </w:tcBorders>
            <w:shd w:val="clear" w:color="auto" w:fill="auto"/>
            <w:vAlign w:val="center"/>
          </w:tcPr>
          <w:p w14:paraId="3171BA32" w14:textId="77777777" w:rsidR="003E356D" w:rsidRPr="0081629E" w:rsidRDefault="003E356D" w:rsidP="00E7048A">
            <w:pPr>
              <w:pStyle w:val="table"/>
              <w:rPr>
                <w:rFonts w:cs="Times New Roman"/>
              </w:rPr>
            </w:pPr>
            <w:r w:rsidRPr="0081629E">
              <w:rPr>
                <w:rFonts w:cs="Times New Roman"/>
              </w:rPr>
              <w:t>46.5</w:t>
            </w:r>
          </w:p>
        </w:tc>
      </w:tr>
      <w:tr w:rsidR="003E356D" w:rsidRPr="0081629E" w14:paraId="3B4B1015" w14:textId="77777777" w:rsidTr="0081629E">
        <w:tc>
          <w:tcPr>
            <w:tcW w:w="4878" w:type="dxa"/>
            <w:tcBorders>
              <w:top w:val="nil"/>
              <w:bottom w:val="nil"/>
              <w:right w:val="nil"/>
            </w:tcBorders>
            <w:shd w:val="clear" w:color="auto" w:fill="auto"/>
            <w:vAlign w:val="center"/>
          </w:tcPr>
          <w:p w14:paraId="03CDA92C" w14:textId="1BF7AD44" w:rsidR="003E356D" w:rsidRPr="0081629E" w:rsidRDefault="003E356D" w:rsidP="0081629E">
            <w:pPr>
              <w:pStyle w:val="table"/>
              <w:jc w:val="left"/>
              <w:rPr>
                <w:rFonts w:cs="Times New Roman"/>
              </w:rPr>
            </w:pPr>
            <w:r w:rsidRPr="0081629E">
              <w:rPr>
                <w:rFonts w:cs="Times New Roman"/>
              </w:rPr>
              <w:t xml:space="preserve">Superior parietal lobule ([SPL], </w:t>
            </w:r>
            <w:r w:rsidR="00ED101D">
              <w:rPr>
                <w:rFonts w:cs="Times New Roman"/>
              </w:rPr>
              <w:t>15</w:t>
            </w:r>
            <w:r w:rsidRPr="0081629E">
              <w:rPr>
                <w:rFonts w:cs="Times New Roman"/>
              </w:rPr>
              <w:t>)</w:t>
            </w:r>
          </w:p>
        </w:tc>
        <w:tc>
          <w:tcPr>
            <w:tcW w:w="1620" w:type="dxa"/>
            <w:tcBorders>
              <w:top w:val="nil"/>
              <w:left w:val="nil"/>
              <w:bottom w:val="nil"/>
              <w:right w:val="nil"/>
            </w:tcBorders>
            <w:shd w:val="clear" w:color="auto" w:fill="auto"/>
            <w:vAlign w:val="center"/>
          </w:tcPr>
          <w:p w14:paraId="03DF9F88" w14:textId="77777777" w:rsidR="003E356D" w:rsidRPr="0081629E" w:rsidRDefault="003E356D" w:rsidP="00E7048A">
            <w:pPr>
              <w:pStyle w:val="table"/>
              <w:rPr>
                <w:rFonts w:cs="Times New Roman"/>
              </w:rPr>
            </w:pPr>
            <w:r w:rsidRPr="0081629E">
              <w:rPr>
                <w:rFonts w:cs="Times New Roman"/>
              </w:rPr>
              <w:t>20.5</w:t>
            </w:r>
          </w:p>
        </w:tc>
        <w:tc>
          <w:tcPr>
            <w:tcW w:w="1530" w:type="dxa"/>
            <w:tcBorders>
              <w:top w:val="nil"/>
              <w:left w:val="nil"/>
              <w:bottom w:val="nil"/>
              <w:right w:val="nil"/>
            </w:tcBorders>
            <w:shd w:val="clear" w:color="auto" w:fill="auto"/>
            <w:vAlign w:val="center"/>
          </w:tcPr>
          <w:p w14:paraId="34F7CDC5" w14:textId="77777777" w:rsidR="003E356D" w:rsidRPr="0081629E" w:rsidRDefault="003E356D" w:rsidP="00E7048A">
            <w:pPr>
              <w:pStyle w:val="table"/>
              <w:rPr>
                <w:rFonts w:cs="Times New Roman"/>
              </w:rPr>
            </w:pPr>
            <w:r w:rsidRPr="0081629E">
              <w:rPr>
                <w:rFonts w:cs="Times New Roman"/>
              </w:rPr>
              <w:t>-63.5</w:t>
            </w:r>
          </w:p>
        </w:tc>
        <w:tc>
          <w:tcPr>
            <w:tcW w:w="1350" w:type="dxa"/>
            <w:tcBorders>
              <w:top w:val="nil"/>
              <w:left w:val="nil"/>
              <w:bottom w:val="nil"/>
            </w:tcBorders>
            <w:shd w:val="clear" w:color="auto" w:fill="auto"/>
            <w:vAlign w:val="center"/>
          </w:tcPr>
          <w:p w14:paraId="219DBC3C" w14:textId="77777777" w:rsidR="003E356D" w:rsidRPr="0081629E" w:rsidRDefault="003E356D" w:rsidP="00E7048A">
            <w:pPr>
              <w:pStyle w:val="table"/>
              <w:rPr>
                <w:rFonts w:cs="Times New Roman"/>
              </w:rPr>
            </w:pPr>
            <w:r w:rsidRPr="0081629E">
              <w:rPr>
                <w:rFonts w:cs="Times New Roman"/>
              </w:rPr>
              <w:t>58.5</w:t>
            </w:r>
          </w:p>
        </w:tc>
      </w:tr>
      <w:tr w:rsidR="003E356D" w:rsidRPr="0081629E" w14:paraId="3B9F7054" w14:textId="77777777" w:rsidTr="0081629E">
        <w:tc>
          <w:tcPr>
            <w:tcW w:w="4878" w:type="dxa"/>
            <w:tcBorders>
              <w:top w:val="nil"/>
              <w:bottom w:val="nil"/>
              <w:right w:val="nil"/>
            </w:tcBorders>
            <w:shd w:val="clear" w:color="auto" w:fill="auto"/>
          </w:tcPr>
          <w:p w14:paraId="49B4B7A4" w14:textId="090BD499" w:rsidR="003E356D" w:rsidRPr="0081629E" w:rsidRDefault="003E356D" w:rsidP="0081629E">
            <w:pPr>
              <w:pStyle w:val="table"/>
              <w:jc w:val="left"/>
              <w:rPr>
                <w:rFonts w:cs="Times New Roman"/>
              </w:rPr>
            </w:pPr>
            <w:r w:rsidRPr="0081629E">
              <w:rPr>
                <w:rFonts w:cs="Times New Roman"/>
              </w:rPr>
              <w:t xml:space="preserve">Postcentral gyrus ([PoCG], </w:t>
            </w:r>
            <w:r w:rsidR="00ED101D">
              <w:rPr>
                <w:rFonts w:cs="Times New Roman"/>
              </w:rPr>
              <w:t>16</w:t>
            </w:r>
            <w:r w:rsidRPr="0081629E">
              <w:rPr>
                <w:rFonts w:cs="Times New Roman"/>
              </w:rPr>
              <w:t>)</w:t>
            </w:r>
          </w:p>
        </w:tc>
        <w:tc>
          <w:tcPr>
            <w:tcW w:w="1620" w:type="dxa"/>
            <w:tcBorders>
              <w:top w:val="nil"/>
              <w:left w:val="nil"/>
              <w:bottom w:val="nil"/>
              <w:right w:val="nil"/>
            </w:tcBorders>
            <w:shd w:val="clear" w:color="auto" w:fill="auto"/>
          </w:tcPr>
          <w:p w14:paraId="34F5E964" w14:textId="77777777" w:rsidR="003E356D" w:rsidRPr="0081629E" w:rsidRDefault="003E356D" w:rsidP="00E7048A">
            <w:pPr>
              <w:pStyle w:val="table"/>
              <w:rPr>
                <w:rFonts w:cs="Times New Roman"/>
              </w:rPr>
            </w:pPr>
            <w:r w:rsidRPr="0081629E">
              <w:rPr>
                <w:rFonts w:cs="Times New Roman"/>
              </w:rPr>
              <w:t>-47.5</w:t>
            </w:r>
          </w:p>
        </w:tc>
        <w:tc>
          <w:tcPr>
            <w:tcW w:w="1530" w:type="dxa"/>
            <w:tcBorders>
              <w:top w:val="nil"/>
              <w:left w:val="nil"/>
              <w:bottom w:val="nil"/>
              <w:right w:val="nil"/>
            </w:tcBorders>
            <w:shd w:val="clear" w:color="auto" w:fill="auto"/>
          </w:tcPr>
          <w:p w14:paraId="590780DC" w14:textId="77777777" w:rsidR="003E356D" w:rsidRPr="0081629E" w:rsidRDefault="003E356D" w:rsidP="00E7048A">
            <w:pPr>
              <w:pStyle w:val="table"/>
              <w:rPr>
                <w:rFonts w:cs="Times New Roman"/>
              </w:rPr>
            </w:pPr>
            <w:r w:rsidRPr="0081629E">
              <w:rPr>
                <w:rFonts w:cs="Times New Roman"/>
              </w:rPr>
              <w:t>-27.5</w:t>
            </w:r>
          </w:p>
        </w:tc>
        <w:tc>
          <w:tcPr>
            <w:tcW w:w="1350" w:type="dxa"/>
            <w:tcBorders>
              <w:top w:val="nil"/>
              <w:left w:val="nil"/>
              <w:bottom w:val="nil"/>
            </w:tcBorders>
            <w:shd w:val="clear" w:color="auto" w:fill="auto"/>
            <w:vAlign w:val="center"/>
          </w:tcPr>
          <w:p w14:paraId="0FE76878" w14:textId="77777777" w:rsidR="003E356D" w:rsidRPr="0081629E" w:rsidRDefault="003E356D" w:rsidP="00E7048A">
            <w:pPr>
              <w:pStyle w:val="table"/>
              <w:rPr>
                <w:rFonts w:cs="Times New Roman"/>
              </w:rPr>
            </w:pPr>
            <w:r w:rsidRPr="0081629E">
              <w:rPr>
                <w:rFonts w:cs="Times New Roman"/>
              </w:rPr>
              <w:t>43.5</w:t>
            </w:r>
          </w:p>
        </w:tc>
      </w:tr>
      <w:tr w:rsidR="003E356D" w:rsidRPr="0081629E" w14:paraId="4C9E19D9" w14:textId="77777777" w:rsidTr="0081629E">
        <w:tc>
          <w:tcPr>
            <w:tcW w:w="9378" w:type="dxa"/>
            <w:gridSpan w:val="4"/>
            <w:tcBorders>
              <w:top w:val="single" w:sz="4" w:space="0" w:color="auto"/>
              <w:bottom w:val="single" w:sz="4" w:space="0" w:color="auto"/>
            </w:tcBorders>
            <w:shd w:val="clear" w:color="auto" w:fill="D0CECE"/>
            <w:vAlign w:val="center"/>
          </w:tcPr>
          <w:p w14:paraId="6EA50AD9" w14:textId="0BCB42EA" w:rsidR="003E356D" w:rsidRPr="0081629E" w:rsidRDefault="003E356D" w:rsidP="0081629E">
            <w:pPr>
              <w:pStyle w:val="table"/>
              <w:jc w:val="left"/>
              <w:rPr>
                <w:rFonts w:cs="Times New Roman"/>
                <w:b/>
              </w:rPr>
            </w:pPr>
            <w:r w:rsidRPr="0081629E">
              <w:rPr>
                <w:rFonts w:cs="Times New Roman"/>
                <w:b/>
              </w:rPr>
              <w:t>Visual domain (VS)</w:t>
            </w:r>
            <w:r w:rsidR="00EB5712">
              <w:rPr>
                <w:rFonts w:cs="Times New Roman"/>
                <w:b/>
              </w:rPr>
              <w:t>: 9 ICNs</w:t>
            </w:r>
          </w:p>
        </w:tc>
      </w:tr>
      <w:tr w:rsidR="003E356D" w:rsidRPr="0081629E" w14:paraId="01E18C2D" w14:textId="77777777" w:rsidTr="0081629E">
        <w:tc>
          <w:tcPr>
            <w:tcW w:w="4878" w:type="dxa"/>
            <w:tcBorders>
              <w:top w:val="single" w:sz="4" w:space="0" w:color="auto"/>
              <w:bottom w:val="nil"/>
              <w:right w:val="nil"/>
            </w:tcBorders>
            <w:shd w:val="clear" w:color="auto" w:fill="auto"/>
            <w:vAlign w:val="center"/>
          </w:tcPr>
          <w:p w14:paraId="68526CC7" w14:textId="5135D1E1" w:rsidR="003E356D" w:rsidRPr="0081629E" w:rsidRDefault="003E356D" w:rsidP="0081629E">
            <w:pPr>
              <w:pStyle w:val="table"/>
              <w:jc w:val="left"/>
              <w:rPr>
                <w:rFonts w:cs="Times New Roman"/>
              </w:rPr>
            </w:pPr>
            <w:r w:rsidRPr="0081629E">
              <w:rPr>
                <w:rFonts w:cs="Times New Roman"/>
              </w:rPr>
              <w:t>Calcarine gyrus ([CalcarineG], 1</w:t>
            </w:r>
            <w:r w:rsidR="000A40CC">
              <w:rPr>
                <w:rFonts w:cs="Times New Roman"/>
              </w:rPr>
              <w:t>7</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3D23EB0E" w14:textId="77777777" w:rsidR="003E356D" w:rsidRPr="0081629E" w:rsidRDefault="003E356D" w:rsidP="00E7048A">
            <w:pPr>
              <w:pStyle w:val="table"/>
              <w:rPr>
                <w:rFonts w:cs="Times New Roman"/>
              </w:rPr>
            </w:pPr>
            <w:r w:rsidRPr="0081629E">
              <w:rPr>
                <w:rFonts w:cs="Times New Roman"/>
              </w:rPr>
              <w:t>-12.5</w:t>
            </w:r>
          </w:p>
        </w:tc>
        <w:tc>
          <w:tcPr>
            <w:tcW w:w="1530" w:type="dxa"/>
            <w:tcBorders>
              <w:top w:val="single" w:sz="4" w:space="0" w:color="auto"/>
              <w:left w:val="nil"/>
              <w:bottom w:val="nil"/>
              <w:right w:val="nil"/>
            </w:tcBorders>
            <w:shd w:val="clear" w:color="auto" w:fill="auto"/>
            <w:vAlign w:val="center"/>
          </w:tcPr>
          <w:p w14:paraId="25FD4CFB" w14:textId="77777777" w:rsidR="003E356D" w:rsidRPr="0081629E" w:rsidRDefault="003E356D" w:rsidP="00E7048A">
            <w:pPr>
              <w:pStyle w:val="table"/>
              <w:rPr>
                <w:rFonts w:cs="Times New Roman"/>
              </w:rPr>
            </w:pPr>
            <w:r w:rsidRPr="0081629E">
              <w:rPr>
                <w:rFonts w:cs="Times New Roman"/>
              </w:rPr>
              <w:t>-66.5</w:t>
            </w:r>
          </w:p>
        </w:tc>
        <w:tc>
          <w:tcPr>
            <w:tcW w:w="1350" w:type="dxa"/>
            <w:tcBorders>
              <w:top w:val="single" w:sz="4" w:space="0" w:color="auto"/>
              <w:left w:val="nil"/>
              <w:bottom w:val="nil"/>
            </w:tcBorders>
            <w:shd w:val="clear" w:color="auto" w:fill="auto"/>
            <w:vAlign w:val="center"/>
          </w:tcPr>
          <w:p w14:paraId="017F0B4F" w14:textId="77777777" w:rsidR="003E356D" w:rsidRPr="0081629E" w:rsidRDefault="003E356D" w:rsidP="00E7048A">
            <w:pPr>
              <w:pStyle w:val="table"/>
              <w:rPr>
                <w:rFonts w:cs="Times New Roman"/>
              </w:rPr>
            </w:pPr>
            <w:r w:rsidRPr="0081629E">
              <w:rPr>
                <w:rFonts w:cs="Times New Roman"/>
              </w:rPr>
              <w:t>8.5</w:t>
            </w:r>
          </w:p>
        </w:tc>
      </w:tr>
      <w:tr w:rsidR="003E356D" w:rsidRPr="0081629E" w14:paraId="6869C38F" w14:textId="77777777" w:rsidTr="0081629E">
        <w:tc>
          <w:tcPr>
            <w:tcW w:w="4878" w:type="dxa"/>
            <w:tcBorders>
              <w:top w:val="nil"/>
              <w:bottom w:val="nil"/>
              <w:right w:val="nil"/>
            </w:tcBorders>
            <w:shd w:val="clear" w:color="auto" w:fill="auto"/>
            <w:vAlign w:val="center"/>
          </w:tcPr>
          <w:p w14:paraId="44CB4FD9" w14:textId="11739A72" w:rsidR="003E356D" w:rsidRPr="0081629E" w:rsidRDefault="003E356D" w:rsidP="0081629E">
            <w:pPr>
              <w:pStyle w:val="table"/>
              <w:jc w:val="left"/>
              <w:rPr>
                <w:rFonts w:cs="Times New Roman"/>
              </w:rPr>
            </w:pPr>
            <w:r w:rsidRPr="0081629E">
              <w:rPr>
                <w:rFonts w:cs="Times New Roman"/>
              </w:rPr>
              <w:t xml:space="preserve">Middle occipital gyrus ([MOG], </w:t>
            </w:r>
            <w:r w:rsidR="000A40CC">
              <w:rPr>
                <w:rFonts w:cs="Times New Roman"/>
              </w:rPr>
              <w:t>18</w:t>
            </w:r>
            <w:r w:rsidRPr="0081629E">
              <w:rPr>
                <w:rFonts w:cs="Times New Roman"/>
              </w:rPr>
              <w:t>)</w:t>
            </w:r>
          </w:p>
        </w:tc>
        <w:tc>
          <w:tcPr>
            <w:tcW w:w="1620" w:type="dxa"/>
            <w:tcBorders>
              <w:top w:val="nil"/>
              <w:left w:val="nil"/>
              <w:bottom w:val="nil"/>
              <w:right w:val="nil"/>
            </w:tcBorders>
            <w:shd w:val="clear" w:color="auto" w:fill="auto"/>
            <w:vAlign w:val="center"/>
          </w:tcPr>
          <w:p w14:paraId="46C31155" w14:textId="77777777" w:rsidR="003E356D" w:rsidRPr="0081629E" w:rsidRDefault="003E356D" w:rsidP="00E7048A">
            <w:pPr>
              <w:pStyle w:val="table"/>
              <w:rPr>
                <w:rFonts w:cs="Times New Roman"/>
              </w:rPr>
            </w:pPr>
            <w:r w:rsidRPr="0081629E">
              <w:rPr>
                <w:rFonts w:cs="Times New Roman"/>
              </w:rPr>
              <w:t>-23.5</w:t>
            </w:r>
          </w:p>
        </w:tc>
        <w:tc>
          <w:tcPr>
            <w:tcW w:w="1530" w:type="dxa"/>
            <w:tcBorders>
              <w:top w:val="nil"/>
              <w:left w:val="nil"/>
              <w:bottom w:val="nil"/>
              <w:right w:val="nil"/>
            </w:tcBorders>
            <w:shd w:val="clear" w:color="auto" w:fill="auto"/>
            <w:vAlign w:val="center"/>
          </w:tcPr>
          <w:p w14:paraId="447CBEC6" w14:textId="77777777" w:rsidR="003E356D" w:rsidRPr="0081629E" w:rsidRDefault="003E356D" w:rsidP="00E7048A">
            <w:pPr>
              <w:pStyle w:val="table"/>
              <w:rPr>
                <w:rFonts w:cs="Times New Roman"/>
              </w:rPr>
            </w:pPr>
            <w:r w:rsidRPr="0081629E">
              <w:rPr>
                <w:rFonts w:cs="Times New Roman"/>
              </w:rPr>
              <w:t>-93.5</w:t>
            </w:r>
          </w:p>
        </w:tc>
        <w:tc>
          <w:tcPr>
            <w:tcW w:w="1350" w:type="dxa"/>
            <w:tcBorders>
              <w:top w:val="nil"/>
              <w:left w:val="nil"/>
              <w:bottom w:val="nil"/>
            </w:tcBorders>
            <w:shd w:val="clear" w:color="auto" w:fill="auto"/>
            <w:vAlign w:val="center"/>
          </w:tcPr>
          <w:p w14:paraId="00AF840E" w14:textId="77777777" w:rsidR="003E356D" w:rsidRPr="0081629E" w:rsidRDefault="003E356D" w:rsidP="00E7048A">
            <w:pPr>
              <w:pStyle w:val="table"/>
              <w:rPr>
                <w:rFonts w:cs="Times New Roman"/>
              </w:rPr>
            </w:pPr>
            <w:r w:rsidRPr="0081629E">
              <w:rPr>
                <w:rFonts w:cs="Times New Roman"/>
              </w:rPr>
              <w:t>-0.5</w:t>
            </w:r>
          </w:p>
        </w:tc>
      </w:tr>
      <w:tr w:rsidR="003E356D" w:rsidRPr="0081629E" w14:paraId="6B235D99" w14:textId="77777777" w:rsidTr="0081629E">
        <w:tc>
          <w:tcPr>
            <w:tcW w:w="4878" w:type="dxa"/>
            <w:tcBorders>
              <w:top w:val="nil"/>
              <w:bottom w:val="nil"/>
              <w:right w:val="nil"/>
            </w:tcBorders>
            <w:shd w:val="clear" w:color="auto" w:fill="auto"/>
          </w:tcPr>
          <w:p w14:paraId="3C8020D0" w14:textId="4343E758" w:rsidR="003E356D" w:rsidRPr="0081629E" w:rsidRDefault="003E356D" w:rsidP="0081629E">
            <w:pPr>
              <w:pStyle w:val="table"/>
              <w:jc w:val="left"/>
              <w:rPr>
                <w:rFonts w:cs="Times New Roman"/>
              </w:rPr>
            </w:pPr>
            <w:r w:rsidRPr="0081629E">
              <w:rPr>
                <w:rFonts w:cs="Times New Roman"/>
              </w:rPr>
              <w:t xml:space="preserve">Middle temporal gyrus ([MTG], </w:t>
            </w:r>
            <w:r w:rsidR="000A40CC">
              <w:rPr>
                <w:rFonts w:cs="Times New Roman"/>
              </w:rPr>
              <w:t>19</w:t>
            </w:r>
            <w:r w:rsidRPr="0081629E">
              <w:rPr>
                <w:rFonts w:cs="Times New Roman"/>
              </w:rPr>
              <w:t>)</w:t>
            </w:r>
          </w:p>
        </w:tc>
        <w:tc>
          <w:tcPr>
            <w:tcW w:w="1620" w:type="dxa"/>
            <w:tcBorders>
              <w:top w:val="nil"/>
              <w:left w:val="nil"/>
              <w:bottom w:val="nil"/>
              <w:right w:val="nil"/>
            </w:tcBorders>
            <w:shd w:val="clear" w:color="auto" w:fill="auto"/>
          </w:tcPr>
          <w:p w14:paraId="1A77A508" w14:textId="77777777" w:rsidR="003E356D" w:rsidRPr="0081629E" w:rsidRDefault="003E356D" w:rsidP="00E7048A">
            <w:pPr>
              <w:pStyle w:val="table"/>
              <w:rPr>
                <w:rFonts w:cs="Times New Roman"/>
              </w:rPr>
            </w:pPr>
            <w:r w:rsidRPr="0081629E">
              <w:rPr>
                <w:rFonts w:cs="Times New Roman"/>
              </w:rPr>
              <w:t>48.5</w:t>
            </w:r>
          </w:p>
        </w:tc>
        <w:tc>
          <w:tcPr>
            <w:tcW w:w="1530" w:type="dxa"/>
            <w:tcBorders>
              <w:top w:val="nil"/>
              <w:left w:val="nil"/>
              <w:bottom w:val="nil"/>
              <w:right w:val="nil"/>
            </w:tcBorders>
            <w:shd w:val="clear" w:color="auto" w:fill="auto"/>
          </w:tcPr>
          <w:p w14:paraId="7B02D2BC" w14:textId="77777777" w:rsidR="003E356D" w:rsidRPr="0081629E" w:rsidRDefault="003E356D" w:rsidP="00E7048A">
            <w:pPr>
              <w:pStyle w:val="table"/>
              <w:rPr>
                <w:rFonts w:cs="Times New Roman"/>
              </w:rPr>
            </w:pPr>
            <w:r w:rsidRPr="0081629E">
              <w:rPr>
                <w:rFonts w:cs="Times New Roman"/>
              </w:rPr>
              <w:t>-60.5</w:t>
            </w:r>
          </w:p>
        </w:tc>
        <w:tc>
          <w:tcPr>
            <w:tcW w:w="1350" w:type="dxa"/>
            <w:tcBorders>
              <w:top w:val="nil"/>
              <w:left w:val="nil"/>
              <w:bottom w:val="nil"/>
            </w:tcBorders>
            <w:shd w:val="clear" w:color="auto" w:fill="auto"/>
          </w:tcPr>
          <w:p w14:paraId="365B644B" w14:textId="77777777" w:rsidR="003E356D" w:rsidRPr="0081629E" w:rsidRDefault="003E356D" w:rsidP="00E7048A">
            <w:pPr>
              <w:pStyle w:val="table"/>
              <w:rPr>
                <w:rFonts w:cs="Times New Roman"/>
              </w:rPr>
            </w:pPr>
            <w:r w:rsidRPr="0081629E">
              <w:rPr>
                <w:rFonts w:cs="Times New Roman"/>
              </w:rPr>
              <w:t>10.5</w:t>
            </w:r>
          </w:p>
        </w:tc>
      </w:tr>
      <w:tr w:rsidR="003E356D" w:rsidRPr="0081629E" w14:paraId="0D6FD59F" w14:textId="77777777" w:rsidTr="0081629E">
        <w:tc>
          <w:tcPr>
            <w:tcW w:w="4878" w:type="dxa"/>
            <w:tcBorders>
              <w:top w:val="nil"/>
              <w:bottom w:val="nil"/>
              <w:right w:val="nil"/>
            </w:tcBorders>
            <w:shd w:val="clear" w:color="auto" w:fill="auto"/>
            <w:vAlign w:val="center"/>
          </w:tcPr>
          <w:p w14:paraId="46CA93F1" w14:textId="1171CB0A" w:rsidR="003E356D" w:rsidRPr="0081629E" w:rsidRDefault="003E356D" w:rsidP="0081629E">
            <w:pPr>
              <w:pStyle w:val="table"/>
              <w:jc w:val="left"/>
              <w:rPr>
                <w:rFonts w:cs="Times New Roman"/>
              </w:rPr>
            </w:pPr>
            <w:r w:rsidRPr="0081629E">
              <w:rPr>
                <w:rFonts w:cs="Times New Roman"/>
              </w:rPr>
              <w:t>Cuneus (</w:t>
            </w:r>
            <w:r w:rsidR="000A40CC">
              <w:rPr>
                <w:rFonts w:cs="Times New Roman"/>
              </w:rPr>
              <w:t>20</w:t>
            </w:r>
            <w:r w:rsidRPr="0081629E">
              <w:rPr>
                <w:rFonts w:cs="Times New Roman"/>
              </w:rPr>
              <w:t>)</w:t>
            </w:r>
          </w:p>
        </w:tc>
        <w:tc>
          <w:tcPr>
            <w:tcW w:w="1620" w:type="dxa"/>
            <w:tcBorders>
              <w:top w:val="nil"/>
              <w:left w:val="nil"/>
              <w:bottom w:val="nil"/>
              <w:right w:val="nil"/>
            </w:tcBorders>
            <w:shd w:val="clear" w:color="auto" w:fill="auto"/>
            <w:vAlign w:val="center"/>
          </w:tcPr>
          <w:p w14:paraId="649A6AFA" w14:textId="77777777" w:rsidR="003E356D" w:rsidRPr="0081629E" w:rsidRDefault="003E356D" w:rsidP="00E7048A">
            <w:pPr>
              <w:pStyle w:val="table"/>
              <w:rPr>
                <w:rFonts w:cs="Times New Roman"/>
              </w:rPr>
            </w:pPr>
            <w:r w:rsidRPr="0081629E">
              <w:rPr>
                <w:rFonts w:cs="Times New Roman"/>
              </w:rPr>
              <w:t>15.5</w:t>
            </w:r>
          </w:p>
        </w:tc>
        <w:tc>
          <w:tcPr>
            <w:tcW w:w="1530" w:type="dxa"/>
            <w:tcBorders>
              <w:top w:val="nil"/>
              <w:left w:val="nil"/>
              <w:bottom w:val="nil"/>
              <w:right w:val="nil"/>
            </w:tcBorders>
            <w:shd w:val="clear" w:color="auto" w:fill="auto"/>
            <w:vAlign w:val="center"/>
          </w:tcPr>
          <w:p w14:paraId="1306DE47" w14:textId="77777777" w:rsidR="003E356D" w:rsidRPr="0081629E" w:rsidRDefault="003E356D" w:rsidP="00E7048A">
            <w:pPr>
              <w:pStyle w:val="table"/>
              <w:rPr>
                <w:rFonts w:cs="Times New Roman"/>
              </w:rPr>
            </w:pPr>
            <w:r w:rsidRPr="0081629E">
              <w:rPr>
                <w:rFonts w:cs="Times New Roman"/>
              </w:rPr>
              <w:t>-91.5</w:t>
            </w:r>
          </w:p>
        </w:tc>
        <w:tc>
          <w:tcPr>
            <w:tcW w:w="1350" w:type="dxa"/>
            <w:tcBorders>
              <w:top w:val="nil"/>
              <w:left w:val="nil"/>
              <w:bottom w:val="nil"/>
            </w:tcBorders>
            <w:shd w:val="clear" w:color="auto" w:fill="auto"/>
            <w:vAlign w:val="center"/>
          </w:tcPr>
          <w:p w14:paraId="0989FB06" w14:textId="77777777" w:rsidR="003E356D" w:rsidRPr="0081629E" w:rsidRDefault="003E356D" w:rsidP="00E7048A">
            <w:pPr>
              <w:pStyle w:val="table"/>
              <w:rPr>
                <w:rFonts w:cs="Times New Roman"/>
              </w:rPr>
            </w:pPr>
            <w:r w:rsidRPr="0081629E">
              <w:rPr>
                <w:rFonts w:cs="Times New Roman"/>
              </w:rPr>
              <w:t>22.5</w:t>
            </w:r>
          </w:p>
        </w:tc>
      </w:tr>
      <w:tr w:rsidR="003E356D" w:rsidRPr="0081629E" w14:paraId="5C822F4B" w14:textId="77777777" w:rsidTr="0081629E">
        <w:tc>
          <w:tcPr>
            <w:tcW w:w="4878" w:type="dxa"/>
            <w:tcBorders>
              <w:top w:val="nil"/>
              <w:bottom w:val="nil"/>
              <w:right w:val="nil"/>
            </w:tcBorders>
            <w:shd w:val="clear" w:color="auto" w:fill="auto"/>
            <w:vAlign w:val="center"/>
          </w:tcPr>
          <w:p w14:paraId="1662F055" w14:textId="31071C9E" w:rsidR="003E356D" w:rsidRPr="0081629E" w:rsidRDefault="003E356D" w:rsidP="0081629E">
            <w:pPr>
              <w:pStyle w:val="table"/>
              <w:jc w:val="left"/>
              <w:rPr>
                <w:rFonts w:cs="Times New Roman"/>
              </w:rPr>
            </w:pPr>
            <w:r w:rsidRPr="0081629E">
              <w:rPr>
                <w:rFonts w:cs="Times New Roman"/>
              </w:rPr>
              <w:t xml:space="preserve">Right middle occipital gyrus ([R MOG], </w:t>
            </w:r>
            <w:r w:rsidR="000A40CC">
              <w:rPr>
                <w:rFonts w:cs="Times New Roman"/>
              </w:rPr>
              <w:t>21</w:t>
            </w:r>
            <w:r w:rsidRPr="0081629E">
              <w:rPr>
                <w:rFonts w:cs="Times New Roman"/>
              </w:rPr>
              <w:t>)</w:t>
            </w:r>
          </w:p>
        </w:tc>
        <w:tc>
          <w:tcPr>
            <w:tcW w:w="1620" w:type="dxa"/>
            <w:tcBorders>
              <w:top w:val="nil"/>
              <w:left w:val="nil"/>
              <w:bottom w:val="nil"/>
              <w:right w:val="nil"/>
            </w:tcBorders>
            <w:shd w:val="clear" w:color="auto" w:fill="auto"/>
            <w:vAlign w:val="center"/>
          </w:tcPr>
          <w:p w14:paraId="6CAAAFDD" w14:textId="77777777" w:rsidR="003E356D" w:rsidRPr="0081629E" w:rsidRDefault="003E356D" w:rsidP="00E7048A">
            <w:pPr>
              <w:pStyle w:val="table"/>
              <w:rPr>
                <w:rFonts w:cs="Times New Roman"/>
              </w:rPr>
            </w:pPr>
            <w:r w:rsidRPr="0081629E">
              <w:rPr>
                <w:rFonts w:cs="Times New Roman"/>
              </w:rPr>
              <w:t>38.5</w:t>
            </w:r>
          </w:p>
        </w:tc>
        <w:tc>
          <w:tcPr>
            <w:tcW w:w="1530" w:type="dxa"/>
            <w:tcBorders>
              <w:top w:val="nil"/>
              <w:left w:val="nil"/>
              <w:bottom w:val="nil"/>
              <w:right w:val="nil"/>
            </w:tcBorders>
            <w:shd w:val="clear" w:color="auto" w:fill="auto"/>
            <w:vAlign w:val="center"/>
          </w:tcPr>
          <w:p w14:paraId="6B2999F5" w14:textId="77777777" w:rsidR="003E356D" w:rsidRPr="0081629E" w:rsidRDefault="003E356D" w:rsidP="00E7048A">
            <w:pPr>
              <w:pStyle w:val="table"/>
              <w:rPr>
                <w:rFonts w:cs="Times New Roman"/>
              </w:rPr>
            </w:pPr>
            <w:r w:rsidRPr="0081629E">
              <w:rPr>
                <w:rFonts w:cs="Times New Roman"/>
              </w:rPr>
              <w:t>-73.5</w:t>
            </w:r>
          </w:p>
        </w:tc>
        <w:tc>
          <w:tcPr>
            <w:tcW w:w="1350" w:type="dxa"/>
            <w:tcBorders>
              <w:top w:val="nil"/>
              <w:left w:val="nil"/>
              <w:bottom w:val="nil"/>
            </w:tcBorders>
            <w:shd w:val="clear" w:color="auto" w:fill="auto"/>
            <w:vAlign w:val="center"/>
          </w:tcPr>
          <w:p w14:paraId="360442C4" w14:textId="77777777" w:rsidR="003E356D" w:rsidRPr="0081629E" w:rsidRDefault="003E356D" w:rsidP="00E7048A">
            <w:pPr>
              <w:pStyle w:val="table"/>
              <w:rPr>
                <w:rFonts w:cs="Times New Roman"/>
              </w:rPr>
            </w:pPr>
            <w:r w:rsidRPr="0081629E">
              <w:rPr>
                <w:rFonts w:cs="Times New Roman"/>
              </w:rPr>
              <w:t>6.5</w:t>
            </w:r>
          </w:p>
        </w:tc>
      </w:tr>
      <w:tr w:rsidR="003E356D" w:rsidRPr="0081629E" w14:paraId="77E238DD" w14:textId="77777777" w:rsidTr="0081629E">
        <w:tc>
          <w:tcPr>
            <w:tcW w:w="4878" w:type="dxa"/>
            <w:tcBorders>
              <w:top w:val="nil"/>
              <w:bottom w:val="nil"/>
              <w:right w:val="nil"/>
            </w:tcBorders>
            <w:shd w:val="clear" w:color="auto" w:fill="auto"/>
            <w:vAlign w:val="center"/>
          </w:tcPr>
          <w:p w14:paraId="095D4523" w14:textId="44DACE30" w:rsidR="003E356D" w:rsidRPr="0081629E" w:rsidRDefault="003E356D" w:rsidP="0081629E">
            <w:pPr>
              <w:pStyle w:val="table"/>
              <w:jc w:val="left"/>
              <w:rPr>
                <w:rFonts w:cs="Times New Roman"/>
              </w:rPr>
            </w:pPr>
            <w:r w:rsidRPr="0081629E">
              <w:rPr>
                <w:rFonts w:cs="Times New Roman"/>
              </w:rPr>
              <w:t>Fusiform gyrus (</w:t>
            </w:r>
            <w:r w:rsidR="000A40CC">
              <w:rPr>
                <w:rFonts w:cs="Times New Roman"/>
              </w:rPr>
              <w:t>22</w:t>
            </w:r>
            <w:r w:rsidRPr="0081629E">
              <w:rPr>
                <w:rFonts w:cs="Times New Roman"/>
              </w:rPr>
              <w:t>)</w:t>
            </w:r>
          </w:p>
        </w:tc>
        <w:tc>
          <w:tcPr>
            <w:tcW w:w="1620" w:type="dxa"/>
            <w:tcBorders>
              <w:top w:val="nil"/>
              <w:left w:val="nil"/>
              <w:bottom w:val="nil"/>
              <w:right w:val="nil"/>
            </w:tcBorders>
            <w:shd w:val="clear" w:color="auto" w:fill="auto"/>
            <w:vAlign w:val="center"/>
          </w:tcPr>
          <w:p w14:paraId="5A3210FA" w14:textId="77777777" w:rsidR="003E356D" w:rsidRPr="0081629E" w:rsidRDefault="003E356D" w:rsidP="00E7048A">
            <w:pPr>
              <w:pStyle w:val="table"/>
              <w:rPr>
                <w:rFonts w:cs="Times New Roman"/>
              </w:rPr>
            </w:pPr>
            <w:r w:rsidRPr="0081629E">
              <w:rPr>
                <w:rFonts w:cs="Times New Roman"/>
              </w:rPr>
              <w:t>29.5</w:t>
            </w:r>
          </w:p>
        </w:tc>
        <w:tc>
          <w:tcPr>
            <w:tcW w:w="1530" w:type="dxa"/>
            <w:tcBorders>
              <w:top w:val="nil"/>
              <w:left w:val="nil"/>
              <w:bottom w:val="nil"/>
              <w:right w:val="nil"/>
            </w:tcBorders>
            <w:shd w:val="clear" w:color="auto" w:fill="auto"/>
            <w:vAlign w:val="center"/>
          </w:tcPr>
          <w:p w14:paraId="4DC228AD" w14:textId="77777777" w:rsidR="003E356D" w:rsidRPr="0081629E" w:rsidRDefault="003E356D" w:rsidP="00E7048A">
            <w:pPr>
              <w:pStyle w:val="table"/>
              <w:rPr>
                <w:rFonts w:cs="Times New Roman"/>
              </w:rPr>
            </w:pPr>
            <w:r w:rsidRPr="0081629E">
              <w:rPr>
                <w:rFonts w:cs="Times New Roman"/>
              </w:rPr>
              <w:t>-42.5</w:t>
            </w:r>
          </w:p>
        </w:tc>
        <w:tc>
          <w:tcPr>
            <w:tcW w:w="1350" w:type="dxa"/>
            <w:tcBorders>
              <w:top w:val="nil"/>
              <w:left w:val="nil"/>
              <w:bottom w:val="nil"/>
            </w:tcBorders>
            <w:shd w:val="clear" w:color="auto" w:fill="auto"/>
            <w:vAlign w:val="center"/>
          </w:tcPr>
          <w:p w14:paraId="2C9F573B" w14:textId="77777777" w:rsidR="003E356D" w:rsidRPr="0081629E" w:rsidRDefault="003E356D" w:rsidP="00E7048A">
            <w:pPr>
              <w:pStyle w:val="table"/>
              <w:rPr>
                <w:rFonts w:cs="Times New Roman"/>
              </w:rPr>
            </w:pPr>
            <w:r w:rsidRPr="0081629E">
              <w:rPr>
                <w:rFonts w:cs="Times New Roman"/>
              </w:rPr>
              <w:t>-12.5</w:t>
            </w:r>
          </w:p>
        </w:tc>
      </w:tr>
      <w:tr w:rsidR="003E356D" w:rsidRPr="0081629E" w14:paraId="6B4A993E" w14:textId="77777777" w:rsidTr="0081629E">
        <w:tc>
          <w:tcPr>
            <w:tcW w:w="4878" w:type="dxa"/>
            <w:tcBorders>
              <w:top w:val="nil"/>
              <w:bottom w:val="nil"/>
              <w:right w:val="nil"/>
            </w:tcBorders>
            <w:shd w:val="clear" w:color="auto" w:fill="auto"/>
            <w:vAlign w:val="center"/>
          </w:tcPr>
          <w:p w14:paraId="3CAC6C99" w14:textId="2C02BA65" w:rsidR="003E356D" w:rsidRPr="0081629E" w:rsidRDefault="003E356D" w:rsidP="0081629E">
            <w:pPr>
              <w:pStyle w:val="table"/>
              <w:jc w:val="left"/>
              <w:rPr>
                <w:rFonts w:cs="Times New Roman"/>
              </w:rPr>
            </w:pPr>
            <w:r w:rsidRPr="0081629E">
              <w:rPr>
                <w:rFonts w:cs="Times New Roman"/>
              </w:rPr>
              <w:t xml:space="preserve">Inferior occipital gyrus ([IOG], </w:t>
            </w:r>
            <w:r w:rsidR="000A40CC">
              <w:rPr>
                <w:rFonts w:cs="Times New Roman"/>
              </w:rPr>
              <w:t>23</w:t>
            </w:r>
            <w:r w:rsidRPr="0081629E">
              <w:rPr>
                <w:rFonts w:cs="Times New Roman"/>
              </w:rPr>
              <w:t>)</w:t>
            </w:r>
          </w:p>
        </w:tc>
        <w:tc>
          <w:tcPr>
            <w:tcW w:w="1620" w:type="dxa"/>
            <w:tcBorders>
              <w:top w:val="nil"/>
              <w:left w:val="nil"/>
              <w:bottom w:val="nil"/>
              <w:right w:val="nil"/>
            </w:tcBorders>
            <w:shd w:val="clear" w:color="auto" w:fill="auto"/>
            <w:vAlign w:val="center"/>
          </w:tcPr>
          <w:p w14:paraId="3DCEFC3A" w14:textId="77777777" w:rsidR="003E356D" w:rsidRPr="0081629E" w:rsidRDefault="003E356D" w:rsidP="00E7048A">
            <w:pPr>
              <w:pStyle w:val="table"/>
              <w:rPr>
                <w:rFonts w:cs="Times New Roman"/>
              </w:rPr>
            </w:pPr>
            <w:r w:rsidRPr="0081629E">
              <w:rPr>
                <w:rFonts w:cs="Times New Roman"/>
              </w:rPr>
              <w:t>-36.5</w:t>
            </w:r>
          </w:p>
        </w:tc>
        <w:tc>
          <w:tcPr>
            <w:tcW w:w="1530" w:type="dxa"/>
            <w:tcBorders>
              <w:top w:val="nil"/>
              <w:left w:val="nil"/>
              <w:bottom w:val="nil"/>
              <w:right w:val="nil"/>
            </w:tcBorders>
            <w:shd w:val="clear" w:color="auto" w:fill="auto"/>
            <w:vAlign w:val="center"/>
          </w:tcPr>
          <w:p w14:paraId="48AF2452" w14:textId="77777777" w:rsidR="003E356D" w:rsidRPr="0081629E" w:rsidRDefault="003E356D" w:rsidP="00E7048A">
            <w:pPr>
              <w:pStyle w:val="table"/>
              <w:rPr>
                <w:rFonts w:cs="Times New Roman"/>
              </w:rPr>
            </w:pPr>
            <w:r w:rsidRPr="0081629E">
              <w:rPr>
                <w:rFonts w:cs="Times New Roman"/>
              </w:rPr>
              <w:t>-76.5</w:t>
            </w:r>
          </w:p>
        </w:tc>
        <w:tc>
          <w:tcPr>
            <w:tcW w:w="1350" w:type="dxa"/>
            <w:tcBorders>
              <w:top w:val="nil"/>
              <w:left w:val="nil"/>
              <w:bottom w:val="nil"/>
            </w:tcBorders>
            <w:shd w:val="clear" w:color="auto" w:fill="auto"/>
            <w:vAlign w:val="center"/>
          </w:tcPr>
          <w:p w14:paraId="0211432C" w14:textId="77777777" w:rsidR="003E356D" w:rsidRPr="0081629E" w:rsidRDefault="003E356D" w:rsidP="00E7048A">
            <w:pPr>
              <w:pStyle w:val="table"/>
              <w:rPr>
                <w:rFonts w:cs="Times New Roman"/>
              </w:rPr>
            </w:pPr>
            <w:r w:rsidRPr="0081629E">
              <w:rPr>
                <w:rFonts w:cs="Times New Roman"/>
              </w:rPr>
              <w:t>-4.5</w:t>
            </w:r>
          </w:p>
        </w:tc>
      </w:tr>
      <w:tr w:rsidR="003E356D" w:rsidRPr="0081629E" w14:paraId="0E590D02" w14:textId="77777777" w:rsidTr="0081629E">
        <w:tc>
          <w:tcPr>
            <w:tcW w:w="4878" w:type="dxa"/>
            <w:tcBorders>
              <w:top w:val="nil"/>
              <w:bottom w:val="nil"/>
              <w:right w:val="nil"/>
            </w:tcBorders>
            <w:shd w:val="clear" w:color="auto" w:fill="auto"/>
            <w:vAlign w:val="center"/>
          </w:tcPr>
          <w:p w14:paraId="27E5CA73" w14:textId="2B83387D" w:rsidR="003E356D" w:rsidRPr="0081629E" w:rsidRDefault="003E356D" w:rsidP="0081629E">
            <w:pPr>
              <w:pStyle w:val="table"/>
              <w:jc w:val="left"/>
              <w:rPr>
                <w:rFonts w:cs="Times New Roman"/>
              </w:rPr>
            </w:pPr>
            <w:r w:rsidRPr="0081629E">
              <w:rPr>
                <w:rFonts w:cs="Times New Roman"/>
              </w:rPr>
              <w:t xml:space="preserve">Lingual gyrus ([LingualG], </w:t>
            </w:r>
            <w:r w:rsidR="000A40CC">
              <w:rPr>
                <w:rFonts w:cs="Times New Roman"/>
              </w:rPr>
              <w:t>24</w:t>
            </w:r>
            <w:r w:rsidRPr="0081629E">
              <w:rPr>
                <w:rFonts w:cs="Times New Roman"/>
              </w:rPr>
              <w:t>)</w:t>
            </w:r>
          </w:p>
        </w:tc>
        <w:tc>
          <w:tcPr>
            <w:tcW w:w="1620" w:type="dxa"/>
            <w:tcBorders>
              <w:top w:val="nil"/>
              <w:left w:val="nil"/>
              <w:bottom w:val="nil"/>
              <w:right w:val="nil"/>
            </w:tcBorders>
            <w:shd w:val="clear" w:color="auto" w:fill="auto"/>
            <w:vAlign w:val="center"/>
          </w:tcPr>
          <w:p w14:paraId="35946FFA" w14:textId="77777777" w:rsidR="003E356D" w:rsidRPr="0081629E" w:rsidRDefault="003E356D" w:rsidP="00E7048A">
            <w:pPr>
              <w:pStyle w:val="table"/>
              <w:rPr>
                <w:rFonts w:cs="Times New Roman"/>
              </w:rPr>
            </w:pPr>
            <w:r w:rsidRPr="0081629E">
              <w:rPr>
                <w:rFonts w:cs="Times New Roman"/>
              </w:rPr>
              <w:t>-8.5</w:t>
            </w:r>
          </w:p>
        </w:tc>
        <w:tc>
          <w:tcPr>
            <w:tcW w:w="1530" w:type="dxa"/>
            <w:tcBorders>
              <w:top w:val="nil"/>
              <w:left w:val="nil"/>
              <w:bottom w:val="nil"/>
              <w:right w:val="nil"/>
            </w:tcBorders>
            <w:shd w:val="clear" w:color="auto" w:fill="auto"/>
            <w:vAlign w:val="center"/>
          </w:tcPr>
          <w:p w14:paraId="1A988744" w14:textId="77777777" w:rsidR="003E356D" w:rsidRPr="0081629E" w:rsidRDefault="003E356D" w:rsidP="00E7048A">
            <w:pPr>
              <w:pStyle w:val="table"/>
              <w:rPr>
                <w:rFonts w:cs="Times New Roman"/>
              </w:rPr>
            </w:pPr>
            <w:r w:rsidRPr="0081629E">
              <w:rPr>
                <w:rFonts w:cs="Times New Roman"/>
              </w:rPr>
              <w:t>-81.5</w:t>
            </w:r>
          </w:p>
        </w:tc>
        <w:tc>
          <w:tcPr>
            <w:tcW w:w="1350" w:type="dxa"/>
            <w:tcBorders>
              <w:top w:val="nil"/>
              <w:left w:val="nil"/>
              <w:bottom w:val="nil"/>
            </w:tcBorders>
            <w:shd w:val="clear" w:color="auto" w:fill="auto"/>
            <w:vAlign w:val="center"/>
          </w:tcPr>
          <w:p w14:paraId="6889ED14" w14:textId="77777777" w:rsidR="003E356D" w:rsidRPr="0081629E" w:rsidRDefault="003E356D" w:rsidP="00E7048A">
            <w:pPr>
              <w:pStyle w:val="table"/>
              <w:rPr>
                <w:rFonts w:cs="Times New Roman"/>
              </w:rPr>
            </w:pPr>
            <w:r w:rsidRPr="0081629E">
              <w:rPr>
                <w:rFonts w:cs="Times New Roman"/>
              </w:rPr>
              <w:t>-4.5</w:t>
            </w:r>
          </w:p>
        </w:tc>
      </w:tr>
      <w:tr w:rsidR="003E356D" w:rsidRPr="0081629E" w14:paraId="6841BF69" w14:textId="77777777" w:rsidTr="0081629E">
        <w:tc>
          <w:tcPr>
            <w:tcW w:w="4878" w:type="dxa"/>
            <w:tcBorders>
              <w:top w:val="nil"/>
              <w:bottom w:val="single" w:sz="4" w:space="0" w:color="auto"/>
              <w:right w:val="nil"/>
            </w:tcBorders>
            <w:shd w:val="clear" w:color="auto" w:fill="auto"/>
            <w:vAlign w:val="center"/>
          </w:tcPr>
          <w:p w14:paraId="0954B90E" w14:textId="03751840" w:rsidR="003E356D" w:rsidRPr="0081629E" w:rsidRDefault="003E356D" w:rsidP="0081629E">
            <w:pPr>
              <w:pStyle w:val="table"/>
              <w:jc w:val="left"/>
              <w:rPr>
                <w:rFonts w:cs="Times New Roman"/>
              </w:rPr>
            </w:pPr>
            <w:r w:rsidRPr="0081629E">
              <w:rPr>
                <w:rFonts w:cs="Times New Roman"/>
              </w:rPr>
              <w:t xml:space="preserve">Middle temporal gyrus ([MTG], </w:t>
            </w:r>
            <w:r w:rsidR="000A40CC">
              <w:rPr>
                <w:rFonts w:cs="Times New Roman"/>
              </w:rPr>
              <w:t>25</w:t>
            </w:r>
            <w:r w:rsidRPr="0081629E">
              <w:rPr>
                <w:rFonts w:cs="Times New Roman"/>
              </w:rPr>
              <w:t>)</w:t>
            </w:r>
          </w:p>
        </w:tc>
        <w:tc>
          <w:tcPr>
            <w:tcW w:w="1620" w:type="dxa"/>
            <w:tcBorders>
              <w:top w:val="nil"/>
              <w:left w:val="nil"/>
              <w:bottom w:val="single" w:sz="4" w:space="0" w:color="auto"/>
              <w:right w:val="nil"/>
            </w:tcBorders>
            <w:shd w:val="clear" w:color="auto" w:fill="auto"/>
            <w:vAlign w:val="center"/>
          </w:tcPr>
          <w:p w14:paraId="124C11D3" w14:textId="77777777" w:rsidR="003E356D" w:rsidRPr="0081629E" w:rsidRDefault="003E356D" w:rsidP="00E7048A">
            <w:pPr>
              <w:pStyle w:val="table"/>
              <w:rPr>
                <w:rFonts w:cs="Times New Roman"/>
              </w:rPr>
            </w:pPr>
            <w:r w:rsidRPr="0081629E">
              <w:rPr>
                <w:rFonts w:cs="Times New Roman"/>
              </w:rPr>
              <w:t>-44.5</w:t>
            </w:r>
          </w:p>
        </w:tc>
        <w:tc>
          <w:tcPr>
            <w:tcW w:w="1530" w:type="dxa"/>
            <w:tcBorders>
              <w:top w:val="nil"/>
              <w:left w:val="nil"/>
              <w:bottom w:val="single" w:sz="4" w:space="0" w:color="auto"/>
              <w:right w:val="nil"/>
            </w:tcBorders>
            <w:shd w:val="clear" w:color="auto" w:fill="auto"/>
            <w:vAlign w:val="center"/>
          </w:tcPr>
          <w:p w14:paraId="0B5486ED" w14:textId="77777777" w:rsidR="003E356D" w:rsidRPr="0081629E" w:rsidRDefault="003E356D" w:rsidP="00E7048A">
            <w:pPr>
              <w:pStyle w:val="table"/>
              <w:rPr>
                <w:rFonts w:cs="Times New Roman"/>
              </w:rPr>
            </w:pPr>
            <w:r w:rsidRPr="0081629E">
              <w:rPr>
                <w:rFonts w:cs="Times New Roman"/>
              </w:rPr>
              <w:t>-57.5</w:t>
            </w:r>
          </w:p>
        </w:tc>
        <w:tc>
          <w:tcPr>
            <w:tcW w:w="1350" w:type="dxa"/>
            <w:tcBorders>
              <w:top w:val="nil"/>
              <w:left w:val="nil"/>
              <w:bottom w:val="single" w:sz="4" w:space="0" w:color="auto"/>
            </w:tcBorders>
            <w:shd w:val="clear" w:color="auto" w:fill="auto"/>
            <w:vAlign w:val="center"/>
          </w:tcPr>
          <w:p w14:paraId="44C8D936" w14:textId="77777777" w:rsidR="003E356D" w:rsidRPr="0081629E" w:rsidRDefault="003E356D" w:rsidP="00E7048A">
            <w:pPr>
              <w:pStyle w:val="table"/>
              <w:rPr>
                <w:rFonts w:cs="Times New Roman"/>
              </w:rPr>
            </w:pPr>
            <w:r w:rsidRPr="0081629E">
              <w:rPr>
                <w:rFonts w:cs="Times New Roman"/>
              </w:rPr>
              <w:t>-7.5</w:t>
            </w:r>
          </w:p>
        </w:tc>
      </w:tr>
      <w:tr w:rsidR="003E356D" w:rsidRPr="0081629E" w14:paraId="1D6DDE04" w14:textId="77777777" w:rsidTr="0081629E">
        <w:tc>
          <w:tcPr>
            <w:tcW w:w="9378" w:type="dxa"/>
            <w:gridSpan w:val="4"/>
            <w:tcBorders>
              <w:top w:val="single" w:sz="4" w:space="0" w:color="auto"/>
              <w:bottom w:val="single" w:sz="4" w:space="0" w:color="auto"/>
            </w:tcBorders>
            <w:shd w:val="clear" w:color="auto" w:fill="D0CECE"/>
            <w:vAlign w:val="center"/>
          </w:tcPr>
          <w:p w14:paraId="3D591455" w14:textId="3F0C4354" w:rsidR="003E356D" w:rsidRPr="0081629E" w:rsidRDefault="003E356D" w:rsidP="0081629E">
            <w:pPr>
              <w:pStyle w:val="table"/>
              <w:jc w:val="left"/>
              <w:rPr>
                <w:rFonts w:cs="Times New Roman"/>
                <w:b/>
              </w:rPr>
            </w:pPr>
            <w:r w:rsidRPr="0081629E">
              <w:rPr>
                <w:rFonts w:cs="Times New Roman"/>
                <w:b/>
              </w:rPr>
              <w:t>Cognitive-control domain (CC)</w:t>
            </w:r>
            <w:r w:rsidR="00624829">
              <w:rPr>
                <w:rFonts w:cs="Times New Roman"/>
                <w:b/>
              </w:rPr>
              <w:t>: 17 ICNs</w:t>
            </w:r>
          </w:p>
        </w:tc>
      </w:tr>
      <w:tr w:rsidR="003E356D" w:rsidRPr="0081629E" w14:paraId="1B52113C" w14:textId="77777777" w:rsidTr="0081629E">
        <w:tc>
          <w:tcPr>
            <w:tcW w:w="4878" w:type="dxa"/>
            <w:tcBorders>
              <w:top w:val="single" w:sz="4" w:space="0" w:color="auto"/>
              <w:bottom w:val="nil"/>
              <w:right w:val="nil"/>
            </w:tcBorders>
            <w:shd w:val="clear" w:color="auto" w:fill="auto"/>
            <w:vAlign w:val="center"/>
          </w:tcPr>
          <w:p w14:paraId="1AEB10D4" w14:textId="0EA7F707" w:rsidR="003E356D" w:rsidRPr="0081629E" w:rsidRDefault="003E356D" w:rsidP="0081629E">
            <w:pPr>
              <w:pStyle w:val="table"/>
              <w:jc w:val="left"/>
              <w:rPr>
                <w:rFonts w:cs="Times New Roman"/>
              </w:rPr>
            </w:pPr>
            <w:r w:rsidRPr="0081629E">
              <w:rPr>
                <w:rFonts w:cs="Times New Roman"/>
              </w:rPr>
              <w:t xml:space="preserve">Inferior parietal lobule ([IPL], </w:t>
            </w:r>
            <w:r w:rsidR="00B76005">
              <w:rPr>
                <w:rFonts w:cs="Times New Roman"/>
              </w:rPr>
              <w:t>26</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46F15288" w14:textId="77777777" w:rsidR="003E356D" w:rsidRPr="0081629E" w:rsidRDefault="003E356D" w:rsidP="00E7048A">
            <w:pPr>
              <w:pStyle w:val="table"/>
              <w:rPr>
                <w:rFonts w:cs="Times New Roman"/>
              </w:rPr>
            </w:pPr>
            <w:r w:rsidRPr="0081629E">
              <w:rPr>
                <w:rFonts w:cs="Times New Roman"/>
              </w:rPr>
              <w:t>45.5</w:t>
            </w:r>
          </w:p>
        </w:tc>
        <w:tc>
          <w:tcPr>
            <w:tcW w:w="1530" w:type="dxa"/>
            <w:tcBorders>
              <w:top w:val="single" w:sz="4" w:space="0" w:color="auto"/>
              <w:left w:val="nil"/>
              <w:bottom w:val="nil"/>
              <w:right w:val="nil"/>
            </w:tcBorders>
            <w:shd w:val="clear" w:color="auto" w:fill="auto"/>
            <w:vAlign w:val="center"/>
          </w:tcPr>
          <w:p w14:paraId="32F80A1E" w14:textId="77777777" w:rsidR="003E356D" w:rsidRPr="0081629E" w:rsidRDefault="003E356D" w:rsidP="00E7048A">
            <w:pPr>
              <w:pStyle w:val="table"/>
              <w:rPr>
                <w:rFonts w:cs="Times New Roman"/>
              </w:rPr>
            </w:pPr>
            <w:r w:rsidRPr="0081629E">
              <w:rPr>
                <w:rFonts w:cs="Times New Roman"/>
              </w:rPr>
              <w:t>-61.5</w:t>
            </w:r>
          </w:p>
        </w:tc>
        <w:tc>
          <w:tcPr>
            <w:tcW w:w="1350" w:type="dxa"/>
            <w:tcBorders>
              <w:top w:val="single" w:sz="4" w:space="0" w:color="auto"/>
              <w:left w:val="nil"/>
              <w:bottom w:val="nil"/>
            </w:tcBorders>
            <w:shd w:val="clear" w:color="auto" w:fill="auto"/>
            <w:vAlign w:val="center"/>
          </w:tcPr>
          <w:p w14:paraId="70A8EB26" w14:textId="77777777" w:rsidR="003E356D" w:rsidRPr="0081629E" w:rsidRDefault="003E356D" w:rsidP="00E7048A">
            <w:pPr>
              <w:pStyle w:val="table"/>
              <w:rPr>
                <w:rFonts w:cs="Times New Roman"/>
              </w:rPr>
            </w:pPr>
            <w:r w:rsidRPr="0081629E">
              <w:rPr>
                <w:rFonts w:cs="Times New Roman"/>
              </w:rPr>
              <w:t>43.5</w:t>
            </w:r>
          </w:p>
        </w:tc>
      </w:tr>
      <w:tr w:rsidR="003E356D" w:rsidRPr="0081629E" w14:paraId="64A3A350" w14:textId="77777777" w:rsidTr="0081629E">
        <w:tc>
          <w:tcPr>
            <w:tcW w:w="4878" w:type="dxa"/>
            <w:tcBorders>
              <w:top w:val="nil"/>
              <w:bottom w:val="nil"/>
              <w:right w:val="nil"/>
            </w:tcBorders>
            <w:shd w:val="clear" w:color="auto" w:fill="auto"/>
            <w:vAlign w:val="center"/>
          </w:tcPr>
          <w:p w14:paraId="366BEB29" w14:textId="38640514" w:rsidR="003E356D" w:rsidRPr="0081629E" w:rsidRDefault="003E356D" w:rsidP="0081629E">
            <w:pPr>
              <w:pStyle w:val="table"/>
              <w:jc w:val="left"/>
              <w:rPr>
                <w:rFonts w:cs="Times New Roman"/>
              </w:rPr>
            </w:pPr>
            <w:r w:rsidRPr="0081629E">
              <w:rPr>
                <w:rFonts w:cs="Times New Roman"/>
              </w:rPr>
              <w:t>Insula (</w:t>
            </w:r>
            <w:r w:rsidR="00B76005">
              <w:rPr>
                <w:rFonts w:cs="Times New Roman"/>
              </w:rPr>
              <w:t>27</w:t>
            </w:r>
            <w:r w:rsidRPr="0081629E">
              <w:rPr>
                <w:rFonts w:cs="Times New Roman"/>
              </w:rPr>
              <w:t>)</w:t>
            </w:r>
          </w:p>
        </w:tc>
        <w:tc>
          <w:tcPr>
            <w:tcW w:w="1620" w:type="dxa"/>
            <w:tcBorders>
              <w:top w:val="nil"/>
              <w:left w:val="nil"/>
              <w:bottom w:val="nil"/>
              <w:right w:val="nil"/>
            </w:tcBorders>
            <w:shd w:val="clear" w:color="auto" w:fill="auto"/>
            <w:vAlign w:val="center"/>
          </w:tcPr>
          <w:p w14:paraId="65295EDB" w14:textId="77777777" w:rsidR="003E356D" w:rsidRPr="0081629E" w:rsidRDefault="003E356D" w:rsidP="00E7048A">
            <w:pPr>
              <w:pStyle w:val="table"/>
              <w:rPr>
                <w:rFonts w:cs="Times New Roman"/>
              </w:rPr>
            </w:pPr>
            <w:r w:rsidRPr="0081629E">
              <w:rPr>
                <w:rFonts w:cs="Times New Roman"/>
              </w:rPr>
              <w:t>-30.5</w:t>
            </w:r>
          </w:p>
        </w:tc>
        <w:tc>
          <w:tcPr>
            <w:tcW w:w="1530" w:type="dxa"/>
            <w:tcBorders>
              <w:top w:val="nil"/>
              <w:left w:val="nil"/>
              <w:bottom w:val="nil"/>
              <w:right w:val="nil"/>
            </w:tcBorders>
            <w:shd w:val="clear" w:color="auto" w:fill="auto"/>
            <w:vAlign w:val="center"/>
          </w:tcPr>
          <w:p w14:paraId="7F28E506" w14:textId="77777777" w:rsidR="003E356D" w:rsidRPr="0081629E" w:rsidRDefault="003E356D" w:rsidP="00E7048A">
            <w:pPr>
              <w:pStyle w:val="table"/>
              <w:rPr>
                <w:rFonts w:cs="Times New Roman"/>
              </w:rPr>
            </w:pPr>
            <w:r w:rsidRPr="0081629E">
              <w:rPr>
                <w:rFonts w:cs="Times New Roman"/>
              </w:rPr>
              <w:t>22.5</w:t>
            </w:r>
          </w:p>
        </w:tc>
        <w:tc>
          <w:tcPr>
            <w:tcW w:w="1350" w:type="dxa"/>
            <w:tcBorders>
              <w:top w:val="nil"/>
              <w:left w:val="nil"/>
              <w:bottom w:val="nil"/>
            </w:tcBorders>
            <w:shd w:val="clear" w:color="auto" w:fill="auto"/>
            <w:vAlign w:val="center"/>
          </w:tcPr>
          <w:p w14:paraId="5EE725D7" w14:textId="77777777" w:rsidR="003E356D" w:rsidRPr="0081629E" w:rsidRDefault="003E356D" w:rsidP="00E7048A">
            <w:pPr>
              <w:pStyle w:val="table"/>
              <w:rPr>
                <w:rFonts w:cs="Times New Roman"/>
              </w:rPr>
            </w:pPr>
            <w:r w:rsidRPr="0081629E">
              <w:rPr>
                <w:rFonts w:cs="Times New Roman"/>
              </w:rPr>
              <w:t>-3.5</w:t>
            </w:r>
          </w:p>
        </w:tc>
      </w:tr>
      <w:tr w:rsidR="003E356D" w:rsidRPr="0081629E" w14:paraId="2A393885" w14:textId="77777777" w:rsidTr="0081629E">
        <w:tc>
          <w:tcPr>
            <w:tcW w:w="4878" w:type="dxa"/>
            <w:tcBorders>
              <w:top w:val="nil"/>
              <w:bottom w:val="nil"/>
              <w:right w:val="nil"/>
            </w:tcBorders>
            <w:shd w:val="clear" w:color="auto" w:fill="auto"/>
            <w:vAlign w:val="center"/>
          </w:tcPr>
          <w:p w14:paraId="74BD17B7" w14:textId="36ABDC9E" w:rsidR="003E356D" w:rsidRPr="0081629E" w:rsidRDefault="003E356D" w:rsidP="0081629E">
            <w:pPr>
              <w:pStyle w:val="table"/>
              <w:jc w:val="left"/>
              <w:rPr>
                <w:rFonts w:cs="Times New Roman"/>
              </w:rPr>
            </w:pPr>
            <w:r w:rsidRPr="0081629E">
              <w:rPr>
                <w:rFonts w:cs="Times New Roman"/>
              </w:rPr>
              <w:t xml:space="preserve">Superior medial frontal gyrus ([SMFG], </w:t>
            </w:r>
            <w:r w:rsidR="00B76005">
              <w:rPr>
                <w:rFonts w:cs="Times New Roman"/>
              </w:rPr>
              <w:t>28</w:t>
            </w:r>
            <w:r w:rsidRPr="0081629E">
              <w:rPr>
                <w:rFonts w:cs="Times New Roman"/>
              </w:rPr>
              <w:t>)</w:t>
            </w:r>
          </w:p>
        </w:tc>
        <w:tc>
          <w:tcPr>
            <w:tcW w:w="1620" w:type="dxa"/>
            <w:tcBorders>
              <w:top w:val="nil"/>
              <w:left w:val="nil"/>
              <w:bottom w:val="nil"/>
              <w:right w:val="nil"/>
            </w:tcBorders>
            <w:shd w:val="clear" w:color="auto" w:fill="auto"/>
            <w:vAlign w:val="center"/>
          </w:tcPr>
          <w:p w14:paraId="1543B7A7" w14:textId="77777777" w:rsidR="003E356D" w:rsidRPr="0081629E" w:rsidRDefault="003E356D" w:rsidP="00E7048A">
            <w:pPr>
              <w:pStyle w:val="table"/>
              <w:rPr>
                <w:rFonts w:cs="Times New Roman"/>
              </w:rPr>
            </w:pPr>
            <w:r w:rsidRPr="0081629E">
              <w:rPr>
                <w:rFonts w:cs="Times New Roman"/>
              </w:rPr>
              <w:t>-0.5</w:t>
            </w:r>
          </w:p>
        </w:tc>
        <w:tc>
          <w:tcPr>
            <w:tcW w:w="1530" w:type="dxa"/>
            <w:tcBorders>
              <w:top w:val="nil"/>
              <w:left w:val="nil"/>
              <w:bottom w:val="nil"/>
              <w:right w:val="nil"/>
            </w:tcBorders>
            <w:shd w:val="clear" w:color="auto" w:fill="auto"/>
            <w:vAlign w:val="center"/>
          </w:tcPr>
          <w:p w14:paraId="61E931FF" w14:textId="77777777" w:rsidR="003E356D" w:rsidRPr="0081629E" w:rsidRDefault="003E356D" w:rsidP="00E7048A">
            <w:pPr>
              <w:pStyle w:val="table"/>
              <w:rPr>
                <w:rFonts w:cs="Times New Roman"/>
              </w:rPr>
            </w:pPr>
            <w:r w:rsidRPr="0081629E">
              <w:rPr>
                <w:rFonts w:cs="Times New Roman"/>
              </w:rPr>
              <w:t>50.5</w:t>
            </w:r>
          </w:p>
        </w:tc>
        <w:tc>
          <w:tcPr>
            <w:tcW w:w="1350" w:type="dxa"/>
            <w:tcBorders>
              <w:top w:val="nil"/>
              <w:left w:val="nil"/>
              <w:bottom w:val="nil"/>
            </w:tcBorders>
            <w:shd w:val="clear" w:color="auto" w:fill="auto"/>
            <w:vAlign w:val="center"/>
          </w:tcPr>
          <w:p w14:paraId="4A2FE38B" w14:textId="77777777" w:rsidR="003E356D" w:rsidRPr="0081629E" w:rsidRDefault="003E356D" w:rsidP="00E7048A">
            <w:pPr>
              <w:pStyle w:val="table"/>
              <w:rPr>
                <w:rFonts w:cs="Times New Roman"/>
              </w:rPr>
            </w:pPr>
            <w:r w:rsidRPr="0081629E">
              <w:rPr>
                <w:rFonts w:cs="Times New Roman"/>
              </w:rPr>
              <w:t>29.5</w:t>
            </w:r>
          </w:p>
        </w:tc>
      </w:tr>
      <w:tr w:rsidR="003E356D" w:rsidRPr="0081629E" w14:paraId="76AEDF6E" w14:textId="77777777" w:rsidTr="0081629E">
        <w:tc>
          <w:tcPr>
            <w:tcW w:w="4878" w:type="dxa"/>
            <w:tcBorders>
              <w:top w:val="nil"/>
              <w:bottom w:val="nil"/>
              <w:right w:val="nil"/>
            </w:tcBorders>
            <w:shd w:val="clear" w:color="auto" w:fill="auto"/>
            <w:vAlign w:val="center"/>
          </w:tcPr>
          <w:p w14:paraId="703A04CE" w14:textId="3CED904A" w:rsidR="003E356D" w:rsidRPr="0081629E" w:rsidRDefault="003E356D" w:rsidP="0081629E">
            <w:pPr>
              <w:pStyle w:val="table"/>
              <w:jc w:val="left"/>
              <w:rPr>
                <w:rFonts w:cs="Times New Roman"/>
              </w:rPr>
            </w:pPr>
            <w:r w:rsidRPr="0081629E">
              <w:rPr>
                <w:rFonts w:cs="Times New Roman"/>
              </w:rPr>
              <w:t xml:space="preserve">Inferior frontal gyrus ([IFG], </w:t>
            </w:r>
            <w:r w:rsidR="00B76005">
              <w:rPr>
                <w:rFonts w:cs="Times New Roman"/>
              </w:rPr>
              <w:t>29</w:t>
            </w:r>
            <w:r w:rsidRPr="0081629E">
              <w:rPr>
                <w:rFonts w:cs="Times New Roman"/>
              </w:rPr>
              <w:t>)</w:t>
            </w:r>
          </w:p>
        </w:tc>
        <w:tc>
          <w:tcPr>
            <w:tcW w:w="1620" w:type="dxa"/>
            <w:tcBorders>
              <w:top w:val="nil"/>
              <w:left w:val="nil"/>
              <w:bottom w:val="nil"/>
              <w:right w:val="nil"/>
            </w:tcBorders>
            <w:shd w:val="clear" w:color="auto" w:fill="auto"/>
            <w:vAlign w:val="center"/>
          </w:tcPr>
          <w:p w14:paraId="7CD73F67" w14:textId="77777777" w:rsidR="003E356D" w:rsidRPr="0081629E" w:rsidRDefault="003E356D" w:rsidP="00E7048A">
            <w:pPr>
              <w:pStyle w:val="table"/>
              <w:rPr>
                <w:rFonts w:cs="Times New Roman"/>
              </w:rPr>
            </w:pPr>
            <w:r w:rsidRPr="0081629E">
              <w:rPr>
                <w:rFonts w:cs="Times New Roman"/>
              </w:rPr>
              <w:t>-48.5</w:t>
            </w:r>
          </w:p>
        </w:tc>
        <w:tc>
          <w:tcPr>
            <w:tcW w:w="1530" w:type="dxa"/>
            <w:tcBorders>
              <w:top w:val="nil"/>
              <w:left w:val="nil"/>
              <w:bottom w:val="nil"/>
              <w:right w:val="nil"/>
            </w:tcBorders>
            <w:shd w:val="clear" w:color="auto" w:fill="auto"/>
            <w:vAlign w:val="center"/>
          </w:tcPr>
          <w:p w14:paraId="68A85A43" w14:textId="77777777" w:rsidR="003E356D" w:rsidRPr="0081629E" w:rsidRDefault="003E356D" w:rsidP="00E7048A">
            <w:pPr>
              <w:pStyle w:val="table"/>
              <w:rPr>
                <w:rFonts w:cs="Times New Roman"/>
              </w:rPr>
            </w:pPr>
            <w:r w:rsidRPr="0081629E">
              <w:rPr>
                <w:rFonts w:cs="Times New Roman"/>
              </w:rPr>
              <w:t>34.5</w:t>
            </w:r>
          </w:p>
        </w:tc>
        <w:tc>
          <w:tcPr>
            <w:tcW w:w="1350" w:type="dxa"/>
            <w:tcBorders>
              <w:top w:val="nil"/>
              <w:left w:val="nil"/>
              <w:bottom w:val="nil"/>
            </w:tcBorders>
            <w:shd w:val="clear" w:color="auto" w:fill="auto"/>
            <w:vAlign w:val="center"/>
          </w:tcPr>
          <w:p w14:paraId="1D9BA252" w14:textId="77777777" w:rsidR="003E356D" w:rsidRPr="0081629E" w:rsidRDefault="003E356D" w:rsidP="00E7048A">
            <w:pPr>
              <w:pStyle w:val="table"/>
              <w:rPr>
                <w:rFonts w:cs="Times New Roman"/>
              </w:rPr>
            </w:pPr>
            <w:r w:rsidRPr="0081629E">
              <w:rPr>
                <w:rFonts w:cs="Times New Roman"/>
              </w:rPr>
              <w:t>-0.5</w:t>
            </w:r>
          </w:p>
        </w:tc>
      </w:tr>
      <w:tr w:rsidR="003E356D" w:rsidRPr="0081629E" w14:paraId="0E63BBB5" w14:textId="77777777" w:rsidTr="0081629E">
        <w:tc>
          <w:tcPr>
            <w:tcW w:w="4878" w:type="dxa"/>
            <w:tcBorders>
              <w:top w:val="nil"/>
              <w:bottom w:val="nil"/>
              <w:right w:val="nil"/>
            </w:tcBorders>
            <w:shd w:val="clear" w:color="auto" w:fill="auto"/>
            <w:vAlign w:val="center"/>
          </w:tcPr>
          <w:p w14:paraId="2DBE6F48" w14:textId="29EB8DDA" w:rsidR="003E356D" w:rsidRPr="0081629E" w:rsidRDefault="003E356D" w:rsidP="0081629E">
            <w:pPr>
              <w:pStyle w:val="table"/>
              <w:jc w:val="left"/>
              <w:rPr>
                <w:rFonts w:cs="Times New Roman"/>
              </w:rPr>
            </w:pPr>
            <w:r w:rsidRPr="0081629E">
              <w:rPr>
                <w:rFonts w:cs="Times New Roman"/>
              </w:rPr>
              <w:t xml:space="preserve">Right inferior frontal gyrus ([R IFG], </w:t>
            </w:r>
            <w:r w:rsidR="00B76005">
              <w:rPr>
                <w:rFonts w:cs="Times New Roman"/>
              </w:rPr>
              <w:t>30</w:t>
            </w:r>
            <w:r w:rsidRPr="0081629E">
              <w:rPr>
                <w:rFonts w:cs="Times New Roman"/>
              </w:rPr>
              <w:t>)</w:t>
            </w:r>
          </w:p>
        </w:tc>
        <w:tc>
          <w:tcPr>
            <w:tcW w:w="1620" w:type="dxa"/>
            <w:tcBorders>
              <w:top w:val="nil"/>
              <w:left w:val="nil"/>
              <w:bottom w:val="nil"/>
              <w:right w:val="nil"/>
            </w:tcBorders>
            <w:shd w:val="clear" w:color="auto" w:fill="auto"/>
            <w:vAlign w:val="center"/>
          </w:tcPr>
          <w:p w14:paraId="7DBFDB6B" w14:textId="77777777" w:rsidR="003E356D" w:rsidRPr="0081629E" w:rsidRDefault="003E356D" w:rsidP="00E7048A">
            <w:pPr>
              <w:pStyle w:val="table"/>
              <w:rPr>
                <w:rFonts w:cs="Times New Roman"/>
              </w:rPr>
            </w:pPr>
            <w:r w:rsidRPr="0081629E">
              <w:rPr>
                <w:rFonts w:cs="Times New Roman"/>
              </w:rPr>
              <w:t>53.5</w:t>
            </w:r>
          </w:p>
        </w:tc>
        <w:tc>
          <w:tcPr>
            <w:tcW w:w="1530" w:type="dxa"/>
            <w:tcBorders>
              <w:top w:val="nil"/>
              <w:left w:val="nil"/>
              <w:bottom w:val="nil"/>
              <w:right w:val="nil"/>
            </w:tcBorders>
            <w:shd w:val="clear" w:color="auto" w:fill="auto"/>
            <w:vAlign w:val="center"/>
          </w:tcPr>
          <w:p w14:paraId="445195E7" w14:textId="77777777" w:rsidR="003E356D" w:rsidRPr="0081629E" w:rsidRDefault="003E356D" w:rsidP="00E7048A">
            <w:pPr>
              <w:pStyle w:val="table"/>
              <w:rPr>
                <w:rFonts w:cs="Times New Roman"/>
              </w:rPr>
            </w:pPr>
            <w:r w:rsidRPr="0081629E">
              <w:rPr>
                <w:rFonts w:cs="Times New Roman"/>
              </w:rPr>
              <w:t>22.5</w:t>
            </w:r>
          </w:p>
        </w:tc>
        <w:tc>
          <w:tcPr>
            <w:tcW w:w="1350" w:type="dxa"/>
            <w:tcBorders>
              <w:top w:val="nil"/>
              <w:left w:val="nil"/>
              <w:bottom w:val="nil"/>
            </w:tcBorders>
            <w:shd w:val="clear" w:color="auto" w:fill="auto"/>
            <w:vAlign w:val="center"/>
          </w:tcPr>
          <w:p w14:paraId="08F0867A" w14:textId="77777777" w:rsidR="003E356D" w:rsidRPr="0081629E" w:rsidRDefault="003E356D" w:rsidP="00E7048A">
            <w:pPr>
              <w:pStyle w:val="table"/>
              <w:rPr>
                <w:rFonts w:cs="Times New Roman"/>
              </w:rPr>
            </w:pPr>
            <w:r w:rsidRPr="0081629E">
              <w:rPr>
                <w:rFonts w:cs="Times New Roman"/>
              </w:rPr>
              <w:t>13.5</w:t>
            </w:r>
          </w:p>
        </w:tc>
      </w:tr>
      <w:tr w:rsidR="003E356D" w:rsidRPr="0081629E" w14:paraId="2C726D81" w14:textId="77777777" w:rsidTr="0081629E">
        <w:tc>
          <w:tcPr>
            <w:tcW w:w="4878" w:type="dxa"/>
            <w:tcBorders>
              <w:top w:val="nil"/>
              <w:bottom w:val="nil"/>
              <w:right w:val="nil"/>
            </w:tcBorders>
            <w:shd w:val="clear" w:color="auto" w:fill="auto"/>
            <w:vAlign w:val="center"/>
          </w:tcPr>
          <w:p w14:paraId="2324C9E0" w14:textId="368F10A2" w:rsidR="003E356D" w:rsidRPr="0081629E" w:rsidRDefault="003E356D" w:rsidP="0081629E">
            <w:pPr>
              <w:pStyle w:val="table"/>
              <w:jc w:val="left"/>
              <w:rPr>
                <w:rFonts w:cs="Times New Roman"/>
              </w:rPr>
            </w:pPr>
            <w:r w:rsidRPr="0081629E">
              <w:rPr>
                <w:rFonts w:cs="Times New Roman"/>
              </w:rPr>
              <w:t xml:space="preserve">Middle frontal gyrus ([MiFG], </w:t>
            </w:r>
            <w:r w:rsidR="00B76005">
              <w:rPr>
                <w:rFonts w:cs="Times New Roman"/>
              </w:rPr>
              <w:t>31</w:t>
            </w:r>
            <w:r w:rsidRPr="0081629E">
              <w:rPr>
                <w:rFonts w:cs="Times New Roman"/>
              </w:rPr>
              <w:t>)</w:t>
            </w:r>
          </w:p>
        </w:tc>
        <w:tc>
          <w:tcPr>
            <w:tcW w:w="1620" w:type="dxa"/>
            <w:tcBorders>
              <w:top w:val="nil"/>
              <w:left w:val="nil"/>
              <w:bottom w:val="nil"/>
              <w:right w:val="nil"/>
            </w:tcBorders>
            <w:shd w:val="clear" w:color="auto" w:fill="auto"/>
            <w:vAlign w:val="center"/>
          </w:tcPr>
          <w:p w14:paraId="556155EA" w14:textId="77777777" w:rsidR="003E356D" w:rsidRPr="0081629E" w:rsidRDefault="003E356D" w:rsidP="00E7048A">
            <w:pPr>
              <w:pStyle w:val="table"/>
              <w:rPr>
                <w:rFonts w:cs="Times New Roman"/>
              </w:rPr>
            </w:pPr>
            <w:r w:rsidRPr="0081629E">
              <w:rPr>
                <w:rFonts w:cs="Times New Roman"/>
              </w:rPr>
              <w:t>-41.5</w:t>
            </w:r>
          </w:p>
        </w:tc>
        <w:tc>
          <w:tcPr>
            <w:tcW w:w="1530" w:type="dxa"/>
            <w:tcBorders>
              <w:top w:val="nil"/>
              <w:left w:val="nil"/>
              <w:bottom w:val="nil"/>
              <w:right w:val="nil"/>
            </w:tcBorders>
            <w:shd w:val="clear" w:color="auto" w:fill="auto"/>
            <w:vAlign w:val="center"/>
          </w:tcPr>
          <w:p w14:paraId="1229CD0C" w14:textId="77777777" w:rsidR="003E356D" w:rsidRPr="0081629E" w:rsidRDefault="003E356D" w:rsidP="00E7048A">
            <w:pPr>
              <w:pStyle w:val="table"/>
              <w:rPr>
                <w:rFonts w:cs="Times New Roman"/>
              </w:rPr>
            </w:pPr>
            <w:r w:rsidRPr="0081629E">
              <w:rPr>
                <w:rFonts w:cs="Times New Roman"/>
              </w:rPr>
              <w:t>19.5</w:t>
            </w:r>
          </w:p>
        </w:tc>
        <w:tc>
          <w:tcPr>
            <w:tcW w:w="1350" w:type="dxa"/>
            <w:tcBorders>
              <w:top w:val="nil"/>
              <w:left w:val="nil"/>
              <w:bottom w:val="nil"/>
            </w:tcBorders>
            <w:shd w:val="clear" w:color="auto" w:fill="auto"/>
            <w:vAlign w:val="center"/>
          </w:tcPr>
          <w:p w14:paraId="68AC136F" w14:textId="77777777" w:rsidR="003E356D" w:rsidRPr="0081629E" w:rsidRDefault="003E356D" w:rsidP="00E7048A">
            <w:pPr>
              <w:pStyle w:val="table"/>
              <w:rPr>
                <w:rFonts w:cs="Times New Roman"/>
              </w:rPr>
            </w:pPr>
            <w:r w:rsidRPr="0081629E">
              <w:rPr>
                <w:rFonts w:cs="Times New Roman"/>
              </w:rPr>
              <w:t>26.5</w:t>
            </w:r>
          </w:p>
        </w:tc>
      </w:tr>
      <w:tr w:rsidR="003E356D" w:rsidRPr="0081629E" w14:paraId="1BC66BB8" w14:textId="77777777" w:rsidTr="0081629E">
        <w:tc>
          <w:tcPr>
            <w:tcW w:w="4878" w:type="dxa"/>
            <w:tcBorders>
              <w:top w:val="nil"/>
              <w:bottom w:val="nil"/>
              <w:right w:val="nil"/>
            </w:tcBorders>
            <w:shd w:val="clear" w:color="auto" w:fill="auto"/>
            <w:vAlign w:val="center"/>
          </w:tcPr>
          <w:p w14:paraId="3CDFC215" w14:textId="651C61FC" w:rsidR="003E356D" w:rsidRPr="0081629E" w:rsidRDefault="003E356D" w:rsidP="0081629E">
            <w:pPr>
              <w:pStyle w:val="table"/>
              <w:jc w:val="left"/>
              <w:rPr>
                <w:rFonts w:cs="Times New Roman"/>
              </w:rPr>
            </w:pPr>
            <w:r w:rsidRPr="0081629E">
              <w:rPr>
                <w:rFonts w:cs="Times New Roman"/>
              </w:rPr>
              <w:t xml:space="preserve">Inferior parietal lobule ([IPL], </w:t>
            </w:r>
            <w:r w:rsidR="00B76005">
              <w:rPr>
                <w:rFonts w:cs="Times New Roman"/>
              </w:rPr>
              <w:t>32</w:t>
            </w:r>
            <w:r w:rsidRPr="0081629E">
              <w:rPr>
                <w:rFonts w:cs="Times New Roman"/>
              </w:rPr>
              <w:t>)</w:t>
            </w:r>
          </w:p>
        </w:tc>
        <w:tc>
          <w:tcPr>
            <w:tcW w:w="1620" w:type="dxa"/>
            <w:tcBorders>
              <w:top w:val="nil"/>
              <w:left w:val="nil"/>
              <w:bottom w:val="nil"/>
              <w:right w:val="nil"/>
            </w:tcBorders>
            <w:shd w:val="clear" w:color="auto" w:fill="auto"/>
            <w:vAlign w:val="center"/>
          </w:tcPr>
          <w:p w14:paraId="6F257FC2" w14:textId="77777777" w:rsidR="003E356D" w:rsidRPr="0081629E" w:rsidRDefault="003E356D" w:rsidP="00E7048A">
            <w:pPr>
              <w:pStyle w:val="table"/>
              <w:rPr>
                <w:rFonts w:cs="Times New Roman"/>
              </w:rPr>
            </w:pPr>
            <w:r w:rsidRPr="0081629E">
              <w:rPr>
                <w:rFonts w:cs="Times New Roman"/>
              </w:rPr>
              <w:t>-53.5</w:t>
            </w:r>
          </w:p>
        </w:tc>
        <w:tc>
          <w:tcPr>
            <w:tcW w:w="1530" w:type="dxa"/>
            <w:tcBorders>
              <w:top w:val="nil"/>
              <w:left w:val="nil"/>
              <w:bottom w:val="nil"/>
              <w:right w:val="nil"/>
            </w:tcBorders>
            <w:shd w:val="clear" w:color="auto" w:fill="auto"/>
            <w:vAlign w:val="center"/>
          </w:tcPr>
          <w:p w14:paraId="0CA33768" w14:textId="77777777" w:rsidR="003E356D" w:rsidRPr="0081629E" w:rsidRDefault="003E356D" w:rsidP="00E7048A">
            <w:pPr>
              <w:pStyle w:val="table"/>
              <w:rPr>
                <w:rFonts w:cs="Times New Roman"/>
              </w:rPr>
            </w:pPr>
            <w:r w:rsidRPr="0081629E">
              <w:rPr>
                <w:rFonts w:cs="Times New Roman"/>
              </w:rPr>
              <w:t>-49.5</w:t>
            </w:r>
          </w:p>
        </w:tc>
        <w:tc>
          <w:tcPr>
            <w:tcW w:w="1350" w:type="dxa"/>
            <w:tcBorders>
              <w:top w:val="nil"/>
              <w:left w:val="nil"/>
              <w:bottom w:val="nil"/>
            </w:tcBorders>
            <w:shd w:val="clear" w:color="auto" w:fill="auto"/>
            <w:vAlign w:val="center"/>
          </w:tcPr>
          <w:p w14:paraId="6C91430E" w14:textId="77777777" w:rsidR="003E356D" w:rsidRPr="0081629E" w:rsidRDefault="003E356D" w:rsidP="00E7048A">
            <w:pPr>
              <w:pStyle w:val="table"/>
              <w:rPr>
                <w:rFonts w:cs="Times New Roman"/>
              </w:rPr>
            </w:pPr>
            <w:r w:rsidRPr="0081629E">
              <w:rPr>
                <w:rFonts w:cs="Times New Roman"/>
              </w:rPr>
              <w:t>43.5</w:t>
            </w:r>
          </w:p>
        </w:tc>
      </w:tr>
      <w:tr w:rsidR="003E356D" w:rsidRPr="0081629E" w14:paraId="37B7FEF6" w14:textId="77777777" w:rsidTr="0081629E">
        <w:tc>
          <w:tcPr>
            <w:tcW w:w="4878" w:type="dxa"/>
            <w:tcBorders>
              <w:top w:val="nil"/>
              <w:bottom w:val="nil"/>
              <w:right w:val="nil"/>
            </w:tcBorders>
            <w:shd w:val="clear" w:color="auto" w:fill="auto"/>
          </w:tcPr>
          <w:p w14:paraId="261F4098" w14:textId="7B83A7D8" w:rsidR="003E356D" w:rsidRPr="0081629E" w:rsidRDefault="003E356D" w:rsidP="0081629E">
            <w:pPr>
              <w:pStyle w:val="table"/>
              <w:jc w:val="left"/>
              <w:rPr>
                <w:rFonts w:cs="Times New Roman"/>
              </w:rPr>
            </w:pPr>
            <w:r w:rsidRPr="0081629E">
              <w:rPr>
                <w:rFonts w:cs="Times New Roman"/>
              </w:rPr>
              <w:t xml:space="preserve">Left inferior parietal lobue ([R IPL], </w:t>
            </w:r>
            <w:r w:rsidR="00B76005">
              <w:rPr>
                <w:rFonts w:cs="Times New Roman"/>
              </w:rPr>
              <w:t>33</w:t>
            </w:r>
            <w:r w:rsidRPr="0081629E">
              <w:rPr>
                <w:rFonts w:cs="Times New Roman"/>
              </w:rPr>
              <w:t>)</w:t>
            </w:r>
          </w:p>
        </w:tc>
        <w:tc>
          <w:tcPr>
            <w:tcW w:w="1620" w:type="dxa"/>
            <w:tcBorders>
              <w:top w:val="nil"/>
              <w:left w:val="nil"/>
              <w:bottom w:val="nil"/>
              <w:right w:val="nil"/>
            </w:tcBorders>
            <w:shd w:val="clear" w:color="auto" w:fill="auto"/>
          </w:tcPr>
          <w:p w14:paraId="17FDDD64" w14:textId="77777777" w:rsidR="003E356D" w:rsidRPr="0081629E" w:rsidRDefault="003E356D" w:rsidP="00E7048A">
            <w:pPr>
              <w:pStyle w:val="table"/>
              <w:rPr>
                <w:rFonts w:cs="Times New Roman"/>
              </w:rPr>
            </w:pPr>
            <w:r w:rsidRPr="0081629E">
              <w:rPr>
                <w:rFonts w:cs="Times New Roman"/>
              </w:rPr>
              <w:t>44.5</w:t>
            </w:r>
          </w:p>
        </w:tc>
        <w:tc>
          <w:tcPr>
            <w:tcW w:w="1530" w:type="dxa"/>
            <w:tcBorders>
              <w:top w:val="nil"/>
              <w:left w:val="nil"/>
              <w:bottom w:val="nil"/>
              <w:right w:val="nil"/>
            </w:tcBorders>
            <w:shd w:val="clear" w:color="auto" w:fill="auto"/>
          </w:tcPr>
          <w:p w14:paraId="0122F476" w14:textId="77777777" w:rsidR="003E356D" w:rsidRPr="0081629E" w:rsidRDefault="003E356D" w:rsidP="00E7048A">
            <w:pPr>
              <w:pStyle w:val="table"/>
              <w:rPr>
                <w:rFonts w:cs="Times New Roman"/>
              </w:rPr>
            </w:pPr>
            <w:r w:rsidRPr="0081629E">
              <w:rPr>
                <w:rFonts w:cs="Times New Roman"/>
              </w:rPr>
              <w:t>-34.5</w:t>
            </w:r>
          </w:p>
        </w:tc>
        <w:tc>
          <w:tcPr>
            <w:tcW w:w="1350" w:type="dxa"/>
            <w:tcBorders>
              <w:top w:val="nil"/>
              <w:left w:val="nil"/>
              <w:bottom w:val="nil"/>
            </w:tcBorders>
            <w:shd w:val="clear" w:color="auto" w:fill="auto"/>
          </w:tcPr>
          <w:p w14:paraId="35091002" w14:textId="77777777" w:rsidR="003E356D" w:rsidRPr="0081629E" w:rsidRDefault="003E356D" w:rsidP="00E7048A">
            <w:pPr>
              <w:pStyle w:val="table"/>
              <w:rPr>
                <w:rFonts w:cs="Times New Roman"/>
              </w:rPr>
            </w:pPr>
            <w:r w:rsidRPr="0081629E">
              <w:rPr>
                <w:rFonts w:cs="Times New Roman"/>
              </w:rPr>
              <w:t>46.5</w:t>
            </w:r>
          </w:p>
        </w:tc>
      </w:tr>
      <w:tr w:rsidR="003E356D" w:rsidRPr="0081629E" w14:paraId="57D6D5AC" w14:textId="77777777" w:rsidTr="0081629E">
        <w:tc>
          <w:tcPr>
            <w:tcW w:w="4878" w:type="dxa"/>
            <w:tcBorders>
              <w:top w:val="nil"/>
              <w:bottom w:val="nil"/>
              <w:right w:val="nil"/>
            </w:tcBorders>
            <w:shd w:val="clear" w:color="auto" w:fill="auto"/>
            <w:vAlign w:val="center"/>
          </w:tcPr>
          <w:p w14:paraId="28BCE75E" w14:textId="247C52EF" w:rsidR="003E356D" w:rsidRPr="0081629E" w:rsidRDefault="003E356D" w:rsidP="0081629E">
            <w:pPr>
              <w:pStyle w:val="table"/>
              <w:jc w:val="left"/>
              <w:rPr>
                <w:rFonts w:cs="Times New Roman"/>
              </w:rPr>
            </w:pPr>
            <w:r w:rsidRPr="0081629E">
              <w:rPr>
                <w:rFonts w:cs="Times New Roman"/>
              </w:rPr>
              <w:t xml:space="preserve">Supplementary motor area ([SMA], </w:t>
            </w:r>
            <w:r w:rsidR="00B76005">
              <w:rPr>
                <w:rFonts w:cs="Times New Roman"/>
              </w:rPr>
              <w:t>34</w:t>
            </w:r>
            <w:r w:rsidRPr="0081629E">
              <w:rPr>
                <w:rFonts w:cs="Times New Roman"/>
              </w:rPr>
              <w:t>)</w:t>
            </w:r>
          </w:p>
        </w:tc>
        <w:tc>
          <w:tcPr>
            <w:tcW w:w="1620" w:type="dxa"/>
            <w:tcBorders>
              <w:top w:val="nil"/>
              <w:left w:val="nil"/>
              <w:bottom w:val="nil"/>
              <w:right w:val="nil"/>
            </w:tcBorders>
            <w:shd w:val="clear" w:color="auto" w:fill="auto"/>
            <w:vAlign w:val="center"/>
          </w:tcPr>
          <w:p w14:paraId="7204C196" w14:textId="77777777" w:rsidR="003E356D" w:rsidRPr="0081629E" w:rsidRDefault="003E356D" w:rsidP="00E7048A">
            <w:pPr>
              <w:pStyle w:val="table"/>
              <w:rPr>
                <w:rFonts w:cs="Times New Roman"/>
              </w:rPr>
            </w:pPr>
            <w:r w:rsidRPr="0081629E">
              <w:rPr>
                <w:rFonts w:cs="Times New Roman"/>
              </w:rPr>
              <w:t>-6.5</w:t>
            </w:r>
          </w:p>
        </w:tc>
        <w:tc>
          <w:tcPr>
            <w:tcW w:w="1530" w:type="dxa"/>
            <w:tcBorders>
              <w:top w:val="nil"/>
              <w:left w:val="nil"/>
              <w:bottom w:val="nil"/>
              <w:right w:val="nil"/>
            </w:tcBorders>
            <w:shd w:val="clear" w:color="auto" w:fill="auto"/>
            <w:vAlign w:val="center"/>
          </w:tcPr>
          <w:p w14:paraId="3B83796D" w14:textId="77777777" w:rsidR="003E356D" w:rsidRPr="0081629E" w:rsidRDefault="003E356D" w:rsidP="00E7048A">
            <w:pPr>
              <w:pStyle w:val="table"/>
              <w:rPr>
                <w:rFonts w:cs="Times New Roman"/>
              </w:rPr>
            </w:pPr>
            <w:r w:rsidRPr="0081629E">
              <w:rPr>
                <w:rFonts w:cs="Times New Roman"/>
              </w:rPr>
              <w:t>13.5</w:t>
            </w:r>
          </w:p>
        </w:tc>
        <w:tc>
          <w:tcPr>
            <w:tcW w:w="1350" w:type="dxa"/>
            <w:tcBorders>
              <w:top w:val="nil"/>
              <w:left w:val="nil"/>
              <w:bottom w:val="nil"/>
            </w:tcBorders>
            <w:shd w:val="clear" w:color="auto" w:fill="auto"/>
            <w:vAlign w:val="center"/>
          </w:tcPr>
          <w:p w14:paraId="3DD60DA9" w14:textId="77777777" w:rsidR="003E356D" w:rsidRPr="0081629E" w:rsidRDefault="003E356D" w:rsidP="00E7048A">
            <w:pPr>
              <w:pStyle w:val="table"/>
              <w:rPr>
                <w:rFonts w:cs="Times New Roman"/>
              </w:rPr>
            </w:pPr>
            <w:r w:rsidRPr="0081629E">
              <w:rPr>
                <w:rFonts w:cs="Times New Roman"/>
              </w:rPr>
              <w:t>64.5</w:t>
            </w:r>
          </w:p>
        </w:tc>
      </w:tr>
      <w:tr w:rsidR="003E356D" w:rsidRPr="0081629E" w14:paraId="38E3683B" w14:textId="77777777" w:rsidTr="0081629E">
        <w:tc>
          <w:tcPr>
            <w:tcW w:w="4878" w:type="dxa"/>
            <w:tcBorders>
              <w:top w:val="nil"/>
              <w:bottom w:val="nil"/>
              <w:right w:val="nil"/>
            </w:tcBorders>
            <w:shd w:val="clear" w:color="auto" w:fill="auto"/>
            <w:vAlign w:val="center"/>
          </w:tcPr>
          <w:p w14:paraId="67D01A0C" w14:textId="31EA5D69" w:rsidR="003E356D" w:rsidRPr="0081629E" w:rsidRDefault="003E356D" w:rsidP="0081629E">
            <w:pPr>
              <w:pStyle w:val="table"/>
              <w:jc w:val="left"/>
              <w:rPr>
                <w:rFonts w:cs="Times New Roman"/>
              </w:rPr>
            </w:pPr>
            <w:r w:rsidRPr="0081629E">
              <w:rPr>
                <w:rFonts w:cs="Times New Roman"/>
              </w:rPr>
              <w:t xml:space="preserve">Superior frontal gyrus ([SFG], </w:t>
            </w:r>
            <w:r w:rsidR="00B76005">
              <w:rPr>
                <w:rFonts w:cs="Times New Roman"/>
              </w:rPr>
              <w:t>35</w:t>
            </w:r>
            <w:r w:rsidRPr="0081629E">
              <w:rPr>
                <w:rFonts w:cs="Times New Roman"/>
              </w:rPr>
              <w:t>)</w:t>
            </w:r>
          </w:p>
        </w:tc>
        <w:tc>
          <w:tcPr>
            <w:tcW w:w="1620" w:type="dxa"/>
            <w:tcBorders>
              <w:top w:val="nil"/>
              <w:left w:val="nil"/>
              <w:bottom w:val="nil"/>
              <w:right w:val="nil"/>
            </w:tcBorders>
            <w:shd w:val="clear" w:color="auto" w:fill="auto"/>
            <w:vAlign w:val="center"/>
          </w:tcPr>
          <w:p w14:paraId="35843426" w14:textId="77777777" w:rsidR="003E356D" w:rsidRPr="0081629E" w:rsidRDefault="003E356D" w:rsidP="00E7048A">
            <w:pPr>
              <w:pStyle w:val="table"/>
              <w:rPr>
                <w:rFonts w:cs="Times New Roman"/>
              </w:rPr>
            </w:pPr>
            <w:r w:rsidRPr="0081629E">
              <w:rPr>
                <w:rFonts w:cs="Times New Roman"/>
              </w:rPr>
              <w:t>-24.5</w:t>
            </w:r>
          </w:p>
        </w:tc>
        <w:tc>
          <w:tcPr>
            <w:tcW w:w="1530" w:type="dxa"/>
            <w:tcBorders>
              <w:top w:val="nil"/>
              <w:left w:val="nil"/>
              <w:bottom w:val="nil"/>
              <w:right w:val="nil"/>
            </w:tcBorders>
            <w:shd w:val="clear" w:color="auto" w:fill="auto"/>
            <w:vAlign w:val="center"/>
          </w:tcPr>
          <w:p w14:paraId="2BD15DF6" w14:textId="77777777" w:rsidR="003E356D" w:rsidRPr="0081629E" w:rsidRDefault="003E356D" w:rsidP="00E7048A">
            <w:pPr>
              <w:pStyle w:val="table"/>
              <w:rPr>
                <w:rFonts w:cs="Times New Roman"/>
              </w:rPr>
            </w:pPr>
            <w:r w:rsidRPr="0081629E">
              <w:rPr>
                <w:rFonts w:cs="Times New Roman"/>
              </w:rPr>
              <w:t>26.5</w:t>
            </w:r>
          </w:p>
        </w:tc>
        <w:tc>
          <w:tcPr>
            <w:tcW w:w="1350" w:type="dxa"/>
            <w:tcBorders>
              <w:top w:val="nil"/>
              <w:left w:val="nil"/>
              <w:bottom w:val="nil"/>
            </w:tcBorders>
            <w:shd w:val="clear" w:color="auto" w:fill="auto"/>
            <w:vAlign w:val="center"/>
          </w:tcPr>
          <w:p w14:paraId="1A0E7D23" w14:textId="77777777" w:rsidR="003E356D" w:rsidRPr="0081629E" w:rsidRDefault="003E356D" w:rsidP="00E7048A">
            <w:pPr>
              <w:pStyle w:val="table"/>
              <w:rPr>
                <w:rFonts w:cs="Times New Roman"/>
              </w:rPr>
            </w:pPr>
            <w:r w:rsidRPr="0081629E">
              <w:rPr>
                <w:rFonts w:cs="Times New Roman"/>
              </w:rPr>
              <w:t>49.5</w:t>
            </w:r>
          </w:p>
        </w:tc>
      </w:tr>
      <w:tr w:rsidR="003E356D" w:rsidRPr="0081629E" w14:paraId="209ED717" w14:textId="77777777" w:rsidTr="0081629E">
        <w:tc>
          <w:tcPr>
            <w:tcW w:w="4878" w:type="dxa"/>
            <w:tcBorders>
              <w:top w:val="nil"/>
              <w:bottom w:val="nil"/>
              <w:right w:val="nil"/>
            </w:tcBorders>
            <w:shd w:val="clear" w:color="auto" w:fill="auto"/>
            <w:vAlign w:val="center"/>
          </w:tcPr>
          <w:p w14:paraId="072261F9" w14:textId="46F08EC8" w:rsidR="003E356D" w:rsidRPr="0081629E" w:rsidRDefault="003E356D" w:rsidP="0081629E">
            <w:pPr>
              <w:pStyle w:val="table"/>
              <w:jc w:val="left"/>
              <w:rPr>
                <w:rFonts w:cs="Times New Roman"/>
              </w:rPr>
            </w:pPr>
            <w:r w:rsidRPr="0081629E">
              <w:rPr>
                <w:rFonts w:cs="Times New Roman"/>
              </w:rPr>
              <w:t xml:space="preserve">Middle frontal gyrus ([MiFG], </w:t>
            </w:r>
            <w:r w:rsidR="00B76005">
              <w:rPr>
                <w:rFonts w:cs="Times New Roman"/>
              </w:rPr>
              <w:t>36</w:t>
            </w:r>
            <w:r w:rsidRPr="0081629E">
              <w:rPr>
                <w:rFonts w:cs="Times New Roman"/>
              </w:rPr>
              <w:t>)</w:t>
            </w:r>
          </w:p>
        </w:tc>
        <w:tc>
          <w:tcPr>
            <w:tcW w:w="1620" w:type="dxa"/>
            <w:tcBorders>
              <w:top w:val="nil"/>
              <w:left w:val="nil"/>
              <w:bottom w:val="nil"/>
              <w:right w:val="nil"/>
            </w:tcBorders>
            <w:shd w:val="clear" w:color="auto" w:fill="auto"/>
            <w:vAlign w:val="center"/>
          </w:tcPr>
          <w:p w14:paraId="4D154C52" w14:textId="77777777" w:rsidR="003E356D" w:rsidRPr="0081629E" w:rsidRDefault="003E356D" w:rsidP="00E7048A">
            <w:pPr>
              <w:pStyle w:val="table"/>
              <w:rPr>
                <w:rFonts w:cs="Times New Roman"/>
              </w:rPr>
            </w:pPr>
            <w:r w:rsidRPr="0081629E">
              <w:rPr>
                <w:rFonts w:cs="Times New Roman"/>
              </w:rPr>
              <w:t>30.5</w:t>
            </w:r>
          </w:p>
        </w:tc>
        <w:tc>
          <w:tcPr>
            <w:tcW w:w="1530" w:type="dxa"/>
            <w:tcBorders>
              <w:top w:val="nil"/>
              <w:left w:val="nil"/>
              <w:bottom w:val="nil"/>
              <w:right w:val="nil"/>
            </w:tcBorders>
            <w:shd w:val="clear" w:color="auto" w:fill="auto"/>
            <w:vAlign w:val="center"/>
          </w:tcPr>
          <w:p w14:paraId="451DCED7" w14:textId="77777777" w:rsidR="003E356D" w:rsidRPr="0081629E" w:rsidRDefault="003E356D" w:rsidP="00E7048A">
            <w:pPr>
              <w:pStyle w:val="table"/>
              <w:rPr>
                <w:rFonts w:cs="Times New Roman"/>
              </w:rPr>
            </w:pPr>
            <w:r w:rsidRPr="0081629E">
              <w:rPr>
                <w:rFonts w:cs="Times New Roman"/>
              </w:rPr>
              <w:t>41.5</w:t>
            </w:r>
          </w:p>
        </w:tc>
        <w:tc>
          <w:tcPr>
            <w:tcW w:w="1350" w:type="dxa"/>
            <w:tcBorders>
              <w:top w:val="nil"/>
              <w:left w:val="nil"/>
              <w:bottom w:val="nil"/>
            </w:tcBorders>
            <w:shd w:val="clear" w:color="auto" w:fill="auto"/>
            <w:vAlign w:val="center"/>
          </w:tcPr>
          <w:p w14:paraId="2394DAE9" w14:textId="77777777" w:rsidR="003E356D" w:rsidRPr="0081629E" w:rsidRDefault="003E356D" w:rsidP="00E7048A">
            <w:pPr>
              <w:pStyle w:val="table"/>
              <w:rPr>
                <w:rFonts w:cs="Times New Roman"/>
              </w:rPr>
            </w:pPr>
            <w:r w:rsidRPr="0081629E">
              <w:rPr>
                <w:rFonts w:cs="Times New Roman"/>
              </w:rPr>
              <w:t>28.5</w:t>
            </w:r>
          </w:p>
        </w:tc>
      </w:tr>
      <w:tr w:rsidR="003E356D" w:rsidRPr="0081629E" w14:paraId="5271B401" w14:textId="77777777" w:rsidTr="0081629E">
        <w:tc>
          <w:tcPr>
            <w:tcW w:w="4878" w:type="dxa"/>
            <w:tcBorders>
              <w:top w:val="nil"/>
              <w:bottom w:val="nil"/>
              <w:right w:val="nil"/>
            </w:tcBorders>
            <w:shd w:val="clear" w:color="auto" w:fill="auto"/>
            <w:vAlign w:val="center"/>
          </w:tcPr>
          <w:p w14:paraId="08AE5AE9" w14:textId="3F6D5726" w:rsidR="003E356D" w:rsidRPr="0081629E" w:rsidRDefault="003E356D" w:rsidP="0081629E">
            <w:pPr>
              <w:pStyle w:val="table"/>
              <w:jc w:val="left"/>
              <w:rPr>
                <w:rFonts w:cs="Times New Roman"/>
              </w:rPr>
            </w:pPr>
            <w:r w:rsidRPr="0081629E">
              <w:rPr>
                <w:rFonts w:cs="Times New Roman"/>
              </w:rPr>
              <w:t xml:space="preserve">Hippocampus ([HiPP], </w:t>
            </w:r>
            <w:r w:rsidR="00B76005">
              <w:rPr>
                <w:rFonts w:cs="Times New Roman"/>
              </w:rPr>
              <w:t>37</w:t>
            </w:r>
            <w:r w:rsidRPr="0081629E">
              <w:rPr>
                <w:rFonts w:cs="Times New Roman"/>
              </w:rPr>
              <w:t>)</w:t>
            </w:r>
          </w:p>
        </w:tc>
        <w:tc>
          <w:tcPr>
            <w:tcW w:w="1620" w:type="dxa"/>
            <w:tcBorders>
              <w:top w:val="nil"/>
              <w:left w:val="nil"/>
              <w:bottom w:val="nil"/>
              <w:right w:val="nil"/>
            </w:tcBorders>
            <w:shd w:val="clear" w:color="auto" w:fill="auto"/>
            <w:vAlign w:val="center"/>
          </w:tcPr>
          <w:p w14:paraId="23E2500C" w14:textId="77777777" w:rsidR="003E356D" w:rsidRPr="0081629E" w:rsidRDefault="003E356D" w:rsidP="00E7048A">
            <w:pPr>
              <w:pStyle w:val="table"/>
              <w:rPr>
                <w:rFonts w:cs="Times New Roman"/>
              </w:rPr>
            </w:pPr>
            <w:r w:rsidRPr="0081629E">
              <w:rPr>
                <w:rFonts w:cs="Times New Roman"/>
              </w:rPr>
              <w:t>23.5</w:t>
            </w:r>
          </w:p>
        </w:tc>
        <w:tc>
          <w:tcPr>
            <w:tcW w:w="1530" w:type="dxa"/>
            <w:tcBorders>
              <w:top w:val="nil"/>
              <w:left w:val="nil"/>
              <w:bottom w:val="nil"/>
              <w:right w:val="nil"/>
            </w:tcBorders>
            <w:shd w:val="clear" w:color="auto" w:fill="auto"/>
            <w:vAlign w:val="center"/>
          </w:tcPr>
          <w:p w14:paraId="3C25A710" w14:textId="77777777" w:rsidR="003E356D" w:rsidRPr="0081629E" w:rsidRDefault="003E356D" w:rsidP="00E7048A">
            <w:pPr>
              <w:pStyle w:val="table"/>
              <w:rPr>
                <w:rFonts w:cs="Times New Roman"/>
              </w:rPr>
            </w:pPr>
            <w:r w:rsidRPr="0081629E">
              <w:rPr>
                <w:rFonts w:cs="Times New Roman"/>
              </w:rPr>
              <w:t>-9.5</w:t>
            </w:r>
          </w:p>
        </w:tc>
        <w:tc>
          <w:tcPr>
            <w:tcW w:w="1350" w:type="dxa"/>
            <w:tcBorders>
              <w:top w:val="nil"/>
              <w:left w:val="nil"/>
              <w:bottom w:val="nil"/>
            </w:tcBorders>
            <w:shd w:val="clear" w:color="auto" w:fill="auto"/>
            <w:vAlign w:val="center"/>
          </w:tcPr>
          <w:p w14:paraId="0B86EE54" w14:textId="77777777" w:rsidR="003E356D" w:rsidRPr="0081629E" w:rsidRDefault="003E356D" w:rsidP="00E7048A">
            <w:pPr>
              <w:pStyle w:val="table"/>
              <w:rPr>
                <w:rFonts w:cs="Times New Roman"/>
              </w:rPr>
            </w:pPr>
            <w:r w:rsidRPr="0081629E">
              <w:rPr>
                <w:rFonts w:cs="Times New Roman"/>
              </w:rPr>
              <w:t>-16.5</w:t>
            </w:r>
          </w:p>
        </w:tc>
      </w:tr>
      <w:tr w:rsidR="003E356D" w:rsidRPr="0081629E" w14:paraId="64A9D403" w14:textId="77777777" w:rsidTr="0081629E">
        <w:tc>
          <w:tcPr>
            <w:tcW w:w="4878" w:type="dxa"/>
            <w:tcBorders>
              <w:top w:val="nil"/>
              <w:bottom w:val="nil"/>
              <w:right w:val="nil"/>
            </w:tcBorders>
            <w:shd w:val="clear" w:color="auto" w:fill="auto"/>
            <w:vAlign w:val="center"/>
          </w:tcPr>
          <w:p w14:paraId="6F1359A3" w14:textId="09403F97" w:rsidR="003E356D" w:rsidRPr="0081629E" w:rsidRDefault="003E356D" w:rsidP="0081629E">
            <w:pPr>
              <w:pStyle w:val="table"/>
              <w:jc w:val="left"/>
              <w:rPr>
                <w:rFonts w:cs="Times New Roman"/>
              </w:rPr>
            </w:pPr>
            <w:r w:rsidRPr="0081629E">
              <w:rPr>
                <w:rFonts w:cs="Times New Roman"/>
              </w:rPr>
              <w:t xml:space="preserve">Left inferior parietal lobue ([L IPL], </w:t>
            </w:r>
            <w:r w:rsidR="00B76005">
              <w:rPr>
                <w:rFonts w:cs="Times New Roman"/>
              </w:rPr>
              <w:t>38</w:t>
            </w:r>
            <w:r w:rsidRPr="0081629E">
              <w:rPr>
                <w:rFonts w:cs="Times New Roman"/>
              </w:rPr>
              <w:t>)</w:t>
            </w:r>
          </w:p>
        </w:tc>
        <w:tc>
          <w:tcPr>
            <w:tcW w:w="1620" w:type="dxa"/>
            <w:tcBorders>
              <w:top w:val="nil"/>
              <w:left w:val="nil"/>
              <w:bottom w:val="nil"/>
              <w:right w:val="nil"/>
            </w:tcBorders>
            <w:shd w:val="clear" w:color="auto" w:fill="auto"/>
            <w:vAlign w:val="center"/>
          </w:tcPr>
          <w:p w14:paraId="5462A2CC" w14:textId="7B203D21" w:rsidR="003E356D" w:rsidRPr="0081629E" w:rsidRDefault="00F549EF" w:rsidP="00E7048A">
            <w:pPr>
              <w:pStyle w:val="table"/>
              <w:rPr>
                <w:rFonts w:cs="Times New Roman"/>
              </w:rPr>
            </w:pPr>
            <w:r>
              <w:rPr>
                <w:rFonts w:cs="Times New Roman"/>
              </w:rPr>
              <w:t>47.5</w:t>
            </w:r>
          </w:p>
        </w:tc>
        <w:tc>
          <w:tcPr>
            <w:tcW w:w="1530" w:type="dxa"/>
            <w:tcBorders>
              <w:top w:val="nil"/>
              <w:left w:val="nil"/>
              <w:bottom w:val="nil"/>
              <w:right w:val="nil"/>
            </w:tcBorders>
            <w:shd w:val="clear" w:color="auto" w:fill="auto"/>
            <w:vAlign w:val="center"/>
          </w:tcPr>
          <w:p w14:paraId="670C4B31" w14:textId="1F811DAA" w:rsidR="003E356D" w:rsidRPr="0081629E" w:rsidRDefault="00F549EF" w:rsidP="00E7048A">
            <w:pPr>
              <w:pStyle w:val="table"/>
              <w:rPr>
                <w:rFonts w:cs="Times New Roman"/>
              </w:rPr>
            </w:pPr>
            <w:r>
              <w:rPr>
                <w:rFonts w:cs="Times New Roman"/>
              </w:rPr>
              <w:t>5.5</w:t>
            </w:r>
          </w:p>
        </w:tc>
        <w:tc>
          <w:tcPr>
            <w:tcW w:w="1350" w:type="dxa"/>
            <w:tcBorders>
              <w:top w:val="nil"/>
              <w:left w:val="nil"/>
              <w:bottom w:val="nil"/>
            </w:tcBorders>
            <w:shd w:val="clear" w:color="auto" w:fill="auto"/>
            <w:vAlign w:val="center"/>
          </w:tcPr>
          <w:p w14:paraId="5DAD83E5" w14:textId="21E3A39F" w:rsidR="003E356D" w:rsidRPr="0081629E" w:rsidRDefault="00F549EF" w:rsidP="00E7048A">
            <w:pPr>
              <w:pStyle w:val="table"/>
              <w:rPr>
                <w:rFonts w:cs="Times New Roman"/>
              </w:rPr>
            </w:pPr>
            <w:r>
              <w:rPr>
                <w:rFonts w:cs="Times New Roman"/>
              </w:rPr>
              <w:t>22.5</w:t>
            </w:r>
          </w:p>
        </w:tc>
      </w:tr>
      <w:tr w:rsidR="003E356D" w:rsidRPr="0081629E" w14:paraId="02513B6D" w14:textId="77777777" w:rsidTr="0081629E">
        <w:tc>
          <w:tcPr>
            <w:tcW w:w="4878" w:type="dxa"/>
            <w:tcBorders>
              <w:top w:val="nil"/>
              <w:bottom w:val="nil"/>
              <w:right w:val="nil"/>
            </w:tcBorders>
            <w:shd w:val="clear" w:color="auto" w:fill="auto"/>
            <w:vAlign w:val="center"/>
          </w:tcPr>
          <w:p w14:paraId="62375F8A" w14:textId="234E7968" w:rsidR="003E356D" w:rsidRPr="0081629E" w:rsidRDefault="003E356D" w:rsidP="0081629E">
            <w:pPr>
              <w:pStyle w:val="table"/>
              <w:jc w:val="left"/>
              <w:rPr>
                <w:rFonts w:cs="Times New Roman"/>
              </w:rPr>
            </w:pPr>
            <w:r w:rsidRPr="0081629E">
              <w:rPr>
                <w:rFonts w:cs="Times New Roman"/>
              </w:rPr>
              <w:t xml:space="preserve">Middle cingulate cortex ([MCC], </w:t>
            </w:r>
            <w:r w:rsidR="00B76005">
              <w:rPr>
                <w:rFonts w:cs="Times New Roman"/>
              </w:rPr>
              <w:t>39</w:t>
            </w:r>
            <w:r w:rsidRPr="0081629E">
              <w:rPr>
                <w:rFonts w:cs="Times New Roman"/>
              </w:rPr>
              <w:t>)</w:t>
            </w:r>
          </w:p>
        </w:tc>
        <w:tc>
          <w:tcPr>
            <w:tcW w:w="1620" w:type="dxa"/>
            <w:tcBorders>
              <w:top w:val="nil"/>
              <w:left w:val="nil"/>
              <w:bottom w:val="nil"/>
              <w:right w:val="nil"/>
            </w:tcBorders>
            <w:shd w:val="clear" w:color="auto" w:fill="auto"/>
            <w:vAlign w:val="center"/>
          </w:tcPr>
          <w:p w14:paraId="015912EB" w14:textId="77777777" w:rsidR="003E356D" w:rsidRPr="0081629E" w:rsidRDefault="003E356D" w:rsidP="00E7048A">
            <w:pPr>
              <w:pStyle w:val="table"/>
              <w:rPr>
                <w:rFonts w:cs="Times New Roman"/>
              </w:rPr>
            </w:pPr>
            <w:r w:rsidRPr="0081629E">
              <w:rPr>
                <w:rFonts w:cs="Times New Roman"/>
              </w:rPr>
              <w:t>-15.5</w:t>
            </w:r>
          </w:p>
        </w:tc>
        <w:tc>
          <w:tcPr>
            <w:tcW w:w="1530" w:type="dxa"/>
            <w:tcBorders>
              <w:top w:val="nil"/>
              <w:left w:val="nil"/>
              <w:bottom w:val="nil"/>
              <w:right w:val="nil"/>
            </w:tcBorders>
            <w:shd w:val="clear" w:color="auto" w:fill="auto"/>
            <w:vAlign w:val="center"/>
          </w:tcPr>
          <w:p w14:paraId="5137766B" w14:textId="77777777" w:rsidR="003E356D" w:rsidRPr="0081629E" w:rsidRDefault="003E356D" w:rsidP="00E7048A">
            <w:pPr>
              <w:pStyle w:val="table"/>
              <w:rPr>
                <w:rFonts w:cs="Times New Roman"/>
              </w:rPr>
            </w:pPr>
            <w:r w:rsidRPr="0081629E">
              <w:rPr>
                <w:rFonts w:cs="Times New Roman"/>
              </w:rPr>
              <w:t>20.5</w:t>
            </w:r>
          </w:p>
        </w:tc>
        <w:tc>
          <w:tcPr>
            <w:tcW w:w="1350" w:type="dxa"/>
            <w:tcBorders>
              <w:top w:val="nil"/>
              <w:left w:val="nil"/>
              <w:bottom w:val="nil"/>
            </w:tcBorders>
            <w:shd w:val="clear" w:color="auto" w:fill="auto"/>
            <w:vAlign w:val="center"/>
          </w:tcPr>
          <w:p w14:paraId="57C6D7CA" w14:textId="77777777" w:rsidR="003E356D" w:rsidRPr="0081629E" w:rsidRDefault="003E356D" w:rsidP="00E7048A">
            <w:pPr>
              <w:pStyle w:val="table"/>
              <w:rPr>
                <w:rFonts w:cs="Times New Roman"/>
              </w:rPr>
            </w:pPr>
            <w:r w:rsidRPr="0081629E">
              <w:rPr>
                <w:rFonts w:cs="Times New Roman"/>
              </w:rPr>
              <w:t>37.5</w:t>
            </w:r>
          </w:p>
        </w:tc>
      </w:tr>
      <w:tr w:rsidR="003E356D" w:rsidRPr="0081629E" w14:paraId="71466DF4" w14:textId="77777777" w:rsidTr="0081629E">
        <w:tc>
          <w:tcPr>
            <w:tcW w:w="4878" w:type="dxa"/>
            <w:tcBorders>
              <w:top w:val="nil"/>
              <w:bottom w:val="nil"/>
              <w:right w:val="nil"/>
            </w:tcBorders>
            <w:shd w:val="clear" w:color="auto" w:fill="auto"/>
            <w:vAlign w:val="center"/>
          </w:tcPr>
          <w:p w14:paraId="01616C50" w14:textId="1B78AC46" w:rsidR="003E356D" w:rsidRPr="0081629E" w:rsidRDefault="003E356D" w:rsidP="0081629E">
            <w:pPr>
              <w:pStyle w:val="table"/>
              <w:jc w:val="left"/>
              <w:rPr>
                <w:rFonts w:cs="Times New Roman"/>
              </w:rPr>
            </w:pPr>
            <w:r w:rsidRPr="0081629E">
              <w:rPr>
                <w:rFonts w:cs="Times New Roman"/>
              </w:rPr>
              <w:t xml:space="preserve">Inferior frontal gyrus ([IFG], </w:t>
            </w:r>
            <w:r w:rsidR="00B76005">
              <w:rPr>
                <w:rFonts w:cs="Times New Roman"/>
              </w:rPr>
              <w:t>40</w:t>
            </w:r>
            <w:r w:rsidRPr="0081629E">
              <w:rPr>
                <w:rFonts w:cs="Times New Roman"/>
              </w:rPr>
              <w:t>)</w:t>
            </w:r>
          </w:p>
        </w:tc>
        <w:tc>
          <w:tcPr>
            <w:tcW w:w="1620" w:type="dxa"/>
            <w:tcBorders>
              <w:top w:val="nil"/>
              <w:left w:val="nil"/>
              <w:bottom w:val="nil"/>
              <w:right w:val="nil"/>
            </w:tcBorders>
            <w:shd w:val="clear" w:color="auto" w:fill="auto"/>
            <w:vAlign w:val="center"/>
          </w:tcPr>
          <w:p w14:paraId="1184F6E2" w14:textId="77777777" w:rsidR="003E356D" w:rsidRPr="0081629E" w:rsidRDefault="003E356D" w:rsidP="00E7048A">
            <w:pPr>
              <w:pStyle w:val="table"/>
              <w:rPr>
                <w:rFonts w:cs="Times New Roman"/>
              </w:rPr>
            </w:pPr>
            <w:r w:rsidRPr="0081629E">
              <w:rPr>
                <w:rFonts w:cs="Times New Roman"/>
              </w:rPr>
              <w:t>39.5</w:t>
            </w:r>
          </w:p>
        </w:tc>
        <w:tc>
          <w:tcPr>
            <w:tcW w:w="1530" w:type="dxa"/>
            <w:tcBorders>
              <w:top w:val="nil"/>
              <w:left w:val="nil"/>
              <w:bottom w:val="nil"/>
              <w:right w:val="nil"/>
            </w:tcBorders>
            <w:shd w:val="clear" w:color="auto" w:fill="auto"/>
            <w:vAlign w:val="center"/>
          </w:tcPr>
          <w:p w14:paraId="350000F5" w14:textId="77777777" w:rsidR="003E356D" w:rsidRPr="0081629E" w:rsidRDefault="003E356D" w:rsidP="00E7048A">
            <w:pPr>
              <w:pStyle w:val="table"/>
              <w:rPr>
                <w:rFonts w:cs="Times New Roman"/>
              </w:rPr>
            </w:pPr>
            <w:r w:rsidRPr="0081629E">
              <w:rPr>
                <w:rFonts w:cs="Times New Roman"/>
              </w:rPr>
              <w:t>44.5</w:t>
            </w:r>
          </w:p>
        </w:tc>
        <w:tc>
          <w:tcPr>
            <w:tcW w:w="1350" w:type="dxa"/>
            <w:tcBorders>
              <w:top w:val="nil"/>
              <w:left w:val="nil"/>
              <w:bottom w:val="nil"/>
            </w:tcBorders>
            <w:shd w:val="clear" w:color="auto" w:fill="auto"/>
            <w:vAlign w:val="center"/>
          </w:tcPr>
          <w:p w14:paraId="5C317AF2" w14:textId="77777777" w:rsidR="003E356D" w:rsidRPr="0081629E" w:rsidRDefault="003E356D" w:rsidP="00E7048A">
            <w:pPr>
              <w:pStyle w:val="table"/>
              <w:rPr>
                <w:rFonts w:cs="Times New Roman"/>
              </w:rPr>
            </w:pPr>
            <w:r w:rsidRPr="0081629E">
              <w:rPr>
                <w:rFonts w:cs="Times New Roman"/>
              </w:rPr>
              <w:t>-0.5</w:t>
            </w:r>
          </w:p>
        </w:tc>
      </w:tr>
      <w:tr w:rsidR="003E356D" w:rsidRPr="0081629E" w14:paraId="28D38168" w14:textId="77777777" w:rsidTr="0081629E">
        <w:tc>
          <w:tcPr>
            <w:tcW w:w="4878" w:type="dxa"/>
            <w:tcBorders>
              <w:top w:val="nil"/>
              <w:bottom w:val="nil"/>
              <w:right w:val="nil"/>
            </w:tcBorders>
            <w:shd w:val="clear" w:color="auto" w:fill="auto"/>
            <w:vAlign w:val="center"/>
          </w:tcPr>
          <w:p w14:paraId="35F513E4" w14:textId="76A6AFED" w:rsidR="003E356D" w:rsidRPr="0081629E" w:rsidRDefault="003E356D" w:rsidP="0081629E">
            <w:pPr>
              <w:pStyle w:val="table"/>
              <w:jc w:val="left"/>
              <w:rPr>
                <w:rFonts w:cs="Times New Roman"/>
              </w:rPr>
            </w:pPr>
            <w:r w:rsidRPr="0081629E">
              <w:rPr>
                <w:rFonts w:cs="Times New Roman"/>
              </w:rPr>
              <w:t xml:space="preserve">Middle frontal gyrus ([MiFG], </w:t>
            </w:r>
            <w:r w:rsidR="00B76005">
              <w:rPr>
                <w:rFonts w:cs="Times New Roman"/>
              </w:rPr>
              <w:t>41</w:t>
            </w:r>
            <w:r w:rsidRPr="0081629E">
              <w:rPr>
                <w:rFonts w:cs="Times New Roman"/>
              </w:rPr>
              <w:t>)</w:t>
            </w:r>
          </w:p>
        </w:tc>
        <w:tc>
          <w:tcPr>
            <w:tcW w:w="1620" w:type="dxa"/>
            <w:tcBorders>
              <w:top w:val="nil"/>
              <w:left w:val="nil"/>
              <w:bottom w:val="nil"/>
              <w:right w:val="nil"/>
            </w:tcBorders>
            <w:shd w:val="clear" w:color="auto" w:fill="auto"/>
            <w:vAlign w:val="center"/>
          </w:tcPr>
          <w:p w14:paraId="1608DB30" w14:textId="77777777" w:rsidR="003E356D" w:rsidRPr="0081629E" w:rsidRDefault="003E356D" w:rsidP="00E7048A">
            <w:pPr>
              <w:pStyle w:val="table"/>
              <w:rPr>
                <w:rFonts w:cs="Times New Roman"/>
              </w:rPr>
            </w:pPr>
            <w:r w:rsidRPr="0081629E">
              <w:rPr>
                <w:rFonts w:cs="Times New Roman"/>
              </w:rPr>
              <w:t>-26.5</w:t>
            </w:r>
          </w:p>
        </w:tc>
        <w:tc>
          <w:tcPr>
            <w:tcW w:w="1530" w:type="dxa"/>
            <w:tcBorders>
              <w:top w:val="nil"/>
              <w:left w:val="nil"/>
              <w:bottom w:val="nil"/>
              <w:right w:val="nil"/>
            </w:tcBorders>
            <w:shd w:val="clear" w:color="auto" w:fill="auto"/>
            <w:vAlign w:val="center"/>
          </w:tcPr>
          <w:p w14:paraId="6CCD6D3E" w14:textId="77777777" w:rsidR="003E356D" w:rsidRPr="0081629E" w:rsidRDefault="003E356D" w:rsidP="00E7048A">
            <w:pPr>
              <w:pStyle w:val="table"/>
              <w:rPr>
                <w:rFonts w:cs="Times New Roman"/>
              </w:rPr>
            </w:pPr>
            <w:r w:rsidRPr="0081629E">
              <w:rPr>
                <w:rFonts w:cs="Times New Roman"/>
              </w:rPr>
              <w:t>47.5</w:t>
            </w:r>
          </w:p>
        </w:tc>
        <w:tc>
          <w:tcPr>
            <w:tcW w:w="1350" w:type="dxa"/>
            <w:tcBorders>
              <w:top w:val="nil"/>
              <w:left w:val="nil"/>
              <w:bottom w:val="nil"/>
            </w:tcBorders>
            <w:shd w:val="clear" w:color="auto" w:fill="auto"/>
            <w:vAlign w:val="center"/>
          </w:tcPr>
          <w:p w14:paraId="1FE4D531" w14:textId="77777777" w:rsidR="003E356D" w:rsidRPr="0081629E" w:rsidRDefault="003E356D" w:rsidP="00E7048A">
            <w:pPr>
              <w:pStyle w:val="table"/>
              <w:rPr>
                <w:rFonts w:cs="Times New Roman"/>
              </w:rPr>
            </w:pPr>
            <w:r w:rsidRPr="0081629E">
              <w:rPr>
                <w:rFonts w:cs="Times New Roman"/>
              </w:rPr>
              <w:t>5.5</w:t>
            </w:r>
          </w:p>
        </w:tc>
      </w:tr>
      <w:tr w:rsidR="003E356D" w:rsidRPr="0081629E" w14:paraId="4C830A5A" w14:textId="77777777" w:rsidTr="0081629E">
        <w:tc>
          <w:tcPr>
            <w:tcW w:w="4878" w:type="dxa"/>
            <w:tcBorders>
              <w:top w:val="nil"/>
              <w:bottom w:val="nil"/>
              <w:right w:val="nil"/>
            </w:tcBorders>
            <w:shd w:val="clear" w:color="auto" w:fill="auto"/>
            <w:vAlign w:val="center"/>
          </w:tcPr>
          <w:p w14:paraId="55184CFE" w14:textId="2B25CA6C" w:rsidR="003E356D" w:rsidRPr="0081629E" w:rsidRDefault="003E356D" w:rsidP="0081629E">
            <w:pPr>
              <w:pStyle w:val="table"/>
              <w:jc w:val="left"/>
              <w:rPr>
                <w:rFonts w:cs="Times New Roman"/>
              </w:rPr>
            </w:pPr>
            <w:r w:rsidRPr="0081629E">
              <w:rPr>
                <w:rFonts w:cs="Times New Roman"/>
              </w:rPr>
              <w:t xml:space="preserve">Hippocampus ([HiPP], </w:t>
            </w:r>
            <w:r w:rsidR="00B76005">
              <w:rPr>
                <w:rFonts w:cs="Times New Roman"/>
              </w:rPr>
              <w:t>42</w:t>
            </w:r>
            <w:r w:rsidRPr="0081629E">
              <w:rPr>
                <w:rFonts w:cs="Times New Roman"/>
              </w:rPr>
              <w:t>)</w:t>
            </w:r>
          </w:p>
        </w:tc>
        <w:tc>
          <w:tcPr>
            <w:tcW w:w="1620" w:type="dxa"/>
            <w:tcBorders>
              <w:top w:val="nil"/>
              <w:left w:val="nil"/>
              <w:bottom w:val="nil"/>
              <w:right w:val="nil"/>
            </w:tcBorders>
            <w:shd w:val="clear" w:color="auto" w:fill="auto"/>
            <w:vAlign w:val="center"/>
          </w:tcPr>
          <w:p w14:paraId="204EA0CA" w14:textId="77777777" w:rsidR="003E356D" w:rsidRPr="0081629E" w:rsidRDefault="003E356D" w:rsidP="00E7048A">
            <w:pPr>
              <w:pStyle w:val="table"/>
              <w:rPr>
                <w:rFonts w:cs="Times New Roman"/>
              </w:rPr>
            </w:pPr>
            <w:r w:rsidRPr="0081629E">
              <w:rPr>
                <w:rFonts w:cs="Times New Roman"/>
              </w:rPr>
              <w:t>-24.5</w:t>
            </w:r>
          </w:p>
        </w:tc>
        <w:tc>
          <w:tcPr>
            <w:tcW w:w="1530" w:type="dxa"/>
            <w:tcBorders>
              <w:top w:val="nil"/>
              <w:left w:val="nil"/>
              <w:bottom w:val="nil"/>
              <w:right w:val="nil"/>
            </w:tcBorders>
            <w:shd w:val="clear" w:color="auto" w:fill="auto"/>
            <w:vAlign w:val="center"/>
          </w:tcPr>
          <w:p w14:paraId="037B2A2C" w14:textId="77777777" w:rsidR="003E356D" w:rsidRPr="0081629E" w:rsidRDefault="003E356D" w:rsidP="00E7048A">
            <w:pPr>
              <w:pStyle w:val="table"/>
              <w:rPr>
                <w:rFonts w:cs="Times New Roman"/>
              </w:rPr>
            </w:pPr>
            <w:r w:rsidRPr="0081629E">
              <w:rPr>
                <w:rFonts w:cs="Times New Roman"/>
              </w:rPr>
              <w:t>-36.5</w:t>
            </w:r>
          </w:p>
        </w:tc>
        <w:tc>
          <w:tcPr>
            <w:tcW w:w="1350" w:type="dxa"/>
            <w:tcBorders>
              <w:top w:val="nil"/>
              <w:left w:val="nil"/>
              <w:bottom w:val="nil"/>
            </w:tcBorders>
            <w:shd w:val="clear" w:color="auto" w:fill="auto"/>
            <w:vAlign w:val="center"/>
          </w:tcPr>
          <w:p w14:paraId="270D83B9" w14:textId="77777777" w:rsidR="003E356D" w:rsidRPr="0081629E" w:rsidRDefault="003E356D" w:rsidP="00E7048A">
            <w:pPr>
              <w:pStyle w:val="table"/>
              <w:rPr>
                <w:rFonts w:cs="Times New Roman"/>
              </w:rPr>
            </w:pPr>
            <w:r w:rsidRPr="0081629E">
              <w:rPr>
                <w:rFonts w:cs="Times New Roman"/>
              </w:rPr>
              <w:t>1.5</w:t>
            </w:r>
          </w:p>
        </w:tc>
      </w:tr>
      <w:tr w:rsidR="003E356D" w:rsidRPr="0081629E" w14:paraId="2376748C" w14:textId="77777777" w:rsidTr="0081629E">
        <w:tc>
          <w:tcPr>
            <w:tcW w:w="9378" w:type="dxa"/>
            <w:gridSpan w:val="4"/>
            <w:tcBorders>
              <w:top w:val="single" w:sz="4" w:space="0" w:color="auto"/>
              <w:bottom w:val="single" w:sz="4" w:space="0" w:color="auto"/>
            </w:tcBorders>
            <w:shd w:val="clear" w:color="auto" w:fill="D0CECE"/>
            <w:vAlign w:val="center"/>
          </w:tcPr>
          <w:p w14:paraId="5A30F6BC" w14:textId="26661E05" w:rsidR="003E356D" w:rsidRPr="0081629E" w:rsidRDefault="003E356D" w:rsidP="0081629E">
            <w:pPr>
              <w:pStyle w:val="table"/>
              <w:jc w:val="left"/>
              <w:rPr>
                <w:rFonts w:cs="Times New Roman"/>
                <w:b/>
              </w:rPr>
            </w:pPr>
            <w:r w:rsidRPr="0081629E">
              <w:rPr>
                <w:rFonts w:cs="Times New Roman"/>
                <w:b/>
              </w:rPr>
              <w:t>Default-mode domain (DM)</w:t>
            </w:r>
            <w:r w:rsidR="00624829">
              <w:rPr>
                <w:rFonts w:cs="Times New Roman"/>
                <w:b/>
              </w:rPr>
              <w:t>: 7 ICNs</w:t>
            </w:r>
          </w:p>
        </w:tc>
      </w:tr>
      <w:tr w:rsidR="003E356D" w:rsidRPr="0081629E" w14:paraId="05C599EC" w14:textId="77777777" w:rsidTr="0081629E">
        <w:tc>
          <w:tcPr>
            <w:tcW w:w="4878" w:type="dxa"/>
            <w:tcBorders>
              <w:top w:val="single" w:sz="4" w:space="0" w:color="auto"/>
              <w:bottom w:val="nil"/>
              <w:right w:val="nil"/>
            </w:tcBorders>
            <w:shd w:val="clear" w:color="auto" w:fill="auto"/>
            <w:vAlign w:val="center"/>
          </w:tcPr>
          <w:p w14:paraId="1261E811" w14:textId="69BC5912" w:rsidR="003E356D" w:rsidRPr="0081629E" w:rsidRDefault="003E356D" w:rsidP="0081629E">
            <w:pPr>
              <w:pStyle w:val="table"/>
              <w:jc w:val="left"/>
              <w:rPr>
                <w:rFonts w:cs="Times New Roman"/>
              </w:rPr>
            </w:pPr>
            <w:r w:rsidRPr="0081629E">
              <w:rPr>
                <w:rFonts w:cs="Times New Roman"/>
              </w:rPr>
              <w:t>Precuneus (</w:t>
            </w:r>
            <w:r w:rsidR="00B76005">
              <w:rPr>
                <w:rFonts w:cs="Times New Roman"/>
              </w:rPr>
              <w:t>43</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51109969" w14:textId="77777777" w:rsidR="003E356D" w:rsidRPr="0081629E" w:rsidRDefault="003E356D" w:rsidP="00E7048A">
            <w:pPr>
              <w:pStyle w:val="table"/>
              <w:rPr>
                <w:rFonts w:cs="Times New Roman"/>
              </w:rPr>
            </w:pPr>
            <w:r w:rsidRPr="0081629E">
              <w:rPr>
                <w:rFonts w:cs="Times New Roman"/>
              </w:rPr>
              <w:t>-8.5</w:t>
            </w:r>
          </w:p>
        </w:tc>
        <w:tc>
          <w:tcPr>
            <w:tcW w:w="1530" w:type="dxa"/>
            <w:tcBorders>
              <w:top w:val="single" w:sz="4" w:space="0" w:color="auto"/>
              <w:left w:val="nil"/>
              <w:bottom w:val="nil"/>
              <w:right w:val="nil"/>
            </w:tcBorders>
            <w:shd w:val="clear" w:color="auto" w:fill="auto"/>
            <w:vAlign w:val="center"/>
          </w:tcPr>
          <w:p w14:paraId="04DA24B2" w14:textId="77777777" w:rsidR="003E356D" w:rsidRPr="0081629E" w:rsidRDefault="003E356D" w:rsidP="00E7048A">
            <w:pPr>
              <w:pStyle w:val="table"/>
              <w:rPr>
                <w:rFonts w:cs="Times New Roman"/>
              </w:rPr>
            </w:pPr>
            <w:r w:rsidRPr="0081629E">
              <w:rPr>
                <w:rFonts w:cs="Times New Roman"/>
              </w:rPr>
              <w:t>-66.5</w:t>
            </w:r>
          </w:p>
        </w:tc>
        <w:tc>
          <w:tcPr>
            <w:tcW w:w="1350" w:type="dxa"/>
            <w:tcBorders>
              <w:top w:val="single" w:sz="4" w:space="0" w:color="auto"/>
              <w:left w:val="nil"/>
              <w:bottom w:val="nil"/>
            </w:tcBorders>
            <w:shd w:val="clear" w:color="auto" w:fill="auto"/>
            <w:vAlign w:val="center"/>
          </w:tcPr>
          <w:p w14:paraId="3FBE6215" w14:textId="77777777" w:rsidR="003E356D" w:rsidRPr="0081629E" w:rsidRDefault="003E356D" w:rsidP="00E7048A">
            <w:pPr>
              <w:pStyle w:val="table"/>
              <w:rPr>
                <w:rFonts w:cs="Times New Roman"/>
              </w:rPr>
            </w:pPr>
            <w:r w:rsidRPr="0081629E">
              <w:rPr>
                <w:rFonts w:cs="Times New Roman"/>
              </w:rPr>
              <w:t>35.5</w:t>
            </w:r>
          </w:p>
        </w:tc>
      </w:tr>
      <w:tr w:rsidR="003E356D" w:rsidRPr="0081629E" w14:paraId="4BF4BA89" w14:textId="77777777" w:rsidTr="0081629E">
        <w:tc>
          <w:tcPr>
            <w:tcW w:w="4878" w:type="dxa"/>
            <w:tcBorders>
              <w:top w:val="nil"/>
              <w:bottom w:val="nil"/>
              <w:right w:val="nil"/>
            </w:tcBorders>
            <w:shd w:val="clear" w:color="auto" w:fill="auto"/>
            <w:vAlign w:val="center"/>
          </w:tcPr>
          <w:p w14:paraId="08AEA17E" w14:textId="3ACF1900" w:rsidR="003E356D" w:rsidRPr="0081629E" w:rsidRDefault="003E356D" w:rsidP="0081629E">
            <w:pPr>
              <w:pStyle w:val="table"/>
              <w:jc w:val="left"/>
              <w:rPr>
                <w:rFonts w:cs="Times New Roman"/>
              </w:rPr>
            </w:pPr>
            <w:r w:rsidRPr="0081629E">
              <w:rPr>
                <w:rFonts w:cs="Times New Roman"/>
              </w:rPr>
              <w:t>Precuneus (4</w:t>
            </w:r>
            <w:r w:rsidR="00B76005">
              <w:rPr>
                <w:rFonts w:cs="Times New Roman"/>
              </w:rPr>
              <w:t>4</w:t>
            </w:r>
            <w:r w:rsidRPr="0081629E">
              <w:rPr>
                <w:rFonts w:cs="Times New Roman"/>
              </w:rPr>
              <w:t>)</w:t>
            </w:r>
          </w:p>
        </w:tc>
        <w:tc>
          <w:tcPr>
            <w:tcW w:w="1620" w:type="dxa"/>
            <w:tcBorders>
              <w:top w:val="nil"/>
              <w:left w:val="nil"/>
              <w:bottom w:val="nil"/>
              <w:right w:val="nil"/>
            </w:tcBorders>
            <w:shd w:val="clear" w:color="auto" w:fill="auto"/>
            <w:vAlign w:val="center"/>
          </w:tcPr>
          <w:p w14:paraId="2E761F70" w14:textId="77777777" w:rsidR="003E356D" w:rsidRPr="0081629E" w:rsidRDefault="003E356D" w:rsidP="00E7048A">
            <w:pPr>
              <w:pStyle w:val="table"/>
              <w:rPr>
                <w:rFonts w:cs="Times New Roman"/>
              </w:rPr>
            </w:pPr>
            <w:r w:rsidRPr="0081629E">
              <w:rPr>
                <w:rFonts w:cs="Times New Roman"/>
              </w:rPr>
              <w:t>-12.5</w:t>
            </w:r>
          </w:p>
        </w:tc>
        <w:tc>
          <w:tcPr>
            <w:tcW w:w="1530" w:type="dxa"/>
            <w:tcBorders>
              <w:top w:val="nil"/>
              <w:left w:val="nil"/>
              <w:bottom w:val="nil"/>
              <w:right w:val="nil"/>
            </w:tcBorders>
            <w:shd w:val="clear" w:color="auto" w:fill="auto"/>
            <w:vAlign w:val="center"/>
          </w:tcPr>
          <w:p w14:paraId="04A0DC2A" w14:textId="77777777" w:rsidR="003E356D" w:rsidRPr="0081629E" w:rsidRDefault="003E356D" w:rsidP="00E7048A">
            <w:pPr>
              <w:pStyle w:val="table"/>
              <w:rPr>
                <w:rFonts w:cs="Times New Roman"/>
              </w:rPr>
            </w:pPr>
            <w:r w:rsidRPr="0081629E">
              <w:rPr>
                <w:rFonts w:cs="Times New Roman"/>
              </w:rPr>
              <w:t>-54.5</w:t>
            </w:r>
          </w:p>
        </w:tc>
        <w:tc>
          <w:tcPr>
            <w:tcW w:w="1350" w:type="dxa"/>
            <w:tcBorders>
              <w:top w:val="nil"/>
              <w:left w:val="nil"/>
              <w:bottom w:val="nil"/>
            </w:tcBorders>
            <w:shd w:val="clear" w:color="auto" w:fill="auto"/>
            <w:vAlign w:val="center"/>
          </w:tcPr>
          <w:p w14:paraId="2A2AEDE2" w14:textId="77777777" w:rsidR="003E356D" w:rsidRPr="0081629E" w:rsidRDefault="003E356D" w:rsidP="00E7048A">
            <w:pPr>
              <w:pStyle w:val="table"/>
              <w:rPr>
                <w:rFonts w:cs="Times New Roman"/>
              </w:rPr>
            </w:pPr>
            <w:r w:rsidRPr="0081629E">
              <w:rPr>
                <w:rFonts w:cs="Times New Roman"/>
              </w:rPr>
              <w:t>14.5</w:t>
            </w:r>
          </w:p>
        </w:tc>
      </w:tr>
      <w:tr w:rsidR="003E356D" w:rsidRPr="0081629E" w14:paraId="1DD03B18" w14:textId="77777777" w:rsidTr="0081629E">
        <w:tc>
          <w:tcPr>
            <w:tcW w:w="4878" w:type="dxa"/>
            <w:tcBorders>
              <w:top w:val="nil"/>
              <w:bottom w:val="nil"/>
              <w:right w:val="nil"/>
            </w:tcBorders>
            <w:shd w:val="clear" w:color="auto" w:fill="auto"/>
            <w:vAlign w:val="center"/>
          </w:tcPr>
          <w:p w14:paraId="06A505E5" w14:textId="143F9EA7" w:rsidR="003E356D" w:rsidRPr="0081629E" w:rsidRDefault="003E356D" w:rsidP="0081629E">
            <w:pPr>
              <w:pStyle w:val="table"/>
              <w:jc w:val="left"/>
              <w:rPr>
                <w:rFonts w:cs="Times New Roman"/>
              </w:rPr>
            </w:pPr>
            <w:r w:rsidRPr="0081629E">
              <w:rPr>
                <w:rFonts w:cs="Times New Roman"/>
              </w:rPr>
              <w:t xml:space="preserve">Anterior cingulate cortex ([ACC], </w:t>
            </w:r>
            <w:r w:rsidR="00B76005">
              <w:rPr>
                <w:rFonts w:cs="Times New Roman"/>
              </w:rPr>
              <w:t>45</w:t>
            </w:r>
            <w:r w:rsidRPr="0081629E">
              <w:rPr>
                <w:rFonts w:cs="Times New Roman"/>
              </w:rPr>
              <w:t>)</w:t>
            </w:r>
          </w:p>
        </w:tc>
        <w:tc>
          <w:tcPr>
            <w:tcW w:w="1620" w:type="dxa"/>
            <w:tcBorders>
              <w:top w:val="nil"/>
              <w:left w:val="nil"/>
              <w:bottom w:val="nil"/>
              <w:right w:val="nil"/>
            </w:tcBorders>
            <w:shd w:val="clear" w:color="auto" w:fill="auto"/>
            <w:vAlign w:val="center"/>
          </w:tcPr>
          <w:p w14:paraId="03DFD9CB" w14:textId="77777777" w:rsidR="003E356D" w:rsidRPr="0081629E" w:rsidRDefault="003E356D" w:rsidP="00E7048A">
            <w:pPr>
              <w:pStyle w:val="table"/>
              <w:rPr>
                <w:rFonts w:cs="Times New Roman"/>
              </w:rPr>
            </w:pPr>
            <w:r w:rsidRPr="0081629E">
              <w:rPr>
                <w:rFonts w:cs="Times New Roman"/>
              </w:rPr>
              <w:t>-2.5</w:t>
            </w:r>
          </w:p>
        </w:tc>
        <w:tc>
          <w:tcPr>
            <w:tcW w:w="1530" w:type="dxa"/>
            <w:tcBorders>
              <w:top w:val="nil"/>
              <w:left w:val="nil"/>
              <w:bottom w:val="nil"/>
              <w:right w:val="nil"/>
            </w:tcBorders>
            <w:shd w:val="clear" w:color="auto" w:fill="auto"/>
            <w:vAlign w:val="center"/>
          </w:tcPr>
          <w:p w14:paraId="3DB2EBAE" w14:textId="77777777" w:rsidR="003E356D" w:rsidRPr="0081629E" w:rsidRDefault="003E356D" w:rsidP="00E7048A">
            <w:pPr>
              <w:pStyle w:val="table"/>
              <w:rPr>
                <w:rFonts w:cs="Times New Roman"/>
              </w:rPr>
            </w:pPr>
            <w:r w:rsidRPr="0081629E">
              <w:rPr>
                <w:rFonts w:cs="Times New Roman"/>
              </w:rPr>
              <w:t>35.5</w:t>
            </w:r>
          </w:p>
        </w:tc>
        <w:tc>
          <w:tcPr>
            <w:tcW w:w="1350" w:type="dxa"/>
            <w:tcBorders>
              <w:top w:val="nil"/>
              <w:left w:val="nil"/>
              <w:bottom w:val="nil"/>
            </w:tcBorders>
            <w:shd w:val="clear" w:color="auto" w:fill="auto"/>
            <w:vAlign w:val="center"/>
          </w:tcPr>
          <w:p w14:paraId="14084F20" w14:textId="77777777" w:rsidR="003E356D" w:rsidRPr="0081629E" w:rsidRDefault="003E356D" w:rsidP="00E7048A">
            <w:pPr>
              <w:pStyle w:val="table"/>
              <w:rPr>
                <w:rFonts w:cs="Times New Roman"/>
              </w:rPr>
            </w:pPr>
            <w:r w:rsidRPr="0081629E">
              <w:rPr>
                <w:rFonts w:cs="Times New Roman"/>
              </w:rPr>
              <w:t>2.5</w:t>
            </w:r>
          </w:p>
        </w:tc>
      </w:tr>
      <w:tr w:rsidR="003E356D" w:rsidRPr="0081629E" w14:paraId="7380CBD8" w14:textId="77777777" w:rsidTr="0081629E">
        <w:tc>
          <w:tcPr>
            <w:tcW w:w="4878" w:type="dxa"/>
            <w:tcBorders>
              <w:top w:val="nil"/>
              <w:bottom w:val="nil"/>
              <w:right w:val="nil"/>
            </w:tcBorders>
            <w:shd w:val="clear" w:color="auto" w:fill="auto"/>
            <w:vAlign w:val="center"/>
          </w:tcPr>
          <w:p w14:paraId="5877D199" w14:textId="4DF98B96" w:rsidR="003E356D" w:rsidRPr="0081629E" w:rsidRDefault="003E356D" w:rsidP="0081629E">
            <w:pPr>
              <w:pStyle w:val="table"/>
              <w:jc w:val="left"/>
              <w:rPr>
                <w:rFonts w:cs="Times New Roman"/>
              </w:rPr>
            </w:pPr>
            <w:r w:rsidRPr="0081629E">
              <w:rPr>
                <w:rFonts w:cs="Times New Roman"/>
              </w:rPr>
              <w:t xml:space="preserve">Posterior cingulate cortex ([PCC], </w:t>
            </w:r>
            <w:r w:rsidR="00B76005">
              <w:rPr>
                <w:rFonts w:cs="Times New Roman"/>
              </w:rPr>
              <w:t>46</w:t>
            </w:r>
            <w:r w:rsidRPr="0081629E">
              <w:rPr>
                <w:rFonts w:cs="Times New Roman"/>
              </w:rPr>
              <w:t>)</w:t>
            </w:r>
          </w:p>
        </w:tc>
        <w:tc>
          <w:tcPr>
            <w:tcW w:w="1620" w:type="dxa"/>
            <w:tcBorders>
              <w:top w:val="nil"/>
              <w:left w:val="nil"/>
              <w:bottom w:val="nil"/>
              <w:right w:val="nil"/>
            </w:tcBorders>
            <w:shd w:val="clear" w:color="auto" w:fill="auto"/>
            <w:vAlign w:val="center"/>
          </w:tcPr>
          <w:p w14:paraId="07B0B82C" w14:textId="77777777" w:rsidR="003E356D" w:rsidRPr="0081629E" w:rsidRDefault="003E356D" w:rsidP="00E7048A">
            <w:pPr>
              <w:pStyle w:val="table"/>
              <w:rPr>
                <w:rFonts w:cs="Times New Roman"/>
              </w:rPr>
            </w:pPr>
            <w:r w:rsidRPr="0081629E">
              <w:rPr>
                <w:rFonts w:cs="Times New Roman"/>
              </w:rPr>
              <w:t>-5.5</w:t>
            </w:r>
          </w:p>
        </w:tc>
        <w:tc>
          <w:tcPr>
            <w:tcW w:w="1530" w:type="dxa"/>
            <w:tcBorders>
              <w:top w:val="nil"/>
              <w:left w:val="nil"/>
              <w:bottom w:val="nil"/>
              <w:right w:val="nil"/>
            </w:tcBorders>
            <w:shd w:val="clear" w:color="auto" w:fill="auto"/>
            <w:vAlign w:val="center"/>
          </w:tcPr>
          <w:p w14:paraId="21961E71" w14:textId="77777777" w:rsidR="003E356D" w:rsidRPr="0081629E" w:rsidRDefault="003E356D" w:rsidP="00E7048A">
            <w:pPr>
              <w:pStyle w:val="table"/>
              <w:rPr>
                <w:rFonts w:cs="Times New Roman"/>
              </w:rPr>
            </w:pPr>
            <w:r w:rsidRPr="0081629E">
              <w:rPr>
                <w:rFonts w:cs="Times New Roman"/>
              </w:rPr>
              <w:t>-28.5</w:t>
            </w:r>
          </w:p>
        </w:tc>
        <w:tc>
          <w:tcPr>
            <w:tcW w:w="1350" w:type="dxa"/>
            <w:tcBorders>
              <w:top w:val="nil"/>
              <w:left w:val="nil"/>
              <w:bottom w:val="nil"/>
            </w:tcBorders>
            <w:shd w:val="clear" w:color="auto" w:fill="auto"/>
            <w:vAlign w:val="center"/>
          </w:tcPr>
          <w:p w14:paraId="171AA035" w14:textId="77777777" w:rsidR="003E356D" w:rsidRPr="0081629E" w:rsidRDefault="003E356D" w:rsidP="00E7048A">
            <w:pPr>
              <w:pStyle w:val="table"/>
              <w:rPr>
                <w:rFonts w:cs="Times New Roman"/>
              </w:rPr>
            </w:pPr>
            <w:r w:rsidRPr="0081629E">
              <w:rPr>
                <w:rFonts w:cs="Times New Roman"/>
              </w:rPr>
              <w:t>26.5</w:t>
            </w:r>
          </w:p>
        </w:tc>
      </w:tr>
      <w:tr w:rsidR="003E356D" w:rsidRPr="0081629E" w14:paraId="6F648E70" w14:textId="77777777" w:rsidTr="0081629E">
        <w:tc>
          <w:tcPr>
            <w:tcW w:w="4878" w:type="dxa"/>
            <w:tcBorders>
              <w:top w:val="nil"/>
              <w:bottom w:val="nil"/>
              <w:right w:val="nil"/>
            </w:tcBorders>
            <w:shd w:val="clear" w:color="auto" w:fill="auto"/>
            <w:vAlign w:val="center"/>
          </w:tcPr>
          <w:p w14:paraId="2F191F52" w14:textId="49D3D2D2" w:rsidR="003E356D" w:rsidRPr="0081629E" w:rsidRDefault="003E356D" w:rsidP="0081629E">
            <w:pPr>
              <w:pStyle w:val="table"/>
              <w:jc w:val="left"/>
              <w:rPr>
                <w:rFonts w:cs="Times New Roman"/>
              </w:rPr>
            </w:pPr>
            <w:r w:rsidRPr="0081629E">
              <w:rPr>
                <w:rFonts w:cs="Times New Roman"/>
              </w:rPr>
              <w:t xml:space="preserve">Anterior cingulate cortex ([ACC], </w:t>
            </w:r>
            <w:r w:rsidR="00B76005">
              <w:rPr>
                <w:rFonts w:cs="Times New Roman"/>
              </w:rPr>
              <w:t>47</w:t>
            </w:r>
            <w:r w:rsidRPr="0081629E">
              <w:rPr>
                <w:rFonts w:cs="Times New Roman"/>
              </w:rPr>
              <w:t>)</w:t>
            </w:r>
          </w:p>
        </w:tc>
        <w:tc>
          <w:tcPr>
            <w:tcW w:w="1620" w:type="dxa"/>
            <w:tcBorders>
              <w:top w:val="nil"/>
              <w:left w:val="nil"/>
              <w:bottom w:val="nil"/>
              <w:right w:val="nil"/>
            </w:tcBorders>
            <w:shd w:val="clear" w:color="auto" w:fill="auto"/>
            <w:vAlign w:val="center"/>
          </w:tcPr>
          <w:p w14:paraId="71D35E62" w14:textId="77777777" w:rsidR="003E356D" w:rsidRPr="0081629E" w:rsidRDefault="003E356D" w:rsidP="00E7048A">
            <w:pPr>
              <w:pStyle w:val="table"/>
              <w:rPr>
                <w:rFonts w:cs="Times New Roman"/>
              </w:rPr>
            </w:pPr>
            <w:r w:rsidRPr="0081629E">
              <w:rPr>
                <w:rFonts w:cs="Times New Roman"/>
              </w:rPr>
              <w:t>-9.5</w:t>
            </w:r>
          </w:p>
        </w:tc>
        <w:tc>
          <w:tcPr>
            <w:tcW w:w="1530" w:type="dxa"/>
            <w:tcBorders>
              <w:top w:val="nil"/>
              <w:left w:val="nil"/>
              <w:bottom w:val="nil"/>
              <w:right w:val="nil"/>
            </w:tcBorders>
            <w:shd w:val="clear" w:color="auto" w:fill="auto"/>
            <w:vAlign w:val="center"/>
          </w:tcPr>
          <w:p w14:paraId="54D8CE63" w14:textId="77777777" w:rsidR="003E356D" w:rsidRPr="0081629E" w:rsidRDefault="003E356D" w:rsidP="00E7048A">
            <w:pPr>
              <w:pStyle w:val="table"/>
              <w:rPr>
                <w:rFonts w:cs="Times New Roman"/>
              </w:rPr>
            </w:pPr>
            <w:r w:rsidRPr="0081629E">
              <w:rPr>
                <w:rFonts w:cs="Times New Roman"/>
              </w:rPr>
              <w:t>46.5</w:t>
            </w:r>
          </w:p>
        </w:tc>
        <w:tc>
          <w:tcPr>
            <w:tcW w:w="1350" w:type="dxa"/>
            <w:tcBorders>
              <w:top w:val="nil"/>
              <w:left w:val="nil"/>
              <w:bottom w:val="nil"/>
            </w:tcBorders>
            <w:shd w:val="clear" w:color="auto" w:fill="auto"/>
            <w:vAlign w:val="center"/>
          </w:tcPr>
          <w:p w14:paraId="1C727E50" w14:textId="77777777" w:rsidR="003E356D" w:rsidRPr="0081629E" w:rsidRDefault="003E356D" w:rsidP="00E7048A">
            <w:pPr>
              <w:pStyle w:val="table"/>
              <w:rPr>
                <w:rFonts w:cs="Times New Roman"/>
              </w:rPr>
            </w:pPr>
            <w:r w:rsidRPr="0081629E">
              <w:rPr>
                <w:rFonts w:cs="Times New Roman"/>
              </w:rPr>
              <w:t>-10.5</w:t>
            </w:r>
          </w:p>
        </w:tc>
      </w:tr>
      <w:tr w:rsidR="003E356D" w:rsidRPr="0081629E" w14:paraId="09372404" w14:textId="77777777" w:rsidTr="0081629E">
        <w:tc>
          <w:tcPr>
            <w:tcW w:w="4878" w:type="dxa"/>
            <w:tcBorders>
              <w:top w:val="nil"/>
              <w:bottom w:val="nil"/>
              <w:right w:val="nil"/>
            </w:tcBorders>
            <w:shd w:val="clear" w:color="auto" w:fill="auto"/>
            <w:vAlign w:val="center"/>
          </w:tcPr>
          <w:p w14:paraId="7FB9548C" w14:textId="0B4C4C5F" w:rsidR="003E356D" w:rsidRPr="0081629E" w:rsidRDefault="003E356D" w:rsidP="0081629E">
            <w:pPr>
              <w:pStyle w:val="table"/>
              <w:jc w:val="left"/>
              <w:rPr>
                <w:rFonts w:cs="Times New Roman"/>
              </w:rPr>
            </w:pPr>
            <w:r w:rsidRPr="0081629E">
              <w:rPr>
                <w:rFonts w:cs="Times New Roman"/>
              </w:rPr>
              <w:t>Precuneus (</w:t>
            </w:r>
            <w:r w:rsidR="00B76005">
              <w:rPr>
                <w:rFonts w:cs="Times New Roman"/>
              </w:rPr>
              <w:t>48</w:t>
            </w:r>
            <w:r w:rsidRPr="0081629E">
              <w:rPr>
                <w:rFonts w:cs="Times New Roman"/>
              </w:rPr>
              <w:t>)</w:t>
            </w:r>
          </w:p>
        </w:tc>
        <w:tc>
          <w:tcPr>
            <w:tcW w:w="1620" w:type="dxa"/>
            <w:tcBorders>
              <w:top w:val="nil"/>
              <w:left w:val="nil"/>
              <w:bottom w:val="nil"/>
              <w:right w:val="nil"/>
            </w:tcBorders>
            <w:shd w:val="clear" w:color="auto" w:fill="auto"/>
            <w:vAlign w:val="center"/>
          </w:tcPr>
          <w:p w14:paraId="03ED746D" w14:textId="77777777" w:rsidR="003E356D" w:rsidRPr="0081629E" w:rsidRDefault="003E356D" w:rsidP="00E7048A">
            <w:pPr>
              <w:pStyle w:val="table"/>
              <w:rPr>
                <w:rFonts w:cs="Times New Roman"/>
              </w:rPr>
            </w:pPr>
            <w:r w:rsidRPr="0081629E">
              <w:rPr>
                <w:rFonts w:cs="Times New Roman"/>
              </w:rPr>
              <w:t>-0.5</w:t>
            </w:r>
          </w:p>
        </w:tc>
        <w:tc>
          <w:tcPr>
            <w:tcW w:w="1530" w:type="dxa"/>
            <w:tcBorders>
              <w:top w:val="nil"/>
              <w:left w:val="nil"/>
              <w:bottom w:val="nil"/>
              <w:right w:val="nil"/>
            </w:tcBorders>
            <w:shd w:val="clear" w:color="auto" w:fill="auto"/>
            <w:vAlign w:val="center"/>
          </w:tcPr>
          <w:p w14:paraId="47982CEC" w14:textId="77777777" w:rsidR="003E356D" w:rsidRPr="0081629E" w:rsidRDefault="003E356D" w:rsidP="00E7048A">
            <w:pPr>
              <w:pStyle w:val="table"/>
              <w:rPr>
                <w:rFonts w:cs="Times New Roman"/>
              </w:rPr>
            </w:pPr>
            <w:r w:rsidRPr="0081629E">
              <w:rPr>
                <w:rFonts w:cs="Times New Roman"/>
              </w:rPr>
              <w:t>-48.5</w:t>
            </w:r>
          </w:p>
        </w:tc>
        <w:tc>
          <w:tcPr>
            <w:tcW w:w="1350" w:type="dxa"/>
            <w:tcBorders>
              <w:top w:val="nil"/>
              <w:left w:val="nil"/>
              <w:bottom w:val="nil"/>
            </w:tcBorders>
            <w:shd w:val="clear" w:color="auto" w:fill="auto"/>
            <w:vAlign w:val="center"/>
          </w:tcPr>
          <w:p w14:paraId="340043D5" w14:textId="77777777" w:rsidR="003E356D" w:rsidRPr="0081629E" w:rsidRDefault="003E356D" w:rsidP="00E7048A">
            <w:pPr>
              <w:pStyle w:val="table"/>
              <w:rPr>
                <w:rFonts w:cs="Times New Roman"/>
              </w:rPr>
            </w:pPr>
            <w:r w:rsidRPr="0081629E">
              <w:rPr>
                <w:rFonts w:cs="Times New Roman"/>
              </w:rPr>
              <w:t>49.5</w:t>
            </w:r>
          </w:p>
        </w:tc>
      </w:tr>
      <w:tr w:rsidR="003E356D" w:rsidRPr="0081629E" w14:paraId="2DB5631F" w14:textId="77777777" w:rsidTr="0081629E">
        <w:tc>
          <w:tcPr>
            <w:tcW w:w="4878" w:type="dxa"/>
            <w:tcBorders>
              <w:top w:val="nil"/>
              <w:bottom w:val="nil"/>
              <w:right w:val="nil"/>
            </w:tcBorders>
            <w:shd w:val="clear" w:color="auto" w:fill="auto"/>
            <w:vAlign w:val="center"/>
          </w:tcPr>
          <w:p w14:paraId="236D5491" w14:textId="1D5AA885" w:rsidR="003E356D" w:rsidRPr="0081629E" w:rsidRDefault="003E356D" w:rsidP="0081629E">
            <w:pPr>
              <w:pStyle w:val="table"/>
              <w:jc w:val="left"/>
              <w:rPr>
                <w:rFonts w:cs="Times New Roman"/>
              </w:rPr>
            </w:pPr>
            <w:r w:rsidRPr="0081629E">
              <w:rPr>
                <w:rFonts w:cs="Times New Roman"/>
              </w:rPr>
              <w:t xml:space="preserve">Posterior cingulate cortex ([PCC], </w:t>
            </w:r>
            <w:r w:rsidR="00B76005">
              <w:rPr>
                <w:rFonts w:cs="Times New Roman"/>
              </w:rPr>
              <w:t>49</w:t>
            </w:r>
            <w:r w:rsidRPr="0081629E">
              <w:rPr>
                <w:rFonts w:cs="Times New Roman"/>
              </w:rPr>
              <w:t>)</w:t>
            </w:r>
          </w:p>
        </w:tc>
        <w:tc>
          <w:tcPr>
            <w:tcW w:w="1620" w:type="dxa"/>
            <w:tcBorders>
              <w:top w:val="nil"/>
              <w:left w:val="nil"/>
              <w:bottom w:val="nil"/>
              <w:right w:val="nil"/>
            </w:tcBorders>
            <w:shd w:val="clear" w:color="auto" w:fill="auto"/>
            <w:vAlign w:val="center"/>
          </w:tcPr>
          <w:p w14:paraId="34521179" w14:textId="77777777" w:rsidR="003E356D" w:rsidRPr="0081629E" w:rsidRDefault="003E356D" w:rsidP="00E7048A">
            <w:pPr>
              <w:pStyle w:val="table"/>
              <w:rPr>
                <w:rFonts w:cs="Times New Roman"/>
              </w:rPr>
            </w:pPr>
            <w:r w:rsidRPr="0081629E">
              <w:rPr>
                <w:rFonts w:cs="Times New Roman"/>
              </w:rPr>
              <w:t>-2.5</w:t>
            </w:r>
          </w:p>
        </w:tc>
        <w:tc>
          <w:tcPr>
            <w:tcW w:w="1530" w:type="dxa"/>
            <w:tcBorders>
              <w:top w:val="nil"/>
              <w:left w:val="nil"/>
              <w:bottom w:val="nil"/>
              <w:right w:val="nil"/>
            </w:tcBorders>
            <w:shd w:val="clear" w:color="auto" w:fill="auto"/>
            <w:vAlign w:val="center"/>
          </w:tcPr>
          <w:p w14:paraId="4B751DC8" w14:textId="77777777" w:rsidR="003E356D" w:rsidRPr="0081629E" w:rsidRDefault="003E356D" w:rsidP="00E7048A">
            <w:pPr>
              <w:pStyle w:val="table"/>
              <w:rPr>
                <w:rFonts w:cs="Times New Roman"/>
              </w:rPr>
            </w:pPr>
            <w:r w:rsidRPr="0081629E">
              <w:rPr>
                <w:rFonts w:cs="Times New Roman"/>
              </w:rPr>
              <w:t>54.5</w:t>
            </w:r>
          </w:p>
        </w:tc>
        <w:tc>
          <w:tcPr>
            <w:tcW w:w="1350" w:type="dxa"/>
            <w:tcBorders>
              <w:top w:val="nil"/>
              <w:left w:val="nil"/>
              <w:bottom w:val="nil"/>
            </w:tcBorders>
            <w:shd w:val="clear" w:color="auto" w:fill="auto"/>
            <w:vAlign w:val="center"/>
          </w:tcPr>
          <w:p w14:paraId="67045ECA" w14:textId="77777777" w:rsidR="003E356D" w:rsidRPr="0081629E" w:rsidRDefault="003E356D" w:rsidP="00E7048A">
            <w:pPr>
              <w:pStyle w:val="table"/>
              <w:rPr>
                <w:rFonts w:cs="Times New Roman"/>
              </w:rPr>
            </w:pPr>
            <w:r w:rsidRPr="0081629E">
              <w:rPr>
                <w:rFonts w:cs="Times New Roman"/>
              </w:rPr>
              <w:t>31.5</w:t>
            </w:r>
          </w:p>
        </w:tc>
      </w:tr>
      <w:tr w:rsidR="003E356D" w:rsidRPr="0081629E" w14:paraId="2F890601" w14:textId="77777777" w:rsidTr="0081629E">
        <w:tc>
          <w:tcPr>
            <w:tcW w:w="9378" w:type="dxa"/>
            <w:gridSpan w:val="4"/>
            <w:tcBorders>
              <w:top w:val="single" w:sz="4" w:space="0" w:color="auto"/>
              <w:bottom w:val="single" w:sz="4" w:space="0" w:color="auto"/>
            </w:tcBorders>
            <w:shd w:val="clear" w:color="auto" w:fill="D0CECE"/>
            <w:vAlign w:val="center"/>
          </w:tcPr>
          <w:p w14:paraId="22A859C8" w14:textId="3A49B141" w:rsidR="003E356D" w:rsidRPr="0081629E" w:rsidRDefault="003E356D" w:rsidP="0081629E">
            <w:pPr>
              <w:pStyle w:val="table"/>
              <w:jc w:val="left"/>
              <w:rPr>
                <w:rFonts w:cs="Times New Roman"/>
                <w:b/>
              </w:rPr>
            </w:pPr>
            <w:r w:rsidRPr="0081629E">
              <w:rPr>
                <w:rFonts w:cs="Times New Roman"/>
                <w:b/>
              </w:rPr>
              <w:t>Cerebellar domain (CB)</w:t>
            </w:r>
            <w:r w:rsidR="00624829">
              <w:rPr>
                <w:rFonts w:cs="Times New Roman"/>
                <w:b/>
              </w:rPr>
              <w:t>: 4 ICNs</w:t>
            </w:r>
          </w:p>
        </w:tc>
      </w:tr>
      <w:tr w:rsidR="003E356D" w:rsidRPr="0081629E" w14:paraId="4519F666" w14:textId="77777777" w:rsidTr="0081629E">
        <w:tc>
          <w:tcPr>
            <w:tcW w:w="4878" w:type="dxa"/>
            <w:tcBorders>
              <w:top w:val="single" w:sz="4" w:space="0" w:color="auto"/>
              <w:bottom w:val="nil"/>
              <w:right w:val="nil"/>
            </w:tcBorders>
            <w:shd w:val="clear" w:color="auto" w:fill="auto"/>
            <w:vAlign w:val="center"/>
          </w:tcPr>
          <w:p w14:paraId="36B81E9E" w14:textId="707687FC" w:rsidR="003E356D" w:rsidRPr="0081629E" w:rsidRDefault="003E356D" w:rsidP="0081629E">
            <w:pPr>
              <w:pStyle w:val="table"/>
              <w:jc w:val="left"/>
              <w:rPr>
                <w:rFonts w:cs="Times New Roman"/>
              </w:rPr>
            </w:pPr>
            <w:r w:rsidRPr="0081629E">
              <w:rPr>
                <w:rFonts w:cs="Times New Roman"/>
              </w:rPr>
              <w:t xml:space="preserve">Cerebellum ([CB], </w:t>
            </w:r>
            <w:r w:rsidR="00B76005">
              <w:rPr>
                <w:rFonts w:cs="Times New Roman"/>
              </w:rPr>
              <w:t>50</w:t>
            </w:r>
            <w:r w:rsidRPr="0081629E">
              <w:rPr>
                <w:rFonts w:cs="Times New Roman"/>
              </w:rPr>
              <w:t>)</w:t>
            </w:r>
          </w:p>
        </w:tc>
        <w:tc>
          <w:tcPr>
            <w:tcW w:w="1620" w:type="dxa"/>
            <w:tcBorders>
              <w:top w:val="single" w:sz="4" w:space="0" w:color="auto"/>
              <w:left w:val="nil"/>
              <w:bottom w:val="nil"/>
              <w:right w:val="nil"/>
            </w:tcBorders>
            <w:shd w:val="clear" w:color="auto" w:fill="auto"/>
            <w:vAlign w:val="center"/>
          </w:tcPr>
          <w:p w14:paraId="507B6D76" w14:textId="77777777" w:rsidR="003E356D" w:rsidRPr="0081629E" w:rsidRDefault="003E356D" w:rsidP="00E7048A">
            <w:pPr>
              <w:pStyle w:val="table"/>
              <w:rPr>
                <w:rFonts w:cs="Times New Roman"/>
              </w:rPr>
            </w:pPr>
            <w:r w:rsidRPr="0081629E">
              <w:rPr>
                <w:rFonts w:cs="Times New Roman"/>
              </w:rPr>
              <w:t>-30.5</w:t>
            </w:r>
          </w:p>
        </w:tc>
        <w:tc>
          <w:tcPr>
            <w:tcW w:w="1530" w:type="dxa"/>
            <w:tcBorders>
              <w:top w:val="single" w:sz="4" w:space="0" w:color="auto"/>
              <w:left w:val="nil"/>
              <w:bottom w:val="nil"/>
              <w:right w:val="nil"/>
            </w:tcBorders>
            <w:shd w:val="clear" w:color="auto" w:fill="auto"/>
            <w:vAlign w:val="center"/>
          </w:tcPr>
          <w:p w14:paraId="2A232E72" w14:textId="77777777" w:rsidR="003E356D" w:rsidRPr="0081629E" w:rsidRDefault="003E356D" w:rsidP="00E7048A">
            <w:pPr>
              <w:pStyle w:val="table"/>
              <w:rPr>
                <w:rFonts w:cs="Times New Roman"/>
              </w:rPr>
            </w:pPr>
            <w:r w:rsidRPr="0081629E">
              <w:rPr>
                <w:rFonts w:cs="Times New Roman"/>
              </w:rPr>
              <w:t>-54.5</w:t>
            </w:r>
          </w:p>
        </w:tc>
        <w:tc>
          <w:tcPr>
            <w:tcW w:w="1350" w:type="dxa"/>
            <w:tcBorders>
              <w:top w:val="single" w:sz="4" w:space="0" w:color="auto"/>
              <w:left w:val="nil"/>
              <w:bottom w:val="nil"/>
            </w:tcBorders>
            <w:shd w:val="clear" w:color="auto" w:fill="auto"/>
            <w:vAlign w:val="center"/>
          </w:tcPr>
          <w:p w14:paraId="22B99871" w14:textId="77777777" w:rsidR="003E356D" w:rsidRPr="0081629E" w:rsidRDefault="003E356D" w:rsidP="00E7048A">
            <w:pPr>
              <w:pStyle w:val="table"/>
              <w:rPr>
                <w:rFonts w:cs="Times New Roman"/>
              </w:rPr>
            </w:pPr>
            <w:r w:rsidRPr="0081629E">
              <w:rPr>
                <w:rFonts w:cs="Times New Roman"/>
              </w:rPr>
              <w:t>-42.5</w:t>
            </w:r>
          </w:p>
        </w:tc>
      </w:tr>
      <w:tr w:rsidR="003E356D" w:rsidRPr="0081629E" w14:paraId="5621A12E" w14:textId="77777777" w:rsidTr="0081629E">
        <w:tc>
          <w:tcPr>
            <w:tcW w:w="4878" w:type="dxa"/>
            <w:tcBorders>
              <w:top w:val="nil"/>
              <w:bottom w:val="nil"/>
              <w:right w:val="nil"/>
            </w:tcBorders>
            <w:shd w:val="clear" w:color="auto" w:fill="auto"/>
            <w:vAlign w:val="center"/>
          </w:tcPr>
          <w:p w14:paraId="100E8E9C" w14:textId="3B3C6161" w:rsidR="003E356D" w:rsidRPr="0081629E" w:rsidRDefault="003E356D" w:rsidP="0081629E">
            <w:pPr>
              <w:pStyle w:val="table"/>
              <w:jc w:val="left"/>
              <w:rPr>
                <w:rFonts w:cs="Times New Roman"/>
              </w:rPr>
            </w:pPr>
            <w:r w:rsidRPr="0081629E">
              <w:rPr>
                <w:rFonts w:cs="Times New Roman"/>
              </w:rPr>
              <w:t xml:space="preserve">Cerebellum ([CB], </w:t>
            </w:r>
            <w:r w:rsidR="00B76005">
              <w:rPr>
                <w:rFonts w:cs="Times New Roman"/>
              </w:rPr>
              <w:t>51</w:t>
            </w:r>
            <w:r w:rsidRPr="0081629E">
              <w:rPr>
                <w:rFonts w:cs="Times New Roman"/>
              </w:rPr>
              <w:t>)</w:t>
            </w:r>
          </w:p>
        </w:tc>
        <w:tc>
          <w:tcPr>
            <w:tcW w:w="1620" w:type="dxa"/>
            <w:tcBorders>
              <w:top w:val="nil"/>
              <w:left w:val="nil"/>
              <w:bottom w:val="nil"/>
              <w:right w:val="nil"/>
            </w:tcBorders>
            <w:shd w:val="clear" w:color="auto" w:fill="auto"/>
            <w:vAlign w:val="center"/>
          </w:tcPr>
          <w:p w14:paraId="1981AB33" w14:textId="77777777" w:rsidR="003E356D" w:rsidRPr="0081629E" w:rsidRDefault="003E356D" w:rsidP="00E7048A">
            <w:pPr>
              <w:pStyle w:val="table"/>
              <w:rPr>
                <w:rFonts w:cs="Times New Roman"/>
              </w:rPr>
            </w:pPr>
            <w:r w:rsidRPr="0081629E">
              <w:rPr>
                <w:rFonts w:cs="Times New Roman"/>
              </w:rPr>
              <w:t>-32.5</w:t>
            </w:r>
          </w:p>
        </w:tc>
        <w:tc>
          <w:tcPr>
            <w:tcW w:w="1530" w:type="dxa"/>
            <w:tcBorders>
              <w:top w:val="nil"/>
              <w:left w:val="nil"/>
              <w:bottom w:val="nil"/>
              <w:right w:val="nil"/>
            </w:tcBorders>
            <w:shd w:val="clear" w:color="auto" w:fill="auto"/>
            <w:vAlign w:val="center"/>
          </w:tcPr>
          <w:p w14:paraId="1E9183AB" w14:textId="77777777" w:rsidR="003E356D" w:rsidRPr="0081629E" w:rsidRDefault="003E356D" w:rsidP="00E7048A">
            <w:pPr>
              <w:pStyle w:val="table"/>
              <w:rPr>
                <w:rFonts w:cs="Times New Roman"/>
              </w:rPr>
            </w:pPr>
            <w:r w:rsidRPr="0081629E">
              <w:rPr>
                <w:rFonts w:cs="Times New Roman"/>
              </w:rPr>
              <w:t>-79.5</w:t>
            </w:r>
          </w:p>
        </w:tc>
        <w:tc>
          <w:tcPr>
            <w:tcW w:w="1350" w:type="dxa"/>
            <w:tcBorders>
              <w:top w:val="nil"/>
              <w:left w:val="nil"/>
              <w:bottom w:val="nil"/>
            </w:tcBorders>
            <w:shd w:val="clear" w:color="auto" w:fill="auto"/>
            <w:vAlign w:val="center"/>
          </w:tcPr>
          <w:p w14:paraId="4F74FD2E" w14:textId="77777777" w:rsidR="003E356D" w:rsidRPr="0081629E" w:rsidRDefault="003E356D" w:rsidP="00E7048A">
            <w:pPr>
              <w:pStyle w:val="table"/>
              <w:rPr>
                <w:rFonts w:cs="Times New Roman"/>
              </w:rPr>
            </w:pPr>
            <w:r w:rsidRPr="0081629E">
              <w:rPr>
                <w:rFonts w:cs="Times New Roman"/>
              </w:rPr>
              <w:t>-37.5</w:t>
            </w:r>
          </w:p>
        </w:tc>
      </w:tr>
      <w:tr w:rsidR="003E356D" w:rsidRPr="0081629E" w14:paraId="7674476F" w14:textId="77777777" w:rsidTr="0081629E">
        <w:tc>
          <w:tcPr>
            <w:tcW w:w="4878" w:type="dxa"/>
            <w:tcBorders>
              <w:top w:val="nil"/>
              <w:bottom w:val="nil"/>
              <w:right w:val="nil"/>
            </w:tcBorders>
            <w:shd w:val="clear" w:color="auto" w:fill="auto"/>
            <w:vAlign w:val="center"/>
          </w:tcPr>
          <w:p w14:paraId="633148E3" w14:textId="3C3C4097" w:rsidR="003E356D" w:rsidRPr="0081629E" w:rsidRDefault="003E356D" w:rsidP="0081629E">
            <w:pPr>
              <w:pStyle w:val="table"/>
              <w:jc w:val="left"/>
              <w:rPr>
                <w:rFonts w:cs="Times New Roman"/>
              </w:rPr>
            </w:pPr>
            <w:r w:rsidRPr="0081629E">
              <w:rPr>
                <w:rFonts w:cs="Times New Roman"/>
              </w:rPr>
              <w:t xml:space="preserve">Cerebellum ([CB], </w:t>
            </w:r>
            <w:r w:rsidR="00B76005">
              <w:rPr>
                <w:rFonts w:cs="Times New Roman"/>
              </w:rPr>
              <w:t>52</w:t>
            </w:r>
            <w:r w:rsidRPr="0081629E">
              <w:rPr>
                <w:rFonts w:cs="Times New Roman"/>
              </w:rPr>
              <w:t>)</w:t>
            </w:r>
          </w:p>
        </w:tc>
        <w:tc>
          <w:tcPr>
            <w:tcW w:w="1620" w:type="dxa"/>
            <w:tcBorders>
              <w:top w:val="nil"/>
              <w:left w:val="nil"/>
              <w:bottom w:val="nil"/>
              <w:right w:val="nil"/>
            </w:tcBorders>
            <w:shd w:val="clear" w:color="auto" w:fill="auto"/>
            <w:vAlign w:val="center"/>
          </w:tcPr>
          <w:p w14:paraId="74C60ADF" w14:textId="77777777" w:rsidR="003E356D" w:rsidRPr="0081629E" w:rsidRDefault="003E356D" w:rsidP="00E7048A">
            <w:pPr>
              <w:pStyle w:val="table"/>
              <w:rPr>
                <w:rFonts w:cs="Times New Roman"/>
              </w:rPr>
            </w:pPr>
            <w:r w:rsidRPr="0081629E">
              <w:rPr>
                <w:rFonts w:cs="Times New Roman"/>
              </w:rPr>
              <w:t>20.5</w:t>
            </w:r>
          </w:p>
        </w:tc>
        <w:tc>
          <w:tcPr>
            <w:tcW w:w="1530" w:type="dxa"/>
            <w:tcBorders>
              <w:top w:val="nil"/>
              <w:left w:val="nil"/>
              <w:bottom w:val="nil"/>
              <w:right w:val="nil"/>
            </w:tcBorders>
            <w:shd w:val="clear" w:color="auto" w:fill="auto"/>
            <w:vAlign w:val="center"/>
          </w:tcPr>
          <w:p w14:paraId="6C9C081E" w14:textId="77777777" w:rsidR="003E356D" w:rsidRPr="0081629E" w:rsidRDefault="003E356D" w:rsidP="00E7048A">
            <w:pPr>
              <w:pStyle w:val="table"/>
              <w:rPr>
                <w:rFonts w:cs="Times New Roman"/>
              </w:rPr>
            </w:pPr>
            <w:r w:rsidRPr="0081629E">
              <w:rPr>
                <w:rFonts w:cs="Times New Roman"/>
              </w:rPr>
              <w:t>-48.5</w:t>
            </w:r>
          </w:p>
        </w:tc>
        <w:tc>
          <w:tcPr>
            <w:tcW w:w="1350" w:type="dxa"/>
            <w:tcBorders>
              <w:top w:val="nil"/>
              <w:left w:val="nil"/>
              <w:bottom w:val="nil"/>
            </w:tcBorders>
            <w:shd w:val="clear" w:color="auto" w:fill="auto"/>
            <w:vAlign w:val="center"/>
          </w:tcPr>
          <w:p w14:paraId="38F05186" w14:textId="77777777" w:rsidR="003E356D" w:rsidRPr="0081629E" w:rsidRDefault="003E356D" w:rsidP="00E7048A">
            <w:pPr>
              <w:pStyle w:val="table"/>
              <w:rPr>
                <w:rFonts w:cs="Times New Roman"/>
              </w:rPr>
            </w:pPr>
            <w:r w:rsidRPr="0081629E">
              <w:rPr>
                <w:rFonts w:cs="Times New Roman"/>
              </w:rPr>
              <w:t>-40.5</w:t>
            </w:r>
          </w:p>
        </w:tc>
      </w:tr>
      <w:tr w:rsidR="003E356D" w:rsidRPr="0081629E" w14:paraId="2F3AF09D" w14:textId="77777777" w:rsidTr="0081629E">
        <w:tc>
          <w:tcPr>
            <w:tcW w:w="4878" w:type="dxa"/>
            <w:tcBorders>
              <w:top w:val="nil"/>
              <w:bottom w:val="thickThinSmallGap" w:sz="24" w:space="0" w:color="auto"/>
              <w:right w:val="nil"/>
            </w:tcBorders>
            <w:shd w:val="clear" w:color="auto" w:fill="auto"/>
          </w:tcPr>
          <w:p w14:paraId="65E571A5" w14:textId="095B4B9A" w:rsidR="003E356D" w:rsidRPr="0081629E" w:rsidRDefault="003E356D" w:rsidP="0081629E">
            <w:pPr>
              <w:pStyle w:val="table"/>
              <w:jc w:val="left"/>
              <w:rPr>
                <w:rFonts w:cs="Times New Roman"/>
              </w:rPr>
            </w:pPr>
            <w:r w:rsidRPr="0081629E">
              <w:rPr>
                <w:rFonts w:cs="Times New Roman"/>
              </w:rPr>
              <w:t xml:space="preserve">Cerebellum ([CB], </w:t>
            </w:r>
            <w:r w:rsidR="00B76005">
              <w:rPr>
                <w:rFonts w:cs="Times New Roman"/>
              </w:rPr>
              <w:t>53</w:t>
            </w:r>
            <w:r w:rsidRPr="0081629E">
              <w:rPr>
                <w:rFonts w:cs="Times New Roman"/>
              </w:rPr>
              <w:t>)</w:t>
            </w:r>
          </w:p>
        </w:tc>
        <w:tc>
          <w:tcPr>
            <w:tcW w:w="1620" w:type="dxa"/>
            <w:tcBorders>
              <w:top w:val="nil"/>
              <w:left w:val="nil"/>
              <w:bottom w:val="thickThinSmallGap" w:sz="24" w:space="0" w:color="auto"/>
              <w:right w:val="nil"/>
            </w:tcBorders>
            <w:shd w:val="clear" w:color="auto" w:fill="auto"/>
          </w:tcPr>
          <w:p w14:paraId="2E45BEC1" w14:textId="77777777" w:rsidR="003E356D" w:rsidRPr="0081629E" w:rsidRDefault="003E356D" w:rsidP="00E7048A">
            <w:pPr>
              <w:pStyle w:val="table"/>
              <w:rPr>
                <w:rFonts w:cs="Times New Roman"/>
              </w:rPr>
            </w:pPr>
            <w:r w:rsidRPr="0081629E">
              <w:rPr>
                <w:rFonts w:cs="Times New Roman"/>
              </w:rPr>
              <w:t>30.5</w:t>
            </w:r>
          </w:p>
        </w:tc>
        <w:tc>
          <w:tcPr>
            <w:tcW w:w="1530" w:type="dxa"/>
            <w:tcBorders>
              <w:top w:val="nil"/>
              <w:left w:val="nil"/>
              <w:bottom w:val="thickThinSmallGap" w:sz="24" w:space="0" w:color="auto"/>
              <w:right w:val="nil"/>
            </w:tcBorders>
            <w:shd w:val="clear" w:color="auto" w:fill="auto"/>
          </w:tcPr>
          <w:p w14:paraId="44B3B699" w14:textId="77777777" w:rsidR="003E356D" w:rsidRPr="0081629E" w:rsidRDefault="003E356D" w:rsidP="00E7048A">
            <w:pPr>
              <w:pStyle w:val="table"/>
              <w:rPr>
                <w:rFonts w:cs="Times New Roman"/>
              </w:rPr>
            </w:pPr>
            <w:r w:rsidRPr="0081629E">
              <w:rPr>
                <w:rFonts w:cs="Times New Roman"/>
              </w:rPr>
              <w:t>-63.5</w:t>
            </w:r>
          </w:p>
        </w:tc>
        <w:tc>
          <w:tcPr>
            <w:tcW w:w="1350" w:type="dxa"/>
            <w:tcBorders>
              <w:top w:val="nil"/>
              <w:left w:val="nil"/>
              <w:bottom w:val="thickThinSmallGap" w:sz="24" w:space="0" w:color="auto"/>
            </w:tcBorders>
            <w:shd w:val="clear" w:color="auto" w:fill="auto"/>
          </w:tcPr>
          <w:p w14:paraId="3D70E62C" w14:textId="77777777" w:rsidR="003E356D" w:rsidRPr="0081629E" w:rsidRDefault="003E356D" w:rsidP="00E7048A">
            <w:pPr>
              <w:pStyle w:val="table"/>
              <w:rPr>
                <w:rFonts w:cs="Times New Roman"/>
              </w:rPr>
            </w:pPr>
            <w:r w:rsidRPr="0081629E">
              <w:rPr>
                <w:rFonts w:cs="Times New Roman"/>
              </w:rPr>
              <w:t>-40.5</w:t>
            </w:r>
          </w:p>
        </w:tc>
      </w:tr>
    </w:tbl>
    <w:p w14:paraId="56C25E0C" w14:textId="759D0960" w:rsidR="008A4A76" w:rsidRPr="004E7C73" w:rsidRDefault="00393624" w:rsidP="00532ADA">
      <w:pPr>
        <w:pStyle w:val="figure"/>
        <w:rPr>
          <w:rFonts w:ascii="Times New Roman" w:hAnsi="Times New Roman" w:cs="Times New Roman"/>
        </w:rPr>
      </w:pPr>
      <w:r>
        <w:lastRenderedPageBreak/>
        <w:pict w14:anchorId="23260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40pt">
            <v:imagedata r:id="rId6" o:title=""/>
          </v:shape>
        </w:pict>
      </w:r>
    </w:p>
    <w:p w14:paraId="20F33374" w14:textId="742244AB" w:rsidR="007A00A6" w:rsidRPr="00792C97" w:rsidRDefault="00184B7B" w:rsidP="00792C97">
      <w:pPr>
        <w:pStyle w:val="figuretitle"/>
        <w:rPr>
          <w:rFonts w:cs="Times New Roman"/>
        </w:rPr>
      </w:pPr>
      <w:r w:rsidRPr="004E7C73">
        <w:rPr>
          <w:rFonts w:cs="Times New Roman"/>
          <w:b/>
        </w:rPr>
        <w:t>Spatial map</w:t>
      </w:r>
      <w:r w:rsidR="00932B3A">
        <w:rPr>
          <w:rFonts w:cs="Times New Roman"/>
          <w:b/>
        </w:rPr>
        <w:t>s</w:t>
      </w:r>
      <w:r w:rsidRPr="004E7C73">
        <w:rPr>
          <w:rFonts w:cs="Times New Roman"/>
          <w:b/>
        </w:rPr>
        <w:t xml:space="preserve"> of </w:t>
      </w:r>
      <w:r w:rsidR="00606258">
        <w:rPr>
          <w:rFonts w:cs="Times New Roman"/>
          <w:b/>
        </w:rPr>
        <w:t>ICNs</w:t>
      </w:r>
      <w:r w:rsidR="00932B3A">
        <w:rPr>
          <w:rFonts w:cs="Times New Roman"/>
          <w:b/>
        </w:rPr>
        <w:t xml:space="preserve"> from </w:t>
      </w:r>
      <w:r w:rsidR="00BF0672">
        <w:rPr>
          <w:rFonts w:cs="Times New Roman"/>
          <w:b/>
        </w:rPr>
        <w:t>the NeuroMark 1.0 functional template</w:t>
      </w:r>
      <w:r w:rsidR="008A4A76" w:rsidRPr="004E7C73">
        <w:rPr>
          <w:rFonts w:cs="Times New Roman"/>
          <w:b/>
        </w:rPr>
        <w:t>.</w:t>
      </w:r>
      <w:r w:rsidR="008A4A76" w:rsidRPr="004E7C73">
        <w:rPr>
          <w:rFonts w:cs="Times New Roman"/>
        </w:rPr>
        <w:t xml:space="preserve"> ICNs are </w:t>
      </w:r>
      <w:r w:rsidR="00932B3A">
        <w:rPr>
          <w:rFonts w:cs="Times New Roman"/>
        </w:rPr>
        <w:t>assigned</w:t>
      </w:r>
      <w:r w:rsidR="008A4A76" w:rsidRPr="004E7C73">
        <w:rPr>
          <w:rFonts w:cs="Times New Roman"/>
        </w:rPr>
        <w:t xml:space="preserve"> into </w:t>
      </w:r>
      <w:r w:rsidR="000740D0">
        <w:rPr>
          <w:rFonts w:cs="Times New Roman"/>
        </w:rPr>
        <w:t>seven functional</w:t>
      </w:r>
      <w:r w:rsidR="008A4A76" w:rsidRPr="004E7C73">
        <w:rPr>
          <w:rFonts w:cs="Times New Roman"/>
        </w:rPr>
        <w:t xml:space="preserve"> domain</w:t>
      </w:r>
      <w:r w:rsidR="000740D0">
        <w:rPr>
          <w:rFonts w:cs="Times New Roman"/>
        </w:rPr>
        <w:t>s</w:t>
      </w:r>
      <w:r w:rsidR="00932B3A">
        <w:rPr>
          <w:rFonts w:cs="Times New Roman"/>
        </w:rPr>
        <w:t xml:space="preserve"> </w:t>
      </w:r>
      <w:r w:rsidR="008A4A76" w:rsidRPr="004E7C73">
        <w:rPr>
          <w:rFonts w:cs="Times New Roman"/>
        </w:rPr>
        <w:t>and are thresholded at |</w:t>
      </w:r>
      <w:r w:rsidR="008A4A76" w:rsidRPr="004E7C73">
        <w:rPr>
          <w:rFonts w:cs="Times New Roman"/>
          <w:i/>
        </w:rPr>
        <w:t>t</w:t>
      </w:r>
      <w:r w:rsidR="008A4A76" w:rsidRPr="004E7C73">
        <w:rPr>
          <w:rFonts w:cs="Times New Roman"/>
        </w:rPr>
        <w:t xml:space="preserve">|&gt;10, where one-sample t-statistics have been computed across the single-subject </w:t>
      </w:r>
      <w:r w:rsidRPr="004E7C73">
        <w:rPr>
          <w:rFonts w:cs="Times New Roman"/>
        </w:rPr>
        <w:t>spatial map</w:t>
      </w:r>
      <w:r w:rsidR="008A4A76" w:rsidRPr="004E7C73">
        <w:rPr>
          <w:rFonts w:cs="Times New Roman"/>
        </w:rPr>
        <w:t>s. Sagittal, coronal, and axial slices are shown at the maximal t-statistic for clusters larger than 3 cm</w:t>
      </w:r>
      <w:r w:rsidR="008A4A76" w:rsidRPr="004E7C73">
        <w:rPr>
          <w:rFonts w:cs="Times New Roman"/>
          <w:vertAlign w:val="superscript"/>
        </w:rPr>
        <w:t>3</w:t>
      </w:r>
      <w:r w:rsidR="008A4A76" w:rsidRPr="004E7C73">
        <w:rPr>
          <w:rFonts w:cs="Times New Roman"/>
        </w:rPr>
        <w:t>.</w:t>
      </w:r>
      <w:r w:rsidR="007A00A6" w:rsidRPr="007A00A6">
        <w:rPr>
          <w:bCs/>
        </w:rPr>
        <w:t xml:space="preserve"> </w:t>
      </w:r>
    </w:p>
    <w:p w14:paraId="1C54A6AE" w14:textId="49783BDF" w:rsidR="007A00A6" w:rsidRPr="003B1C41" w:rsidRDefault="00A2599F" w:rsidP="007A00A6">
      <w:pPr>
        <w:pStyle w:val="Heading1"/>
      </w:pPr>
      <w:r>
        <w:rPr>
          <w:rFonts w:hint="eastAsia"/>
        </w:rPr>
        <w:t>UK Biobank Cognitive</w:t>
      </w:r>
      <w:r w:rsidR="00841176">
        <w:t xml:space="preserve"> Assessments</w:t>
      </w:r>
    </w:p>
    <w:p w14:paraId="768B15CF" w14:textId="4EB3EB8E" w:rsidR="00792C97" w:rsidRDefault="00231146" w:rsidP="00231146">
      <w:r w:rsidRPr="00231146">
        <w:rPr>
          <w:rStyle w:val="Emphasis"/>
          <w:i w:val="0"/>
          <w:iCs w:val="0"/>
        </w:rPr>
        <w:t>The UKB cognitive assessment battery comprises a range of tasks designed to evaluate cognitive functioning across multiple domains, including executive function, memory, reasoning, and vocabulary—domains that may be relevant to cannabis use and its potential neurocognitive correlates</w:t>
      </w:r>
      <w:r w:rsidR="002075BA">
        <w:rPr>
          <w:rStyle w:val="Emphasis"/>
          <w:i w:val="0"/>
          <w:iCs w:val="0"/>
        </w:rPr>
        <w:fldChar w:fldCharType="begin" w:fldLock="1"/>
      </w:r>
      <w:r w:rsidR="00393624">
        <w:rPr>
          <w:rStyle w:val="Emphasis"/>
          <w:i w:val="0"/>
          <w:iCs w:val="0"/>
        </w:rPr>
        <w:instrText>ADDIN CSL_CITATION {"citationItems":[{"id":"ITEM-1","itemData":{"DOI":"10.1371/journal.pone.0231627","ISBN":"1111111111","ISSN":"19326203","PMID":"32310977","abstract":"UK Biobank is a health resource with data from over 500,000 adults. The cognitive assessment in UK Biobank is brief and bespoke, and is administered without supervision on a touchscreen computer. Psychometric information on the UK Biobank cognitive tests are limited. Despite the non-standard nature of these tests and the limited psychometric information, the UK Biobank cognitive data have been used in numerous scientific publications. The present study examined the validity and short-term test-retest reliability of the UK Biobank cognitive tests. A sample of 160 participants (mean age = 62.59, SD = 10.24) was recruited who completed the UK Biobank cognitive assessment and a range of well-validated cognitive tests (‘reference tests’). Fifty-two participants returned 4 weeks later to repeat the UK Biobank tests. Correlations were calculated between UK Biobank tests and reference tests. Two measures of general cognitive ability were created by entering scores on the UK Biobank cognitive tests, and scores on the reference tests, respectively, into separate principal component analyses and saving scores on the first principal component. Four-week test-retest correlations were calculated for UK Biobank tests. UK Biobank cognitive tests showed a range of correlations with their respective reference tests, i.e. those tests that are thought to asse</w:instrText>
      </w:r>
      <w:r w:rsidR="00393624">
        <w:rPr>
          <w:rStyle w:val="Emphasis"/>
          <w:rFonts w:hint="eastAsia"/>
          <w:i w:val="0"/>
          <w:iCs w:val="0"/>
        </w:rPr>
        <w:instrText>ss the same underlying cognitive ability (mean Pearson r = 0.53, range = 0.22 to 0.83, p</w:instrText>
      </w:r>
      <w:r w:rsidR="00393624">
        <w:rPr>
          <w:rStyle w:val="Emphasis"/>
          <w:rFonts w:hint="eastAsia"/>
          <w:i w:val="0"/>
          <w:iCs w:val="0"/>
        </w:rPr>
        <w:instrText>≤</w:instrText>
      </w:r>
      <w:r w:rsidR="00393624">
        <w:rPr>
          <w:rStyle w:val="Emphasis"/>
          <w:rFonts w:hint="eastAsia"/>
          <w:i w:val="0"/>
          <w:iCs w:val="0"/>
        </w:rPr>
        <w:instrText>.005). The measure of general cognitive ability based on the UK Biobank cognitive tests correlated at r = 0.83 (p &lt; .001) with a measure of general cognitive ability created using the reference tests. Four-week test-retest reliability of the UK Biobank tests were moderate-to-high (mean Pearson r = 0.55, range = 0.40 to 0.89, p</w:instrText>
      </w:r>
      <w:r w:rsidR="00393624">
        <w:rPr>
          <w:rStyle w:val="Emphasis"/>
          <w:rFonts w:hint="eastAsia"/>
          <w:i w:val="0"/>
          <w:iCs w:val="0"/>
        </w:rPr>
        <w:instrText>≤</w:instrText>
      </w:r>
      <w:r w:rsidR="00393624">
        <w:rPr>
          <w:rStyle w:val="Emphasis"/>
          <w:rFonts w:hint="eastAsia"/>
          <w:i w:val="0"/>
          <w:iCs w:val="0"/>
        </w:rPr>
        <w:instrText xml:space="preserve">.003). Despite the brief, non-standard nature of the UK Biobank cognitive tests, some tests </w:instrText>
      </w:r>
      <w:r w:rsidR="00393624">
        <w:rPr>
          <w:rStyle w:val="Emphasis"/>
          <w:i w:val="0"/>
          <w:iCs w:val="0"/>
        </w:rPr>
        <w:instrText>showed substantial concurrent validity and test-retest reliability. These psychometric results provide currently-lacking information on the validity of the UK Biobank cognitive tests.","author":[{"dropping-particle":"","family":"Fawns-Ritchie","given":"Chloe","non-dropping-particle":"","parse-names":false,"suffix":""},{"dropping-particle":"","family":"Deary","given":"Ian J.","non-dropping-particle":"","parse-names":false,"suffix":""}],"container-title":"PLoS ONE","id":"ITEM-1","issue":"4","issued":{"date-parts":[["2020","4","1"]]},"publisher":"Public Library of Science","title":"Reliability and validity of the UK Biobank cognitive tests","type":"article-journal","volume":"15"},"uris":["http://www.mendeley.com/documents/?uuid=fcb37ebd-b322-3e09-a1e4-5312c75be001"]}],"mendeley":{"formattedCitation":"&lt;sup&gt;28&lt;/sup&gt;","plainTextFormattedCitation":"28","previouslyFormattedCitation":"[28]"},"properties":{"noteIndex":0},"schema":"https://github.com/citation-style-language/schema/raw/master/csl-citation.json"}</w:instrText>
      </w:r>
      <w:r w:rsidR="002075BA">
        <w:rPr>
          <w:rStyle w:val="Emphasis"/>
          <w:i w:val="0"/>
          <w:iCs w:val="0"/>
        </w:rPr>
        <w:fldChar w:fldCharType="separate"/>
      </w:r>
      <w:r w:rsidR="00393624" w:rsidRPr="00393624">
        <w:rPr>
          <w:rStyle w:val="Emphasis"/>
          <w:i w:val="0"/>
          <w:iCs w:val="0"/>
          <w:noProof/>
          <w:vertAlign w:val="superscript"/>
        </w:rPr>
        <w:t>28</w:t>
      </w:r>
      <w:r w:rsidR="002075BA">
        <w:rPr>
          <w:rStyle w:val="Emphasis"/>
          <w:i w:val="0"/>
          <w:iCs w:val="0"/>
        </w:rPr>
        <w:fldChar w:fldCharType="end"/>
      </w:r>
      <w:r w:rsidRPr="00231146">
        <w:rPr>
          <w:rStyle w:val="Emphasis"/>
          <w:i w:val="0"/>
          <w:iCs w:val="0"/>
        </w:rPr>
        <w:t>. For the present study, we focused on nine cognitive tasks with sufficient coverage and relevance to our research objectives: (1) reaction time test, (2) fluid intelligence test, (3) numeric memory test, (4) trail-making test, (5) symbol digit substitution test, (6) picture vocabulary test, (7) paired associate learning test, (8) tower rearranging test, and (9) matrix pattern completion test.</w:t>
      </w:r>
      <w:r>
        <w:rPr>
          <w:rStyle w:val="Emphasis"/>
          <w:rFonts w:hint="eastAsia"/>
          <w:i w:val="0"/>
          <w:iCs w:val="0"/>
        </w:rPr>
        <w:t xml:space="preserve"> </w:t>
      </w:r>
      <w:r w:rsidRPr="00231146">
        <w:rPr>
          <w:rStyle w:val="Emphasis"/>
          <w:i w:val="0"/>
          <w:iCs w:val="0"/>
        </w:rPr>
        <w:t>We excluded the pair matching and prospective memory tasks from our analyses due to an insufficient number of valid observations in these tests for the target population, limiting their utility for the current investigation.</w:t>
      </w:r>
      <w:r w:rsidR="00B80276">
        <w:rPr>
          <w:rFonts w:hint="eastAsia"/>
        </w:rPr>
        <w:t xml:space="preserve"> </w:t>
      </w:r>
    </w:p>
    <w:p w14:paraId="39A78D36" w14:textId="0A1D4383" w:rsidR="00231146" w:rsidRDefault="001D6827" w:rsidP="00231146">
      <w:pPr>
        <w:rPr>
          <w:rStyle w:val="Emphasis"/>
          <w:i w:val="0"/>
          <w:iCs w:val="0"/>
        </w:rPr>
      </w:pPr>
      <w:r w:rsidRPr="001D6827">
        <w:rPr>
          <w:rStyle w:val="Emphasis"/>
          <w:i w:val="0"/>
          <w:iCs w:val="0"/>
        </w:rPr>
        <w:t xml:space="preserve">The reaction time test implemented a Go/No-Go paradigm to assess participants' processing speed and motor response latency. During the task, participants were presented with two cards, each displaying a symbol. The symbols were either identical (match condition) or different (non-match condition). Participants were instructed to respond as quickly as possible by pressing a </w:t>
      </w:r>
      <w:r w:rsidRPr="001D6827">
        <w:rPr>
          <w:rStyle w:val="Emphasis"/>
          <w:i w:val="0"/>
          <w:iCs w:val="0"/>
        </w:rPr>
        <w:lastRenderedPageBreak/>
        <w:t>button on a desk-mounted response box only when the symbols matched. For this study, we focused on the metric "Duration to first press of snap-button in each round" (Data Field 404), which quantifies the reaction time in milliseconds. Shorter response times were interpreted as indicative of better cognitive performance in this domain.</w:t>
      </w:r>
    </w:p>
    <w:p w14:paraId="4E9BB3D6" w14:textId="3B61C429" w:rsidR="001D6827" w:rsidRDefault="00C74001" w:rsidP="00C74001">
      <w:pPr>
        <w:rPr>
          <w:rStyle w:val="Emphasis"/>
          <w:i w:val="0"/>
          <w:iCs w:val="0"/>
        </w:rPr>
      </w:pPr>
      <w:r w:rsidRPr="00C74001">
        <w:rPr>
          <w:rStyle w:val="Emphasis"/>
          <w:i w:val="0"/>
          <w:iCs w:val="0"/>
        </w:rPr>
        <w:t>The fluid intelligence test evaluated participants' verbal and numerical reasoning abilities through a series of 13 multiple-choice questions. For each item, participants selected the response they believed to be correct or, alternatively, could choose “Do not know” or “Prefer not to answer.”</w:t>
      </w:r>
      <w:r>
        <w:rPr>
          <w:rStyle w:val="Emphasis"/>
          <w:rFonts w:hint="eastAsia"/>
          <w:i w:val="0"/>
          <w:iCs w:val="0"/>
        </w:rPr>
        <w:t xml:space="preserve"> </w:t>
      </w:r>
      <w:r w:rsidRPr="00C74001">
        <w:rPr>
          <w:rStyle w:val="Emphasis"/>
          <w:i w:val="0"/>
          <w:iCs w:val="0"/>
        </w:rPr>
        <w:t xml:space="preserve">In this study, we utilized the total fluid intelligence score (Data Field 20016), defined as the number of correct responses provided within a two-minute time limit. This score served as a quantitative measure of fluid reasoning ability, with higher scores indicating </w:t>
      </w:r>
      <w:r>
        <w:rPr>
          <w:rStyle w:val="Emphasis"/>
          <w:rFonts w:hint="eastAsia"/>
          <w:i w:val="0"/>
          <w:iCs w:val="0"/>
        </w:rPr>
        <w:t>better</w:t>
      </w:r>
      <w:r w:rsidRPr="00C74001">
        <w:rPr>
          <w:rStyle w:val="Emphasis"/>
          <w:i w:val="0"/>
          <w:iCs w:val="0"/>
        </w:rPr>
        <w:t xml:space="preserve"> cognitive performance in this domain.</w:t>
      </w:r>
    </w:p>
    <w:p w14:paraId="535D6AAE" w14:textId="7F905E8C" w:rsidR="001B57EB" w:rsidRDefault="00BB7604" w:rsidP="00231146">
      <w:r w:rsidRPr="00BB7604">
        <w:t>The numeric memory test is a computerized backward digit span task designed to assess working memory capacity. Participants were briefly presented with a two-digit number on the screen. Following a short delay, they were instructed to recall and enter the digits in reverse order using an on-screen keypad. With each correct response, the length of the digit sequence increased by one, progressively challenging the participant's working memory. For this study, we focused on the maximum number of digits recalled correctly (Data-Field 4282). This measure reflects the participant's peak working memory span, with higher values indicating better memory performance.</w:t>
      </w:r>
      <w:r>
        <w:rPr>
          <w:rFonts w:hint="eastAsia"/>
        </w:rPr>
        <w:t xml:space="preserve"> </w:t>
      </w:r>
    </w:p>
    <w:p w14:paraId="6863D988" w14:textId="6C1DE2F1" w:rsidR="00BB7604" w:rsidRDefault="00C31B9F" w:rsidP="00231146">
      <w:r w:rsidRPr="00C31B9F">
        <w:t>The trail-making test used in this study is a computerized adaptation of the Halstead-Reitan Trail Making Test, a widely used measure of executive function, particularly cognitive flexibility, visual attention, and task switching. The test comprises two parts: Trail A (numeric sequencing) and Trail B (alphanumeric switching). Each part is preceded by a brief practice trial to ensure participant understanding. Participants were instructed to sequentially select numbers (Trail A) or alternate between numbers and letters (Trail B) as quickly and accurately as possible by interacting with on-screen elements. For this study, we examined the average number of errors of "Total errors traversing numeric path (Trail #1)"</w:t>
      </w:r>
      <w:r w:rsidR="00E339C2">
        <w:rPr>
          <w:rFonts w:hint="eastAsia"/>
        </w:rPr>
        <w:t xml:space="preserve"> </w:t>
      </w:r>
      <w:r w:rsidR="00E339C2" w:rsidRPr="00BB7604">
        <w:t xml:space="preserve">(Data-Field </w:t>
      </w:r>
      <w:r w:rsidR="00E339C2">
        <w:rPr>
          <w:rFonts w:hint="eastAsia"/>
        </w:rPr>
        <w:t>6349</w:t>
      </w:r>
      <w:r w:rsidR="00E339C2" w:rsidRPr="00BB7604">
        <w:t>)</w:t>
      </w:r>
      <w:r w:rsidRPr="00C31B9F">
        <w:t xml:space="preserve"> and "Total errors traversing alphanumeric path (Trail #2)"</w:t>
      </w:r>
      <w:r w:rsidR="00E339C2">
        <w:rPr>
          <w:rFonts w:hint="eastAsia"/>
        </w:rPr>
        <w:t xml:space="preserve"> </w:t>
      </w:r>
      <w:r w:rsidR="00E339C2" w:rsidRPr="00BB7604">
        <w:t xml:space="preserve">(Data-Field </w:t>
      </w:r>
      <w:r w:rsidR="00E339C2">
        <w:rPr>
          <w:rFonts w:hint="eastAsia"/>
        </w:rPr>
        <w:t>6351</w:t>
      </w:r>
      <w:r w:rsidR="00E339C2" w:rsidRPr="00BB7604">
        <w:t>)</w:t>
      </w:r>
      <w:r w:rsidR="00E339C2">
        <w:rPr>
          <w:rFonts w:hint="eastAsia"/>
        </w:rPr>
        <w:t>.</w:t>
      </w:r>
      <w:r w:rsidRPr="00C31B9F">
        <w:t xml:space="preserve"> Fewer errors on these measures were interpreted as indicative of better executive functioning.</w:t>
      </w:r>
      <w:r w:rsidR="000100B3">
        <w:rPr>
          <w:rFonts w:hint="eastAsia"/>
        </w:rPr>
        <w:t xml:space="preserve"> </w:t>
      </w:r>
    </w:p>
    <w:p w14:paraId="5E07C0F9" w14:textId="37F56497" w:rsidR="00931591" w:rsidRDefault="00E7433C" w:rsidP="00231146">
      <w:r w:rsidRPr="00E7433C">
        <w:t xml:space="preserve">The symbol digit substitution test measures cognitive processing speed and associative learning. In this test, participants are shown a reference key with pairs of symbols and their </w:t>
      </w:r>
      <w:r w:rsidRPr="00E7433C">
        <w:lastRenderedPageBreak/>
        <w:t>corresponding numbers (symbols on the top row and numbers on the bottom row). Below the key, a sequence of symbols appears, and participants must enter the number associated with each symbol using an on-screen keypad. For this study, we assessed performance by calculating the ratio of correctly matched symbol–digit pairs (Data Field 23324) to the total number of attempted matches (Data Field 23323). This accuracy ratio serves as an index of processing efficiency, with values close to 1 indicating higher performance.</w:t>
      </w:r>
    </w:p>
    <w:p w14:paraId="677C3CE7" w14:textId="73A49E07" w:rsidR="00330FEF" w:rsidRDefault="002153DB" w:rsidP="002153DB">
      <w:r>
        <w:t>The picture vocabulary test assesses receptive vocabulary and language comprehension. It is an adapted version of the NIH Toolbox Picture Vocabulary Test</w:t>
      </w:r>
      <w:r>
        <w:fldChar w:fldCharType="begin" w:fldLock="1"/>
      </w:r>
      <w:r w:rsidR="00393624">
        <w:instrText>ADDIN CSL_CITATION {"citationItems":[{"id":"ITEM-1","itemData":{"DOI":"10.1212/wnl.0b013e3182872ded","ISSN":"1526632X","PMID":"23479546","abstract":"Cognition is 1 of 4 domains measured by the NIH Toolbox for the Assessment of Neurological and Behavioral Function (NIH-TB), and complements modules testing motor function, sensation, and emotion. On the basis of expert panels, the cognition subdomains identified as most important for health, success in school and work, and independence in daily functioning were Executive Function, Episodic Memory, Language, Processing Speed, Working Memory, and Attention. Seven measures were designed to tap constructs within these subdomains. The instruments were validated in English, in a sample of 476 participants ranging in age from 3 to 85 years, with representation from both sexes, 3 racial/ethnic categories, and 3 levels of education. This report describes the development of the Cognition Battery and presents results on test-retest reliability, age effects on performance, and convergent and discriminant construct validity. The NIH-TB Cognition Battery is intended to serve as a brief, convenient set of measures to supplement other outcome measures in epidemiologic and longitudinal research and clinical trials. With a computerized format and national standardization, this battery will provide a \"common currency\" among researchers for comparisons across a wide range of studies and populations.","author":[{"dropping-particle":"","family":"Weintraub","given":"Sandra","non-dropping-particle":"","parse-names":false,"suffix":""},{"dropping-particle":"","family":"Dikmen","given":"Sureyya S.","non-dropping-particle":"","parse-names":false,"suffix":""},{"dropping-particle":"","family":"Heaton","given":"Robert K.","non-dropping-particle":"","parse-names":false,"suffix":""},{"dropping-particle":"","family":"Tulsky","given":"David S.","non-dropping-particle":"","parse-names":false,"suffix":""},{"dropping-particle":"","family":"Zelazo","given":"Philip D.","non-dropping-particle":"","parse-names":false,"suffix":""},{"dropping-particle":"","family":"Bauer","given":"Patricia J.","non-dropping-particle":"","parse-names":false,"suffix":""},{"dropping-particle":"","family":"Carlozzi","given":"Noelle E.","non-dropping-particle":"","parse-names":false,"suffix":""},{"dropping-particle":"","family":"Slotkin","given":"Jerry","non-dropping-particle":"","parse-names":false,"suffix":""},{"dropping-particle":"","family":"Blitz","given":"David","non-dropping-particle":"","parse-names":false,"suffix":""},{"dropping-particle":"","family":"Wallner-Allen","given":"Kathleen","non-dropping-particle":"","parse-names":false,"suffix":""},{"dropping-particle":"","family":"Fox","given":"Nathan A.","non-dropping-particle":"","parse-names":false,"suffix":""},{"dropping-particle":"","family":"Beaumont","given":"Jennifer L.","non-dropping-particle":"","parse-names":false,"suffix":""},{"dropping-particle":"","family":"Mungas","given":"Dan","non-dropping-particle":"","parse-names":false,"suffix":""},{"dropping-particle":"","family":"Nowinski","given":"Cindy J.","non-dropping-particle":"","parse-names":false,"suffix":""},{"dropping-particle":"","family":"Richler","given":"Jennifer","non-dropping-particle":"","parse-names":false,"suffix":""},{"dropping-particle":"","family":"Deocampo","given":"Joanne A.","non-dropping-particle":"","parse-names":false,"suffix":""},{"dropping-particle":"","family":"Anderson","given":"Jacob E.","non-dropping-particle":"","parse-names":false,"suffix":""},{"dropping-particle":"","family":"Manly","given":"Jennifer J.","non-dropping-particle":"","parse-names":false,"suffix":""},{"dropping-particle":"","family":"Borosh","given":"Beth","non-dropping-particle":"","parse-names":false,"suffix":""},{"dropping-particle":"","family":"Havlik","given":"Richard","non-dropping-particle":"","parse-names":false,"suffix":""},{"dropping-particle":"","family":"Conway","given":"Kevin","non-dropping-particle":"","parse-names":false,"suffix":""},{"dropping-particle":"","family":"Edwards","given":"Emmeline","non-dropping-particle":"","parse-names":false,"suffix":""},{"dropping-particle":"","family":"Freund","given":"Lisa","non-dropping-particle":"","parse-names":false,"suffix":""},{"dropping-particle":"","family":"King","given":"Jonathan W.","non-dropping-particle":"","parse-names":false,"suffix":""},{"dropping-particle":"","family":"Moy","given":"Claudia","non-dropping-particle":"","parse-names":false,"suffix":""},{"dropping-particle":"","family":"Witt","given":"Ellen","non-dropping-particle":"","parse-names":false,"suffix":""},{"dropping-particle":"","family":"Gershon","given":"Richard C.","non-dropping-particle":"","parse-names":false,"suffix":""}],"container-title":"Neurology","id":"ITEM-1","issue":"11 Suppl 3","issued":{"date-parts":[["2013"]]},"title":"Cognition assessment using the NIH Toolbox.","type":"article-journal","volume":"80"},"uris":["http://www.mendeley.com/documents/?uuid=bc950c6a-c4c8-3773-9c7c-22651cf4c61c"]}],"mendeley":{"formattedCitation":"&lt;sup&gt;29&lt;/sup&gt;","plainTextFormattedCitation":"29","previouslyFormattedCitation":"[29]"},"properties":{"noteIndex":0},"schema":"https://github.com/citation-style-language/schema/raw/master/csl-citation.json"}</w:instrText>
      </w:r>
      <w:r>
        <w:fldChar w:fldCharType="separate"/>
      </w:r>
      <w:r w:rsidR="00393624" w:rsidRPr="00393624">
        <w:rPr>
          <w:noProof/>
          <w:vertAlign w:val="superscript"/>
        </w:rPr>
        <w:t>29</w:t>
      </w:r>
      <w:r>
        <w:fldChar w:fldCharType="end"/>
      </w:r>
      <w:r>
        <w:t>, tailored for use in the UK Biobank cohort. During the task, participants were presented with four images on the screen alongside a written target word. They were instructed to select the image that best corresponded to the meaning of the word.</w:t>
      </w:r>
      <w:r>
        <w:rPr>
          <w:rFonts w:hint="eastAsia"/>
        </w:rPr>
        <w:t xml:space="preserve"> </w:t>
      </w:r>
      <w:r>
        <w:t>In the present study, we analyzed performance using the vocabulary ability score (Data Field 26302). This score serves as an index of verbal comprehension, with higher values reflecting superior vocabulary knowledge.</w:t>
      </w:r>
    </w:p>
    <w:p w14:paraId="0F540F0A" w14:textId="5343F93B" w:rsidR="0036654C" w:rsidRDefault="0036654C" w:rsidP="002153DB">
      <w:r w:rsidRPr="0036654C">
        <w:t>The paired associate learning test is a measure of verbal declarative memory, specifically assessing the ability to form and retrieve associations between word pairs. During the task, participants were shown 12 word pairs on a screen for a fixed duration of 30 seconds. Following this encoding phase, they were presented with one word from each pair (the cue or target word) and asked to identify its corresponding associate from a set of four response options. In this study, we utilized the number of correctly identified word pairs (Data Field 20197) as the primary performance metric. Higher scores on this measure reflect stronger verbal associative memory performance.</w:t>
      </w:r>
    </w:p>
    <w:p w14:paraId="6E6705F6" w14:textId="3201E5F7" w:rsidR="0036654C" w:rsidRDefault="00F93EB7" w:rsidP="002153DB">
      <w:r w:rsidRPr="00F93EB7">
        <w:t>The tower rearranging test assesses planning ability, a key component of executive functioning. This task is an adapted version of the one-touch Tower of London test</w:t>
      </w:r>
      <w:r>
        <w:fldChar w:fldCharType="begin" w:fldLock="1"/>
      </w:r>
      <w:r w:rsidR="00393624">
        <w:instrText>ADDIN CSL_CITATION {"citationItems":[{"id":"ITEM-1","itemData":{"DOI":"10.4324/9780203493564-22","container-title":"The Cognitive Psychology of Planning","id":"ITEM-1","issued":{"date-parts":[["2021","3","6"]]},"page":"145-162","publisher":"Psychology Press","title":"Cognitive planning in humans: New insights from the Tower of London (TOL) task","type":"article-journal"},"uris":["http://www.mendeley.com/documents/?uuid=115d72b1-e56d-3a81-af24-dde2bd2aa7c9"]}],"mendeley":{"formattedCitation":"&lt;sup&gt;30&lt;/sup&gt;","plainTextFormattedCitation":"30","previouslyFormattedCitation":"[30]"},"properties":{"noteIndex":0},"schema":"https://github.com/citation-style-language/schema/raw/master/csl-citation.json"}</w:instrText>
      </w:r>
      <w:r>
        <w:fldChar w:fldCharType="separate"/>
      </w:r>
      <w:r w:rsidR="00393624" w:rsidRPr="00393624">
        <w:rPr>
          <w:noProof/>
          <w:vertAlign w:val="superscript"/>
        </w:rPr>
        <w:t>30</w:t>
      </w:r>
      <w:r>
        <w:fldChar w:fldCharType="end"/>
      </w:r>
      <w:r w:rsidRPr="00F93EB7">
        <w:t>, a well-established neuropsychological measure of goal-directed problem-solving. In each trial, participants are shown two visual configurations—Display A (the initial state) and Display B (the goal state)—and are instructed to determine the minimum number of moves required to transform Display A into Display B. In this study, task performance is quantified using the ratio of correctly solved puzzles (Data Field 21004) to the total number of puzzles attempted (Data Field 6383). This accuracy ratio serves as an index of planning efficiency, with values approaching 1 indicating superior performance.</w:t>
      </w:r>
    </w:p>
    <w:p w14:paraId="063BDF53" w14:textId="00A0A112" w:rsidR="008A4A76" w:rsidRPr="00F93EB7" w:rsidRDefault="00F93EB7" w:rsidP="00F93EB7">
      <w:r w:rsidRPr="00F93EB7">
        <w:lastRenderedPageBreak/>
        <w:t>The matrix pattern completion test evaluates non-verbal fluid reasoning, assessing abstract problem-solving and pattern recognition abilities. This task is an adapted version of the COGNITO Matrices test</w:t>
      </w:r>
      <w:r>
        <w:fldChar w:fldCharType="begin" w:fldLock="1"/>
      </w:r>
      <w:r w:rsidR="00393624">
        <w:instrText>ADDIN CSL_CITATION {"citationItems":[{"id":"ITEM-1","itemData":{"DOI":"10.4172/2161-0487.1000136","abstract":"Most current neuropsychological batteries are pathology-specific and are unsuitable for research into multiple pathologies, longitudinal follow-up of pre-clinical changes or large general population cohort studies. Based on a comprehensive review of the literature, a neuropsychological examination, COGNITO was developed by psychiatrists and psychologists by reference to cognitive models of information processing. COGNITO covers attentional, linguistic, amnesic and visuospatial processes, with use of a tactile screen permitting recording not only of correct responses and error type, but also response latencies and qualitative aspects of performance such as perseveration, hemi-spatial field neglect and proactive intrusion. Designed for the detection of both normal and pathological cognitive changes from adolescence onwards, it was primarily developed for the study of brain ageing. A pilot study of retest reliability in adults showed acceptable levels for all sub-tests except the Stroop test. Immediate Recall and Name-Face Association both showed significant learning effects suggesting the need for alternative subtest forms if very short retest intervals are required.","author":[{"dropping-particle":"","family":"Roquefeuil Guilhem","given":"Ritchie Karen","non-dropping-particle":"de","parse-names":false,"suffix":""}],"container-title":"Journal of Psychology &amp; Psychotherapy","id":"ITEM-1","issue":"02","issued":{"date-parts":[["2014"]]},"page":"10","title":"COGNITO: Computerized Assessment of Information Processing","type":"article-journal","volume":"04"},"uris":["http://www.mendeley.com/documents/?uuid=58e90265-1763-3b8f-bf41-aa2c656e8523"]}],"mendeley":{"formattedCitation":"&lt;sup&gt;31&lt;/sup&gt;","plainTextFormattedCitation":"31","previouslyFormattedCitation":"[31]"},"properties":{"noteIndex":0},"schema":"https://github.com/citation-style-language/schema/raw/master/csl-citation.json"}</w:instrText>
      </w:r>
      <w:r>
        <w:fldChar w:fldCharType="separate"/>
      </w:r>
      <w:r w:rsidR="00393624" w:rsidRPr="00393624">
        <w:rPr>
          <w:noProof/>
          <w:vertAlign w:val="superscript"/>
        </w:rPr>
        <w:t>31</w:t>
      </w:r>
      <w:r>
        <w:fldChar w:fldCharType="end"/>
      </w:r>
      <w:r w:rsidRPr="00F93EB7">
        <w:t>, a validated instrument commonly used in cognitive assessments. Participants were required to infer the underlying logical rules governing a series of visual patterns and to identify the correct missing element from a set of 6 to 8 response options. In this study, we focused on the ratio of correctly completed puzzles (Data Field 6373) to the total number of puzzles viewed (Data Field 6374). This accuracy-based metric reflects the participant’s fluid reasoning ability, with values approaching 1 indicating higher cognitive performance.</w:t>
      </w:r>
    </w:p>
    <w:p w14:paraId="0E143A96" w14:textId="116C4371" w:rsidR="005A6BAB" w:rsidRPr="00797003" w:rsidRDefault="00505F29" w:rsidP="00797003">
      <w:pPr>
        <w:pStyle w:val="Heading1"/>
        <w:rPr>
          <w:rFonts w:eastAsia="Arial"/>
          <w:noProof/>
          <w:szCs w:val="20"/>
        </w:rPr>
      </w:pPr>
      <w:r>
        <w:br w:type="page"/>
      </w:r>
      <w:r w:rsidR="005A6BAB">
        <w:lastRenderedPageBreak/>
        <w:t>Reference</w:t>
      </w:r>
      <w:r w:rsidR="007C4997">
        <w:rPr>
          <w:rFonts w:hint="eastAsia"/>
        </w:rPr>
        <w:t>s</w:t>
      </w:r>
    </w:p>
    <w:p w14:paraId="51D78563" w14:textId="52328D9D" w:rsidR="00393624" w:rsidRPr="00393624" w:rsidRDefault="009C6C14" w:rsidP="00393624">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393624" w:rsidRPr="00393624">
        <w:rPr>
          <w:noProof/>
        </w:rPr>
        <w:t>1.</w:t>
      </w:r>
      <w:r w:rsidR="00393624" w:rsidRPr="00393624">
        <w:rPr>
          <w:noProof/>
        </w:rPr>
        <w:tab/>
        <w:t xml:space="preserve">Jenkinson, M., Bannister, P., Brady, M. &amp; Smith, S. Improved optimization for the robust and accurate linear registration and motion correction of brain images. </w:t>
      </w:r>
      <w:r w:rsidR="00393624" w:rsidRPr="00393624">
        <w:rPr>
          <w:i/>
          <w:iCs/>
          <w:noProof/>
        </w:rPr>
        <w:t>Neuroimage</w:t>
      </w:r>
      <w:r w:rsidR="00393624" w:rsidRPr="00393624">
        <w:rPr>
          <w:noProof/>
        </w:rPr>
        <w:t xml:space="preserve"> </w:t>
      </w:r>
      <w:r w:rsidR="00393624" w:rsidRPr="00393624">
        <w:rPr>
          <w:b/>
          <w:bCs/>
          <w:noProof/>
        </w:rPr>
        <w:t>17</w:t>
      </w:r>
      <w:r w:rsidR="00393624" w:rsidRPr="00393624">
        <w:rPr>
          <w:noProof/>
        </w:rPr>
        <w:t>, 825–841 (2002).</w:t>
      </w:r>
    </w:p>
    <w:p w14:paraId="5424F963" w14:textId="77777777" w:rsidR="00393624" w:rsidRPr="00393624" w:rsidRDefault="00393624" w:rsidP="00393624">
      <w:pPr>
        <w:widowControl w:val="0"/>
        <w:autoSpaceDE w:val="0"/>
        <w:autoSpaceDN w:val="0"/>
        <w:adjustRightInd w:val="0"/>
        <w:ind w:left="640" w:hanging="640"/>
        <w:rPr>
          <w:noProof/>
        </w:rPr>
      </w:pPr>
      <w:r w:rsidRPr="00393624">
        <w:rPr>
          <w:noProof/>
        </w:rPr>
        <w:t>2.</w:t>
      </w:r>
      <w:r w:rsidRPr="00393624">
        <w:rPr>
          <w:noProof/>
        </w:rPr>
        <w:tab/>
        <w:t xml:space="preserve">Beckmann, C. F. &amp; Smith, S. M. Probabilistic Independent Component Analysis for Functional Magnetic Resonance Imaging. </w:t>
      </w:r>
      <w:r w:rsidRPr="00393624">
        <w:rPr>
          <w:i/>
          <w:iCs/>
          <w:noProof/>
        </w:rPr>
        <w:t>IEEE Trans. Med. Imaging</w:t>
      </w:r>
      <w:r w:rsidRPr="00393624">
        <w:rPr>
          <w:noProof/>
        </w:rPr>
        <w:t xml:space="preserve"> </w:t>
      </w:r>
      <w:r w:rsidRPr="00393624">
        <w:rPr>
          <w:b/>
          <w:bCs/>
          <w:noProof/>
        </w:rPr>
        <w:t>23</w:t>
      </w:r>
      <w:r w:rsidRPr="00393624">
        <w:rPr>
          <w:noProof/>
        </w:rPr>
        <w:t>, 137–152 (2004).</w:t>
      </w:r>
    </w:p>
    <w:p w14:paraId="29801D50" w14:textId="77777777" w:rsidR="00393624" w:rsidRPr="00393624" w:rsidRDefault="00393624" w:rsidP="00393624">
      <w:pPr>
        <w:widowControl w:val="0"/>
        <w:autoSpaceDE w:val="0"/>
        <w:autoSpaceDN w:val="0"/>
        <w:adjustRightInd w:val="0"/>
        <w:ind w:left="640" w:hanging="640"/>
        <w:rPr>
          <w:noProof/>
        </w:rPr>
      </w:pPr>
      <w:r w:rsidRPr="00393624">
        <w:rPr>
          <w:noProof/>
        </w:rPr>
        <w:t>3.</w:t>
      </w:r>
      <w:r w:rsidRPr="00393624">
        <w:rPr>
          <w:noProof/>
        </w:rPr>
        <w:tab/>
        <w:t xml:space="preserve">Griffanti, L. </w:t>
      </w:r>
      <w:r w:rsidRPr="00393624">
        <w:rPr>
          <w:i/>
          <w:iCs/>
          <w:noProof/>
        </w:rPr>
        <w:t>et al.</w:t>
      </w:r>
      <w:r w:rsidRPr="00393624">
        <w:rPr>
          <w:noProof/>
        </w:rPr>
        <w:t xml:space="preserve"> Hand classification of fMRI ICA noise components. </w:t>
      </w:r>
      <w:r w:rsidRPr="00393624">
        <w:rPr>
          <w:i/>
          <w:iCs/>
          <w:noProof/>
        </w:rPr>
        <w:t>Neuroimage</w:t>
      </w:r>
      <w:r w:rsidRPr="00393624">
        <w:rPr>
          <w:noProof/>
        </w:rPr>
        <w:t xml:space="preserve"> </w:t>
      </w:r>
      <w:r w:rsidRPr="00393624">
        <w:rPr>
          <w:b/>
          <w:bCs/>
          <w:noProof/>
        </w:rPr>
        <w:t>154</w:t>
      </w:r>
      <w:r w:rsidRPr="00393624">
        <w:rPr>
          <w:noProof/>
        </w:rPr>
        <w:t>, 188–205 (2017).</w:t>
      </w:r>
    </w:p>
    <w:p w14:paraId="32F15171" w14:textId="77777777" w:rsidR="00393624" w:rsidRPr="00393624" w:rsidRDefault="00393624" w:rsidP="00393624">
      <w:pPr>
        <w:widowControl w:val="0"/>
        <w:autoSpaceDE w:val="0"/>
        <w:autoSpaceDN w:val="0"/>
        <w:adjustRightInd w:val="0"/>
        <w:ind w:left="640" w:hanging="640"/>
        <w:rPr>
          <w:noProof/>
        </w:rPr>
      </w:pPr>
      <w:r w:rsidRPr="00393624">
        <w:rPr>
          <w:noProof/>
        </w:rPr>
        <w:t>4.</w:t>
      </w:r>
      <w:r w:rsidRPr="00393624">
        <w:rPr>
          <w:noProof/>
        </w:rPr>
        <w:tab/>
        <w:t xml:space="preserve">Salimi-Khorshidi, G. </w:t>
      </w:r>
      <w:r w:rsidRPr="00393624">
        <w:rPr>
          <w:i/>
          <w:iCs/>
          <w:noProof/>
        </w:rPr>
        <w:t>et al.</w:t>
      </w:r>
      <w:r w:rsidRPr="00393624">
        <w:rPr>
          <w:noProof/>
        </w:rPr>
        <w:t xml:space="preserve"> Automatic denoising of functional MRI data: Combining independent component analysis and hierarchical fusion of classifiers. </w:t>
      </w:r>
      <w:r w:rsidRPr="00393624">
        <w:rPr>
          <w:i/>
          <w:iCs/>
          <w:noProof/>
        </w:rPr>
        <w:t>Neuroimage</w:t>
      </w:r>
      <w:r w:rsidRPr="00393624">
        <w:rPr>
          <w:noProof/>
        </w:rPr>
        <w:t xml:space="preserve"> </w:t>
      </w:r>
      <w:r w:rsidRPr="00393624">
        <w:rPr>
          <w:b/>
          <w:bCs/>
          <w:noProof/>
        </w:rPr>
        <w:t>90</w:t>
      </w:r>
      <w:r w:rsidRPr="00393624">
        <w:rPr>
          <w:noProof/>
        </w:rPr>
        <w:t>, 449–468 (2014).</w:t>
      </w:r>
    </w:p>
    <w:p w14:paraId="6ECE2B8C" w14:textId="77777777" w:rsidR="00393624" w:rsidRPr="00393624" w:rsidRDefault="00393624" w:rsidP="00393624">
      <w:pPr>
        <w:widowControl w:val="0"/>
        <w:autoSpaceDE w:val="0"/>
        <w:autoSpaceDN w:val="0"/>
        <w:adjustRightInd w:val="0"/>
        <w:ind w:left="640" w:hanging="640"/>
        <w:rPr>
          <w:noProof/>
        </w:rPr>
      </w:pPr>
      <w:r w:rsidRPr="00393624">
        <w:rPr>
          <w:noProof/>
        </w:rPr>
        <w:t>5.</w:t>
      </w:r>
      <w:r w:rsidRPr="00393624">
        <w:rPr>
          <w:noProof/>
        </w:rPr>
        <w:tab/>
        <w:t xml:space="preserve">Fu, Z. </w:t>
      </w:r>
      <w:r w:rsidRPr="00393624">
        <w:rPr>
          <w:i/>
          <w:iCs/>
          <w:noProof/>
        </w:rPr>
        <w:t>et al.</w:t>
      </w:r>
      <w:r w:rsidRPr="00393624">
        <w:rPr>
          <w:noProof/>
        </w:rPr>
        <w:t xml:space="preserve"> Whole-Brain Functional Connectivity Dynamics Associated With Electroconvulsive Therapy Treatment Response. </w:t>
      </w:r>
      <w:r w:rsidRPr="00393624">
        <w:rPr>
          <w:i/>
          <w:iCs/>
          <w:noProof/>
        </w:rPr>
        <w:t>Biol. Psychiatry Cogn. Neurosci. Neuroimaging</w:t>
      </w:r>
      <w:r w:rsidRPr="00393624">
        <w:rPr>
          <w:noProof/>
        </w:rPr>
        <w:t xml:space="preserve"> </w:t>
      </w:r>
      <w:r w:rsidRPr="00393624">
        <w:rPr>
          <w:b/>
          <w:bCs/>
          <w:noProof/>
        </w:rPr>
        <w:t>7</w:t>
      </w:r>
      <w:r w:rsidRPr="00393624">
        <w:rPr>
          <w:noProof/>
        </w:rPr>
        <w:t>, 312–322 (2022).</w:t>
      </w:r>
    </w:p>
    <w:p w14:paraId="76698F58" w14:textId="77777777" w:rsidR="00393624" w:rsidRPr="00393624" w:rsidRDefault="00393624" w:rsidP="00393624">
      <w:pPr>
        <w:widowControl w:val="0"/>
        <w:autoSpaceDE w:val="0"/>
        <w:autoSpaceDN w:val="0"/>
        <w:adjustRightInd w:val="0"/>
        <w:ind w:left="640" w:hanging="640"/>
        <w:rPr>
          <w:noProof/>
        </w:rPr>
      </w:pPr>
      <w:r w:rsidRPr="00393624">
        <w:rPr>
          <w:noProof/>
        </w:rPr>
        <w:t>6.</w:t>
      </w:r>
      <w:r w:rsidRPr="00393624">
        <w:rPr>
          <w:noProof/>
        </w:rPr>
        <w:tab/>
        <w:t xml:space="preserve">Du, Y. </w:t>
      </w:r>
      <w:r w:rsidRPr="00393624">
        <w:rPr>
          <w:i/>
          <w:iCs/>
          <w:noProof/>
        </w:rPr>
        <w:t>et al.</w:t>
      </w:r>
      <w:r w:rsidRPr="00393624">
        <w:rPr>
          <w:noProof/>
        </w:rPr>
        <w:t xml:space="preserve"> Evidence of shared and distinct functional and structural brain signatures in schizophrenia and autism spectrum disorder. </w:t>
      </w:r>
      <w:r w:rsidRPr="00393624">
        <w:rPr>
          <w:i/>
          <w:iCs/>
          <w:noProof/>
        </w:rPr>
        <w:t>Commun. Biol.</w:t>
      </w:r>
      <w:r w:rsidRPr="00393624">
        <w:rPr>
          <w:noProof/>
        </w:rPr>
        <w:t xml:space="preserve"> </w:t>
      </w:r>
      <w:r w:rsidRPr="00393624">
        <w:rPr>
          <w:b/>
          <w:bCs/>
          <w:noProof/>
        </w:rPr>
        <w:t>4</w:t>
      </w:r>
      <w:r w:rsidRPr="00393624">
        <w:rPr>
          <w:noProof/>
        </w:rPr>
        <w:t>, 1–16 (2021).</w:t>
      </w:r>
    </w:p>
    <w:p w14:paraId="4AAD1BFA" w14:textId="77777777" w:rsidR="00393624" w:rsidRPr="00393624" w:rsidRDefault="00393624" w:rsidP="00393624">
      <w:pPr>
        <w:widowControl w:val="0"/>
        <w:autoSpaceDE w:val="0"/>
        <w:autoSpaceDN w:val="0"/>
        <w:adjustRightInd w:val="0"/>
        <w:ind w:left="640" w:hanging="640"/>
        <w:rPr>
          <w:noProof/>
        </w:rPr>
      </w:pPr>
      <w:r w:rsidRPr="00393624">
        <w:rPr>
          <w:noProof/>
        </w:rPr>
        <w:t>7.</w:t>
      </w:r>
      <w:r w:rsidRPr="00393624">
        <w:rPr>
          <w:noProof/>
        </w:rPr>
        <w:tab/>
        <w:t xml:space="preserve">Li, K. </w:t>
      </w:r>
      <w:r w:rsidRPr="00393624">
        <w:rPr>
          <w:i/>
          <w:iCs/>
          <w:noProof/>
        </w:rPr>
        <w:t>et al.</w:t>
      </w:r>
      <w:r w:rsidRPr="00393624">
        <w:rPr>
          <w:noProof/>
        </w:rPr>
        <w:t xml:space="preserve"> The Influence of Cerebral Small Vessel Disease on Static and Dynamic Functional Network Connectivity in Subjects along Alzheimer’s Disease Continuum. </w:t>
      </w:r>
      <w:r w:rsidRPr="00393624">
        <w:rPr>
          <w:i/>
          <w:iCs/>
          <w:noProof/>
        </w:rPr>
        <w:t>Brain Connect.</w:t>
      </w:r>
      <w:r w:rsidRPr="00393624">
        <w:rPr>
          <w:noProof/>
        </w:rPr>
        <w:t xml:space="preserve"> </w:t>
      </w:r>
      <w:r w:rsidRPr="00393624">
        <w:rPr>
          <w:b/>
          <w:bCs/>
          <w:noProof/>
        </w:rPr>
        <w:t>11</w:t>
      </w:r>
      <w:r w:rsidRPr="00393624">
        <w:rPr>
          <w:noProof/>
        </w:rPr>
        <w:t>, 189–200 (2021).</w:t>
      </w:r>
    </w:p>
    <w:p w14:paraId="6E172D25" w14:textId="77777777" w:rsidR="00393624" w:rsidRPr="00393624" w:rsidRDefault="00393624" w:rsidP="00393624">
      <w:pPr>
        <w:widowControl w:val="0"/>
        <w:autoSpaceDE w:val="0"/>
        <w:autoSpaceDN w:val="0"/>
        <w:adjustRightInd w:val="0"/>
        <w:ind w:left="640" w:hanging="640"/>
        <w:rPr>
          <w:noProof/>
        </w:rPr>
      </w:pPr>
      <w:r w:rsidRPr="00393624">
        <w:rPr>
          <w:noProof/>
        </w:rPr>
        <w:t>8.</w:t>
      </w:r>
      <w:r w:rsidRPr="00393624">
        <w:rPr>
          <w:noProof/>
        </w:rPr>
        <w:tab/>
        <w:t xml:space="preserve">Fu, Z. </w:t>
      </w:r>
      <w:r w:rsidRPr="00393624">
        <w:rPr>
          <w:i/>
          <w:iCs/>
          <w:noProof/>
        </w:rPr>
        <w:t>et al.</w:t>
      </w:r>
      <w:r w:rsidRPr="00393624">
        <w:rPr>
          <w:noProof/>
        </w:rPr>
        <w:t xml:space="preserve"> Dynamic functional network reconfiguration underlying the pathophysiology of schizophrenia and autism spectrum disorder. </w:t>
      </w:r>
      <w:r w:rsidRPr="00393624">
        <w:rPr>
          <w:i/>
          <w:iCs/>
          <w:noProof/>
        </w:rPr>
        <w:t>Hum. Brain Mapp.</w:t>
      </w:r>
      <w:r w:rsidRPr="00393624">
        <w:rPr>
          <w:noProof/>
        </w:rPr>
        <w:t xml:space="preserve"> hbm.25205 (2020). doi:10.1002/hbm.25205</w:t>
      </w:r>
    </w:p>
    <w:p w14:paraId="0A2BD0CB" w14:textId="77777777" w:rsidR="00393624" w:rsidRPr="00393624" w:rsidRDefault="00393624" w:rsidP="00393624">
      <w:pPr>
        <w:widowControl w:val="0"/>
        <w:autoSpaceDE w:val="0"/>
        <w:autoSpaceDN w:val="0"/>
        <w:adjustRightInd w:val="0"/>
        <w:ind w:left="640" w:hanging="640"/>
        <w:rPr>
          <w:noProof/>
        </w:rPr>
      </w:pPr>
      <w:r w:rsidRPr="00393624">
        <w:rPr>
          <w:noProof/>
        </w:rPr>
        <w:t>9.</w:t>
      </w:r>
      <w:r w:rsidRPr="00393624">
        <w:rPr>
          <w:noProof/>
        </w:rPr>
        <w:tab/>
        <w:t xml:space="preserve">Fu, Z. </w:t>
      </w:r>
      <w:r w:rsidRPr="00393624">
        <w:rPr>
          <w:i/>
          <w:iCs/>
          <w:noProof/>
        </w:rPr>
        <w:t>et al.</w:t>
      </w:r>
      <w:r w:rsidRPr="00393624">
        <w:rPr>
          <w:noProof/>
        </w:rPr>
        <w:t xml:space="preserve"> Cerebro-cerebellar functional neuroplasticity mediates the effect of electric field on electroconvulsive therapy outcomes. </w:t>
      </w:r>
      <w:r w:rsidRPr="00393624">
        <w:rPr>
          <w:i/>
          <w:iCs/>
          <w:noProof/>
        </w:rPr>
        <w:t>Transl. Psychiatry</w:t>
      </w:r>
      <w:r w:rsidRPr="00393624">
        <w:rPr>
          <w:noProof/>
        </w:rPr>
        <w:t xml:space="preserve"> </w:t>
      </w:r>
      <w:r w:rsidRPr="00393624">
        <w:rPr>
          <w:b/>
          <w:bCs/>
          <w:noProof/>
        </w:rPr>
        <w:t>13</w:t>
      </w:r>
      <w:r w:rsidRPr="00393624">
        <w:rPr>
          <w:noProof/>
        </w:rPr>
        <w:t>, (2023).</w:t>
      </w:r>
    </w:p>
    <w:p w14:paraId="4DF5A209" w14:textId="77777777" w:rsidR="00393624" w:rsidRPr="00393624" w:rsidRDefault="00393624" w:rsidP="00393624">
      <w:pPr>
        <w:widowControl w:val="0"/>
        <w:autoSpaceDE w:val="0"/>
        <w:autoSpaceDN w:val="0"/>
        <w:adjustRightInd w:val="0"/>
        <w:ind w:left="640" w:hanging="640"/>
        <w:rPr>
          <w:noProof/>
        </w:rPr>
      </w:pPr>
      <w:r w:rsidRPr="00393624">
        <w:rPr>
          <w:noProof/>
        </w:rPr>
        <w:t>10.</w:t>
      </w:r>
      <w:r w:rsidRPr="00393624">
        <w:rPr>
          <w:noProof/>
        </w:rPr>
        <w:tab/>
        <w:t xml:space="preserve">Fu, Z., Liu, J., Salman, M. S., Sui, J. &amp; Calhoun, V. D. Functional connectivity uniqueness and variability? Linkages with cognitive and psychiatric problems in children. </w:t>
      </w:r>
      <w:r w:rsidRPr="00393624">
        <w:rPr>
          <w:i/>
          <w:iCs/>
          <w:noProof/>
        </w:rPr>
        <w:t>Nat. Ment. Heal.</w:t>
      </w:r>
      <w:r w:rsidRPr="00393624">
        <w:rPr>
          <w:noProof/>
        </w:rPr>
        <w:t xml:space="preserve"> </w:t>
      </w:r>
      <w:r w:rsidRPr="00393624">
        <w:rPr>
          <w:b/>
          <w:bCs/>
          <w:noProof/>
        </w:rPr>
        <w:t>1</w:t>
      </w:r>
      <w:r w:rsidRPr="00393624">
        <w:rPr>
          <w:noProof/>
        </w:rPr>
        <w:t>, 956–970 (2023).</w:t>
      </w:r>
    </w:p>
    <w:p w14:paraId="63560623" w14:textId="77777777" w:rsidR="00393624" w:rsidRPr="00393624" w:rsidRDefault="00393624" w:rsidP="00393624">
      <w:pPr>
        <w:widowControl w:val="0"/>
        <w:autoSpaceDE w:val="0"/>
        <w:autoSpaceDN w:val="0"/>
        <w:adjustRightInd w:val="0"/>
        <w:ind w:left="640" w:hanging="640"/>
        <w:rPr>
          <w:noProof/>
        </w:rPr>
      </w:pPr>
      <w:r w:rsidRPr="00393624">
        <w:rPr>
          <w:noProof/>
        </w:rPr>
        <w:t>11.</w:t>
      </w:r>
      <w:r w:rsidRPr="00393624">
        <w:rPr>
          <w:noProof/>
        </w:rPr>
        <w:tab/>
        <w:t xml:space="preserve">Fu, Z., Sui, J., Iraji, A., Liu, J. &amp; Calhoun, V. D. Cognitive and psychiatric relevance of dynamic functional connectivity states in a large (N &gt; 10,000) children population. </w:t>
      </w:r>
      <w:r w:rsidRPr="00393624">
        <w:rPr>
          <w:i/>
          <w:iCs/>
          <w:noProof/>
        </w:rPr>
        <w:t xml:space="preserve">Mol. </w:t>
      </w:r>
      <w:r w:rsidRPr="00393624">
        <w:rPr>
          <w:i/>
          <w:iCs/>
          <w:noProof/>
        </w:rPr>
        <w:lastRenderedPageBreak/>
        <w:t>Psychiatry</w:t>
      </w:r>
      <w:r w:rsidRPr="00393624">
        <w:rPr>
          <w:noProof/>
        </w:rPr>
        <w:t xml:space="preserve"> </w:t>
      </w:r>
      <w:r w:rsidRPr="00393624">
        <w:rPr>
          <w:b/>
          <w:bCs/>
          <w:noProof/>
        </w:rPr>
        <w:t>30</w:t>
      </w:r>
      <w:r w:rsidRPr="00393624">
        <w:rPr>
          <w:noProof/>
        </w:rPr>
        <w:t>, 402–413 (2024).</w:t>
      </w:r>
    </w:p>
    <w:p w14:paraId="763668DE" w14:textId="77777777" w:rsidR="00393624" w:rsidRPr="00393624" w:rsidRDefault="00393624" w:rsidP="00393624">
      <w:pPr>
        <w:widowControl w:val="0"/>
        <w:autoSpaceDE w:val="0"/>
        <w:autoSpaceDN w:val="0"/>
        <w:adjustRightInd w:val="0"/>
        <w:ind w:left="640" w:hanging="640"/>
        <w:rPr>
          <w:noProof/>
        </w:rPr>
      </w:pPr>
      <w:r w:rsidRPr="00393624">
        <w:rPr>
          <w:noProof/>
        </w:rPr>
        <w:t>12.</w:t>
      </w:r>
      <w:r w:rsidRPr="00393624">
        <w:rPr>
          <w:noProof/>
        </w:rPr>
        <w:tab/>
        <w:t xml:space="preserve">Power, J. D., Barnes, K. A., Snyder, A. Z., Schlaggar, B. L. &amp; Petersen, S. E. Spurious but systematic correlations in functional connectivity MRI networks arise from subject motion. </w:t>
      </w:r>
      <w:r w:rsidRPr="00393624">
        <w:rPr>
          <w:i/>
          <w:iCs/>
          <w:noProof/>
        </w:rPr>
        <w:t>Neuroimage</w:t>
      </w:r>
      <w:r w:rsidRPr="00393624">
        <w:rPr>
          <w:noProof/>
        </w:rPr>
        <w:t xml:space="preserve"> </w:t>
      </w:r>
      <w:r w:rsidRPr="00393624">
        <w:rPr>
          <w:b/>
          <w:bCs/>
          <w:noProof/>
        </w:rPr>
        <w:t>59</w:t>
      </w:r>
      <w:r w:rsidRPr="00393624">
        <w:rPr>
          <w:noProof/>
        </w:rPr>
        <w:t>, 2142–2154 (2012).</w:t>
      </w:r>
    </w:p>
    <w:p w14:paraId="20620C07" w14:textId="77777777" w:rsidR="00393624" w:rsidRPr="00393624" w:rsidRDefault="00393624" w:rsidP="00393624">
      <w:pPr>
        <w:widowControl w:val="0"/>
        <w:autoSpaceDE w:val="0"/>
        <w:autoSpaceDN w:val="0"/>
        <w:adjustRightInd w:val="0"/>
        <w:ind w:left="640" w:hanging="640"/>
        <w:rPr>
          <w:noProof/>
        </w:rPr>
      </w:pPr>
      <w:r w:rsidRPr="00393624">
        <w:rPr>
          <w:noProof/>
        </w:rPr>
        <w:t>13.</w:t>
      </w:r>
      <w:r w:rsidRPr="00393624">
        <w:rPr>
          <w:noProof/>
        </w:rPr>
        <w:tab/>
        <w:t xml:space="preserve">Fu, Z. </w:t>
      </w:r>
      <w:r w:rsidRPr="00393624">
        <w:rPr>
          <w:i/>
          <w:iCs/>
          <w:noProof/>
        </w:rPr>
        <w:t>et al.</w:t>
      </w:r>
      <w:r w:rsidRPr="00393624">
        <w:rPr>
          <w:noProof/>
        </w:rPr>
        <w:t xml:space="preserve"> Searching Reproducible Brain Features using NeuroMark: Templates for Different Age Populations and Imaging Modalities. </w:t>
      </w:r>
      <w:r w:rsidRPr="00393624">
        <w:rPr>
          <w:i/>
          <w:iCs/>
          <w:noProof/>
        </w:rPr>
        <w:t>Neuroimage</w:t>
      </w:r>
      <w:r w:rsidRPr="00393624">
        <w:rPr>
          <w:noProof/>
        </w:rPr>
        <w:t xml:space="preserve"> </w:t>
      </w:r>
      <w:r w:rsidRPr="00393624">
        <w:rPr>
          <w:b/>
          <w:bCs/>
          <w:noProof/>
        </w:rPr>
        <w:t>292</w:t>
      </w:r>
      <w:r w:rsidRPr="00393624">
        <w:rPr>
          <w:noProof/>
        </w:rPr>
        <w:t>, 120617 (2024).</w:t>
      </w:r>
    </w:p>
    <w:p w14:paraId="6C743A4A" w14:textId="77777777" w:rsidR="00393624" w:rsidRPr="00393624" w:rsidRDefault="00393624" w:rsidP="00393624">
      <w:pPr>
        <w:widowControl w:val="0"/>
        <w:autoSpaceDE w:val="0"/>
        <w:autoSpaceDN w:val="0"/>
        <w:adjustRightInd w:val="0"/>
        <w:ind w:left="640" w:hanging="640"/>
        <w:rPr>
          <w:noProof/>
        </w:rPr>
      </w:pPr>
      <w:r w:rsidRPr="00393624">
        <w:rPr>
          <w:noProof/>
        </w:rPr>
        <w:t>14.</w:t>
      </w:r>
      <w:r w:rsidRPr="00393624">
        <w:rPr>
          <w:noProof/>
        </w:rPr>
        <w:tab/>
        <w:t xml:space="preserve">Du, Y. </w:t>
      </w:r>
      <w:r w:rsidRPr="00393624">
        <w:rPr>
          <w:i/>
          <w:iCs/>
          <w:noProof/>
        </w:rPr>
        <w:t>et al.</w:t>
      </w:r>
      <w:r w:rsidRPr="00393624">
        <w:rPr>
          <w:noProof/>
        </w:rPr>
        <w:t xml:space="preserve"> NeuroMark: An automated and adaptive ICA based pipeline to identify reproducible fMRI markers of brain disorders. </w:t>
      </w:r>
      <w:r w:rsidRPr="00393624">
        <w:rPr>
          <w:i/>
          <w:iCs/>
          <w:noProof/>
        </w:rPr>
        <w:t>NeuroImage Clin.</w:t>
      </w:r>
      <w:r w:rsidRPr="00393624">
        <w:rPr>
          <w:noProof/>
        </w:rPr>
        <w:t xml:space="preserve"> </w:t>
      </w:r>
      <w:r w:rsidRPr="00393624">
        <w:rPr>
          <w:b/>
          <w:bCs/>
          <w:noProof/>
        </w:rPr>
        <w:t>28</w:t>
      </w:r>
      <w:r w:rsidRPr="00393624">
        <w:rPr>
          <w:noProof/>
        </w:rPr>
        <w:t>, (2020).</w:t>
      </w:r>
    </w:p>
    <w:p w14:paraId="41ED093E" w14:textId="77777777" w:rsidR="00393624" w:rsidRPr="00393624" w:rsidRDefault="00393624" w:rsidP="00393624">
      <w:pPr>
        <w:widowControl w:val="0"/>
        <w:autoSpaceDE w:val="0"/>
        <w:autoSpaceDN w:val="0"/>
        <w:adjustRightInd w:val="0"/>
        <w:ind w:left="640" w:hanging="640"/>
        <w:rPr>
          <w:noProof/>
        </w:rPr>
      </w:pPr>
      <w:r w:rsidRPr="00393624">
        <w:rPr>
          <w:noProof/>
        </w:rPr>
        <w:t>15.</w:t>
      </w:r>
      <w:r w:rsidRPr="00393624">
        <w:rPr>
          <w:noProof/>
        </w:rPr>
        <w:tab/>
        <w:t xml:space="preserve">Du, Y. &amp; Fan, Y. Group information guided ICA for fMRI data analysis. </w:t>
      </w:r>
      <w:r w:rsidRPr="00393624">
        <w:rPr>
          <w:i/>
          <w:iCs/>
          <w:noProof/>
        </w:rPr>
        <w:t>Neuroimage</w:t>
      </w:r>
      <w:r w:rsidRPr="00393624">
        <w:rPr>
          <w:noProof/>
        </w:rPr>
        <w:t xml:space="preserve"> </w:t>
      </w:r>
      <w:r w:rsidRPr="00393624">
        <w:rPr>
          <w:b/>
          <w:bCs/>
          <w:noProof/>
        </w:rPr>
        <w:t>69</w:t>
      </w:r>
      <w:r w:rsidRPr="00393624">
        <w:rPr>
          <w:noProof/>
        </w:rPr>
        <w:t>, 157–197 (2013).</w:t>
      </w:r>
    </w:p>
    <w:p w14:paraId="3D8859C7" w14:textId="77777777" w:rsidR="00393624" w:rsidRPr="00393624" w:rsidRDefault="00393624" w:rsidP="00393624">
      <w:pPr>
        <w:widowControl w:val="0"/>
        <w:autoSpaceDE w:val="0"/>
        <w:autoSpaceDN w:val="0"/>
        <w:adjustRightInd w:val="0"/>
        <w:ind w:left="640" w:hanging="640"/>
        <w:rPr>
          <w:noProof/>
        </w:rPr>
      </w:pPr>
      <w:r w:rsidRPr="00393624">
        <w:rPr>
          <w:noProof/>
        </w:rPr>
        <w:t>16.</w:t>
      </w:r>
      <w:r w:rsidRPr="00393624">
        <w:rPr>
          <w:noProof/>
        </w:rPr>
        <w:tab/>
        <w:t xml:space="preserve">Du, Y. </w:t>
      </w:r>
      <w:r w:rsidRPr="00393624">
        <w:rPr>
          <w:i/>
          <w:iCs/>
          <w:noProof/>
        </w:rPr>
        <w:t>et al.</w:t>
      </w:r>
      <w:r w:rsidRPr="00393624">
        <w:rPr>
          <w:noProof/>
        </w:rPr>
        <w:t xml:space="preserve"> Comparison of IVA and GIG-ICA in brain functional network estimation using fMRI data. </w:t>
      </w:r>
      <w:r w:rsidRPr="00393624">
        <w:rPr>
          <w:i/>
          <w:iCs/>
          <w:noProof/>
        </w:rPr>
        <w:t>Front. Neurosci.</w:t>
      </w:r>
      <w:r w:rsidRPr="00393624">
        <w:rPr>
          <w:noProof/>
        </w:rPr>
        <w:t xml:space="preserve"> </w:t>
      </w:r>
      <w:r w:rsidRPr="00393624">
        <w:rPr>
          <w:b/>
          <w:bCs/>
          <w:noProof/>
        </w:rPr>
        <w:t>11</w:t>
      </w:r>
      <w:r w:rsidRPr="00393624">
        <w:rPr>
          <w:noProof/>
        </w:rPr>
        <w:t>, (2017).</w:t>
      </w:r>
    </w:p>
    <w:p w14:paraId="32E9015C" w14:textId="77777777" w:rsidR="00393624" w:rsidRPr="00393624" w:rsidRDefault="00393624" w:rsidP="00393624">
      <w:pPr>
        <w:widowControl w:val="0"/>
        <w:autoSpaceDE w:val="0"/>
        <w:autoSpaceDN w:val="0"/>
        <w:adjustRightInd w:val="0"/>
        <w:ind w:left="640" w:hanging="640"/>
        <w:rPr>
          <w:noProof/>
        </w:rPr>
      </w:pPr>
      <w:r w:rsidRPr="00393624">
        <w:rPr>
          <w:noProof/>
        </w:rPr>
        <w:t>17.</w:t>
      </w:r>
      <w:r w:rsidRPr="00393624">
        <w:rPr>
          <w:noProof/>
        </w:rPr>
        <w:tab/>
        <w:t xml:space="preserve">Du, Y. </w:t>
      </w:r>
      <w:r w:rsidRPr="00393624">
        <w:rPr>
          <w:i/>
          <w:iCs/>
          <w:noProof/>
        </w:rPr>
        <w:t>et al.</w:t>
      </w:r>
      <w:r w:rsidRPr="00393624">
        <w:rPr>
          <w:noProof/>
        </w:rPr>
        <w:t xml:space="preserve"> Artifact removal in the context of group ICA: A comparison of single-subject and group approaches. </w:t>
      </w:r>
      <w:r w:rsidRPr="00393624">
        <w:rPr>
          <w:i/>
          <w:iCs/>
          <w:noProof/>
        </w:rPr>
        <w:t>Hum. Brain Mapp.</w:t>
      </w:r>
      <w:r w:rsidRPr="00393624">
        <w:rPr>
          <w:noProof/>
        </w:rPr>
        <w:t xml:space="preserve"> </w:t>
      </w:r>
      <w:r w:rsidRPr="00393624">
        <w:rPr>
          <w:b/>
          <w:bCs/>
          <w:noProof/>
        </w:rPr>
        <w:t>37</w:t>
      </w:r>
      <w:r w:rsidRPr="00393624">
        <w:rPr>
          <w:noProof/>
        </w:rPr>
        <w:t>, 1005–1025 (2016).</w:t>
      </w:r>
    </w:p>
    <w:p w14:paraId="2FE5E6A3" w14:textId="77777777" w:rsidR="00393624" w:rsidRPr="00393624" w:rsidRDefault="00393624" w:rsidP="00393624">
      <w:pPr>
        <w:widowControl w:val="0"/>
        <w:autoSpaceDE w:val="0"/>
        <w:autoSpaceDN w:val="0"/>
        <w:adjustRightInd w:val="0"/>
        <w:ind w:left="640" w:hanging="640"/>
        <w:rPr>
          <w:noProof/>
        </w:rPr>
      </w:pPr>
      <w:r w:rsidRPr="00393624">
        <w:rPr>
          <w:noProof/>
        </w:rPr>
        <w:t>18.</w:t>
      </w:r>
      <w:r w:rsidRPr="00393624">
        <w:rPr>
          <w:noProof/>
        </w:rPr>
        <w:tab/>
        <w:t xml:space="preserve">Salman, M. S. </w:t>
      </w:r>
      <w:r w:rsidRPr="00393624">
        <w:rPr>
          <w:i/>
          <w:iCs/>
          <w:noProof/>
        </w:rPr>
        <w:t>et al.</w:t>
      </w:r>
      <w:r w:rsidRPr="00393624">
        <w:rPr>
          <w:noProof/>
        </w:rPr>
        <w:t xml:space="preserve"> Group ICA for identifying biomarkers in schizophrenia: ‘Adaptive’ networks via spatially constrained ICA show more sensitivity to group differences than spatio-temporal regression. </w:t>
      </w:r>
      <w:r w:rsidRPr="00393624">
        <w:rPr>
          <w:i/>
          <w:iCs/>
          <w:noProof/>
        </w:rPr>
        <w:t>NeuroImage Clin.</w:t>
      </w:r>
      <w:r w:rsidRPr="00393624">
        <w:rPr>
          <w:noProof/>
        </w:rPr>
        <w:t xml:space="preserve"> </w:t>
      </w:r>
      <w:r w:rsidRPr="00393624">
        <w:rPr>
          <w:b/>
          <w:bCs/>
          <w:noProof/>
        </w:rPr>
        <w:t>22</w:t>
      </w:r>
      <w:r w:rsidRPr="00393624">
        <w:rPr>
          <w:noProof/>
        </w:rPr>
        <w:t>, 101747 (2019).</w:t>
      </w:r>
    </w:p>
    <w:p w14:paraId="21CDC83E" w14:textId="77777777" w:rsidR="00393624" w:rsidRPr="00393624" w:rsidRDefault="00393624" w:rsidP="00393624">
      <w:pPr>
        <w:widowControl w:val="0"/>
        <w:autoSpaceDE w:val="0"/>
        <w:autoSpaceDN w:val="0"/>
        <w:adjustRightInd w:val="0"/>
        <w:ind w:left="640" w:hanging="640"/>
        <w:rPr>
          <w:noProof/>
        </w:rPr>
      </w:pPr>
      <w:r w:rsidRPr="00393624">
        <w:rPr>
          <w:noProof/>
        </w:rPr>
        <w:t>19.</w:t>
      </w:r>
      <w:r w:rsidRPr="00393624">
        <w:rPr>
          <w:noProof/>
        </w:rPr>
        <w:tab/>
        <w:t xml:space="preserve">Dhamala, E., Yeo, B. T. T. &amp; Holmes, A. J. One Size Does Not Fit All: Methodological Considerations for Brain-Based Predictive Modeling in Psychiatry. </w:t>
      </w:r>
      <w:r w:rsidRPr="00393624">
        <w:rPr>
          <w:i/>
          <w:iCs/>
          <w:noProof/>
        </w:rPr>
        <w:t>Biol. Psychiatry</w:t>
      </w:r>
      <w:r w:rsidRPr="00393624">
        <w:rPr>
          <w:noProof/>
        </w:rPr>
        <w:t xml:space="preserve"> </w:t>
      </w:r>
      <w:r w:rsidRPr="00393624">
        <w:rPr>
          <w:b/>
          <w:bCs/>
          <w:noProof/>
        </w:rPr>
        <w:t>93</w:t>
      </w:r>
      <w:r w:rsidRPr="00393624">
        <w:rPr>
          <w:noProof/>
        </w:rPr>
        <w:t>, 717–728 (2023).</w:t>
      </w:r>
    </w:p>
    <w:p w14:paraId="6E87C1DF" w14:textId="77777777" w:rsidR="00393624" w:rsidRPr="00393624" w:rsidRDefault="00393624" w:rsidP="00393624">
      <w:pPr>
        <w:widowControl w:val="0"/>
        <w:autoSpaceDE w:val="0"/>
        <w:autoSpaceDN w:val="0"/>
        <w:adjustRightInd w:val="0"/>
        <w:ind w:left="640" w:hanging="640"/>
        <w:rPr>
          <w:noProof/>
        </w:rPr>
      </w:pPr>
      <w:r w:rsidRPr="00393624">
        <w:rPr>
          <w:noProof/>
        </w:rPr>
        <w:t>20.</w:t>
      </w:r>
      <w:r w:rsidRPr="00393624">
        <w:rPr>
          <w:noProof/>
        </w:rPr>
        <w:tab/>
        <w:t xml:space="preserve">Levey, A. I. </w:t>
      </w:r>
      <w:r w:rsidRPr="00393624">
        <w:rPr>
          <w:i/>
          <w:iCs/>
          <w:noProof/>
        </w:rPr>
        <w:t>et al.</w:t>
      </w:r>
      <w:r w:rsidRPr="00393624">
        <w:rPr>
          <w:noProof/>
        </w:rPr>
        <w:t xml:space="preserve"> A phase II study repurposing atomoxetine for neuroprotection in mild cognitive impairment. </w:t>
      </w:r>
      <w:r w:rsidRPr="00393624">
        <w:rPr>
          <w:i/>
          <w:iCs/>
          <w:noProof/>
        </w:rPr>
        <w:t>Brain</w:t>
      </w:r>
      <w:r w:rsidRPr="00393624">
        <w:rPr>
          <w:noProof/>
        </w:rPr>
        <w:t xml:space="preserve"> </w:t>
      </w:r>
      <w:r w:rsidRPr="00393624">
        <w:rPr>
          <w:b/>
          <w:bCs/>
          <w:noProof/>
        </w:rPr>
        <w:t>145</w:t>
      </w:r>
      <w:r w:rsidRPr="00393624">
        <w:rPr>
          <w:noProof/>
        </w:rPr>
        <w:t>, 1924–1938 (2022).</w:t>
      </w:r>
    </w:p>
    <w:p w14:paraId="69256F8F" w14:textId="77777777" w:rsidR="00393624" w:rsidRPr="00393624" w:rsidRDefault="00393624" w:rsidP="00393624">
      <w:pPr>
        <w:widowControl w:val="0"/>
        <w:autoSpaceDE w:val="0"/>
        <w:autoSpaceDN w:val="0"/>
        <w:adjustRightInd w:val="0"/>
        <w:ind w:left="640" w:hanging="640"/>
        <w:rPr>
          <w:noProof/>
        </w:rPr>
      </w:pPr>
      <w:r w:rsidRPr="00393624">
        <w:rPr>
          <w:noProof/>
        </w:rPr>
        <w:t>21.</w:t>
      </w:r>
      <w:r w:rsidRPr="00393624">
        <w:rPr>
          <w:noProof/>
        </w:rPr>
        <w:tab/>
        <w:t xml:space="preserve">Zhao, M. </w:t>
      </w:r>
      <w:r w:rsidRPr="00393624">
        <w:rPr>
          <w:i/>
          <w:iCs/>
          <w:noProof/>
        </w:rPr>
        <w:t>et al.</w:t>
      </w:r>
      <w:r w:rsidRPr="00393624">
        <w:rPr>
          <w:noProof/>
        </w:rPr>
        <w:t xml:space="preserve"> An attention-based hybrid deep learning framework integrating brain connectivity and activity of resting-state functional MRI data. </w:t>
      </w:r>
      <w:r w:rsidRPr="00393624">
        <w:rPr>
          <w:i/>
          <w:iCs/>
          <w:noProof/>
        </w:rPr>
        <w:t>Med. Image Anal.</w:t>
      </w:r>
      <w:r w:rsidRPr="00393624">
        <w:rPr>
          <w:noProof/>
        </w:rPr>
        <w:t xml:space="preserve"> </w:t>
      </w:r>
      <w:r w:rsidRPr="00393624">
        <w:rPr>
          <w:b/>
          <w:bCs/>
          <w:noProof/>
        </w:rPr>
        <w:t>78</w:t>
      </w:r>
      <w:r w:rsidRPr="00393624">
        <w:rPr>
          <w:noProof/>
        </w:rPr>
        <w:t>, (2022).</w:t>
      </w:r>
    </w:p>
    <w:p w14:paraId="5C35C259" w14:textId="77777777" w:rsidR="00393624" w:rsidRPr="00393624" w:rsidRDefault="00393624" w:rsidP="00393624">
      <w:pPr>
        <w:widowControl w:val="0"/>
        <w:autoSpaceDE w:val="0"/>
        <w:autoSpaceDN w:val="0"/>
        <w:adjustRightInd w:val="0"/>
        <w:ind w:left="640" w:hanging="640"/>
        <w:rPr>
          <w:noProof/>
        </w:rPr>
      </w:pPr>
      <w:r w:rsidRPr="00393624">
        <w:rPr>
          <w:noProof/>
        </w:rPr>
        <w:t>22.</w:t>
      </w:r>
      <w:r w:rsidRPr="00393624">
        <w:rPr>
          <w:noProof/>
        </w:rPr>
        <w:tab/>
        <w:t xml:space="preserve">Fu, Z. </w:t>
      </w:r>
      <w:r w:rsidRPr="00393624">
        <w:rPr>
          <w:i/>
          <w:iCs/>
          <w:noProof/>
        </w:rPr>
        <w:t>et al.</w:t>
      </w:r>
      <w:r w:rsidRPr="00393624">
        <w:rPr>
          <w:noProof/>
        </w:rPr>
        <w:t xml:space="preserve"> Dynamic functional network connectivity associated with post-traumatic stress symptoms in COVID-19 survivors. </w:t>
      </w:r>
      <w:r w:rsidRPr="00393624">
        <w:rPr>
          <w:i/>
          <w:iCs/>
          <w:noProof/>
        </w:rPr>
        <w:t>Neurobiol. Stress</w:t>
      </w:r>
      <w:r w:rsidRPr="00393624">
        <w:rPr>
          <w:noProof/>
        </w:rPr>
        <w:t xml:space="preserve"> </w:t>
      </w:r>
      <w:r w:rsidRPr="00393624">
        <w:rPr>
          <w:b/>
          <w:bCs/>
          <w:noProof/>
        </w:rPr>
        <w:t>15</w:t>
      </w:r>
      <w:r w:rsidRPr="00393624">
        <w:rPr>
          <w:noProof/>
        </w:rPr>
        <w:t>, (2021).</w:t>
      </w:r>
    </w:p>
    <w:p w14:paraId="156DC4C6" w14:textId="77777777" w:rsidR="00393624" w:rsidRPr="00393624" w:rsidRDefault="00393624" w:rsidP="00393624">
      <w:pPr>
        <w:widowControl w:val="0"/>
        <w:autoSpaceDE w:val="0"/>
        <w:autoSpaceDN w:val="0"/>
        <w:adjustRightInd w:val="0"/>
        <w:ind w:left="640" w:hanging="640"/>
        <w:rPr>
          <w:noProof/>
        </w:rPr>
      </w:pPr>
      <w:r w:rsidRPr="00393624">
        <w:rPr>
          <w:noProof/>
        </w:rPr>
        <w:t>23.</w:t>
      </w:r>
      <w:r w:rsidRPr="00393624">
        <w:rPr>
          <w:noProof/>
        </w:rPr>
        <w:tab/>
        <w:t xml:space="preserve">Vaidya, N. </w:t>
      </w:r>
      <w:r w:rsidRPr="00393624">
        <w:rPr>
          <w:i/>
          <w:iCs/>
          <w:noProof/>
        </w:rPr>
        <w:t>et al.</w:t>
      </w:r>
      <w:r w:rsidRPr="00393624">
        <w:rPr>
          <w:noProof/>
        </w:rPr>
        <w:t xml:space="preserve"> Neurocognitive Analysis of Low-level Arsenic Exposure and Executive Function Mediated by Brain Anomalies Among Children, Adolescents, and Young Adults </w:t>
      </w:r>
      <w:r w:rsidRPr="00393624">
        <w:rPr>
          <w:noProof/>
        </w:rPr>
        <w:lastRenderedPageBreak/>
        <w:t xml:space="preserve">in India. </w:t>
      </w:r>
      <w:r w:rsidRPr="00393624">
        <w:rPr>
          <w:i/>
          <w:iCs/>
          <w:noProof/>
        </w:rPr>
        <w:t>JAMA Netw. Open</w:t>
      </w:r>
      <w:r w:rsidRPr="00393624">
        <w:rPr>
          <w:noProof/>
        </w:rPr>
        <w:t xml:space="preserve"> </w:t>
      </w:r>
      <w:r w:rsidRPr="00393624">
        <w:rPr>
          <w:b/>
          <w:bCs/>
          <w:noProof/>
        </w:rPr>
        <w:t>6</w:t>
      </w:r>
      <w:r w:rsidRPr="00393624">
        <w:rPr>
          <w:noProof/>
        </w:rPr>
        <w:t>, e2312810–e2312810 (2023).</w:t>
      </w:r>
    </w:p>
    <w:p w14:paraId="2F229DBF" w14:textId="77777777" w:rsidR="00393624" w:rsidRPr="00393624" w:rsidRDefault="00393624" w:rsidP="00393624">
      <w:pPr>
        <w:widowControl w:val="0"/>
        <w:autoSpaceDE w:val="0"/>
        <w:autoSpaceDN w:val="0"/>
        <w:adjustRightInd w:val="0"/>
        <w:ind w:left="640" w:hanging="640"/>
        <w:rPr>
          <w:noProof/>
        </w:rPr>
      </w:pPr>
      <w:r w:rsidRPr="00393624">
        <w:rPr>
          <w:noProof/>
        </w:rPr>
        <w:t>24.</w:t>
      </w:r>
      <w:r w:rsidRPr="00393624">
        <w:rPr>
          <w:noProof/>
        </w:rPr>
        <w:tab/>
        <w:t xml:space="preserve">Tu, Y. </w:t>
      </w:r>
      <w:r w:rsidRPr="00393624">
        <w:rPr>
          <w:i/>
          <w:iCs/>
          <w:noProof/>
        </w:rPr>
        <w:t>et al.</w:t>
      </w:r>
      <w:r w:rsidRPr="00393624">
        <w:rPr>
          <w:noProof/>
        </w:rPr>
        <w:t xml:space="preserve"> Distinct thalamocortical network dynamics are associated with the pathophysiology of chronic low back pain. </w:t>
      </w:r>
      <w:r w:rsidRPr="00393624">
        <w:rPr>
          <w:i/>
          <w:iCs/>
          <w:noProof/>
        </w:rPr>
        <w:t>Nat. Commun.</w:t>
      </w:r>
      <w:r w:rsidRPr="00393624">
        <w:rPr>
          <w:noProof/>
        </w:rPr>
        <w:t xml:space="preserve"> </w:t>
      </w:r>
      <w:r w:rsidRPr="00393624">
        <w:rPr>
          <w:b/>
          <w:bCs/>
          <w:noProof/>
        </w:rPr>
        <w:t>11</w:t>
      </w:r>
      <w:r w:rsidRPr="00393624">
        <w:rPr>
          <w:noProof/>
        </w:rPr>
        <w:t>, 1–12 (2020).</w:t>
      </w:r>
    </w:p>
    <w:p w14:paraId="5E0A7C9B" w14:textId="77777777" w:rsidR="00393624" w:rsidRPr="00393624" w:rsidRDefault="00393624" w:rsidP="00393624">
      <w:pPr>
        <w:widowControl w:val="0"/>
        <w:autoSpaceDE w:val="0"/>
        <w:autoSpaceDN w:val="0"/>
        <w:adjustRightInd w:val="0"/>
        <w:ind w:left="640" w:hanging="640"/>
        <w:rPr>
          <w:noProof/>
        </w:rPr>
      </w:pPr>
      <w:r w:rsidRPr="00393624">
        <w:rPr>
          <w:noProof/>
        </w:rPr>
        <w:t>25.</w:t>
      </w:r>
      <w:r w:rsidRPr="00393624">
        <w:rPr>
          <w:noProof/>
        </w:rPr>
        <w:tab/>
        <w:t xml:space="preserve">Fu, Z., Iraji, A., Sui, J. &amp; Calhoun, V. D. Whole-Brain Functional Network Connectivity Abnormalities in Affective and Non-Affective Early Phase Psychosis. </w:t>
      </w:r>
      <w:r w:rsidRPr="00393624">
        <w:rPr>
          <w:i/>
          <w:iCs/>
          <w:noProof/>
        </w:rPr>
        <w:t>Front. Neurosci.</w:t>
      </w:r>
      <w:r w:rsidRPr="00393624">
        <w:rPr>
          <w:noProof/>
        </w:rPr>
        <w:t xml:space="preserve"> </w:t>
      </w:r>
      <w:r w:rsidRPr="00393624">
        <w:rPr>
          <w:b/>
          <w:bCs/>
          <w:noProof/>
        </w:rPr>
        <w:t>15</w:t>
      </w:r>
      <w:r w:rsidRPr="00393624">
        <w:rPr>
          <w:noProof/>
        </w:rPr>
        <w:t>, (2021).</w:t>
      </w:r>
    </w:p>
    <w:p w14:paraId="535B2671" w14:textId="77777777" w:rsidR="00393624" w:rsidRPr="00393624" w:rsidRDefault="00393624" w:rsidP="00393624">
      <w:pPr>
        <w:widowControl w:val="0"/>
        <w:autoSpaceDE w:val="0"/>
        <w:autoSpaceDN w:val="0"/>
        <w:adjustRightInd w:val="0"/>
        <w:ind w:left="640" w:hanging="640"/>
        <w:rPr>
          <w:noProof/>
        </w:rPr>
      </w:pPr>
      <w:r w:rsidRPr="00393624">
        <w:rPr>
          <w:noProof/>
        </w:rPr>
        <w:t>26.</w:t>
      </w:r>
      <w:r w:rsidRPr="00393624">
        <w:rPr>
          <w:noProof/>
        </w:rPr>
        <w:tab/>
        <w:t xml:space="preserve">Salman, M. S. </w:t>
      </w:r>
      <w:r w:rsidRPr="00393624">
        <w:rPr>
          <w:i/>
          <w:iCs/>
          <w:noProof/>
        </w:rPr>
        <w:t>et al.</w:t>
      </w:r>
      <w:r w:rsidRPr="00393624">
        <w:rPr>
          <w:noProof/>
        </w:rPr>
        <w:t xml:space="preserve"> Multi-study evaluation of neuroimaging-based prediction of medication class in mood disorders. </w:t>
      </w:r>
      <w:r w:rsidRPr="00393624">
        <w:rPr>
          <w:i/>
          <w:iCs/>
          <w:noProof/>
        </w:rPr>
        <w:t>Psychiatry Res. - Neuroimaging</w:t>
      </w:r>
      <w:r w:rsidRPr="00393624">
        <w:rPr>
          <w:noProof/>
        </w:rPr>
        <w:t xml:space="preserve"> </w:t>
      </w:r>
      <w:r w:rsidRPr="00393624">
        <w:rPr>
          <w:b/>
          <w:bCs/>
          <w:noProof/>
        </w:rPr>
        <w:t>333</w:t>
      </w:r>
      <w:r w:rsidRPr="00393624">
        <w:rPr>
          <w:noProof/>
        </w:rPr>
        <w:t>, (2023).</w:t>
      </w:r>
    </w:p>
    <w:p w14:paraId="6ADE989C" w14:textId="77777777" w:rsidR="00393624" w:rsidRPr="00393624" w:rsidRDefault="00393624" w:rsidP="00393624">
      <w:pPr>
        <w:widowControl w:val="0"/>
        <w:autoSpaceDE w:val="0"/>
        <w:autoSpaceDN w:val="0"/>
        <w:adjustRightInd w:val="0"/>
        <w:ind w:left="640" w:hanging="640"/>
        <w:rPr>
          <w:noProof/>
        </w:rPr>
      </w:pPr>
      <w:r w:rsidRPr="00393624">
        <w:rPr>
          <w:noProof/>
        </w:rPr>
        <w:t>27.</w:t>
      </w:r>
      <w:r w:rsidRPr="00393624">
        <w:rPr>
          <w:noProof/>
        </w:rPr>
        <w:tab/>
        <w:t xml:space="preserve">Yan, W. </w:t>
      </w:r>
      <w:r w:rsidRPr="00393624">
        <w:rPr>
          <w:i/>
          <w:iCs/>
          <w:noProof/>
        </w:rPr>
        <w:t>et al.</w:t>
      </w:r>
      <w:r w:rsidRPr="00393624">
        <w:rPr>
          <w:noProof/>
        </w:rPr>
        <w:t xml:space="preserve"> A brain-wide risk score for psychiatric disorder evaluated in a large adolescent population reveals increased divergence among higher-risk groups relative to controls. </w:t>
      </w:r>
      <w:r w:rsidRPr="00393624">
        <w:rPr>
          <w:i/>
          <w:iCs/>
          <w:noProof/>
        </w:rPr>
        <w:t>Biol. Psychiatry</w:t>
      </w:r>
      <w:r w:rsidRPr="00393624">
        <w:rPr>
          <w:noProof/>
        </w:rPr>
        <w:t xml:space="preserve"> (2023). doi:10.1016/j.biopsych.2023.09.017</w:t>
      </w:r>
    </w:p>
    <w:p w14:paraId="78919786" w14:textId="77777777" w:rsidR="00393624" w:rsidRPr="00393624" w:rsidRDefault="00393624" w:rsidP="00393624">
      <w:pPr>
        <w:widowControl w:val="0"/>
        <w:autoSpaceDE w:val="0"/>
        <w:autoSpaceDN w:val="0"/>
        <w:adjustRightInd w:val="0"/>
        <w:ind w:left="640" w:hanging="640"/>
        <w:rPr>
          <w:noProof/>
        </w:rPr>
      </w:pPr>
      <w:r w:rsidRPr="00393624">
        <w:rPr>
          <w:noProof/>
        </w:rPr>
        <w:t>28.</w:t>
      </w:r>
      <w:r w:rsidRPr="00393624">
        <w:rPr>
          <w:noProof/>
        </w:rPr>
        <w:tab/>
        <w:t xml:space="preserve">Fawns-Ritchie, C. &amp; Deary, I. J. Reliability and validity of the UK Biobank cognitive tests. </w:t>
      </w:r>
      <w:r w:rsidRPr="00393624">
        <w:rPr>
          <w:i/>
          <w:iCs/>
          <w:noProof/>
        </w:rPr>
        <w:t>PLoS One</w:t>
      </w:r>
      <w:r w:rsidRPr="00393624">
        <w:rPr>
          <w:noProof/>
        </w:rPr>
        <w:t xml:space="preserve"> </w:t>
      </w:r>
      <w:r w:rsidRPr="00393624">
        <w:rPr>
          <w:b/>
          <w:bCs/>
          <w:noProof/>
        </w:rPr>
        <w:t>15</w:t>
      </w:r>
      <w:r w:rsidRPr="00393624">
        <w:rPr>
          <w:noProof/>
        </w:rPr>
        <w:t>, (2020).</w:t>
      </w:r>
    </w:p>
    <w:p w14:paraId="046EDD74" w14:textId="77777777" w:rsidR="00393624" w:rsidRPr="00393624" w:rsidRDefault="00393624" w:rsidP="00393624">
      <w:pPr>
        <w:widowControl w:val="0"/>
        <w:autoSpaceDE w:val="0"/>
        <w:autoSpaceDN w:val="0"/>
        <w:adjustRightInd w:val="0"/>
        <w:ind w:left="640" w:hanging="640"/>
        <w:rPr>
          <w:noProof/>
        </w:rPr>
      </w:pPr>
      <w:r w:rsidRPr="00393624">
        <w:rPr>
          <w:noProof/>
        </w:rPr>
        <w:t>29.</w:t>
      </w:r>
      <w:r w:rsidRPr="00393624">
        <w:rPr>
          <w:noProof/>
        </w:rPr>
        <w:tab/>
        <w:t xml:space="preserve">Weintraub, S. </w:t>
      </w:r>
      <w:r w:rsidRPr="00393624">
        <w:rPr>
          <w:i/>
          <w:iCs/>
          <w:noProof/>
        </w:rPr>
        <w:t>et al.</w:t>
      </w:r>
      <w:r w:rsidRPr="00393624">
        <w:rPr>
          <w:noProof/>
        </w:rPr>
        <w:t xml:space="preserve"> Cognition assessment using the NIH Toolbox. </w:t>
      </w:r>
      <w:r w:rsidRPr="00393624">
        <w:rPr>
          <w:i/>
          <w:iCs/>
          <w:noProof/>
        </w:rPr>
        <w:t>Neurology</w:t>
      </w:r>
      <w:r w:rsidRPr="00393624">
        <w:rPr>
          <w:noProof/>
        </w:rPr>
        <w:t xml:space="preserve"> </w:t>
      </w:r>
      <w:r w:rsidRPr="00393624">
        <w:rPr>
          <w:b/>
          <w:bCs/>
          <w:noProof/>
        </w:rPr>
        <w:t>80</w:t>
      </w:r>
      <w:r w:rsidRPr="00393624">
        <w:rPr>
          <w:noProof/>
        </w:rPr>
        <w:t>, (2013).</w:t>
      </w:r>
    </w:p>
    <w:p w14:paraId="2C3262AA" w14:textId="77777777" w:rsidR="00393624" w:rsidRPr="00393624" w:rsidRDefault="00393624" w:rsidP="00393624">
      <w:pPr>
        <w:widowControl w:val="0"/>
        <w:autoSpaceDE w:val="0"/>
        <w:autoSpaceDN w:val="0"/>
        <w:adjustRightInd w:val="0"/>
        <w:ind w:left="640" w:hanging="640"/>
        <w:rPr>
          <w:noProof/>
        </w:rPr>
      </w:pPr>
      <w:r w:rsidRPr="00393624">
        <w:rPr>
          <w:noProof/>
        </w:rPr>
        <w:t>30.</w:t>
      </w:r>
      <w:r w:rsidRPr="00393624">
        <w:rPr>
          <w:noProof/>
        </w:rPr>
        <w:tab/>
        <w:t xml:space="preserve">Cognitive planning in humans: New insights from the Tower of London (TOL) task. </w:t>
      </w:r>
      <w:r w:rsidRPr="00393624">
        <w:rPr>
          <w:i/>
          <w:iCs/>
          <w:noProof/>
        </w:rPr>
        <w:t>Cogn. Psychol. Plan.</w:t>
      </w:r>
      <w:r w:rsidRPr="00393624">
        <w:rPr>
          <w:noProof/>
        </w:rPr>
        <w:t xml:space="preserve"> 145–162 (2021). doi:10.4324/9780203493564-22</w:t>
      </w:r>
    </w:p>
    <w:p w14:paraId="23FFDE17" w14:textId="77777777" w:rsidR="00393624" w:rsidRPr="00393624" w:rsidRDefault="00393624" w:rsidP="00393624">
      <w:pPr>
        <w:widowControl w:val="0"/>
        <w:autoSpaceDE w:val="0"/>
        <w:autoSpaceDN w:val="0"/>
        <w:adjustRightInd w:val="0"/>
        <w:ind w:left="640" w:hanging="640"/>
        <w:rPr>
          <w:noProof/>
        </w:rPr>
      </w:pPr>
      <w:r w:rsidRPr="00393624">
        <w:rPr>
          <w:noProof/>
        </w:rPr>
        <w:t>31.</w:t>
      </w:r>
      <w:r w:rsidRPr="00393624">
        <w:rPr>
          <w:noProof/>
        </w:rPr>
        <w:tab/>
        <w:t xml:space="preserve">de Roquefeuil Guilhem, R. K. COGNITO: Computerized Assessment of Information Processing. </w:t>
      </w:r>
      <w:r w:rsidRPr="00393624">
        <w:rPr>
          <w:i/>
          <w:iCs/>
          <w:noProof/>
        </w:rPr>
        <w:t>J. Psychol. Psychother.</w:t>
      </w:r>
      <w:r w:rsidRPr="00393624">
        <w:rPr>
          <w:noProof/>
        </w:rPr>
        <w:t xml:space="preserve"> </w:t>
      </w:r>
      <w:r w:rsidRPr="00393624">
        <w:rPr>
          <w:b/>
          <w:bCs/>
          <w:noProof/>
        </w:rPr>
        <w:t>04</w:t>
      </w:r>
      <w:r w:rsidRPr="00393624">
        <w:rPr>
          <w:noProof/>
        </w:rPr>
        <w:t>, 10 (2014).</w:t>
      </w:r>
    </w:p>
    <w:p w14:paraId="5CAFA43F" w14:textId="23676FA3" w:rsidR="0040072B" w:rsidRPr="004E7C73" w:rsidRDefault="009C6C14" w:rsidP="00393624">
      <w:pPr>
        <w:widowControl w:val="0"/>
        <w:autoSpaceDE w:val="0"/>
        <w:autoSpaceDN w:val="0"/>
        <w:adjustRightInd w:val="0"/>
        <w:ind w:left="640" w:hanging="640"/>
      </w:pPr>
      <w:r>
        <w:fldChar w:fldCharType="end"/>
      </w:r>
    </w:p>
    <w:sectPr w:rsidR="0040072B" w:rsidRPr="004E7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924"/>
    <w:multiLevelType w:val="multilevel"/>
    <w:tmpl w:val="A62A4936"/>
    <w:lvl w:ilvl="0">
      <w:start w:val="1"/>
      <w:numFmt w:val="decimal"/>
      <w:lvlText w:val="%1)"/>
      <w:lvlJc w:val="left"/>
      <w:pPr>
        <w:ind w:left="360" w:hanging="360"/>
      </w:pPr>
      <w:rPr>
        <w:rFonts w:hint="eastAsia"/>
      </w:rPr>
    </w:lvl>
    <w:lvl w:ilvl="1">
      <w:start w:val="1"/>
      <w:numFmt w:val="lowerLetter"/>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decimal"/>
      <w:lvlRestart w:val="0"/>
      <w:suff w:val="space"/>
      <w:lvlText w:val="Figure %8."/>
      <w:lvlJc w:val="left"/>
      <w:pPr>
        <w:ind w:left="0" w:firstLine="0"/>
      </w:pPr>
      <w:rPr>
        <w:rFonts w:hint="eastAsia"/>
        <w:b/>
        <w:i w:val="0"/>
      </w:rPr>
    </w:lvl>
    <w:lvl w:ilvl="8">
      <w:start w:val="1"/>
      <w:numFmt w:val="lowerRoman"/>
      <w:lvlText w:val="%9."/>
      <w:lvlJc w:val="left"/>
      <w:pPr>
        <w:ind w:left="3240" w:hanging="360"/>
      </w:pPr>
      <w:rPr>
        <w:rFonts w:hint="eastAsia"/>
      </w:rPr>
    </w:lvl>
  </w:abstractNum>
  <w:abstractNum w:abstractNumId="1" w15:restartNumberingAfterBreak="0">
    <w:nsid w:val="10D27BCD"/>
    <w:multiLevelType w:val="multilevel"/>
    <w:tmpl w:val="9D04437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Restart w:val="0"/>
      <w:lvlText w:val="Figure S%7."/>
      <w:lvlJc w:val="left"/>
      <w:pPr>
        <w:ind w:left="0" w:firstLine="0"/>
      </w:pPr>
      <w:rPr>
        <w:rFonts w:hint="default"/>
        <w:b/>
        <w:i w:val="0"/>
      </w:rPr>
    </w:lvl>
    <w:lvl w:ilvl="7">
      <w:start w:val="1"/>
      <w:numFmt w:val="decimal"/>
      <w:lvlRestart w:val="0"/>
      <w:pStyle w:val="TableTitle"/>
      <w:lvlText w:val="Table S%8."/>
      <w:lvlJc w:val="center"/>
      <w:pPr>
        <w:ind w:left="360" w:hanging="72"/>
      </w:pPr>
      <w:rPr>
        <w:rFonts w:hint="default"/>
        <w:b/>
        <w:i w:val="0"/>
      </w:rPr>
    </w:lvl>
    <w:lvl w:ilvl="8">
      <w:start w:val="1"/>
      <w:numFmt w:val="lowerRoman"/>
      <w:lvlText w:val="%9."/>
      <w:lvlJc w:val="left"/>
      <w:pPr>
        <w:ind w:left="360" w:hanging="360"/>
      </w:pPr>
      <w:rPr>
        <w:rFonts w:hint="default"/>
      </w:rPr>
    </w:lvl>
  </w:abstractNum>
  <w:abstractNum w:abstractNumId="2" w15:restartNumberingAfterBreak="0">
    <w:nsid w:val="165437F8"/>
    <w:multiLevelType w:val="hybridMultilevel"/>
    <w:tmpl w:val="B3BA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8B3C30"/>
    <w:multiLevelType w:val="multilevel"/>
    <w:tmpl w:val="45925BBC"/>
    <w:lvl w:ilvl="0">
      <w:start w:val="1"/>
      <w:numFmt w:val="decimal"/>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Restart w:val="0"/>
      <w:pStyle w:val="figuretitle"/>
      <w:lvlText w:val="Figure S%7."/>
      <w:lvlJc w:val="left"/>
      <w:pPr>
        <w:ind w:left="0" w:firstLine="0"/>
      </w:pPr>
      <w:rPr>
        <w:rFonts w:hint="default"/>
        <w:b/>
        <w:i w:val="0"/>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num w:numId="1" w16cid:durableId="991905967">
    <w:abstractNumId w:val="1"/>
  </w:num>
  <w:num w:numId="2" w16cid:durableId="1920820503">
    <w:abstractNumId w:val="3"/>
  </w:num>
  <w:num w:numId="3" w16cid:durableId="212497786">
    <w:abstractNumId w:val="0"/>
  </w:num>
  <w:num w:numId="4" w16cid:durableId="695735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6DAC"/>
    <w:rsid w:val="000061A6"/>
    <w:rsid w:val="00007859"/>
    <w:rsid w:val="000100B3"/>
    <w:rsid w:val="00010132"/>
    <w:rsid w:val="000121D2"/>
    <w:rsid w:val="00016706"/>
    <w:rsid w:val="00017FD2"/>
    <w:rsid w:val="00024620"/>
    <w:rsid w:val="00035BDC"/>
    <w:rsid w:val="00042B0F"/>
    <w:rsid w:val="0005472A"/>
    <w:rsid w:val="000642B5"/>
    <w:rsid w:val="00066ED7"/>
    <w:rsid w:val="000740D0"/>
    <w:rsid w:val="00076251"/>
    <w:rsid w:val="00086DAC"/>
    <w:rsid w:val="00090A47"/>
    <w:rsid w:val="000A2853"/>
    <w:rsid w:val="000A40CC"/>
    <w:rsid w:val="000A4F8E"/>
    <w:rsid w:val="000A73F6"/>
    <w:rsid w:val="000C4CDA"/>
    <w:rsid w:val="000D523F"/>
    <w:rsid w:val="000E5C78"/>
    <w:rsid w:val="000F75B6"/>
    <w:rsid w:val="001124EF"/>
    <w:rsid w:val="0011669A"/>
    <w:rsid w:val="00120112"/>
    <w:rsid w:val="00130A77"/>
    <w:rsid w:val="00134DF0"/>
    <w:rsid w:val="00145D3B"/>
    <w:rsid w:val="00150D61"/>
    <w:rsid w:val="00151203"/>
    <w:rsid w:val="001512BD"/>
    <w:rsid w:val="00175A89"/>
    <w:rsid w:val="0018160F"/>
    <w:rsid w:val="00182157"/>
    <w:rsid w:val="00184B7B"/>
    <w:rsid w:val="00187849"/>
    <w:rsid w:val="00192D94"/>
    <w:rsid w:val="001B1169"/>
    <w:rsid w:val="001B57EB"/>
    <w:rsid w:val="001D1DE7"/>
    <w:rsid w:val="001D6827"/>
    <w:rsid w:val="001E00BE"/>
    <w:rsid w:val="001F6A39"/>
    <w:rsid w:val="001F70B5"/>
    <w:rsid w:val="002075BA"/>
    <w:rsid w:val="00213910"/>
    <w:rsid w:val="002153DB"/>
    <w:rsid w:val="00216147"/>
    <w:rsid w:val="002246C7"/>
    <w:rsid w:val="00226FA6"/>
    <w:rsid w:val="00231146"/>
    <w:rsid w:val="00247D82"/>
    <w:rsid w:val="002526CB"/>
    <w:rsid w:val="00254289"/>
    <w:rsid w:val="00254F2F"/>
    <w:rsid w:val="00267C2C"/>
    <w:rsid w:val="00282E6B"/>
    <w:rsid w:val="00286D8F"/>
    <w:rsid w:val="00287186"/>
    <w:rsid w:val="00287248"/>
    <w:rsid w:val="002905BD"/>
    <w:rsid w:val="00297CB4"/>
    <w:rsid w:val="002A52B8"/>
    <w:rsid w:val="002A6E2B"/>
    <w:rsid w:val="002B2D9F"/>
    <w:rsid w:val="002B5125"/>
    <w:rsid w:val="002C3DCA"/>
    <w:rsid w:val="002C4EFF"/>
    <w:rsid w:val="002C56E3"/>
    <w:rsid w:val="002D04B5"/>
    <w:rsid w:val="002D4854"/>
    <w:rsid w:val="002F2EED"/>
    <w:rsid w:val="0031441B"/>
    <w:rsid w:val="0032346D"/>
    <w:rsid w:val="00325352"/>
    <w:rsid w:val="00326259"/>
    <w:rsid w:val="00330FEF"/>
    <w:rsid w:val="00335499"/>
    <w:rsid w:val="003365E6"/>
    <w:rsid w:val="00337704"/>
    <w:rsid w:val="00340893"/>
    <w:rsid w:val="00341B7A"/>
    <w:rsid w:val="0034609B"/>
    <w:rsid w:val="00346BB9"/>
    <w:rsid w:val="003508ED"/>
    <w:rsid w:val="003542A4"/>
    <w:rsid w:val="003566B6"/>
    <w:rsid w:val="0036654C"/>
    <w:rsid w:val="0038136F"/>
    <w:rsid w:val="00393624"/>
    <w:rsid w:val="0039494B"/>
    <w:rsid w:val="0039688F"/>
    <w:rsid w:val="003A13EF"/>
    <w:rsid w:val="003A6547"/>
    <w:rsid w:val="003B1C41"/>
    <w:rsid w:val="003C2811"/>
    <w:rsid w:val="003C7E85"/>
    <w:rsid w:val="003E356D"/>
    <w:rsid w:val="003F39A5"/>
    <w:rsid w:val="003F428E"/>
    <w:rsid w:val="003F533E"/>
    <w:rsid w:val="0040072B"/>
    <w:rsid w:val="00400987"/>
    <w:rsid w:val="00402203"/>
    <w:rsid w:val="00402237"/>
    <w:rsid w:val="00417E2B"/>
    <w:rsid w:val="00421A16"/>
    <w:rsid w:val="004336EB"/>
    <w:rsid w:val="0043734C"/>
    <w:rsid w:val="00440DD8"/>
    <w:rsid w:val="00441F94"/>
    <w:rsid w:val="00444EEF"/>
    <w:rsid w:val="00445C3D"/>
    <w:rsid w:val="00453920"/>
    <w:rsid w:val="004705BB"/>
    <w:rsid w:val="00481C61"/>
    <w:rsid w:val="00484360"/>
    <w:rsid w:val="0049301E"/>
    <w:rsid w:val="004A1C08"/>
    <w:rsid w:val="004B2207"/>
    <w:rsid w:val="004B23D9"/>
    <w:rsid w:val="004B446C"/>
    <w:rsid w:val="004C2F87"/>
    <w:rsid w:val="004D62CC"/>
    <w:rsid w:val="004D73B1"/>
    <w:rsid w:val="004E0229"/>
    <w:rsid w:val="004E6E54"/>
    <w:rsid w:val="004E78D9"/>
    <w:rsid w:val="004E7C73"/>
    <w:rsid w:val="004F6F56"/>
    <w:rsid w:val="00505F29"/>
    <w:rsid w:val="00515B75"/>
    <w:rsid w:val="00521E25"/>
    <w:rsid w:val="005247F5"/>
    <w:rsid w:val="00525A7F"/>
    <w:rsid w:val="00532ADA"/>
    <w:rsid w:val="00554FAA"/>
    <w:rsid w:val="00561510"/>
    <w:rsid w:val="0056179F"/>
    <w:rsid w:val="00564BF2"/>
    <w:rsid w:val="00584F32"/>
    <w:rsid w:val="005865DF"/>
    <w:rsid w:val="005A40F8"/>
    <w:rsid w:val="005A571F"/>
    <w:rsid w:val="005A6BAB"/>
    <w:rsid w:val="005B0A8E"/>
    <w:rsid w:val="005D71CB"/>
    <w:rsid w:val="00606258"/>
    <w:rsid w:val="00606E7D"/>
    <w:rsid w:val="00616F07"/>
    <w:rsid w:val="00620907"/>
    <w:rsid w:val="00624829"/>
    <w:rsid w:val="00633EAA"/>
    <w:rsid w:val="00655BDF"/>
    <w:rsid w:val="006700A4"/>
    <w:rsid w:val="00695355"/>
    <w:rsid w:val="006A4EC2"/>
    <w:rsid w:val="006C4608"/>
    <w:rsid w:val="006C6FB7"/>
    <w:rsid w:val="006C7CEA"/>
    <w:rsid w:val="006D11F7"/>
    <w:rsid w:val="006D1699"/>
    <w:rsid w:val="006D198C"/>
    <w:rsid w:val="006D69A6"/>
    <w:rsid w:val="006E69AB"/>
    <w:rsid w:val="006F18F8"/>
    <w:rsid w:val="007018DC"/>
    <w:rsid w:val="007022F9"/>
    <w:rsid w:val="007207D4"/>
    <w:rsid w:val="007517DB"/>
    <w:rsid w:val="00754649"/>
    <w:rsid w:val="007573A1"/>
    <w:rsid w:val="00773DC8"/>
    <w:rsid w:val="00774D17"/>
    <w:rsid w:val="007803EE"/>
    <w:rsid w:val="007806DF"/>
    <w:rsid w:val="007858A3"/>
    <w:rsid w:val="00792C97"/>
    <w:rsid w:val="00793F41"/>
    <w:rsid w:val="00797003"/>
    <w:rsid w:val="007A00A6"/>
    <w:rsid w:val="007A4BAB"/>
    <w:rsid w:val="007A6A30"/>
    <w:rsid w:val="007B39B1"/>
    <w:rsid w:val="007B5712"/>
    <w:rsid w:val="007B5E1A"/>
    <w:rsid w:val="007C4997"/>
    <w:rsid w:val="007D02AC"/>
    <w:rsid w:val="007D27D7"/>
    <w:rsid w:val="007D67A1"/>
    <w:rsid w:val="007F48AE"/>
    <w:rsid w:val="00803E18"/>
    <w:rsid w:val="0080472A"/>
    <w:rsid w:val="0080636C"/>
    <w:rsid w:val="008134C9"/>
    <w:rsid w:val="0081629E"/>
    <w:rsid w:val="00822597"/>
    <w:rsid w:val="00825C84"/>
    <w:rsid w:val="00827921"/>
    <w:rsid w:val="00841176"/>
    <w:rsid w:val="00847A1D"/>
    <w:rsid w:val="00851DA5"/>
    <w:rsid w:val="00855ABF"/>
    <w:rsid w:val="00861427"/>
    <w:rsid w:val="008675EA"/>
    <w:rsid w:val="00872330"/>
    <w:rsid w:val="0087760E"/>
    <w:rsid w:val="00881447"/>
    <w:rsid w:val="008820B8"/>
    <w:rsid w:val="00883F84"/>
    <w:rsid w:val="00891224"/>
    <w:rsid w:val="00891538"/>
    <w:rsid w:val="008A4A76"/>
    <w:rsid w:val="008A55F6"/>
    <w:rsid w:val="008B17D7"/>
    <w:rsid w:val="008B1EFD"/>
    <w:rsid w:val="008B6D2E"/>
    <w:rsid w:val="008C26E9"/>
    <w:rsid w:val="008C5B26"/>
    <w:rsid w:val="008E21CC"/>
    <w:rsid w:val="008F67D9"/>
    <w:rsid w:val="008F7580"/>
    <w:rsid w:val="00920ABD"/>
    <w:rsid w:val="00923CAA"/>
    <w:rsid w:val="00931591"/>
    <w:rsid w:val="00932B3A"/>
    <w:rsid w:val="0093713E"/>
    <w:rsid w:val="00942160"/>
    <w:rsid w:val="00942729"/>
    <w:rsid w:val="00944495"/>
    <w:rsid w:val="00944F30"/>
    <w:rsid w:val="00950FA5"/>
    <w:rsid w:val="00957BD1"/>
    <w:rsid w:val="00960DBF"/>
    <w:rsid w:val="00977E5D"/>
    <w:rsid w:val="0099556D"/>
    <w:rsid w:val="009A0903"/>
    <w:rsid w:val="009A13B5"/>
    <w:rsid w:val="009B1642"/>
    <w:rsid w:val="009C6C14"/>
    <w:rsid w:val="009C7C14"/>
    <w:rsid w:val="009D602D"/>
    <w:rsid w:val="009E5799"/>
    <w:rsid w:val="009F3A06"/>
    <w:rsid w:val="00A0738C"/>
    <w:rsid w:val="00A149B5"/>
    <w:rsid w:val="00A157CB"/>
    <w:rsid w:val="00A24D44"/>
    <w:rsid w:val="00A2599F"/>
    <w:rsid w:val="00A30012"/>
    <w:rsid w:val="00A45D85"/>
    <w:rsid w:val="00A61129"/>
    <w:rsid w:val="00A67C66"/>
    <w:rsid w:val="00A76EC6"/>
    <w:rsid w:val="00A77423"/>
    <w:rsid w:val="00A90121"/>
    <w:rsid w:val="00A95E0D"/>
    <w:rsid w:val="00A972A1"/>
    <w:rsid w:val="00AB1C8B"/>
    <w:rsid w:val="00AB2CAE"/>
    <w:rsid w:val="00AB3E4B"/>
    <w:rsid w:val="00AC1C84"/>
    <w:rsid w:val="00AC68F7"/>
    <w:rsid w:val="00AD2904"/>
    <w:rsid w:val="00AE3E87"/>
    <w:rsid w:val="00AE5213"/>
    <w:rsid w:val="00AE5B85"/>
    <w:rsid w:val="00AE7FCA"/>
    <w:rsid w:val="00B01D9E"/>
    <w:rsid w:val="00B12867"/>
    <w:rsid w:val="00B21AF8"/>
    <w:rsid w:val="00B22E1C"/>
    <w:rsid w:val="00B23277"/>
    <w:rsid w:val="00B26C7D"/>
    <w:rsid w:val="00B345D9"/>
    <w:rsid w:val="00B356DB"/>
    <w:rsid w:val="00B413CE"/>
    <w:rsid w:val="00B435C6"/>
    <w:rsid w:val="00B453BB"/>
    <w:rsid w:val="00B50BFB"/>
    <w:rsid w:val="00B5227A"/>
    <w:rsid w:val="00B53E2B"/>
    <w:rsid w:val="00B62200"/>
    <w:rsid w:val="00B64553"/>
    <w:rsid w:val="00B74CF6"/>
    <w:rsid w:val="00B7594C"/>
    <w:rsid w:val="00B76005"/>
    <w:rsid w:val="00B80276"/>
    <w:rsid w:val="00B81B0E"/>
    <w:rsid w:val="00B83A18"/>
    <w:rsid w:val="00B859E8"/>
    <w:rsid w:val="00B874B2"/>
    <w:rsid w:val="00B93633"/>
    <w:rsid w:val="00B94F1B"/>
    <w:rsid w:val="00B97D74"/>
    <w:rsid w:val="00BA0018"/>
    <w:rsid w:val="00BB25D7"/>
    <w:rsid w:val="00BB7604"/>
    <w:rsid w:val="00BC1292"/>
    <w:rsid w:val="00BC7679"/>
    <w:rsid w:val="00BF0672"/>
    <w:rsid w:val="00BF5465"/>
    <w:rsid w:val="00C0106F"/>
    <w:rsid w:val="00C0632A"/>
    <w:rsid w:val="00C161AD"/>
    <w:rsid w:val="00C20547"/>
    <w:rsid w:val="00C21532"/>
    <w:rsid w:val="00C31B9F"/>
    <w:rsid w:val="00C36150"/>
    <w:rsid w:val="00C456DD"/>
    <w:rsid w:val="00C4576F"/>
    <w:rsid w:val="00C47169"/>
    <w:rsid w:val="00C66541"/>
    <w:rsid w:val="00C66602"/>
    <w:rsid w:val="00C712B8"/>
    <w:rsid w:val="00C72032"/>
    <w:rsid w:val="00C724B1"/>
    <w:rsid w:val="00C74001"/>
    <w:rsid w:val="00C7534A"/>
    <w:rsid w:val="00C7659C"/>
    <w:rsid w:val="00C81747"/>
    <w:rsid w:val="00C9023D"/>
    <w:rsid w:val="00C960EF"/>
    <w:rsid w:val="00CA1690"/>
    <w:rsid w:val="00CC25AF"/>
    <w:rsid w:val="00CC2CB4"/>
    <w:rsid w:val="00CD0618"/>
    <w:rsid w:val="00CD39F2"/>
    <w:rsid w:val="00CD49C7"/>
    <w:rsid w:val="00CE2A29"/>
    <w:rsid w:val="00CF13C7"/>
    <w:rsid w:val="00D20FE6"/>
    <w:rsid w:val="00D217A1"/>
    <w:rsid w:val="00D24EA7"/>
    <w:rsid w:val="00D5004F"/>
    <w:rsid w:val="00D5550A"/>
    <w:rsid w:val="00D56099"/>
    <w:rsid w:val="00D61424"/>
    <w:rsid w:val="00D6472A"/>
    <w:rsid w:val="00D7567F"/>
    <w:rsid w:val="00D8162A"/>
    <w:rsid w:val="00D85006"/>
    <w:rsid w:val="00D97DB8"/>
    <w:rsid w:val="00DB23D3"/>
    <w:rsid w:val="00DB797F"/>
    <w:rsid w:val="00DC4285"/>
    <w:rsid w:val="00DC50A8"/>
    <w:rsid w:val="00DC5E33"/>
    <w:rsid w:val="00DC7229"/>
    <w:rsid w:val="00DD2743"/>
    <w:rsid w:val="00DD3193"/>
    <w:rsid w:val="00DD5B07"/>
    <w:rsid w:val="00DD5DB2"/>
    <w:rsid w:val="00DD66CF"/>
    <w:rsid w:val="00DE169D"/>
    <w:rsid w:val="00DE2AF7"/>
    <w:rsid w:val="00DE798D"/>
    <w:rsid w:val="00E0053D"/>
    <w:rsid w:val="00E009A5"/>
    <w:rsid w:val="00E052D4"/>
    <w:rsid w:val="00E05A40"/>
    <w:rsid w:val="00E11682"/>
    <w:rsid w:val="00E12404"/>
    <w:rsid w:val="00E24E37"/>
    <w:rsid w:val="00E25A7C"/>
    <w:rsid w:val="00E30126"/>
    <w:rsid w:val="00E314B5"/>
    <w:rsid w:val="00E32BAF"/>
    <w:rsid w:val="00E339C2"/>
    <w:rsid w:val="00E3476A"/>
    <w:rsid w:val="00E367C4"/>
    <w:rsid w:val="00E60CDC"/>
    <w:rsid w:val="00E6480C"/>
    <w:rsid w:val="00E66AAB"/>
    <w:rsid w:val="00E7048A"/>
    <w:rsid w:val="00E729E7"/>
    <w:rsid w:val="00E7433C"/>
    <w:rsid w:val="00E857F3"/>
    <w:rsid w:val="00E85CEE"/>
    <w:rsid w:val="00E96280"/>
    <w:rsid w:val="00EB423A"/>
    <w:rsid w:val="00EB5712"/>
    <w:rsid w:val="00EB69EC"/>
    <w:rsid w:val="00EC4B7C"/>
    <w:rsid w:val="00EC765D"/>
    <w:rsid w:val="00EC7E0D"/>
    <w:rsid w:val="00ED101D"/>
    <w:rsid w:val="00ED7C60"/>
    <w:rsid w:val="00EF0833"/>
    <w:rsid w:val="00F0446D"/>
    <w:rsid w:val="00F25589"/>
    <w:rsid w:val="00F320D5"/>
    <w:rsid w:val="00F549EF"/>
    <w:rsid w:val="00F61BD8"/>
    <w:rsid w:val="00F72AB4"/>
    <w:rsid w:val="00F902CD"/>
    <w:rsid w:val="00F91130"/>
    <w:rsid w:val="00F93EB7"/>
    <w:rsid w:val="00FA5941"/>
    <w:rsid w:val="00FC160F"/>
    <w:rsid w:val="00FD2E53"/>
    <w:rsid w:val="00FD5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92596"/>
  <w15:chartTrackingRefBased/>
  <w15:docId w15:val="{995C223B-0549-4663-B5BD-1B47AA6B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等线"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CDC"/>
    <w:pPr>
      <w:spacing w:before="60" w:line="360" w:lineRule="auto"/>
      <w:ind w:firstLine="284"/>
      <w:jc w:val="both"/>
    </w:pPr>
    <w:rPr>
      <w:rFonts w:ascii="Times New Roman" w:hAnsi="Times New Roman"/>
      <w:sz w:val="24"/>
      <w:szCs w:val="22"/>
    </w:rPr>
  </w:style>
  <w:style w:type="paragraph" w:styleId="Heading1">
    <w:name w:val="heading 1"/>
    <w:next w:val="Normal"/>
    <w:link w:val="Heading1Char"/>
    <w:uiPriority w:val="9"/>
    <w:qFormat/>
    <w:rsid w:val="00E60CDC"/>
    <w:pPr>
      <w:keepNext/>
      <w:keepLines/>
      <w:spacing w:before="120"/>
      <w:outlineLvl w:val="0"/>
    </w:pPr>
    <w:rPr>
      <w:rFonts w:ascii="Times New Roman" w:eastAsia="等线 Light" w:hAnsi="Times New Roman"/>
      <w:b/>
      <w:sz w:val="32"/>
      <w:szCs w:val="32"/>
    </w:rPr>
  </w:style>
  <w:style w:type="paragraph" w:styleId="Heading2">
    <w:name w:val="heading 2"/>
    <w:next w:val="Normal"/>
    <w:link w:val="Heading2Char"/>
    <w:uiPriority w:val="9"/>
    <w:unhideWhenUsed/>
    <w:qFormat/>
    <w:rsid w:val="008A4A76"/>
    <w:pPr>
      <w:keepNext/>
      <w:keepLines/>
      <w:numPr>
        <w:ilvl w:val="1"/>
        <w:numId w:val="2"/>
      </w:numPr>
      <w:spacing w:before="120" w:after="60" w:line="360" w:lineRule="auto"/>
      <w:outlineLvl w:val="1"/>
    </w:pPr>
    <w:rPr>
      <w:rFonts w:ascii="Arial" w:eastAsia="Arial" w:hAnsi="Arial" w:cs="Arial"/>
      <w:bCs/>
      <w:sz w:val="24"/>
      <w:szCs w:val="24"/>
    </w:rPr>
  </w:style>
  <w:style w:type="paragraph" w:styleId="Heading3">
    <w:name w:val="heading 3"/>
    <w:basedOn w:val="Normal"/>
    <w:next w:val="Normal"/>
    <w:link w:val="Heading3Char"/>
    <w:uiPriority w:val="9"/>
    <w:unhideWhenUsed/>
    <w:qFormat/>
    <w:rsid w:val="008A4A76"/>
    <w:pPr>
      <w:keepNext/>
      <w:keepLines/>
      <w:numPr>
        <w:ilvl w:val="2"/>
        <w:numId w:val="2"/>
      </w:numPr>
      <w:spacing w:before="120" w:after="120"/>
      <w:outlineLvl w:val="2"/>
    </w:pPr>
    <w:rPr>
      <w:rFonts w:eastAsia="Arial" w:cs="Arial"/>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7D02AC"/>
    <w:pPr>
      <w:contextualSpacing/>
      <w:jc w:val="center"/>
    </w:pPr>
    <w:rPr>
      <w:rFonts w:ascii="Times New Roman" w:eastAsia="等线 Light" w:hAnsi="Times New Roman"/>
      <w:b/>
      <w:spacing w:val="-10"/>
      <w:kern w:val="28"/>
      <w:sz w:val="32"/>
      <w:szCs w:val="56"/>
    </w:rPr>
  </w:style>
  <w:style w:type="character" w:customStyle="1" w:styleId="TitleChar">
    <w:name w:val="Title Char"/>
    <w:link w:val="Title"/>
    <w:uiPriority w:val="10"/>
    <w:rsid w:val="007D02AC"/>
    <w:rPr>
      <w:rFonts w:ascii="Times New Roman" w:eastAsia="等线 Light" w:hAnsi="Times New Roman"/>
      <w:b/>
      <w:spacing w:val="-10"/>
      <w:kern w:val="28"/>
      <w:sz w:val="32"/>
      <w:szCs w:val="56"/>
    </w:rPr>
  </w:style>
  <w:style w:type="character" w:customStyle="1" w:styleId="Heading1Char">
    <w:name w:val="Heading 1 Char"/>
    <w:link w:val="Heading1"/>
    <w:uiPriority w:val="9"/>
    <w:rsid w:val="00E60CDC"/>
    <w:rPr>
      <w:rFonts w:ascii="Times New Roman" w:eastAsia="等线 Light" w:hAnsi="Times New Roman"/>
      <w:b/>
      <w:sz w:val="32"/>
      <w:szCs w:val="32"/>
    </w:rPr>
  </w:style>
  <w:style w:type="paragraph" w:customStyle="1" w:styleId="figure">
    <w:name w:val="figure"/>
    <w:qFormat/>
    <w:rsid w:val="00532ADA"/>
    <w:pPr>
      <w:spacing w:before="120" w:line="360" w:lineRule="auto"/>
      <w:jc w:val="center"/>
    </w:pPr>
    <w:rPr>
      <w:rFonts w:ascii="Arial" w:eastAsia="Arial" w:hAnsi="Arial" w:cs="Arial"/>
      <w:noProof/>
    </w:rPr>
  </w:style>
  <w:style w:type="paragraph" w:customStyle="1" w:styleId="TableTitle">
    <w:name w:val="Table Title"/>
    <w:qFormat/>
    <w:rsid w:val="00AB3E4B"/>
    <w:pPr>
      <w:numPr>
        <w:ilvl w:val="7"/>
        <w:numId w:val="1"/>
      </w:numPr>
      <w:spacing w:before="120" w:line="276" w:lineRule="auto"/>
      <w:jc w:val="center"/>
      <w:outlineLvl w:val="7"/>
    </w:pPr>
    <w:rPr>
      <w:rFonts w:ascii="Times New Roman" w:eastAsia="Arial" w:hAnsi="Times New Roman" w:cs="Arial"/>
      <w:b/>
    </w:rPr>
  </w:style>
  <w:style w:type="table" w:styleId="TableGrid">
    <w:name w:val="Table Grid"/>
    <w:basedOn w:val="TableNormal"/>
    <w:uiPriority w:val="59"/>
    <w:rsid w:val="003E3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qFormat/>
    <w:rsid w:val="00AB3E4B"/>
    <w:pPr>
      <w:jc w:val="center"/>
    </w:pPr>
    <w:rPr>
      <w:rFonts w:ascii="Times New Roman" w:eastAsia="Arial" w:hAnsi="Times New Roman" w:cs="Arial"/>
      <w:sz w:val="16"/>
    </w:rPr>
  </w:style>
  <w:style w:type="character" w:customStyle="1" w:styleId="Heading2Char">
    <w:name w:val="Heading 2 Char"/>
    <w:link w:val="Heading2"/>
    <w:uiPriority w:val="9"/>
    <w:rsid w:val="008A4A76"/>
    <w:rPr>
      <w:rFonts w:ascii="Arial" w:eastAsia="Arial" w:hAnsi="Arial" w:cs="Arial"/>
      <w:bCs/>
      <w:sz w:val="24"/>
      <w:szCs w:val="24"/>
    </w:rPr>
  </w:style>
  <w:style w:type="character" w:customStyle="1" w:styleId="Heading3Char">
    <w:name w:val="Heading 3 Char"/>
    <w:link w:val="Heading3"/>
    <w:uiPriority w:val="9"/>
    <w:rsid w:val="008A4A76"/>
    <w:rPr>
      <w:rFonts w:ascii="Arial" w:eastAsia="Arial" w:hAnsi="Arial" w:cs="Arial"/>
      <w:bCs/>
      <w:sz w:val="20"/>
      <w:szCs w:val="20"/>
    </w:rPr>
  </w:style>
  <w:style w:type="paragraph" w:customStyle="1" w:styleId="figuretitle">
    <w:name w:val="figure_title"/>
    <w:qFormat/>
    <w:rsid w:val="00C4576F"/>
    <w:pPr>
      <w:numPr>
        <w:ilvl w:val="6"/>
        <w:numId w:val="2"/>
      </w:numPr>
      <w:spacing w:after="120" w:line="360" w:lineRule="auto"/>
      <w:jc w:val="both"/>
      <w:outlineLvl w:val="6"/>
    </w:pPr>
    <w:rPr>
      <w:rFonts w:ascii="Times New Roman" w:eastAsia="Arial" w:hAnsi="Times New Roman" w:cs="Arial"/>
      <w:noProof/>
    </w:rPr>
  </w:style>
  <w:style w:type="paragraph" w:customStyle="1" w:styleId="Figure0">
    <w:name w:val="Figure"/>
    <w:qFormat/>
    <w:rsid w:val="00FC160F"/>
    <w:pPr>
      <w:spacing w:before="120" w:line="360" w:lineRule="auto"/>
      <w:jc w:val="center"/>
    </w:pPr>
    <w:rPr>
      <w:rFonts w:ascii="Arial" w:hAnsi="Arial"/>
      <w:noProof/>
      <w:sz w:val="22"/>
      <w:szCs w:val="22"/>
    </w:rPr>
  </w:style>
  <w:style w:type="table" w:customStyle="1" w:styleId="TableGrid1">
    <w:name w:val="Table Grid1"/>
    <w:basedOn w:val="TableNormal"/>
    <w:next w:val="TableGrid"/>
    <w:uiPriority w:val="39"/>
    <w:rsid w:val="00254289"/>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1441B"/>
    <w:rPr>
      <w:color w:val="0563C1"/>
      <w:u w:val="single"/>
    </w:rPr>
  </w:style>
  <w:style w:type="character" w:styleId="Emphasis">
    <w:name w:val="Emphasis"/>
    <w:uiPriority w:val="20"/>
    <w:qFormat/>
    <w:rsid w:val="00016706"/>
    <w:rPr>
      <w:i/>
      <w:iCs/>
    </w:rPr>
  </w:style>
  <w:style w:type="character" w:styleId="UnresolvedMention">
    <w:name w:val="Unresolved Mention"/>
    <w:uiPriority w:val="99"/>
    <w:semiHidden/>
    <w:unhideWhenUsed/>
    <w:rsid w:val="004B4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499082">
      <w:bodyDiv w:val="1"/>
      <w:marLeft w:val="0"/>
      <w:marRight w:val="0"/>
      <w:marTop w:val="0"/>
      <w:marBottom w:val="0"/>
      <w:divBdr>
        <w:top w:val="none" w:sz="0" w:space="0" w:color="auto"/>
        <w:left w:val="none" w:sz="0" w:space="0" w:color="auto"/>
        <w:bottom w:val="none" w:sz="0" w:space="0" w:color="auto"/>
        <w:right w:val="none" w:sz="0" w:space="0" w:color="auto"/>
      </w:divBdr>
    </w:div>
    <w:div w:id="974532283">
      <w:bodyDiv w:val="1"/>
      <w:marLeft w:val="0"/>
      <w:marRight w:val="0"/>
      <w:marTop w:val="0"/>
      <w:marBottom w:val="0"/>
      <w:divBdr>
        <w:top w:val="none" w:sz="0" w:space="0" w:color="auto"/>
        <w:left w:val="none" w:sz="0" w:space="0" w:color="auto"/>
        <w:bottom w:val="none" w:sz="0" w:space="0" w:color="auto"/>
        <w:right w:val="none" w:sz="0" w:space="0" w:color="auto"/>
      </w:divBdr>
    </w:div>
    <w:div w:id="1219825163">
      <w:bodyDiv w:val="1"/>
      <w:marLeft w:val="0"/>
      <w:marRight w:val="0"/>
      <w:marTop w:val="0"/>
      <w:marBottom w:val="0"/>
      <w:divBdr>
        <w:top w:val="none" w:sz="0" w:space="0" w:color="auto"/>
        <w:left w:val="none" w:sz="0" w:space="0" w:color="auto"/>
        <w:bottom w:val="none" w:sz="0" w:space="0" w:color="auto"/>
        <w:right w:val="none" w:sz="0" w:space="0" w:color="auto"/>
      </w:divBdr>
    </w:div>
    <w:div w:id="1268386026">
      <w:bodyDiv w:val="1"/>
      <w:marLeft w:val="0"/>
      <w:marRight w:val="0"/>
      <w:marTop w:val="0"/>
      <w:marBottom w:val="0"/>
      <w:divBdr>
        <w:top w:val="none" w:sz="0" w:space="0" w:color="auto"/>
        <w:left w:val="none" w:sz="0" w:space="0" w:color="auto"/>
        <w:bottom w:val="none" w:sz="0" w:space="0" w:color="auto"/>
        <w:right w:val="none" w:sz="0" w:space="0" w:color="auto"/>
      </w:divBdr>
    </w:div>
    <w:div w:id="170085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BE79-DB13-4EF3-9583-B2207F391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21238</Words>
  <Characters>121062</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142016</CharactersWithSpaces>
  <SharedDoc>false</SharedDoc>
  <HLinks>
    <vt:vector size="6" baseType="variant">
      <vt:variant>
        <vt:i4>7602223</vt:i4>
      </vt:variant>
      <vt:variant>
        <vt:i4>9</vt:i4>
      </vt:variant>
      <vt:variant>
        <vt:i4>0</vt:i4>
      </vt:variant>
      <vt:variant>
        <vt:i4>5</vt:i4>
      </vt:variant>
      <vt:variant>
        <vt:lpwstr>http://trendscenter.org/software/gift/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傅 泽宁</dc:creator>
  <cp:keywords/>
  <dc:description/>
  <cp:lastModifiedBy>Zening Fu</cp:lastModifiedBy>
  <cp:revision>5</cp:revision>
  <dcterms:created xsi:type="dcterms:W3CDTF">2025-06-16T15:16:00Z</dcterms:created>
  <dcterms:modified xsi:type="dcterms:W3CDTF">2025-06-25T16:37:00Z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c30948ed-7fa2-387c-998d-1b09bf094beb</vt:lpwstr>
  </property>
  <property fmtid="{D5CDD505-2E9C-101B-9397-08002B2CF9AE}" pid="4" name="Mendeley Citation Style_1">
    <vt:lpwstr>http://www.zotero.org/styles/nature-communications</vt:lpwstr>
  </property>
  <property fmtid="{D5CDD505-2E9C-101B-9397-08002B2CF9AE}" pid="5" name="Mendeley Recent Style Id 0_1">
    <vt:lpwstr>http://www.zotero.org/styles/brain</vt:lpwstr>
  </property>
  <property fmtid="{D5CDD505-2E9C-101B-9397-08002B2CF9AE}" pid="6" name="Mendeley Recent Style Name 0_1">
    <vt:lpwstr>Brain</vt:lpwstr>
  </property>
  <property fmtid="{D5CDD505-2E9C-101B-9397-08002B2CF9AE}" pid="7" name="Mendeley Recent Style Id 1_1">
    <vt:lpwstr>http://www.zotero.org/styles/ebiomedicine</vt:lpwstr>
  </property>
  <property fmtid="{D5CDD505-2E9C-101B-9397-08002B2CF9AE}" pid="8" name="Mendeley Recent Style Name 1_1">
    <vt:lpwstr>EBioMedicine</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http://www.zotero.org/styles/molecular-psychiatry</vt:lpwstr>
  </property>
  <property fmtid="{D5CDD505-2E9C-101B-9397-08002B2CF9AE}" pid="12" name="Mendeley Recent Style Name 3_1">
    <vt:lpwstr>Molecular Psychiatry</vt:lpwstr>
  </property>
  <property fmtid="{D5CDD505-2E9C-101B-9397-08002B2CF9AE}" pid="13" name="Mendeley Recent Style Id 4_1">
    <vt:lpwstr>http://www.zotero.org/styles/nature-communications</vt:lpwstr>
  </property>
  <property fmtid="{D5CDD505-2E9C-101B-9397-08002B2CF9AE}" pid="14" name="Mendeley Recent Style Name 4_1">
    <vt:lpwstr>Nature Communications</vt:lpwstr>
  </property>
  <property fmtid="{D5CDD505-2E9C-101B-9397-08002B2CF9AE}" pid="15" name="Mendeley Recent Style Id 5_1">
    <vt:lpwstr>http://www.zotero.org/styles/nature-neuroscience</vt:lpwstr>
  </property>
  <property fmtid="{D5CDD505-2E9C-101B-9397-08002B2CF9AE}" pid="16" name="Mendeley Recent Style Name 5_1">
    <vt:lpwstr>Nature Neuroscience</vt:lpwstr>
  </property>
  <property fmtid="{D5CDD505-2E9C-101B-9397-08002B2CF9AE}" pid="17" name="Mendeley Recent Style Id 6_1">
    <vt:lpwstr>http://www.zotero.org/styles/neuroimage</vt:lpwstr>
  </property>
  <property fmtid="{D5CDD505-2E9C-101B-9397-08002B2CF9AE}" pid="18" name="Mendeley Recent Style Name 6_1">
    <vt:lpwstr>NeuroImage</vt:lpwstr>
  </property>
  <property fmtid="{D5CDD505-2E9C-101B-9397-08002B2CF9AE}" pid="19" name="Mendeley Recent Style Id 7_1">
    <vt:lpwstr>http://www.zotero.org/styles/neuropsychopharmacology</vt:lpwstr>
  </property>
  <property fmtid="{D5CDD505-2E9C-101B-9397-08002B2CF9AE}" pid="20" name="Mendeley Recent Style Name 7_1">
    <vt:lpwstr>Neuropsychopharmacology</vt:lpwstr>
  </property>
  <property fmtid="{D5CDD505-2E9C-101B-9397-08002B2CF9AE}" pid="21" name="Mendeley Recent Style Id 8_1">
    <vt:lpwstr>http://www.zotero.org/styles/translational-psychiatry</vt:lpwstr>
  </property>
  <property fmtid="{D5CDD505-2E9C-101B-9397-08002B2CF9AE}" pid="22" name="Mendeley Recent Style Name 8_1">
    <vt:lpwstr>Translational Psychiatry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