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Arial" w:cs="Arial" w:eastAsia="Arial" w:hAnsi="Arial"/>
        </w:rPr>
      </w:pPr>
      <w:r w:rsidDel="00000000" w:rsidR="00000000" w:rsidRPr="00000000">
        <w:rPr>
          <w:rFonts w:ascii="Arial" w:cs="Arial" w:eastAsia="Arial" w:hAnsi="Arial"/>
          <w:rtl w:val="0"/>
        </w:rPr>
        <w:br w:type="textWrapping"/>
      </w:r>
    </w:p>
    <w:p w:rsidR="00000000" w:rsidDel="00000000" w:rsidP="00000000" w:rsidRDefault="00000000" w:rsidRPr="00000000" w14:paraId="00000002">
      <w:pPr>
        <w:pStyle w:val="Title"/>
        <w:spacing w:line="480" w:lineRule="auto"/>
        <w:jc w:val="center"/>
        <w:rPr>
          <w:rFonts w:ascii="Arial" w:cs="Arial" w:eastAsia="Arial" w:hAnsi="Arial"/>
          <w:b w:val="1"/>
          <w:color w:val="000000"/>
          <w:sz w:val="22"/>
          <w:szCs w:val="22"/>
        </w:rPr>
      </w:pPr>
      <w:bookmarkStart w:colFirst="0" w:colLast="0" w:name="_heading=h.b1ctg6jlkvm6" w:id="0"/>
      <w:bookmarkEnd w:id="0"/>
      <w:r w:rsidDel="00000000" w:rsidR="00000000" w:rsidRPr="00000000">
        <w:rPr>
          <w:rFonts w:ascii="Arial" w:cs="Arial" w:eastAsia="Arial" w:hAnsi="Arial"/>
          <w:b w:val="1"/>
          <w:color w:val="000000"/>
          <w:sz w:val="22"/>
          <w:szCs w:val="22"/>
          <w:rtl w:val="0"/>
        </w:rPr>
        <w:t xml:space="preserve">Global Innovations in Medicine and Healthcare</w:t>
      </w:r>
    </w:p>
    <w:p w:rsidR="00000000" w:rsidDel="00000000" w:rsidP="00000000" w:rsidRDefault="00000000" w:rsidRPr="00000000" w14:paraId="00000003">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04">
      <w:pPr>
        <w:pStyle w:val="Heading1"/>
        <w:jc w:val="center"/>
        <w:rPr>
          <w:rFonts w:ascii="Arial" w:cs="Arial" w:eastAsia="Arial" w:hAnsi="Arial"/>
          <w:color w:val="000000"/>
          <w:sz w:val="22"/>
          <w:szCs w:val="22"/>
        </w:rPr>
      </w:pPr>
      <w:bookmarkStart w:colFirst="0" w:colLast="0" w:name="_heading=h.xqkxq05z8ky3" w:id="1"/>
      <w:bookmarkEnd w:id="1"/>
      <w:r w:rsidDel="00000000" w:rsidR="00000000" w:rsidRPr="00000000">
        <w:rPr>
          <w:rFonts w:ascii="Arial" w:cs="Arial" w:eastAsia="Arial" w:hAnsi="Arial"/>
          <w:color w:val="000000"/>
          <w:sz w:val="22"/>
          <w:szCs w:val="22"/>
          <w:rtl w:val="0"/>
        </w:rPr>
        <w:t xml:space="preserve">Abstract</w:t>
      </w:r>
    </w:p>
    <w:p w:rsidR="00000000" w:rsidDel="00000000" w:rsidP="00000000" w:rsidRDefault="00000000" w:rsidRPr="00000000" w14:paraId="00000005">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06">
      <w:pPr>
        <w:spacing w:after="0" w:line="480" w:lineRule="auto"/>
        <w:rPr>
          <w:rFonts w:ascii="Arial" w:cs="Arial" w:eastAsia="Arial" w:hAnsi="Arial"/>
        </w:rPr>
      </w:pPr>
      <w:r w:rsidDel="00000000" w:rsidR="00000000" w:rsidRPr="00000000">
        <w:rPr>
          <w:rFonts w:ascii="Arial" w:cs="Arial" w:eastAsia="Arial" w:hAnsi="Arial"/>
          <w:rtl w:val="0"/>
        </w:rPr>
        <w:t xml:space="preserve">This research paper provides a comprehensive analysis of groundbreaking technological innovations reshaping global medicine and healthcare. Key advancements include CRISPR gene-editing, AI-driven diagnostics, nanotechnology, robotics, regenerative medicine, and more. The study emphasizes real-world applications, ethical implications, and the transformative potential of these developments for healthcare systems, clinicians, and patients. By synthesizing scientific insights with global trends, this paper serves as a valuable resource for researchers, students, healthcare professionals, and policymakers committed to driving progress in health innovation.</w:t>
      </w:r>
    </w:p>
    <w:p w:rsidR="00000000" w:rsidDel="00000000" w:rsidP="00000000" w:rsidRDefault="00000000" w:rsidRPr="00000000" w14:paraId="00000007">
      <w:pPr>
        <w:spacing w:after="0" w:line="480" w:lineRule="auto"/>
        <w:rPr>
          <w:rFonts w:ascii="Arial" w:cs="Arial" w:eastAsia="Arial" w:hAnsi="Arial"/>
          <w:b w:val="1"/>
          <w:i w:val="1"/>
          <w:u w:val="single"/>
        </w:rPr>
      </w:pPr>
      <w:r w:rsidDel="00000000" w:rsidR="00000000" w:rsidRPr="00000000">
        <w:rPr>
          <w:rtl w:val="0"/>
        </w:rPr>
      </w:r>
    </w:p>
    <w:p w:rsidR="00000000" w:rsidDel="00000000" w:rsidP="00000000" w:rsidRDefault="00000000" w:rsidRPr="00000000" w14:paraId="00000008">
      <w:pPr>
        <w:spacing w:after="0" w:line="480" w:lineRule="auto"/>
        <w:rPr>
          <w:rFonts w:ascii="Arial" w:cs="Arial" w:eastAsia="Arial" w:hAnsi="Arial"/>
          <w:b w:val="1"/>
        </w:rPr>
      </w:pPr>
      <w:r w:rsidDel="00000000" w:rsidR="00000000" w:rsidRPr="00000000">
        <w:rPr>
          <w:rtl w:val="0"/>
        </w:rPr>
      </w:r>
    </w:p>
    <w:p w:rsidR="00000000" w:rsidDel="00000000" w:rsidP="00000000" w:rsidRDefault="00000000" w:rsidRPr="00000000" w14:paraId="00000009">
      <w:pPr>
        <w:spacing w:after="0" w:line="480" w:lineRule="auto"/>
        <w:rPr>
          <w:rFonts w:ascii="Arial" w:cs="Arial" w:eastAsia="Arial" w:hAnsi="Arial"/>
          <w:b w:val="1"/>
        </w:rPr>
      </w:pPr>
      <w:r w:rsidDel="00000000" w:rsidR="00000000" w:rsidRPr="00000000">
        <w:rPr>
          <w:rtl w:val="0"/>
        </w:rPr>
      </w:r>
    </w:p>
    <w:p w:rsidR="00000000" w:rsidDel="00000000" w:rsidP="00000000" w:rsidRDefault="00000000" w:rsidRPr="00000000" w14:paraId="0000000A">
      <w:pPr>
        <w:spacing w:after="0" w:line="480" w:lineRule="auto"/>
        <w:rPr>
          <w:rFonts w:ascii="Arial" w:cs="Arial" w:eastAsia="Arial" w:hAnsi="Arial"/>
          <w:b w:val="1"/>
        </w:rPr>
      </w:pPr>
      <w:r w:rsidDel="00000000" w:rsidR="00000000" w:rsidRPr="00000000">
        <w:rPr>
          <w:rtl w:val="0"/>
        </w:rPr>
      </w:r>
    </w:p>
    <w:p w:rsidR="00000000" w:rsidDel="00000000" w:rsidP="00000000" w:rsidRDefault="00000000" w:rsidRPr="00000000" w14:paraId="0000000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Table of Contents</w:t>
      </w:r>
    </w:p>
    <w:p w:rsidR="00000000" w:rsidDel="00000000" w:rsidP="00000000" w:rsidRDefault="00000000" w:rsidRPr="00000000" w14:paraId="0000000C">
      <w:pPr>
        <w:rPr/>
      </w:pPr>
      <w:r w:rsidDel="00000000" w:rsidR="00000000" w:rsidRPr="00000000">
        <w:rPr>
          <w:rtl w:val="0"/>
        </w:rPr>
      </w:r>
    </w:p>
    <w:sdt>
      <w:sdtPr>
        <w:id w:val="1221393803"/>
        <w:docPartObj>
          <w:docPartGallery w:val="Table of Contents"/>
          <w:docPartUnique w:val="1"/>
        </w:docPartObj>
      </w:sdtPr>
      <w:sdtContent>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tu6yife9mmz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Acknowledgement</w:t>
              <w:tab/>
              <w:t xml:space="preserve">2</w:t>
            </w:r>
          </w:hyperlink>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xqkxq05z8ky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Abstract</w:t>
              <w:tab/>
              <w:t xml:space="preserve">2</w:t>
            </w:r>
          </w:hyperlink>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gqm49itfpor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Introduction to Medical Advancements</w:t>
              <w:tab/>
              <w:t xml:space="preserve">3</w:t>
            </w:r>
          </w:hyperlink>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n03m0jbkr3w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Global Advancements in Medicine and Healthcare (2015–2025)</w:t>
              <w:tab/>
              <w:t xml:space="preserve">4</w:t>
            </w:r>
          </w:hyperlink>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alc0bgx799y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 CRISPR and Gene-Editing Technologies</w:t>
              <w:tab/>
              <w:t xml:space="preserve">5</w:t>
            </w:r>
          </w:hyperlink>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d68nbrfbdwp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  Artificial Intelligence in Diagnostics</w:t>
              <w:tab/>
              <w:t xml:space="preserve">10</w:t>
            </w:r>
          </w:hyperlink>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l1rin91bbnk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 Telemedicine and Telehealth Expansion</w:t>
              <w:tab/>
              <w:t xml:space="preserve">13</w:t>
            </w:r>
          </w:hyperlink>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ak51t1ghie3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 Wearable Health Technology</w:t>
              <w:tab/>
              <w:t xml:space="preserve">15</w:t>
            </w:r>
          </w:hyperlink>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fodmcw37suh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 Precision Medicine and Genomics</w:t>
              <w:tab/>
              <w:t xml:space="preserve">16</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9h28zdyxfb9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 Cancer Immunotherapy (Checkpoint Inhibitors and CAR-T)</w:t>
              <w:tab/>
              <w:t xml:space="preserve">18</w:t>
            </w:r>
          </w:hyperlink>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7zdow1jmzip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 3D Printing and Bioprinting in Medicine</w:t>
              <w:tab/>
              <w:t xml:space="preserve">20</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7fbnw6v9t65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 Microbiome Science and Therapeutics</w:t>
              <w:tab/>
              <w:t xml:space="preserve">22</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n1cn6nabaau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 Regenerative Medicine and Stem Cell Therapy</w:t>
              <w:tab/>
              <w:t xml:space="preserve">23</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ynkywvozdm3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 Mental Health Innovations (Digital and Psychopharmacology)</w:t>
              <w:tab/>
              <w:t xml:space="preserve">25</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lldg3q7k97h3">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 Nanotechnology in Medicine (Drug Delivery and Diagnostics)</w:t>
              <w:tab/>
              <w:t xml:space="preserve">27</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5mbbmoc0afl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 Medical Imaging Innovations (Transparent Skin and Beyond)</w:t>
              <w:tab/>
              <w:t xml:space="preserve">29</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pqn4k21l7gm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 Next-Generation Vaccines (Beyond mRNA)</w:t>
              <w:tab/>
              <w:t xml:space="preserve">30</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as9hv2p8tof">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 Robotics and Automation in Surgery and Care</w:t>
              <w:tab/>
              <w:t xml:space="preserve">32</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nyuqkmffod0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17. Virtual and Augmented Reality in Medicine</w:t>
              <w:tab/>
              <w:t xml:space="preserve">33</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ww2pmrus17q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 Big Data and Bioinformatics in Healthcare</w:t>
              <w:tab/>
              <w:t xml:space="preserve">35</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3dma99v2pgf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 Chronic Disease Management Technologies</w:t>
              <w:tab/>
              <w:t xml:space="preserve">36</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887hvdzboa8y">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 Genomic Sequencing and Multi-Omics Advances</w:t>
              <w:tab/>
              <w:t xml:space="preserve">38</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4wdkro1s4lw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 Conclusion</w:t>
              <w:tab/>
              <w:t xml:space="preserve">39</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8630"/>
            </w:tabs>
            <w:spacing w:after="100" w:before="0" w:line="48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uiz1l4c4c6c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22. References</w:t>
              <w:tab/>
              <w:t xml:space="preserve">40</w:t>
            </w:r>
          </w:hyperlink>
          <w:r w:rsidDel="00000000" w:rsidR="00000000" w:rsidRPr="00000000">
            <w:rPr>
              <w:rtl w:val="0"/>
            </w:rPr>
          </w:r>
        </w:p>
        <w:p w:rsidR="00000000" w:rsidDel="00000000" w:rsidP="00000000" w:rsidRDefault="00000000" w:rsidRPr="00000000" w14:paraId="00000025">
          <w:pPr>
            <w:spacing w:line="480" w:lineRule="auto"/>
            <w:rPr>
              <w:rFonts w:ascii="Arial" w:cs="Arial" w:eastAsia="Arial" w:hAnsi="Arial"/>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6">
      <w:pPr>
        <w:spacing w:after="0" w:line="480" w:lineRule="auto"/>
        <w:rPr>
          <w:rFonts w:ascii="Arial" w:cs="Arial" w:eastAsia="Arial" w:hAnsi="Arial"/>
          <w:b w:val="1"/>
        </w:rPr>
      </w:pPr>
      <w:r w:rsidDel="00000000" w:rsidR="00000000" w:rsidRPr="00000000">
        <w:rPr>
          <w:rtl w:val="0"/>
        </w:rPr>
      </w:r>
    </w:p>
    <w:p w:rsidR="00000000" w:rsidDel="00000000" w:rsidP="00000000" w:rsidRDefault="00000000" w:rsidRPr="00000000" w14:paraId="00000027">
      <w:pPr>
        <w:pStyle w:val="Heading1"/>
        <w:spacing w:line="480" w:lineRule="auto"/>
        <w:ind w:left="2160" w:firstLine="0"/>
        <w:rPr>
          <w:rFonts w:ascii="Arial" w:cs="Arial" w:eastAsia="Arial" w:hAnsi="Arial"/>
          <w:color w:val="000000"/>
          <w:sz w:val="22"/>
          <w:szCs w:val="22"/>
        </w:rPr>
      </w:pPr>
      <w:bookmarkStart w:colFirst="0" w:colLast="0" w:name="_heading=h.cfhp6nb4j5sv" w:id="2"/>
      <w:bookmarkEnd w:id="2"/>
      <w:r w:rsidDel="00000000" w:rsidR="00000000" w:rsidRPr="00000000">
        <w:rPr>
          <w:rFonts w:ascii="Arial" w:cs="Arial" w:eastAsia="Arial" w:hAnsi="Arial"/>
          <w:color w:val="000000"/>
          <w:sz w:val="22"/>
          <w:szCs w:val="22"/>
          <w:rtl w:val="0"/>
        </w:rPr>
        <w:t xml:space="preserve">1. Introduction to Medical Advancements</w:t>
      </w:r>
    </w:p>
    <w:p w:rsidR="00000000" w:rsidDel="00000000" w:rsidP="00000000" w:rsidRDefault="00000000" w:rsidRPr="00000000" w14:paraId="00000028">
      <w:pPr>
        <w:spacing w:after="0" w:line="480" w:lineRule="auto"/>
        <w:rPr>
          <w:rFonts w:ascii="Arial" w:cs="Arial" w:eastAsia="Arial" w:hAnsi="Arial"/>
        </w:rPr>
      </w:pPr>
      <w:bookmarkStart w:colFirst="0" w:colLast="0" w:name="_heading=h.kgxei5loslvf" w:id="3"/>
      <w:bookmarkEnd w:id="3"/>
      <w:r w:rsidDel="00000000" w:rsidR="00000000" w:rsidRPr="00000000">
        <w:rPr>
          <w:rFonts w:ascii="Arial" w:cs="Arial" w:eastAsia="Arial" w:hAnsi="Arial"/>
          <w:rtl w:val="0"/>
        </w:rPr>
        <w:t xml:space="preserve">Over the past few decades, the field of medicine and healthcare has witnessed an unprecedented transformation driven by scientific discoveries, technological advancements, and increased global collaboration. From the eradication of deadly diseases to the development of advanced diagnostic tools, healthcare has evolved into a sophisticated system capable of addressing a wide range of medical challenges. Technological breakthroughs such as CRISPR, AI in medical imaging, nanotechnology for drug delivery, robotic-assisted surgeries, and stem cell-based treatments are redefining how diseases are prevented, diagnosed, and treated. These developments not only extend human life expectancy but also enhance the quality of life, especially for those suffering from chronic and life-threatening illnesses. (Topol, 2019; Collins &amp; Varmus, 2015).</w:t>
      </w:r>
    </w:p>
    <w:p w:rsidR="00000000" w:rsidDel="00000000" w:rsidP="00000000" w:rsidRDefault="00000000" w:rsidRPr="00000000" w14:paraId="00000029">
      <w:pPr>
        <w:spacing w:after="0" w:line="480" w:lineRule="auto"/>
        <w:rPr>
          <w:rFonts w:ascii="Arial" w:cs="Arial" w:eastAsia="Arial" w:hAnsi="Arial"/>
        </w:rPr>
      </w:pPr>
      <w:r w:rsidDel="00000000" w:rsidR="00000000" w:rsidRPr="00000000">
        <w:rPr>
          <w:rFonts w:ascii="Arial" w:cs="Arial" w:eastAsia="Arial" w:hAnsi="Arial"/>
          <w:rtl w:val="0"/>
        </w:rPr>
        <w:t xml:space="preserve">The integration of technology in healthcare has also improved access to medical services in remote and underserved regions, enabled faster communication between patients and doctors, and facilitated better data collection and analysis. In addition, new ethical and regulatory considerations are emerging as innovations push the boundaries of what is medically and morally possible. </w:t>
      </w:r>
    </w:p>
    <w:p w:rsidR="00000000" w:rsidDel="00000000" w:rsidP="00000000" w:rsidRDefault="00000000" w:rsidRPr="00000000" w14:paraId="0000002A">
      <w:pPr>
        <w:spacing w:after="0" w:line="480" w:lineRule="auto"/>
        <w:rPr>
          <w:rFonts w:ascii="Arial" w:cs="Arial" w:eastAsia="Arial" w:hAnsi="Arial"/>
        </w:rPr>
      </w:pPr>
      <w:r w:rsidDel="00000000" w:rsidR="00000000" w:rsidRPr="00000000">
        <w:rPr>
          <w:rFonts w:ascii="Arial" w:cs="Arial" w:eastAsia="Arial" w:hAnsi="Arial"/>
          <w:rtl w:val="0"/>
        </w:rPr>
        <w:t xml:space="preserve">This paper explores the most influential and promising innovations in the global medical landscape. It investigates how these advancements are being used to solve real-world health problems, their potential implications for future medical practice, and the ethical dilemmas they pose. </w:t>
      </w:r>
    </w:p>
    <w:p w:rsidR="00000000" w:rsidDel="00000000" w:rsidP="00000000" w:rsidRDefault="00000000" w:rsidRPr="00000000" w14:paraId="0000002B">
      <w:pPr>
        <w:pStyle w:val="Heading1"/>
        <w:spacing w:line="480" w:lineRule="auto"/>
        <w:ind w:left="720" w:firstLine="0"/>
        <w:jc w:val="center"/>
        <w:rPr>
          <w:rFonts w:ascii="Arial" w:cs="Arial" w:eastAsia="Arial" w:hAnsi="Arial"/>
          <w:color w:val="000000"/>
          <w:sz w:val="22"/>
          <w:szCs w:val="22"/>
        </w:rPr>
      </w:pPr>
      <w:bookmarkStart w:colFirst="0" w:colLast="0" w:name="_heading=h.2p78wwcq0piy" w:id="4"/>
      <w:bookmarkEnd w:id="4"/>
      <w:r w:rsidDel="00000000" w:rsidR="00000000" w:rsidRPr="00000000">
        <w:rPr>
          <w:rFonts w:ascii="Arial" w:cs="Arial" w:eastAsia="Arial" w:hAnsi="Arial"/>
          <w:color w:val="000000"/>
          <w:sz w:val="22"/>
          <w:szCs w:val="22"/>
          <w:rtl w:val="0"/>
        </w:rPr>
        <w:t xml:space="preserve">2. Global Advancements in Medicine and Healthcare (2015–2025)</w:t>
      </w:r>
    </w:p>
    <w:p w:rsidR="00000000" w:rsidDel="00000000" w:rsidP="00000000" w:rsidRDefault="00000000" w:rsidRPr="00000000" w14:paraId="0000002C">
      <w:pPr>
        <w:spacing w:after="0" w:line="480" w:lineRule="auto"/>
        <w:rPr>
          <w:rFonts w:ascii="Arial" w:cs="Arial" w:eastAsia="Arial" w:hAnsi="Arial"/>
        </w:rPr>
      </w:pPr>
      <w:r w:rsidDel="00000000" w:rsidR="00000000" w:rsidRPr="00000000">
        <w:rPr>
          <w:rFonts w:ascii="Arial" w:cs="Arial" w:eastAsia="Arial" w:hAnsi="Arial"/>
          <w:rtl w:val="0"/>
        </w:rPr>
        <w:t xml:space="preserve">Over the past decade, medicine and healthcare have been revolutionized by a convergence of scientific breakthroughs, cutting-edge technologies, and global collaboration. Groundbreaking innovations in molecular biology, information technology, and medical devices have accelerated the development of new treatments, diagnostics, and delivery models worldwide. For example, the advent of CRISPR-based gene editing has transformed the potential for correcting genetic diseases at their source, while mRNA vaccine technology rapidly advanced through the COVID-19 pandemic to achieve efficacy rates of ~95% against the virus. Artificial intelligence (AI) and machine learning have been integrated into radiology and pathology, improving diagnostic accuracy and efficiency. Simultaneously, telemedicine and digital health platforms have expanded dramatically  telehealth encounters in the US surged by orders of magnitude during the pandemic, and wearable devices now monitor health continuously in hundreds of millions of people. Precision medicine initiatives have leveraged rapidly decreasing sequencing costs to tailor treatments based on individual genomics. Cancer treatment paradigms have shifted with the emergence of immunotherapy (e.g. checkpoint inhibitors and CAR-T cells), offering durable remissions in diseases once deemed terminal. 3D printing has enabled patient-specific implants and new tissue engineering approaches.  The gut microbiome’s role in health is being harnessed through therapies like fecal microbiota transplant for infectious and metabolic diseases.  Stem cell and regenerative medicine techniques are offering new hope for repairing organs and treating degenerative conditions. In mental health, digital tools and even psychedelic-assisted therapies (e.g. MDMA for PTSD) are showing promising results in clinical trials.  Nanotechnology is improving drug delivery (e.g. lipid nanoparticles for mRNA vaccines) and imaging agents. New imaging methods from the FDA-approved dye-assisted transparent skin technique to advanced optical and molecular imaging  are enhancing our ability to see inside the body without invasive procedures. Vaccine innovation continues beyond mRNA, exemplified by highly effective malaria vaccines (RTS,S and R21) gaining approval and broadening protection against endemic diseases.  Robotics and automation are augmenting surgery and care, with over 8.5 million procedures performed using surgical robots like the da Vinci system. Virtual and augmented reality (VR/AR) are revolutionizing medical education, patient rehabilitation, and therapy (e.g. VR exposure therapy for phobias).  Finally, the explosive growth of biomedical data  from electronic health records to population biobanks  is being harnessed by big data analytics and AI to uncover new disease insights and drive precision public health. Together, these 20 advances each represent a distinct transformation in health and medicine, with profound impacts on patient outcomes, health systems, and global public health. This paper provides an in-depth review of each advancement, discussing its development, applications, and impact on human health across countries and healthcare contexts.</w:t>
      </w:r>
    </w:p>
    <w:p w:rsidR="00000000" w:rsidDel="00000000" w:rsidP="00000000" w:rsidRDefault="00000000" w:rsidRPr="00000000" w14:paraId="0000002D">
      <w:pPr>
        <w:pStyle w:val="Heading1"/>
        <w:spacing w:line="480" w:lineRule="auto"/>
        <w:jc w:val="center"/>
        <w:rPr>
          <w:rFonts w:ascii="Arial" w:cs="Arial" w:eastAsia="Arial" w:hAnsi="Arial"/>
          <w:color w:val="000000"/>
          <w:sz w:val="22"/>
          <w:szCs w:val="22"/>
        </w:rPr>
      </w:pPr>
      <w:bookmarkStart w:colFirst="0" w:colLast="0" w:name="_heading=h.f97w2bwiwcb6" w:id="5"/>
      <w:bookmarkEnd w:id="5"/>
      <w:r w:rsidDel="00000000" w:rsidR="00000000" w:rsidRPr="00000000">
        <w:rPr>
          <w:rFonts w:ascii="Arial" w:cs="Arial" w:eastAsia="Arial" w:hAnsi="Arial"/>
          <w:color w:val="000000"/>
          <w:sz w:val="22"/>
          <w:szCs w:val="22"/>
          <w:rtl w:val="0"/>
        </w:rPr>
        <w:t xml:space="preserve">3. CRISPR and Gene-Editing Technologies</w:t>
      </w:r>
    </w:p>
    <w:p w:rsidR="00000000" w:rsidDel="00000000" w:rsidP="00000000" w:rsidRDefault="00000000" w:rsidRPr="00000000" w14:paraId="0000002E">
      <w:pPr>
        <w:spacing w:after="0" w:line="480" w:lineRule="auto"/>
        <w:rPr>
          <w:rFonts w:ascii="Arial" w:cs="Arial" w:eastAsia="Arial" w:hAnsi="Arial"/>
        </w:rPr>
      </w:pPr>
      <w:r w:rsidDel="00000000" w:rsidR="00000000" w:rsidRPr="00000000">
        <w:rPr>
          <w:rFonts w:ascii="Arial" w:cs="Arial" w:eastAsia="Arial" w:hAnsi="Arial"/>
          <w:rtl w:val="0"/>
        </w:rPr>
        <w:t xml:space="preserve">Clustered Regularly Interspaced Short Palindromic Repeats (CRISPR) and associated nucleases (e.g. Cas9) have emerged as the most versatile gene-editing tool of the last decade.  First elucidated in bacteria as an immune defense, CRISPR-Cas9 has been rapidly adapted for genome engineering in plants, animals, and human cells due to its precision and relative simplicity.  Early CRISPR applications focused on research and agriculture (e.g. disease-resistant crops), but in the 2010s the technology transitioned into clinical gene therapy.  Global research cohorts have applied CRISPR to cure or alleviate genetic disorders.  For example, in late 2023 the U.S. Food and Drug Administration approved Casgevy (exagamglogene autotemcel), the first CRISPR/Cas9-based cell therapy for sickle cell disease.  Casgevy extracts a patient’s hematopoietic stem cells, edits the BCL11A gene enhancer to reactivate fetal hemoglobin, then reinfuses the cells to prevent sickling.  The European Medicines Agency similarly endorsed Casgevy in December 2023 for sickle cell and beta-thalassemia.  These approvals mark major milestones: CRISPR is no longer a lab novelty but an approved therapy saving lives of patients with previously incurable blood diseases. </w:t>
      </w:r>
    </w:p>
    <w:p w:rsidR="00000000" w:rsidDel="00000000" w:rsidP="00000000" w:rsidRDefault="00000000" w:rsidRPr="00000000" w14:paraId="0000002F">
      <w:pPr>
        <w:spacing w:after="0" w:line="480" w:lineRule="auto"/>
        <w:rPr>
          <w:rFonts w:ascii="Arial" w:cs="Arial" w:eastAsia="Arial" w:hAnsi="Arial"/>
        </w:rPr>
      </w:pPr>
      <w:r w:rsidDel="00000000" w:rsidR="00000000" w:rsidRPr="00000000">
        <w:rPr>
          <w:rFonts w:ascii="Arial" w:cs="Arial" w:eastAsia="Arial" w:hAnsi="Arial"/>
          <w:rtl w:val="0"/>
        </w:rPr>
        <w:t xml:space="preserve">Beyond hemoglobinopathies, global CRISPR trials are ongoing for conditions like muscular dystrophy, blindness (Luxturna-like retinal editing), and even HIV (editing CCR5 receptor).  China, the U.S., and Europe all have active CRISPR clinical programs.  For instance, a landmark 2018 experiment by a Chinese researcher (He Jiankui) that purportedly created the first CRISPR-edited babies drew international scrutiny and led to consensus on strict ethical limits.  Meanwhile, somatic editing trials have progressed: in 2020 a Nature Medicine report described the first in vivo CRISPR editing for transthyretin amyloidosis.  In agriculture, gene drives (based on CRISPR) aim to control vector-borne diseases like malaria by spreading genetic traits through mosquito populations, although these raise ecological and ethical debates.</w:t>
      </w:r>
    </w:p>
    <w:p w:rsidR="00000000" w:rsidDel="00000000" w:rsidP="00000000" w:rsidRDefault="00000000" w:rsidRPr="00000000" w14:paraId="00000030">
      <w:pPr>
        <w:spacing w:after="0" w:line="480" w:lineRule="auto"/>
        <w:rPr>
          <w:rFonts w:ascii="Arial" w:cs="Arial" w:eastAsia="Arial" w:hAnsi="Arial"/>
        </w:rPr>
      </w:pPr>
      <w:r w:rsidDel="00000000" w:rsidR="00000000" w:rsidRPr="00000000">
        <w:rPr>
          <w:rFonts w:ascii="Arial" w:cs="Arial" w:eastAsia="Arial" w:hAnsi="Arial"/>
          <w:rtl w:val="0"/>
        </w:rPr>
        <w:t xml:space="preserve">Key technical advances have continued apace. Newer editing enzymes (Cas12, Cas13, base editors, prime editors) offer more precise edits (e.g. single-base changes without double-strand breaks).  Delivery methods have diversified beyond electroporated cells for example, lipid nanoparticles can carry mRNA-encoded Cas proteins into tissues, analogous to mRNA vaccines.  In 2023 the Nobel Prize in Chemistry recognized the development of CRISPR gene editing (Emmanuelle Charpentier and Jennifer Doudna, Nobel 2020) alongside mRNA pioneers, underscoring its impact.  The technology’s global reach is evident: dozens of countries have CRISPR regulatory frameworks or guidelines, and public-private collaborations (e.g. the Coalition for Epidemic Preparedness Innovations, CEPI) are exploring CRISPR-based antivirals.</w:t>
      </w:r>
    </w:p>
    <w:p w:rsidR="00000000" w:rsidDel="00000000" w:rsidP="00000000" w:rsidRDefault="00000000" w:rsidRPr="00000000" w14:paraId="00000031">
      <w:pPr>
        <w:spacing w:after="0" w:line="480" w:lineRule="auto"/>
        <w:rPr>
          <w:rFonts w:ascii="Arial" w:cs="Arial" w:eastAsia="Arial" w:hAnsi="Arial"/>
        </w:rPr>
      </w:pPr>
      <w:r w:rsidDel="00000000" w:rsidR="00000000" w:rsidRPr="00000000">
        <w:rPr>
          <w:rFonts w:ascii="Arial" w:cs="Arial" w:eastAsia="Arial" w:hAnsi="Arial"/>
          <w:rtl w:val="0"/>
        </w:rPr>
        <w:t xml:space="preserve">Despite its promise, CRISPR faces challenges. Off-target edits and potential immune responses must be minimized for safe use. Germline editing (heritable) is widely banned, but somatic therapies continue. Regulatory agencies globally are grappling with how to evaluate these 'gene-edited' products. Nevertheless, the ability to edit genes with surgical precision heralds a new era in medicine – one in which previously untreatable genetic diseases become curable. CRISPR’s impact on human health is already historic and is only expected to grow.</w:t>
      </w:r>
    </w:p>
    <w:p w:rsidR="00000000" w:rsidDel="00000000" w:rsidP="00000000" w:rsidRDefault="00000000" w:rsidRPr="00000000" w14:paraId="00000032">
      <w:pPr>
        <w:numPr>
          <w:ilvl w:val="0"/>
          <w:numId w:val="1"/>
        </w:numPr>
        <w:pBdr>
          <w:top w:space="0" w:sz="0" w:val="nil"/>
          <w:left w:space="0" w:sz="0" w:val="nil"/>
          <w:bottom w:space="0" w:sz="0" w:val="nil"/>
          <w:right w:space="0" w:sz="0" w:val="nil"/>
          <w:between w:space="0" w:sz="0" w:val="nil"/>
        </w:pBdr>
        <w:spacing w:after="0" w:line="480" w:lineRule="auto"/>
        <w:ind w:left="720" w:hanging="360"/>
        <w:rPr>
          <w:rFonts w:ascii="Arial" w:cs="Arial" w:eastAsia="Arial" w:hAnsi="Arial"/>
          <w:i w:val="1"/>
        </w:rPr>
      </w:pPr>
      <w:r w:rsidDel="00000000" w:rsidR="00000000" w:rsidRPr="00000000">
        <w:rPr>
          <w:rFonts w:ascii="Arial" w:cs="Arial" w:eastAsia="Arial" w:hAnsi="Arial"/>
          <w:i w:val="1"/>
          <w:rtl w:val="0"/>
        </w:rPr>
        <w:t xml:space="preserve">CRISPR-Cas9 Mechanism Diagram </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480"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4">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35">
      <w:pPr>
        <w:spacing w:after="0" w:line="480" w:lineRule="auto"/>
        <w:rPr>
          <w:rFonts w:ascii="Arial" w:cs="Arial" w:eastAsia="Arial" w:hAnsi="Arial"/>
        </w:rPr>
      </w:pPr>
      <w:r w:rsidDel="00000000" w:rsidR="00000000" w:rsidRPr="00000000">
        <w:rPr>
          <w:rFonts w:ascii="Arial" w:cs="Arial" w:eastAsia="Arial" w:hAnsi="Arial"/>
        </w:rPr>
        <w:drawing>
          <wp:inline distB="0" distT="0" distL="0" distR="0">
            <wp:extent cx="4480560" cy="2700782"/>
            <wp:effectExtent b="0" l="0" r="0" t="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480560" cy="2700782"/>
                    </a:xfrm>
                    <a:prstGeom prst="rect"/>
                    <a:ln/>
                  </pic:spPr>
                </pic:pic>
              </a:graphicData>
            </a:graphic>
          </wp:inline>
        </w:drawing>
      </w:r>
      <w:r w:rsidDel="00000000" w:rsidR="00000000" w:rsidRPr="00000000">
        <w:rPr>
          <w:rFonts w:ascii="Arial" w:cs="Arial" w:eastAsia="Arial" w:hAnsi="Arial"/>
        </w:rPr>
        <mc:AlternateContent>
          <mc:Choice Requires="wpg">
            <w:drawing>
              <wp:inline distB="0" distT="0" distL="0" distR="0">
                <wp:extent cx="314325" cy="314325"/>
                <wp:effectExtent b="0" l="0" r="0" t="0"/>
                <wp:docPr id="7" name=""/>
                <a:graphic>
                  <a:graphicData uri="http://schemas.microsoft.com/office/word/2010/wordprocessingShape">
                    <wps:wsp>
                      <wps:cNvSpPr/>
                      <wps:cNvPr id="3" name="Shape 3"/>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14325" cy="314325"/>
                <wp:effectExtent b="0" l="0" r="0" t="0"/>
                <wp:docPr id="7" name="image5.png"/>
                <a:graphic>
                  <a:graphicData uri="http://schemas.openxmlformats.org/drawingml/2006/picture">
                    <pic:pic>
                      <pic:nvPicPr>
                        <pic:cNvPr id="0" name="image5.png"/>
                        <pic:cNvPicPr preferRelativeResize="0"/>
                      </pic:nvPicPr>
                      <pic:blipFill>
                        <a:blip r:embed="rId8"/>
                        <a:srcRect/>
                        <a:stretch>
                          <a:fillRect/>
                        </a:stretch>
                      </pic:blipFill>
                      <pic:spPr>
                        <a:xfrm>
                          <a:off x="0" y="0"/>
                          <a:ext cx="314325" cy="3143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6">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37">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38">
      <w:pPr>
        <w:spacing w:after="0" w:line="480" w:lineRule="auto"/>
        <w:rPr>
          <w:rFonts w:ascii="Arial" w:cs="Arial" w:eastAsia="Arial" w:hAnsi="Arial"/>
        </w:rPr>
      </w:pPr>
      <w:r w:rsidDel="00000000" w:rsidR="00000000" w:rsidRPr="00000000">
        <w:rPr>
          <w:rFonts w:ascii="Arial" w:cs="Arial" w:eastAsia="Arial" w:hAnsi="Arial"/>
          <w:rtl w:val="0"/>
        </w:rPr>
        <w:t xml:space="preserve"> A schematic illustration of the CRISPR/Cas9 system and genome editing process. The Cas9 ribonucleoprotein (RNP) is guided to a specific target site in the genome by a 100 nt single guide RNA (sgRNA). The 5′ end 20 nt of the sgRNA guides the nuclease to a target site by complementary base pairing. The protospacer adjacent motif (PAM) sequence is required for target recognition, which results in a double-stranded break (DSB) 3–4 bp upstream of the PAM sequence(researchgate)</w:t>
      </w:r>
    </w:p>
    <w:p w:rsidR="00000000" w:rsidDel="00000000" w:rsidP="00000000" w:rsidRDefault="00000000" w:rsidRPr="00000000" w14:paraId="00000039">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3A">
      <w:pPr>
        <w:spacing w:after="0" w:line="480" w:lineRule="auto"/>
        <w:rPr>
          <w:rFonts w:ascii="Arial" w:cs="Arial" w:eastAsia="Arial" w:hAnsi="Arial"/>
        </w:rPr>
      </w:pPr>
      <w:r w:rsidDel="00000000" w:rsidR="00000000" w:rsidRPr="00000000">
        <w:rPr>
          <w:rFonts w:ascii="Arial" w:cs="Arial" w:eastAsia="Arial" w:hAnsi="Arial"/>
        </w:rPr>
        <mc:AlternateContent>
          <mc:Choice Requires="wpg">
            <w:drawing>
              <wp:inline distB="0" distT="0" distL="0" distR="0">
                <wp:extent cx="314325" cy="314325"/>
                <wp:effectExtent b="0" l="0" r="0" t="0"/>
                <wp:docPr id="6" name=""/>
                <a:graphic>
                  <a:graphicData uri="http://schemas.microsoft.com/office/word/2010/wordprocessingShape">
                    <wps:wsp>
                      <wps:cNvSpPr/>
                      <wps:cNvPr id="2" name="Shape 2"/>
                      <wps:spPr>
                        <a:xfrm>
                          <a:off x="5193600" y="3627600"/>
                          <a:ext cx="304800" cy="304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14325" cy="314325"/>
                <wp:effectExtent b="0" l="0" r="0" t="0"/>
                <wp:docPr id="6"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314325" cy="3143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B">
      <w:pPr>
        <w:spacing w:after="0" w:line="480" w:lineRule="auto"/>
        <w:rPr>
          <w:rFonts w:ascii="Arial" w:cs="Arial" w:eastAsia="Arial" w:hAnsi="Arial"/>
          <w:i w:val="1"/>
        </w:rPr>
      </w:pPr>
      <w:r w:rsidDel="00000000" w:rsidR="00000000" w:rsidRPr="00000000">
        <w:rPr>
          <w:rFonts w:ascii="Arial" w:cs="Arial" w:eastAsia="Arial" w:hAnsi="Arial"/>
          <w:i w:val="1"/>
          <w:rtl w:val="0"/>
        </w:rPr>
        <w:t xml:space="preserve">mRNA Vaccine Development and Applications</w:t>
      </w:r>
    </w:p>
    <w:p w:rsidR="00000000" w:rsidDel="00000000" w:rsidP="00000000" w:rsidRDefault="00000000" w:rsidRPr="00000000" w14:paraId="0000003C">
      <w:pPr>
        <w:spacing w:after="0" w:line="480" w:lineRule="auto"/>
        <w:rPr>
          <w:rFonts w:ascii="Arial" w:cs="Arial" w:eastAsia="Arial" w:hAnsi="Arial"/>
        </w:rPr>
      </w:pPr>
      <w:r w:rsidDel="00000000" w:rsidR="00000000" w:rsidRPr="00000000">
        <w:rPr>
          <w:rFonts w:ascii="Arial" w:cs="Arial" w:eastAsia="Arial" w:hAnsi="Arial"/>
          <w:rtl w:val="0"/>
        </w:rPr>
        <w:t xml:space="preserve">Figure 2: </w:t>
      </w:r>
      <w:r w:rsidDel="00000000" w:rsidR="00000000" w:rsidRPr="00000000">
        <w:rPr>
          <w:rFonts w:ascii="Arial" w:cs="Arial" w:eastAsia="Arial" w:hAnsi="Arial"/>
        </w:rPr>
        <w:drawing>
          <wp:inline distB="0" distT="0" distL="0" distR="0">
            <wp:extent cx="3878580" cy="3901440"/>
            <wp:effectExtent b="0" l="0" r="0" t="0"/>
            <wp:docPr id="10"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3878580" cy="390144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3E">
      <w:pPr>
        <w:spacing w:after="0" w:line="480" w:lineRule="auto"/>
        <w:rPr>
          <w:rFonts w:ascii="Arial" w:cs="Arial" w:eastAsia="Arial" w:hAnsi="Arial"/>
        </w:rPr>
      </w:pPr>
      <w:r w:rsidDel="00000000" w:rsidR="00000000" w:rsidRPr="00000000">
        <w:rPr>
          <w:rFonts w:ascii="Arial" w:cs="Arial" w:eastAsia="Arial" w:hAnsi="Arial"/>
          <w:rtl w:val="0"/>
        </w:rPr>
        <w:t xml:space="preserve">This figure illustrates the effectiveness of mRNA COVID-19 vaccines over time, highlighting the initial high efficacy and subsequent decline. It typically presents data on vaccine effectiveness against SARS-CoV-2 infections and hospital admissions, stratified by time since vaccination and variant type</w:t>
      </w:r>
    </w:p>
    <w:p w:rsidR="00000000" w:rsidDel="00000000" w:rsidP="00000000" w:rsidRDefault="00000000" w:rsidRPr="00000000" w14:paraId="0000003F">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40">
      <w:pPr>
        <w:spacing w:after="0" w:line="480" w:lineRule="auto"/>
        <w:rPr>
          <w:rFonts w:ascii="Arial" w:cs="Arial" w:eastAsia="Arial" w:hAnsi="Arial"/>
        </w:rPr>
      </w:pPr>
      <w:r w:rsidDel="00000000" w:rsidR="00000000" w:rsidRPr="00000000">
        <w:rPr>
          <w:rFonts w:ascii="Arial" w:cs="Arial" w:eastAsia="Arial" w:hAnsi="Arial"/>
          <w:rtl w:val="0"/>
        </w:rPr>
        <w:t xml:space="preserve">Messenger RNA (mRNA) vaccine technology has leapt from experimental to essential.  The concept dates back to the 1990s, but was long hampered by mRNA’s instability. Breakthroughs in nucleotide chemistry and delivery (notably lipid nanoparticles, LNPs) enabled Pfizer-BioNTech and Moderna to produce safe, 95%-efficacious COVID-19 vaccines by late 2020.  In those pivotal Phase III trials, both mRNA vaccines encoded the SARS-CoV-2 spike protein and showed ~95% protection against symptomatic infection.  This rapid success was a direct consequence of decades of mRNA research, including the Nobel-winning work of Karikó and Weissman on modified mRNA. </w:t>
      </w:r>
    </w:p>
    <w:p w:rsidR="00000000" w:rsidDel="00000000" w:rsidP="00000000" w:rsidRDefault="00000000" w:rsidRPr="00000000" w14:paraId="00000041">
      <w:pPr>
        <w:spacing w:after="0" w:line="480" w:lineRule="auto"/>
        <w:rPr>
          <w:rFonts w:ascii="Arial" w:cs="Arial" w:eastAsia="Arial" w:hAnsi="Arial"/>
        </w:rPr>
      </w:pPr>
      <w:r w:rsidDel="00000000" w:rsidR="00000000" w:rsidRPr="00000000">
        <w:rPr>
          <w:rFonts w:ascii="Arial" w:cs="Arial" w:eastAsia="Arial" w:hAnsi="Arial"/>
          <w:rtl w:val="0"/>
        </w:rPr>
        <w:t xml:space="preserve">Globally, mRNA vaccines were distributed in unprecedented numbers. By mid-2022, over 4 billion people worldwide had received at least one dose of an mRNA-based COVID-19 vaccine, including in low- and middle-income countries via programs like COVAX (though supply and equity issues persisted). The technology’s flexibility was demonstrated as vaccine makers rapidly updated formulations for new SARS-CoV-2 variants and started trials in pregnant women and children. </w:t>
      </w:r>
    </w:p>
    <w:p w:rsidR="00000000" w:rsidDel="00000000" w:rsidP="00000000" w:rsidRDefault="00000000" w:rsidRPr="00000000" w14:paraId="00000042">
      <w:pPr>
        <w:spacing w:after="0" w:line="480" w:lineRule="auto"/>
        <w:rPr>
          <w:rFonts w:ascii="Arial" w:cs="Arial" w:eastAsia="Arial" w:hAnsi="Arial"/>
        </w:rPr>
      </w:pPr>
      <w:r w:rsidDel="00000000" w:rsidR="00000000" w:rsidRPr="00000000">
        <w:rPr>
          <w:rFonts w:ascii="Arial" w:cs="Arial" w:eastAsia="Arial" w:hAnsi="Arial"/>
          <w:rtl w:val="0"/>
        </w:rPr>
        <w:t xml:space="preserve">Importantly, the mRNA platform is now pivoting to other diseases. Several mRNA influenza vaccines entered trials in 2023, aiming for annual flu shots with faster strain matching. A groundbreaking case occurred in July 2023 when an experimental personalized mRNA cancer vaccine (using a patient’s tumor neoantigens) induced strong immune responses in a melanoma patient, suggesting mRNA’s promise beyond infectious diseases. Other efforts target RSV, CMV, Zika, HIV and even malaria. A recent review notes that pre-2020 trials of mRNA vaccines (for flu, HIV, HPV, and so on) showed promise but accelerated dramatically after COVID. Researchers are also exploring “self-amplifying” and circular RNA designs to enhance durability.</w:t>
      </w:r>
    </w:p>
    <w:p w:rsidR="00000000" w:rsidDel="00000000" w:rsidP="00000000" w:rsidRDefault="00000000" w:rsidRPr="00000000" w14:paraId="00000043">
      <w:pPr>
        <w:spacing w:after="0" w:line="480" w:lineRule="auto"/>
        <w:rPr>
          <w:rFonts w:ascii="Arial" w:cs="Arial" w:eastAsia="Arial" w:hAnsi="Arial"/>
        </w:rPr>
      </w:pPr>
      <w:r w:rsidDel="00000000" w:rsidR="00000000" w:rsidRPr="00000000">
        <w:rPr>
          <w:rFonts w:ascii="Arial" w:cs="Arial" w:eastAsia="Arial" w:hAnsi="Arial"/>
          <w:rtl w:val="0"/>
        </w:rPr>
        <w:t xml:space="preserve">Equally transformative is the delivery system: lipid nanoparticles (LNPs) protect mRNA in the body. LNPs themselves have proven to be one of the most effective in vivo delivery methods. The 2023 Nobel Prize in Physiology or Medicine recognized Karikó and Weissman for their work on mRNA modification  a testament to the foundational science enabling these vaccines.</w:t>
      </w:r>
    </w:p>
    <w:p w:rsidR="00000000" w:rsidDel="00000000" w:rsidP="00000000" w:rsidRDefault="00000000" w:rsidRPr="00000000" w14:paraId="00000044">
      <w:pPr>
        <w:spacing w:after="0" w:line="480" w:lineRule="auto"/>
        <w:rPr>
          <w:rFonts w:ascii="Arial" w:cs="Arial" w:eastAsia="Arial" w:hAnsi="Arial"/>
        </w:rPr>
      </w:pPr>
      <w:r w:rsidDel="00000000" w:rsidR="00000000" w:rsidRPr="00000000">
        <w:rPr>
          <w:rFonts w:ascii="Arial" w:cs="Arial" w:eastAsia="Arial" w:hAnsi="Arial"/>
          <w:rtl w:val="0"/>
        </w:rPr>
        <w:t xml:space="preserve">The impact on public health is enormous. The rapid development and deployment of mRNA vaccines contributed to blunting the worst of the COVID-19 pandemic. Widespread vaccination campaigns, although uneven, saved millions of lives globally. The technology’s implications extend to future pandemic preparedness: governments now invest in mRNA manufacturing capacity worldwide, anticipating quick responses to emerging pathogens. Moreover, the acceptance of mRNA vaccines has validated the approach for regulatory bodies worldwide, paving the way for broader use.</w:t>
      </w:r>
    </w:p>
    <w:p w:rsidR="00000000" w:rsidDel="00000000" w:rsidP="00000000" w:rsidRDefault="00000000" w:rsidRPr="00000000" w14:paraId="00000045">
      <w:pPr>
        <w:spacing w:after="0" w:line="480" w:lineRule="auto"/>
        <w:rPr>
          <w:rFonts w:ascii="Arial" w:cs="Arial" w:eastAsia="Arial" w:hAnsi="Arial"/>
        </w:rPr>
      </w:pPr>
      <w:r w:rsidDel="00000000" w:rsidR="00000000" w:rsidRPr="00000000">
        <w:rPr>
          <w:rFonts w:ascii="Arial" w:cs="Arial" w:eastAsia="Arial" w:hAnsi="Arial"/>
          <w:rtl w:val="0"/>
        </w:rPr>
        <w:t xml:space="preserve">However, challenges remain. mRNA vaccines require cold-chain logistics (though new formulations are improving stability), and public misinformation has affected uptake in some regions. Manufacturing capacity is expanding but still limited. Nonetheless, the past 10 years have redefined vaccines: mRNA is the new frontier. With dozens of vaccines in the pipeline (influenza, cancer, and so on), mRNA platforms promise a future where vaccines can be designed and produced in months instead of years.</w:t>
      </w:r>
    </w:p>
    <w:p w:rsidR="00000000" w:rsidDel="00000000" w:rsidP="00000000" w:rsidRDefault="00000000" w:rsidRPr="00000000" w14:paraId="00000046">
      <w:pPr>
        <w:pStyle w:val="Heading1"/>
        <w:spacing w:line="480" w:lineRule="auto"/>
        <w:jc w:val="center"/>
        <w:rPr>
          <w:rFonts w:ascii="Arial" w:cs="Arial" w:eastAsia="Arial" w:hAnsi="Arial"/>
          <w:color w:val="000000"/>
          <w:sz w:val="22"/>
          <w:szCs w:val="22"/>
        </w:rPr>
      </w:pPr>
      <w:bookmarkStart w:colFirst="0" w:colLast="0" w:name="_heading=h.5nihvyt4tcfx" w:id="6"/>
      <w:bookmarkEnd w:id="6"/>
      <w:r w:rsidDel="00000000" w:rsidR="00000000" w:rsidRPr="00000000">
        <w:rPr>
          <w:rFonts w:ascii="Arial" w:cs="Arial" w:eastAsia="Arial" w:hAnsi="Arial"/>
          <w:color w:val="000000"/>
          <w:sz w:val="22"/>
          <w:szCs w:val="22"/>
          <w:rtl w:val="0"/>
        </w:rPr>
        <w:t xml:space="preserve">4.  Artificial Intelligence in Diagnostics</w:t>
      </w:r>
    </w:p>
    <w:p w:rsidR="00000000" w:rsidDel="00000000" w:rsidP="00000000" w:rsidRDefault="00000000" w:rsidRPr="00000000" w14:paraId="00000047">
      <w:pPr>
        <w:spacing w:after="0" w:line="480" w:lineRule="auto"/>
        <w:rPr>
          <w:rFonts w:ascii="Arial" w:cs="Arial" w:eastAsia="Arial" w:hAnsi="Arial"/>
        </w:rPr>
      </w:pPr>
      <w:r w:rsidDel="00000000" w:rsidR="00000000" w:rsidRPr="00000000">
        <w:rPr>
          <w:rFonts w:ascii="Arial" w:cs="Arial" w:eastAsia="Arial" w:hAnsi="Arial"/>
          <w:rtl w:val="0"/>
        </w:rPr>
        <w:t xml:space="preserve">Artificial intelligence (AI) and machine learning have increasingly permeated medical diagnostics. In the last decade, deep learning algorithms have shown remarkable performance in image-based diagnostics, supplementing radiologists and pathologists. In radiology, convolutional neural networks can detect tumors, fractures, and hemorrhages on imaging scans with accuracy comparable to specialists. For example, FDA-approved AI tools now assist in detecting lung nodules on CT and classifying mammograms. The potential is global: startups and academic teams in the U.S., Europe, Asia, and beyond are training models on large image datasets. A 2023 review reports AI’s “seminal roles in image segmentation, computer-aided diagnosis, predictive analytics, and workflow optimisation” in radiology. In practice, this means faster readings, fewer missed findings, and more consistent triage in busy hospitals.</w:t>
      </w:r>
    </w:p>
    <w:p w:rsidR="00000000" w:rsidDel="00000000" w:rsidP="00000000" w:rsidRDefault="00000000" w:rsidRPr="00000000" w14:paraId="00000048">
      <w:pPr>
        <w:spacing w:after="0" w:line="480" w:lineRule="auto"/>
        <w:rPr>
          <w:rFonts w:ascii="Arial" w:cs="Arial" w:eastAsia="Arial" w:hAnsi="Arial"/>
        </w:rPr>
      </w:pPr>
      <w:r w:rsidDel="00000000" w:rsidR="00000000" w:rsidRPr="00000000">
        <w:rPr>
          <w:rFonts w:ascii="Arial" w:cs="Arial" w:eastAsia="Arial" w:hAnsi="Arial"/>
          <w:i w:val="1"/>
          <w:rtl w:val="0"/>
        </w:rPr>
        <w:t xml:space="preserve">Figure 3</w:t>
      </w:r>
      <w:r w:rsidDel="00000000" w:rsidR="00000000" w:rsidRPr="00000000">
        <w:rPr>
          <w:rtl w:val="0"/>
        </w:rPr>
      </w:r>
    </w:p>
    <w:p w:rsidR="00000000" w:rsidDel="00000000" w:rsidP="00000000" w:rsidRDefault="00000000" w:rsidRPr="00000000" w14:paraId="00000049">
      <w:pPr>
        <w:spacing w:after="0" w:line="480" w:lineRule="auto"/>
        <w:rPr>
          <w:rFonts w:ascii="Arial" w:cs="Arial" w:eastAsia="Arial" w:hAnsi="Arial"/>
        </w:rPr>
      </w:pPr>
      <w:r w:rsidDel="00000000" w:rsidR="00000000" w:rsidRPr="00000000">
        <w:rPr>
          <w:rFonts w:ascii="Arial" w:cs="Arial" w:eastAsia="Arial" w:hAnsi="Arial"/>
        </w:rPr>
        <w:drawing>
          <wp:inline distB="0" distT="0" distL="0" distR="0">
            <wp:extent cx="2735580" cy="2080911"/>
            <wp:effectExtent b="0" l="0" r="0" t="0"/>
            <wp:docPr id="9"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2735580" cy="2080911"/>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4B">
      <w:pPr>
        <w:spacing w:after="0" w:line="480" w:lineRule="auto"/>
        <w:rPr>
          <w:rFonts w:ascii="Arial" w:cs="Arial" w:eastAsia="Arial" w:hAnsi="Arial"/>
          <w:i w:val="1"/>
        </w:rPr>
      </w:pPr>
      <w:r w:rsidDel="00000000" w:rsidR="00000000" w:rsidRPr="00000000">
        <w:rPr>
          <w:rFonts w:ascii="Arial" w:cs="Arial" w:eastAsia="Arial" w:hAnsi="Arial"/>
          <w:i w:val="1"/>
          <w:rtl w:val="0"/>
        </w:rPr>
        <w:t xml:space="preserve">A flow chart of the application of AI in diagnosis, treatment, and healthcare of Otitis Media (OM). Through collecting large amounts of data from hospitals and daily life and training with AI and ML, it can realize the diagnosis, risk stratification, disease management, and treatment of OM.(ResearchGate)</w:t>
      </w:r>
    </w:p>
    <w:p w:rsidR="00000000" w:rsidDel="00000000" w:rsidP="00000000" w:rsidRDefault="00000000" w:rsidRPr="00000000" w14:paraId="0000004C">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4D">
      <w:pPr>
        <w:spacing w:after="0" w:line="480" w:lineRule="auto"/>
        <w:rPr>
          <w:rFonts w:ascii="Arial" w:cs="Arial" w:eastAsia="Arial" w:hAnsi="Arial"/>
        </w:rPr>
      </w:pPr>
      <w:r w:rsidDel="00000000" w:rsidR="00000000" w:rsidRPr="00000000">
        <w:rPr>
          <w:rFonts w:ascii="Arial" w:cs="Arial" w:eastAsia="Arial" w:hAnsi="Arial"/>
          <w:rtl w:val="0"/>
        </w:rPr>
        <w:t xml:space="preserve">Similarly, pathology has seen a surge of AI applications. Whole-slide imaging combined with AI can quantify tumor cells or predict genetic mutations from histology. For example, an AI tool (FDA-approved IDx-DR) can autonomously detect diabetic retinopathy from retinal photographs, expanding screening capacity. Dermatology applications (smartphone-based mole analysis) are being refined for melanoma triage. In pulmonology, AI lung-sound analysis and cough detection algorithms have been trialed for pneumonia or COVID screening.</w:t>
      </w:r>
    </w:p>
    <w:p w:rsidR="00000000" w:rsidDel="00000000" w:rsidP="00000000" w:rsidRDefault="00000000" w:rsidRPr="00000000" w14:paraId="0000004E">
      <w:pPr>
        <w:spacing w:after="0" w:line="480" w:lineRule="auto"/>
        <w:rPr>
          <w:rFonts w:ascii="Arial" w:cs="Arial" w:eastAsia="Arial" w:hAnsi="Arial"/>
        </w:rPr>
      </w:pPr>
      <w:r w:rsidDel="00000000" w:rsidR="00000000" w:rsidRPr="00000000">
        <w:rPr>
          <w:rFonts w:ascii="Arial" w:cs="Arial" w:eastAsia="Arial" w:hAnsi="Arial"/>
          <w:rtl w:val="0"/>
        </w:rPr>
        <w:t xml:space="preserve">Beyond images, AI is applied to genomics and labs. Machine learning models sift through genomic and proteomic data to identify disease markers or predict drug responses. AI-driven pattern recognition is used in cardiology (ECG interpretation) and neurology (EEG analysis). The integration of electronic health records (EHR) data with AI is starting to allow predictive analytics – for example, forecasting sepsis or admission risk based on vitals and labs.</w:t>
      </w:r>
    </w:p>
    <w:p w:rsidR="00000000" w:rsidDel="00000000" w:rsidP="00000000" w:rsidRDefault="00000000" w:rsidRPr="00000000" w14:paraId="0000004F">
      <w:pPr>
        <w:spacing w:after="0" w:line="480" w:lineRule="auto"/>
        <w:rPr>
          <w:rFonts w:ascii="Arial" w:cs="Arial" w:eastAsia="Arial" w:hAnsi="Arial"/>
        </w:rPr>
      </w:pPr>
      <w:r w:rsidDel="00000000" w:rsidR="00000000" w:rsidRPr="00000000">
        <w:rPr>
          <w:rFonts w:ascii="Arial" w:cs="Arial" w:eastAsia="Arial" w:hAnsi="Arial"/>
          <w:rtl w:val="0"/>
        </w:rPr>
        <w:t xml:space="preserve">Global impact is broad: even low-resource settings are benefiting via smartphone-AI combos. For instance, AI-driven ultrasound interpretation has been piloted where radiologists are scarce. AI chatbots perform preliminary triage and medical questioning for patients, redirecting non-urgent cases away from overburdened clinics. A major review emphasizes that AI in diagnostics “catalyzes transformational shifts” by enhancing accuracy and enabling early detection.</w:t>
      </w:r>
    </w:p>
    <w:p w:rsidR="00000000" w:rsidDel="00000000" w:rsidP="00000000" w:rsidRDefault="00000000" w:rsidRPr="00000000" w14:paraId="00000050">
      <w:pPr>
        <w:spacing w:after="0" w:line="480" w:lineRule="auto"/>
        <w:rPr>
          <w:rFonts w:ascii="Arial" w:cs="Arial" w:eastAsia="Arial" w:hAnsi="Arial"/>
        </w:rPr>
      </w:pPr>
      <w:r w:rsidDel="00000000" w:rsidR="00000000" w:rsidRPr="00000000">
        <w:rPr>
          <w:rFonts w:ascii="Arial" w:cs="Arial" w:eastAsia="Arial" w:hAnsi="Arial"/>
          <w:rtl w:val="0"/>
        </w:rPr>
        <w:t xml:space="preserve">However, challenges temper the hype. AI models require large, high-quality datasets  often unavailable in low-income countries  and can inherit biases. Many algorithms are trained in one population (e.g. North America) and may underperform elsewhere. The “black box” nature raises concerns for clinicians: liability and trust issues persist. Ethical considerations (data privacy, algorithmic fairness) are actively debated. Integration into clinical workflow has proven difficult; many hospitals still lack the IT infrastructure for seamless AI integration.</w:t>
      </w:r>
    </w:p>
    <w:p w:rsidR="00000000" w:rsidDel="00000000" w:rsidP="00000000" w:rsidRDefault="00000000" w:rsidRPr="00000000" w14:paraId="00000051">
      <w:pPr>
        <w:spacing w:after="0" w:line="480" w:lineRule="auto"/>
        <w:rPr>
          <w:rFonts w:ascii="Arial" w:cs="Arial" w:eastAsia="Arial" w:hAnsi="Arial"/>
        </w:rPr>
      </w:pPr>
      <w:r w:rsidDel="00000000" w:rsidR="00000000" w:rsidRPr="00000000">
        <w:rPr>
          <w:rFonts w:ascii="Arial" w:cs="Arial" w:eastAsia="Arial" w:hAnsi="Arial"/>
          <w:rtl w:val="0"/>
        </w:rPr>
        <w:t xml:space="preserve">Despite these hurdles, the trajectory is clear. By 2025, it is expected that AI tools will be ubiquitous in diagnostics, continuously improving through federated learning. International collaborations like the Global AI Observatory (WHO) and multi-center trials are trying to ensure AI benefits are shared worldwide. In summary, AI in diagnostics stands as a major advancement: it is already improving radiology and pathology workflows and, over the next decade, will likely become a standard “second reader,” enhancing early detection and personalized treatment planning.</w:t>
      </w:r>
    </w:p>
    <w:p w:rsidR="00000000" w:rsidDel="00000000" w:rsidP="00000000" w:rsidRDefault="00000000" w:rsidRPr="00000000" w14:paraId="00000052">
      <w:pPr>
        <w:pStyle w:val="Heading1"/>
        <w:spacing w:line="480" w:lineRule="auto"/>
        <w:jc w:val="center"/>
        <w:rPr>
          <w:rFonts w:ascii="Arial" w:cs="Arial" w:eastAsia="Arial" w:hAnsi="Arial"/>
          <w:color w:val="000000"/>
          <w:sz w:val="22"/>
          <w:szCs w:val="22"/>
        </w:rPr>
      </w:pPr>
      <w:bookmarkStart w:colFirst="0" w:colLast="0" w:name="_heading=h.tqomhmuknstd" w:id="7"/>
      <w:bookmarkEnd w:id="7"/>
      <w:r w:rsidDel="00000000" w:rsidR="00000000" w:rsidRPr="00000000">
        <w:rPr>
          <w:rFonts w:ascii="Arial" w:cs="Arial" w:eastAsia="Arial" w:hAnsi="Arial"/>
          <w:color w:val="000000"/>
          <w:sz w:val="22"/>
          <w:szCs w:val="22"/>
          <w:rtl w:val="0"/>
        </w:rPr>
        <w:t xml:space="preserve">5. Telemedicine and Telehealth Expansion</w:t>
      </w:r>
    </w:p>
    <w:p w:rsidR="00000000" w:rsidDel="00000000" w:rsidP="00000000" w:rsidRDefault="00000000" w:rsidRPr="00000000" w14:paraId="00000053">
      <w:pPr>
        <w:spacing w:after="0" w:line="480" w:lineRule="auto"/>
        <w:rPr>
          <w:rFonts w:ascii="Arial" w:cs="Arial" w:eastAsia="Arial" w:hAnsi="Arial"/>
        </w:rPr>
      </w:pPr>
      <w:r w:rsidDel="00000000" w:rsidR="00000000" w:rsidRPr="00000000">
        <w:rPr>
          <w:rFonts w:ascii="Arial" w:cs="Arial" w:eastAsia="Arial" w:hAnsi="Arial"/>
          <w:rtl w:val="0"/>
        </w:rPr>
        <w:t xml:space="preserve">Telemedicine remote clinical services delivered via digital technology experienced explosive growth in the past decade, accelerated by the COVID-19 pandemic. Pre-2020, telehealth was steadily growing; after early 2020 it became mainstream.  In the United States, telemedicine visits surged to dozens of times pre-pandemic levels. By April 2020, telehealth comprised over 32% of all ambulatory visits, compared to near 0% before, later stabilizing at around 13–17%. Canadian data showed a similar jump: in Ontario, virtual care rose from 1.6% of visits (Q2 2019) to over 70% (Q2 2020). Global patterns were consistent – Europe, Asia, and Latin America saw massive telemedicine adoption. One review notes, “telemedicine emerged worldwide as an indispensable resource” during COVID, used for triage, chronic disease management, and preserving continuity of care. </w:t>
      </w:r>
    </w:p>
    <w:p w:rsidR="00000000" w:rsidDel="00000000" w:rsidP="00000000" w:rsidRDefault="00000000" w:rsidRPr="00000000" w14:paraId="00000054">
      <w:pPr>
        <w:spacing w:after="0" w:line="480" w:lineRule="auto"/>
        <w:rPr>
          <w:rFonts w:ascii="Arial" w:cs="Arial" w:eastAsia="Arial" w:hAnsi="Arial"/>
        </w:rPr>
      </w:pPr>
      <w:r w:rsidDel="00000000" w:rsidR="00000000" w:rsidRPr="00000000">
        <w:rPr>
          <w:rFonts w:ascii="Arial" w:cs="Arial" w:eastAsia="Arial" w:hAnsi="Arial"/>
          <w:rtl w:val="0"/>
        </w:rPr>
        <w:t xml:space="preserve">Telehealth’s development was fueled by widespread smartphone and internet access (over 80% connectivity in much of the developed world by 2020) and by regulatory changes enabling reimbursement. Innovative platforms for video consults, remote patient monitoring (via wearable sensors), and e-prescribing became common. For example, tele-cardiology services allowed ECGs and blood pressure data to be transmitted from patients’ homes. Rural areas especially benefited: specialist expertise could reach underserved regions through tele-consults. In mental health, telepsychiatry expanded dramatically, reducing barriers for patients with mobility issues or stigma concerns.</w:t>
      </w:r>
    </w:p>
    <w:p w:rsidR="00000000" w:rsidDel="00000000" w:rsidP="00000000" w:rsidRDefault="00000000" w:rsidRPr="00000000" w14:paraId="00000055">
      <w:pPr>
        <w:spacing w:after="0" w:line="480" w:lineRule="auto"/>
        <w:rPr>
          <w:rFonts w:ascii="Arial" w:cs="Arial" w:eastAsia="Arial" w:hAnsi="Arial"/>
        </w:rPr>
      </w:pPr>
      <w:r w:rsidDel="00000000" w:rsidR="00000000" w:rsidRPr="00000000">
        <w:rPr>
          <w:rFonts w:ascii="Arial" w:cs="Arial" w:eastAsia="Arial" w:hAnsi="Arial"/>
          <w:rtl w:val="0"/>
        </w:rPr>
        <w:t xml:space="preserve">WHO and global health organizations have formally recognized telehealth’s importance. The WHO’s Digital Health Strategy (2020–2025) includes telemedicine as a pillar to strengthen health systems. COVAX-style initiatives aim to connect remote clinics in low-income countries via telehealth networks and train local workers. Tele-education (remote training of healthcare workers) also scaled up, improving capacity building during lockdowns.</w:t>
      </w:r>
    </w:p>
    <w:p w:rsidR="00000000" w:rsidDel="00000000" w:rsidP="00000000" w:rsidRDefault="00000000" w:rsidRPr="00000000" w14:paraId="00000056">
      <w:pPr>
        <w:spacing w:after="0" w:line="480" w:lineRule="auto"/>
        <w:rPr>
          <w:rFonts w:ascii="Arial" w:cs="Arial" w:eastAsia="Arial" w:hAnsi="Arial"/>
        </w:rPr>
      </w:pPr>
      <w:r w:rsidDel="00000000" w:rsidR="00000000" w:rsidRPr="00000000">
        <w:rPr>
          <w:rFonts w:ascii="Arial" w:cs="Arial" w:eastAsia="Arial" w:hAnsi="Arial"/>
          <w:rtl w:val="0"/>
        </w:rPr>
        <w:t xml:space="preserve">Impact on health systems is multifold. For patients, telemedicine offers convenience and access: a primary care consult can occur from home, saving travel and exposure risk. It also allows better management of chronic diseases: for instance, diabetics can transmit glucose readings to clinicians remotely. Hospitals use tele-triage to reduce crowding. Economically, telehealth is estimated to eventually channel hundreds of billions of healthcare dollars into virtual care models.</w:t>
      </w:r>
    </w:p>
    <w:p w:rsidR="00000000" w:rsidDel="00000000" w:rsidP="00000000" w:rsidRDefault="00000000" w:rsidRPr="00000000" w14:paraId="00000057">
      <w:pPr>
        <w:spacing w:after="0" w:line="480" w:lineRule="auto"/>
        <w:rPr>
          <w:rFonts w:ascii="Arial" w:cs="Arial" w:eastAsia="Arial" w:hAnsi="Arial"/>
        </w:rPr>
      </w:pPr>
      <w:r w:rsidDel="00000000" w:rsidR="00000000" w:rsidRPr="00000000">
        <w:rPr>
          <w:rFonts w:ascii="Arial" w:cs="Arial" w:eastAsia="Arial" w:hAnsi="Arial"/>
          <w:rtl w:val="0"/>
        </w:rPr>
        <w:t xml:space="preserve">However, digital divides remain: </w:t>
      </w:r>
    </w:p>
    <w:p w:rsidR="00000000" w:rsidDel="00000000" w:rsidP="00000000" w:rsidRDefault="00000000" w:rsidRPr="00000000" w14:paraId="00000058">
      <w:pPr>
        <w:numPr>
          <w:ilvl w:val="0"/>
          <w:numId w:val="2"/>
        </w:numPr>
        <w:spacing w:after="0" w:line="480" w:lineRule="auto"/>
        <w:ind w:left="1440" w:hanging="360"/>
        <w:rPr>
          <w:rFonts w:ascii="Arial" w:cs="Arial" w:eastAsia="Arial" w:hAnsi="Arial"/>
        </w:rPr>
      </w:pPr>
      <w:r w:rsidDel="00000000" w:rsidR="00000000" w:rsidRPr="00000000">
        <w:rPr>
          <w:rFonts w:ascii="Arial" w:cs="Arial" w:eastAsia="Arial" w:hAnsi="Arial"/>
          <w:rtl w:val="0"/>
        </w:rPr>
        <w:t xml:space="preserve">2.7 billion people lack internet access, limiting telehealth’s reach in parts of Africa and Asia. </w:t>
      </w:r>
    </w:p>
    <w:p w:rsidR="00000000" w:rsidDel="00000000" w:rsidP="00000000" w:rsidRDefault="00000000" w:rsidRPr="00000000" w14:paraId="00000059">
      <w:pPr>
        <w:numPr>
          <w:ilvl w:val="0"/>
          <w:numId w:val="2"/>
        </w:numPr>
        <w:spacing w:after="0" w:line="480" w:lineRule="auto"/>
        <w:ind w:left="1440" w:hanging="360"/>
        <w:rPr>
          <w:rFonts w:ascii="Arial" w:cs="Arial" w:eastAsia="Arial" w:hAnsi="Arial"/>
        </w:rPr>
      </w:pPr>
      <w:r w:rsidDel="00000000" w:rsidR="00000000" w:rsidRPr="00000000">
        <w:rPr>
          <w:rFonts w:ascii="Arial" w:cs="Arial" w:eastAsia="Arial" w:hAnsi="Arial"/>
          <w:rtl w:val="0"/>
        </w:rPr>
        <w:t xml:space="preserve">Provider acceptance also varies; some clinicians resist workflow changes. </w:t>
      </w:r>
    </w:p>
    <w:p w:rsidR="00000000" w:rsidDel="00000000" w:rsidP="00000000" w:rsidRDefault="00000000" w:rsidRPr="00000000" w14:paraId="0000005A">
      <w:pPr>
        <w:numPr>
          <w:ilvl w:val="0"/>
          <w:numId w:val="2"/>
        </w:numPr>
        <w:spacing w:after="0" w:line="480" w:lineRule="auto"/>
        <w:ind w:left="1440" w:hanging="360"/>
        <w:rPr>
          <w:rFonts w:ascii="Arial" w:cs="Arial" w:eastAsia="Arial" w:hAnsi="Arial"/>
        </w:rPr>
      </w:pPr>
      <w:r w:rsidDel="00000000" w:rsidR="00000000" w:rsidRPr="00000000">
        <w:rPr>
          <w:rFonts w:ascii="Arial" w:cs="Arial" w:eastAsia="Arial" w:hAnsi="Arial"/>
          <w:rtl w:val="0"/>
        </w:rPr>
        <w:t xml:space="preserve">Privacy and data security are concerns when transmitting health data.</w:t>
      </w:r>
    </w:p>
    <w:p w:rsidR="00000000" w:rsidDel="00000000" w:rsidP="00000000" w:rsidRDefault="00000000" w:rsidRPr="00000000" w14:paraId="0000005B">
      <w:pPr>
        <w:numPr>
          <w:ilvl w:val="0"/>
          <w:numId w:val="2"/>
        </w:numPr>
        <w:spacing w:after="0" w:line="480" w:lineRule="auto"/>
        <w:ind w:left="1440" w:hanging="360"/>
        <w:rPr>
          <w:rFonts w:ascii="Arial" w:cs="Arial" w:eastAsia="Arial" w:hAnsi="Arial"/>
        </w:rPr>
      </w:pPr>
      <w:r w:rsidDel="00000000" w:rsidR="00000000" w:rsidRPr="00000000">
        <w:rPr>
          <w:rFonts w:ascii="Arial" w:cs="Arial" w:eastAsia="Arial" w:hAnsi="Arial"/>
          <w:rtl w:val="0"/>
        </w:rPr>
        <w:t xml:space="preserve"> Interoperability of EHRs with teleplatforms is still maturing.</w:t>
      </w:r>
    </w:p>
    <w:p w:rsidR="00000000" w:rsidDel="00000000" w:rsidP="00000000" w:rsidRDefault="00000000" w:rsidRPr="00000000" w14:paraId="0000005C">
      <w:pPr>
        <w:spacing w:after="0" w:line="480" w:lineRule="auto"/>
        <w:rPr>
          <w:rFonts w:ascii="Arial" w:cs="Arial" w:eastAsia="Arial" w:hAnsi="Arial"/>
        </w:rPr>
      </w:pPr>
      <w:r w:rsidDel="00000000" w:rsidR="00000000" w:rsidRPr="00000000">
        <w:rPr>
          <w:rFonts w:ascii="Arial" w:cs="Arial" w:eastAsia="Arial" w:hAnsi="Arial"/>
          <w:rtl w:val="0"/>
        </w:rPr>
        <w:t xml:space="preserve">Despite issues, the momentum is irreversible. Surveys report sustained high patient and physician satisfaction with telehealth, with 97% of users willing to use it again. Technology is improving (e.g., remote exam tools, better broadband). After 2020, investments in telehealth infrastructure have surged (e.g. 3x venture funding since 2017). Telemedicine is expected to remain a common modality  a hybrid system where routine care, follow-ups, and triage may often happen virtually, reserving in-person visits for complex procedures. </w:t>
      </w:r>
    </w:p>
    <w:p w:rsidR="00000000" w:rsidDel="00000000" w:rsidP="00000000" w:rsidRDefault="00000000" w:rsidRPr="00000000" w14:paraId="0000005D">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5E">
      <w:pPr>
        <w:spacing w:after="0" w:line="480" w:lineRule="auto"/>
        <w:rPr>
          <w:rFonts w:ascii="Arial" w:cs="Arial" w:eastAsia="Arial" w:hAnsi="Arial"/>
        </w:rPr>
      </w:pPr>
      <w:r w:rsidDel="00000000" w:rsidR="00000000" w:rsidRPr="00000000">
        <w:rPr>
          <w:rFonts w:ascii="Arial" w:cs="Arial" w:eastAsia="Arial" w:hAnsi="Arial"/>
          <w:rtl w:val="0"/>
        </w:rPr>
        <w:t xml:space="preserve">In summary, telemedicine’s growth has been a global healthcare advancement: it has reshaped care delivery, enhanced access, and introduced new models of patient engagement. </w:t>
      </w:r>
    </w:p>
    <w:p w:rsidR="00000000" w:rsidDel="00000000" w:rsidP="00000000" w:rsidRDefault="00000000" w:rsidRPr="00000000" w14:paraId="0000005F">
      <w:pPr>
        <w:pStyle w:val="Heading1"/>
        <w:spacing w:line="480" w:lineRule="auto"/>
        <w:jc w:val="center"/>
        <w:rPr>
          <w:rFonts w:ascii="Arial" w:cs="Arial" w:eastAsia="Arial" w:hAnsi="Arial"/>
          <w:color w:val="000000"/>
          <w:sz w:val="22"/>
          <w:szCs w:val="22"/>
        </w:rPr>
      </w:pPr>
      <w:bookmarkStart w:colFirst="0" w:colLast="0" w:name="_heading=h.tjqh1ftnvj18" w:id="8"/>
      <w:bookmarkEnd w:id="8"/>
      <w:r w:rsidDel="00000000" w:rsidR="00000000" w:rsidRPr="00000000">
        <w:rPr>
          <w:rFonts w:ascii="Arial" w:cs="Arial" w:eastAsia="Arial" w:hAnsi="Arial"/>
          <w:color w:val="000000"/>
          <w:sz w:val="22"/>
          <w:szCs w:val="22"/>
          <w:rtl w:val="0"/>
        </w:rPr>
        <w:t xml:space="preserve">6. Wearable Health Technology </w:t>
      </w:r>
    </w:p>
    <w:p w:rsidR="00000000" w:rsidDel="00000000" w:rsidP="00000000" w:rsidRDefault="00000000" w:rsidRPr="00000000" w14:paraId="00000060">
      <w:pPr>
        <w:spacing w:after="0" w:line="480" w:lineRule="auto"/>
        <w:rPr>
          <w:rFonts w:ascii="Arial" w:cs="Arial" w:eastAsia="Arial" w:hAnsi="Arial"/>
        </w:rPr>
      </w:pPr>
      <w:r w:rsidDel="00000000" w:rsidR="00000000" w:rsidRPr="00000000">
        <w:rPr>
          <w:rFonts w:ascii="Arial" w:cs="Arial" w:eastAsia="Arial" w:hAnsi="Arial"/>
          <w:rtl w:val="0"/>
        </w:rPr>
        <w:t xml:space="preserve">Wearable devices  from fitness trackers to smartwatches and medical-grade sensors have become integral to modern healthcare. These devices continuously monitor physiological metrics (heart rate, activity levels, sleep, oxygen saturation, ECG rhythms, and so on) and feed data to users and providers in real time. The number of wearable health devices has grown exponentially. For example, Deloitte projected that about 320 million consumer health/wearable units shipped worldwide in 2022, reaching an estimated 440 million by 2024. By 2024, smartwatches and fitness trackers dominate the market, supplemented by emerging smart patches and implantables.</w:t>
      </w:r>
    </w:p>
    <w:p w:rsidR="00000000" w:rsidDel="00000000" w:rsidP="00000000" w:rsidRDefault="00000000" w:rsidRPr="00000000" w14:paraId="00000061">
      <w:pPr>
        <w:spacing w:after="0" w:line="480" w:lineRule="auto"/>
        <w:rPr>
          <w:rFonts w:ascii="Arial" w:cs="Arial" w:eastAsia="Arial" w:hAnsi="Arial"/>
        </w:rPr>
      </w:pPr>
      <w:r w:rsidDel="00000000" w:rsidR="00000000" w:rsidRPr="00000000">
        <w:rPr>
          <w:rFonts w:ascii="Arial" w:cs="Arial" w:eastAsia="Arial" w:hAnsi="Arial"/>
          <w:rtl w:val="0"/>
        </w:rPr>
        <w:t xml:space="preserve">Wearables have matured with advances in miniaturized sensors and algorithms. Modern smartwatches can track blood oxygen, electrocardiograms (ECG), and detect irregular heart rhythms. Many devices now incorporate FDA-cleared features (e.g. wrist-based pulse oximetry, single-lead ECG). Wearables support preventive health by alerting users to abnormalities (e.g. notifying of atrial fibrillation for early stroke prevention). During the COVID-19 pandemic, pulse oximetry became especially valued, and studies showed smartwatches could sometimes detect infection earlier through changes in heart rate and temperature.</w:t>
      </w:r>
    </w:p>
    <w:p w:rsidR="00000000" w:rsidDel="00000000" w:rsidP="00000000" w:rsidRDefault="00000000" w:rsidRPr="00000000" w14:paraId="00000062">
      <w:pPr>
        <w:spacing w:after="0" w:line="480" w:lineRule="auto"/>
        <w:rPr>
          <w:rFonts w:ascii="Arial" w:cs="Arial" w:eastAsia="Arial" w:hAnsi="Arial"/>
        </w:rPr>
      </w:pPr>
      <w:r w:rsidDel="00000000" w:rsidR="00000000" w:rsidRPr="00000000">
        <w:rPr>
          <w:rFonts w:ascii="Arial" w:cs="Arial" w:eastAsia="Arial" w:hAnsi="Arial"/>
          <w:rtl w:val="0"/>
        </w:rPr>
        <w:t xml:space="preserve">Importantly, the pandemic spurred people to adopt wearables for health monitoring. A Deloitte survey found 15% of US smartwatch owners purchased them after COVID-19 onset, indicating a health-driven motivation. Users now often see wearables as health coaches, reminders, and even monitoring replacements. Major tech companies are partnering with healthcare: Apple's HEARTLINE study and Fitbit’s health research programs demonstrate clinical collaborations using wearables at population scale.</w:t>
      </w:r>
    </w:p>
    <w:p w:rsidR="00000000" w:rsidDel="00000000" w:rsidP="00000000" w:rsidRDefault="00000000" w:rsidRPr="00000000" w14:paraId="00000063">
      <w:pPr>
        <w:spacing w:after="0" w:line="480" w:lineRule="auto"/>
        <w:rPr>
          <w:rFonts w:ascii="Arial" w:cs="Arial" w:eastAsia="Arial" w:hAnsi="Arial"/>
        </w:rPr>
      </w:pPr>
      <w:r w:rsidDel="00000000" w:rsidR="00000000" w:rsidRPr="00000000">
        <w:rPr>
          <w:rFonts w:ascii="Arial" w:cs="Arial" w:eastAsia="Arial" w:hAnsi="Arial"/>
          <w:rtl w:val="0"/>
        </w:rPr>
        <w:t xml:space="preserve">Clinically, wearables aid chronic disease management. Continuous glucose monitors (CGMs) for diabetes track blood sugar trends non-invasively; when paired with insulin pumps, they form “artificial pancreas” systems (discussed later). Wearable blood pressure cuffs and wrist monitors enable hypertension patients to log data at home. Cardiac implantables (pacemakers, defibrillators) increasingly have wireless connectivity for remote telemetry. These technologies extend healthcare outside hospitals, enabling telemonitoring and predictive care (e.g. flagging worsening heart failure).</w:t>
      </w:r>
    </w:p>
    <w:p w:rsidR="00000000" w:rsidDel="00000000" w:rsidP="00000000" w:rsidRDefault="00000000" w:rsidRPr="00000000" w14:paraId="00000064">
      <w:pPr>
        <w:spacing w:after="0" w:line="480" w:lineRule="auto"/>
        <w:rPr>
          <w:rFonts w:ascii="Arial" w:cs="Arial" w:eastAsia="Arial" w:hAnsi="Arial"/>
        </w:rPr>
      </w:pPr>
      <w:r w:rsidDel="00000000" w:rsidR="00000000" w:rsidRPr="00000000">
        <w:rPr>
          <w:rFonts w:ascii="Arial" w:cs="Arial" w:eastAsia="Arial" w:hAnsi="Arial"/>
          <w:rtl w:val="0"/>
        </w:rPr>
        <w:t xml:space="preserve">However, data integration remains a challenge. Early on, most physicians did not routinely integrate consumer health data into EHRs. This is changing as interoperability standards improve and patients can authorize data sharing. Clinician skepticism exists regarding data accuracy and relevance. For example, while wrist ECG features are approved for detecting atrial fibrillation, doctors caution these are screening tools and must be confirmed with professional evaluation due to false positives.</w:t>
      </w:r>
    </w:p>
    <w:p w:rsidR="00000000" w:rsidDel="00000000" w:rsidP="00000000" w:rsidRDefault="00000000" w:rsidRPr="00000000" w14:paraId="00000065">
      <w:pPr>
        <w:spacing w:after="0" w:line="480" w:lineRule="auto"/>
        <w:rPr>
          <w:rFonts w:ascii="Arial" w:cs="Arial" w:eastAsia="Arial" w:hAnsi="Arial"/>
        </w:rPr>
      </w:pPr>
      <w:r w:rsidDel="00000000" w:rsidR="00000000" w:rsidRPr="00000000">
        <w:rPr>
          <w:rFonts w:ascii="Arial" w:cs="Arial" w:eastAsia="Arial" w:hAnsi="Arial"/>
          <w:rtl w:val="0"/>
        </w:rPr>
        <w:t xml:space="preserve">Privacy and security of wearable data are also key concerns. Surveys indicate a substantial fraction of users worry about data privacy (40–60%). Health data breaches remain a risk as wearables become more connected. Cybersecurity frameworks must protect sensitive personal health information.</w:t>
      </w:r>
    </w:p>
    <w:p w:rsidR="00000000" w:rsidDel="00000000" w:rsidP="00000000" w:rsidRDefault="00000000" w:rsidRPr="00000000" w14:paraId="00000066">
      <w:pPr>
        <w:spacing w:after="0" w:line="480" w:lineRule="auto"/>
        <w:rPr>
          <w:rFonts w:ascii="Arial" w:cs="Arial" w:eastAsia="Arial" w:hAnsi="Arial"/>
        </w:rPr>
      </w:pPr>
      <w:r w:rsidDel="00000000" w:rsidR="00000000" w:rsidRPr="00000000">
        <w:rPr>
          <w:rFonts w:ascii="Arial" w:cs="Arial" w:eastAsia="Arial" w:hAnsi="Arial"/>
          <w:rtl w:val="0"/>
        </w:rPr>
        <w:t xml:space="preserve">In summary, wearable technology represents a major advancement in patient engagement and monitoring. These devices empower individuals to track their health continuously and facilitate proactive care. As adoption grows globally (including in Asia, Europe, and increasingly in developing countries via low-cost trackers), wearables are becoming part of mainstream preventive medicine. They also fuel large-scale health studies (millions of participants have contributed data via smartphone apps and wearables). While integration with clinical care and data governance are evolving issues, the overall impact is a more connected, data-rich approach to personal health.</w:t>
      </w:r>
    </w:p>
    <w:p w:rsidR="00000000" w:rsidDel="00000000" w:rsidP="00000000" w:rsidRDefault="00000000" w:rsidRPr="00000000" w14:paraId="00000067">
      <w:pPr>
        <w:pStyle w:val="Heading1"/>
        <w:spacing w:line="480" w:lineRule="auto"/>
        <w:jc w:val="center"/>
        <w:rPr>
          <w:rFonts w:ascii="Arial" w:cs="Arial" w:eastAsia="Arial" w:hAnsi="Arial"/>
          <w:color w:val="000000"/>
          <w:sz w:val="22"/>
          <w:szCs w:val="22"/>
        </w:rPr>
      </w:pPr>
      <w:bookmarkStart w:colFirst="0" w:colLast="0" w:name="_heading=h.i5gtpqsg3uf3" w:id="9"/>
      <w:bookmarkEnd w:id="9"/>
      <w:r w:rsidDel="00000000" w:rsidR="00000000" w:rsidRPr="00000000">
        <w:rPr>
          <w:rFonts w:ascii="Arial" w:cs="Arial" w:eastAsia="Arial" w:hAnsi="Arial"/>
          <w:color w:val="000000"/>
          <w:sz w:val="22"/>
          <w:szCs w:val="22"/>
          <w:rtl w:val="0"/>
        </w:rPr>
        <w:t xml:space="preserve">7. Precision Medicine and Genomics</w:t>
      </w:r>
    </w:p>
    <w:p w:rsidR="00000000" w:rsidDel="00000000" w:rsidP="00000000" w:rsidRDefault="00000000" w:rsidRPr="00000000" w14:paraId="00000068">
      <w:pPr>
        <w:spacing w:after="0" w:line="480" w:lineRule="auto"/>
        <w:rPr>
          <w:rFonts w:ascii="Arial" w:cs="Arial" w:eastAsia="Arial" w:hAnsi="Arial"/>
        </w:rPr>
      </w:pPr>
      <w:r w:rsidDel="00000000" w:rsidR="00000000" w:rsidRPr="00000000">
        <w:rPr>
          <w:rFonts w:ascii="Arial" w:cs="Arial" w:eastAsia="Arial" w:hAnsi="Arial"/>
          <w:rtl w:val="0"/>
        </w:rPr>
        <w:t xml:space="preserve">Precision (or personalized) medicine tailoring treatment and prevention strategies to an individual’s genetic makeup, lifestyle, and environment has advanced substantially. Central to this is genomics: next-generation sequencing (NGS) technology has plummeted in cost and increased in speed, enabling routine genetic profiling. Once costing ~$100 million for a genome, sequencing now can be done for a few hundred dollars. The ability to sequence whole genomes or large gene panels quickly has motivated major initiatives: for example, the U.S. “All of Us” Research Program and the UK’s 100,000 Genomes Project have collected genomic data on hundreds of thousands of individuals. These efforts create biobanks linking genetics with medical records for research. </w:t>
      </w:r>
    </w:p>
    <w:p w:rsidR="00000000" w:rsidDel="00000000" w:rsidP="00000000" w:rsidRDefault="00000000" w:rsidRPr="00000000" w14:paraId="00000069">
      <w:pPr>
        <w:spacing w:after="0" w:line="480" w:lineRule="auto"/>
        <w:rPr>
          <w:rFonts w:ascii="Arial" w:cs="Arial" w:eastAsia="Arial" w:hAnsi="Arial"/>
        </w:rPr>
      </w:pPr>
      <w:r w:rsidDel="00000000" w:rsidR="00000000" w:rsidRPr="00000000">
        <w:rPr>
          <w:rFonts w:ascii="Arial" w:cs="Arial" w:eastAsia="Arial" w:hAnsi="Arial"/>
          <w:rtl w:val="0"/>
        </w:rPr>
        <w:t xml:space="preserve">Clinically, precision medicine impacts include targeted cancer therapy and pharmacogenomics. Oncology has been at the forefront: many cancer drugs now target specific mutations (e.g. EGFR inhibitors in lung cancer, BRAF inhibitors in melanoma). Genomic profiling of tumors is common practice, guiding drug choice and eligibility for new treatments. Additionally, germline genetic testing for hereditary cancer risk (BRCA, Lynch syndrome) has become more accessible, improving prevention and early detection strategies.</w:t>
      </w:r>
    </w:p>
    <w:p w:rsidR="00000000" w:rsidDel="00000000" w:rsidP="00000000" w:rsidRDefault="00000000" w:rsidRPr="00000000" w14:paraId="0000006A">
      <w:pPr>
        <w:spacing w:after="0" w:line="480" w:lineRule="auto"/>
        <w:rPr>
          <w:rFonts w:ascii="Arial" w:cs="Arial" w:eastAsia="Arial" w:hAnsi="Arial"/>
        </w:rPr>
      </w:pPr>
      <w:r w:rsidDel="00000000" w:rsidR="00000000" w:rsidRPr="00000000">
        <w:rPr>
          <w:rFonts w:ascii="Arial" w:cs="Arial" w:eastAsia="Arial" w:hAnsi="Arial"/>
          <w:rtl w:val="0"/>
        </w:rPr>
        <w:t xml:space="preserve">In pharmacogenomics, databases of gene-drug interactions inform dosing: e.g. patients with certain CYP450 enzyme variants get adjusted drug doses to avoid toxicity. Some countries have begun implementing preemptive genetic screening for common variants affecting drug response.</w:t>
      </w:r>
    </w:p>
    <w:p w:rsidR="00000000" w:rsidDel="00000000" w:rsidP="00000000" w:rsidRDefault="00000000" w:rsidRPr="00000000" w14:paraId="0000006B">
      <w:pPr>
        <w:spacing w:after="0" w:line="480" w:lineRule="auto"/>
        <w:rPr>
          <w:rFonts w:ascii="Arial" w:cs="Arial" w:eastAsia="Arial" w:hAnsi="Arial"/>
        </w:rPr>
      </w:pPr>
      <w:r w:rsidDel="00000000" w:rsidR="00000000" w:rsidRPr="00000000">
        <w:rPr>
          <w:rFonts w:ascii="Arial" w:cs="Arial" w:eastAsia="Arial" w:hAnsi="Arial"/>
          <w:rtl w:val="0"/>
        </w:rPr>
        <w:t xml:space="preserve">The interplay of genomics with other ‘omics (transcriptomics, proteomics, metabolomics) and bioinformatics has also grown. Multi-omic approaches provide a more complete picture of disease; recent reviews note that combining genomics with other data streams, enabled by AI analytics, can better predict complex diseases. For example, polygenic risk scores (PRS) – aggregating thousands of genetic variants  can identify individuals at high risk for diabetes or heart disease, potentially guiding early interventions.</w:t>
      </w:r>
    </w:p>
    <w:p w:rsidR="00000000" w:rsidDel="00000000" w:rsidP="00000000" w:rsidRDefault="00000000" w:rsidRPr="00000000" w14:paraId="0000006C">
      <w:pPr>
        <w:spacing w:after="0" w:line="480" w:lineRule="auto"/>
        <w:rPr>
          <w:rFonts w:ascii="Arial" w:cs="Arial" w:eastAsia="Arial" w:hAnsi="Arial"/>
        </w:rPr>
      </w:pPr>
      <w:r w:rsidDel="00000000" w:rsidR="00000000" w:rsidRPr="00000000">
        <w:rPr>
          <w:rFonts w:ascii="Arial" w:cs="Arial" w:eastAsia="Arial" w:hAnsi="Arial"/>
          <w:rtl w:val="0"/>
        </w:rPr>
        <w:t xml:space="preserve">Public health and global context: precision medicine is spreading worldwide. China’s Precision Medicine Initiative and India’s genomics programs aim to apply genomic knowledge to local population health. Global collaborations (like the Global Alliance for Genomics and Health) promote data sharing. However, disparities exist: most genomic data come from European ancestry populations, so efforts are underway to diversify genomic research (e.g. All of Us includes minority cohorts).</w:t>
      </w:r>
    </w:p>
    <w:p w:rsidR="00000000" w:rsidDel="00000000" w:rsidP="00000000" w:rsidRDefault="00000000" w:rsidRPr="00000000" w14:paraId="0000006D">
      <w:pPr>
        <w:spacing w:after="0" w:line="480" w:lineRule="auto"/>
        <w:rPr>
          <w:rFonts w:ascii="Arial" w:cs="Arial" w:eastAsia="Arial" w:hAnsi="Arial"/>
        </w:rPr>
      </w:pPr>
      <w:r w:rsidDel="00000000" w:rsidR="00000000" w:rsidRPr="00000000">
        <w:rPr>
          <w:rFonts w:ascii="Arial" w:cs="Arial" w:eastAsia="Arial" w:hAnsi="Arial"/>
          <w:rtl w:val="0"/>
        </w:rPr>
        <w:t xml:space="preserve">In sum, precision medicine is transitioning from concept to practice. Faster, cheaper sequencing (for whole genomes or targeted panels) has been a key driver. This enables not only individualized therapies but also screening (prenatal and pre-symptomatic). While challenges remain (cost, data privacy, equity), the trend is unmistakable: medicine is becoming more predictive and personalized as genomics and multi-omics integrate with clinical care.</w:t>
      </w:r>
    </w:p>
    <w:p w:rsidR="00000000" w:rsidDel="00000000" w:rsidP="00000000" w:rsidRDefault="00000000" w:rsidRPr="00000000" w14:paraId="0000006E">
      <w:pPr>
        <w:pStyle w:val="Heading1"/>
        <w:spacing w:line="480" w:lineRule="auto"/>
        <w:jc w:val="center"/>
        <w:rPr>
          <w:rFonts w:ascii="Arial" w:cs="Arial" w:eastAsia="Arial" w:hAnsi="Arial"/>
          <w:color w:val="000000"/>
          <w:sz w:val="22"/>
          <w:szCs w:val="22"/>
        </w:rPr>
      </w:pPr>
      <w:bookmarkStart w:colFirst="0" w:colLast="0" w:name="_heading=h.olt153wqund4" w:id="10"/>
      <w:bookmarkEnd w:id="10"/>
      <w:r w:rsidDel="00000000" w:rsidR="00000000" w:rsidRPr="00000000">
        <w:rPr>
          <w:rFonts w:ascii="Arial" w:cs="Arial" w:eastAsia="Arial" w:hAnsi="Arial"/>
          <w:color w:val="000000"/>
          <w:sz w:val="22"/>
          <w:szCs w:val="22"/>
          <w:rtl w:val="0"/>
        </w:rPr>
        <w:t xml:space="preserve">8. Cancer Immunotherapy (Checkpoint Inhibitors and CAR-T)</w:t>
      </w:r>
    </w:p>
    <w:p w:rsidR="00000000" w:rsidDel="00000000" w:rsidP="00000000" w:rsidRDefault="00000000" w:rsidRPr="00000000" w14:paraId="0000006F">
      <w:pPr>
        <w:spacing w:after="0" w:line="480" w:lineRule="auto"/>
        <w:rPr>
          <w:rFonts w:ascii="Arial" w:cs="Arial" w:eastAsia="Arial" w:hAnsi="Arial"/>
        </w:rPr>
      </w:pPr>
      <w:r w:rsidDel="00000000" w:rsidR="00000000" w:rsidRPr="00000000">
        <w:rPr>
          <w:rFonts w:ascii="Arial" w:cs="Arial" w:eastAsia="Arial" w:hAnsi="Arial"/>
          <w:rtl w:val="0"/>
        </w:rPr>
        <w:t xml:space="preserve">The treatment of cancer has been revolutionized by immunotherapy in the past decade.  Immunotherapy harnesses the patient’s immune system to attack tumors, and several landmark advancements have emerged globally.  Most notably, immune checkpoint inhibitors – drugs that release the “brakes” on T cells have changed the natural history of diseases like melanoma, lung, and renal cancer.  The 2018 Nobel Prize in Medicine was awarded to James Allison and Tasuku Honjo for discovering that blocking CTLA-4 or PD-1 could unleash T-cell attacks on tumors.  Clinically, these agents (ipilimumab, nivolumab, pembrolizumab, and so on) showed unprecedented survival benefits: advanced melanoma patients who would have almost no chance of long-term survival suddenly saw cases of complete remission.  These therapies are now approved for many cancers worldwide, and combination checkpoint blockade is yielding even higher response rates in trials.</w:t>
      </w:r>
    </w:p>
    <w:p w:rsidR="00000000" w:rsidDel="00000000" w:rsidP="00000000" w:rsidRDefault="00000000" w:rsidRPr="00000000" w14:paraId="00000070">
      <w:pPr>
        <w:spacing w:after="0" w:line="480" w:lineRule="auto"/>
        <w:rPr>
          <w:rFonts w:ascii="Arial" w:cs="Arial" w:eastAsia="Arial" w:hAnsi="Arial"/>
        </w:rPr>
      </w:pPr>
      <w:r w:rsidDel="00000000" w:rsidR="00000000" w:rsidRPr="00000000">
        <w:rPr>
          <w:rFonts w:ascii="Arial" w:cs="Arial" w:eastAsia="Arial" w:hAnsi="Arial"/>
          <w:rtl w:val="0"/>
        </w:rPr>
        <w:t xml:space="preserve">Parallel to checkpoint inhibitors, adoptive cell therapies have matured. The most visible example is chimeric antigen receptor T-cell (CAR-T) therapy for blood cancers. In 2017 the FDA approved tisagenlecleucel (Kymriah) for pediatric acute lymphoblastic leukemia, marking the first gene therapy approved in any form. Shortly after, axicabtagene ciloleucel (Yescarta) was approved for large B-cell lymphoma. These CAR-T therapies take a patient’s own T cells, genetically modify them to target the CD19 antigen on B cells, and reinfuse them to eradicate cancer cells. Clinical trials showed astonishing efficacy: many patients with relapsed/refractory leukemia or lymphoma achieved durable remissions. Millions of dollars of investment have since gone into CAR-T and similar “living drug” platforms.   Many countries are now developing their own CAR-T versions (e.g. China approved its first CAR-T in 2021), and research is expanding CAR-T to solid tumors (with mixed results so far). A 2020 review describes the decades of effort culminating in these approvals.</w:t>
      </w:r>
    </w:p>
    <w:p w:rsidR="00000000" w:rsidDel="00000000" w:rsidP="00000000" w:rsidRDefault="00000000" w:rsidRPr="00000000" w14:paraId="00000071">
      <w:pPr>
        <w:spacing w:after="0" w:line="480" w:lineRule="auto"/>
        <w:rPr>
          <w:rFonts w:ascii="Arial" w:cs="Arial" w:eastAsia="Arial" w:hAnsi="Arial"/>
        </w:rPr>
      </w:pPr>
      <w:r w:rsidDel="00000000" w:rsidR="00000000" w:rsidRPr="00000000">
        <w:rPr>
          <w:rFonts w:ascii="Arial" w:cs="Arial" w:eastAsia="Arial" w:hAnsi="Arial"/>
          <w:rtl w:val="0"/>
        </w:rPr>
        <w:t xml:space="preserve">Additionally, cancer vaccines and oncolytic viruses are part of this new immunotherapy arsenal. Oncolytic virus therapy, for example, uses modified herpesvirus (T-VEC) to treat melanoma, marking the first such FDA approval in 2015. More recently, experiments with personalized neoantigen vaccines and tumor-infiltrating lymphocyte (TIL) therapy are showing promise in trials.</w:t>
      </w:r>
    </w:p>
    <w:p w:rsidR="00000000" w:rsidDel="00000000" w:rsidP="00000000" w:rsidRDefault="00000000" w:rsidRPr="00000000" w14:paraId="00000072">
      <w:pPr>
        <w:spacing w:after="0" w:line="480" w:lineRule="auto"/>
        <w:rPr>
          <w:rFonts w:ascii="Arial" w:cs="Arial" w:eastAsia="Arial" w:hAnsi="Arial"/>
        </w:rPr>
      </w:pPr>
      <w:r w:rsidDel="00000000" w:rsidR="00000000" w:rsidRPr="00000000">
        <w:rPr>
          <w:rFonts w:ascii="Arial" w:cs="Arial" w:eastAsia="Arial" w:hAnsi="Arial"/>
          <w:rtl w:val="0"/>
        </w:rPr>
        <w:t xml:space="preserve">The impact of immunotherapy has been profound. Diseases once considered terminal are now manageable chronic conditions for some patients. Globally, cancer survival statistics are improving (e.g. 5-year survival in metastatic melanoma has risen substantially) due largely to these therapies. However, immunotherapy also brings new challenges: not all patients respond, and immune-related side effects (autoimmunity) can be severe. Costs are high (CAR-T can cost hundreds of thousands per treatment). Access is unequal: wealthier nations adopted these treatments first, although international initiatives are working to expand access in middle-income countries.</w:t>
      </w:r>
    </w:p>
    <w:p w:rsidR="00000000" w:rsidDel="00000000" w:rsidP="00000000" w:rsidRDefault="00000000" w:rsidRPr="00000000" w14:paraId="00000073">
      <w:pPr>
        <w:spacing w:after="0" w:line="480" w:lineRule="auto"/>
        <w:rPr>
          <w:rFonts w:ascii="Arial" w:cs="Arial" w:eastAsia="Arial" w:hAnsi="Arial"/>
        </w:rPr>
      </w:pPr>
      <w:r w:rsidDel="00000000" w:rsidR="00000000" w:rsidRPr="00000000">
        <w:rPr>
          <w:rFonts w:ascii="Arial" w:cs="Arial" w:eastAsia="Arial" w:hAnsi="Arial"/>
          <w:rtl w:val="0"/>
        </w:rPr>
        <w:t xml:space="preserve">In summary, cancer immunotherapy  from checkpoint blockade to engineered cell therapies is one of the most significant medical advancements of the decade. It represents a paradigm shift: instead of directly killing tumors (as with chemotherapy), we are modulating the immune system. The 2018 Nobel award and multiple FDA approvals across continents testify to its global importance. Ongoing research is expected to extend these successes to more cancer types and make treatments safer and more affordable worldwide.</w:t>
      </w:r>
    </w:p>
    <w:p w:rsidR="00000000" w:rsidDel="00000000" w:rsidP="00000000" w:rsidRDefault="00000000" w:rsidRPr="00000000" w14:paraId="00000074">
      <w:pPr>
        <w:pStyle w:val="Heading1"/>
        <w:spacing w:line="480" w:lineRule="auto"/>
        <w:jc w:val="center"/>
        <w:rPr>
          <w:rFonts w:ascii="Arial" w:cs="Arial" w:eastAsia="Arial" w:hAnsi="Arial"/>
          <w:color w:val="000000"/>
          <w:sz w:val="22"/>
          <w:szCs w:val="22"/>
        </w:rPr>
      </w:pPr>
      <w:bookmarkStart w:colFirst="0" w:colLast="0" w:name="_heading=h.gwiof07jqfow" w:id="11"/>
      <w:bookmarkEnd w:id="11"/>
      <w:r w:rsidDel="00000000" w:rsidR="00000000" w:rsidRPr="00000000">
        <w:rPr>
          <w:rFonts w:ascii="Arial" w:cs="Arial" w:eastAsia="Arial" w:hAnsi="Arial"/>
          <w:color w:val="000000"/>
          <w:sz w:val="22"/>
          <w:szCs w:val="22"/>
          <w:rtl w:val="0"/>
        </w:rPr>
        <w:t xml:space="preserve">9. 3D Printing and Bioprinting in Medicine</w:t>
      </w:r>
    </w:p>
    <w:p w:rsidR="00000000" w:rsidDel="00000000" w:rsidP="00000000" w:rsidRDefault="00000000" w:rsidRPr="00000000" w14:paraId="00000075">
      <w:pPr>
        <w:spacing w:after="0" w:line="480" w:lineRule="auto"/>
        <w:rPr>
          <w:rFonts w:ascii="Arial" w:cs="Arial" w:eastAsia="Arial" w:hAnsi="Arial"/>
        </w:rPr>
      </w:pPr>
      <w:r w:rsidDel="00000000" w:rsidR="00000000" w:rsidRPr="00000000">
        <w:rPr>
          <w:rFonts w:ascii="Arial" w:cs="Arial" w:eastAsia="Arial" w:hAnsi="Arial"/>
          <w:rtl w:val="0"/>
        </w:rPr>
        <w:t xml:space="preserve">Three-dimensional (3D) printing has found diverse applications in medicine over the last decade. Also called additive manufacturing, 3D printing enables creation of patient-specific anatomical models, implants, prosthetics, and even living tissues (bioprinting). Its flexibility has had global impacts across surgery, prosthetics, education, and drug development.</w:t>
      </w:r>
    </w:p>
    <w:p w:rsidR="00000000" w:rsidDel="00000000" w:rsidP="00000000" w:rsidRDefault="00000000" w:rsidRPr="00000000" w14:paraId="00000076">
      <w:pPr>
        <w:spacing w:after="0" w:line="480" w:lineRule="auto"/>
        <w:rPr>
          <w:rFonts w:ascii="Arial" w:cs="Arial" w:eastAsia="Arial" w:hAnsi="Arial"/>
        </w:rPr>
      </w:pPr>
      <w:r w:rsidDel="00000000" w:rsidR="00000000" w:rsidRPr="00000000">
        <w:rPr>
          <w:rFonts w:ascii="Arial" w:cs="Arial" w:eastAsia="Arial" w:hAnsi="Arial"/>
          <w:rtl w:val="0"/>
        </w:rPr>
        <w:t xml:space="preserve">One key use is surgical planning. Physicians can convert CT or MRI scans into 3D-printed models of a patient’s organ (e.g. a complex heart defect or cancerous pelvis bone). This allows surgeons to practice procedures on exact replicas of a patient’s anatomy, reducing time in the operating room and improving outcomes. Hospitals worldwide report shorter surgeries and better fits for implants thanks to such models.</w:t>
      </w:r>
    </w:p>
    <w:p w:rsidR="00000000" w:rsidDel="00000000" w:rsidP="00000000" w:rsidRDefault="00000000" w:rsidRPr="00000000" w14:paraId="00000077">
      <w:pPr>
        <w:spacing w:after="0" w:line="480" w:lineRule="auto"/>
        <w:rPr>
          <w:rFonts w:ascii="Arial" w:cs="Arial" w:eastAsia="Arial" w:hAnsi="Arial"/>
        </w:rPr>
      </w:pPr>
      <w:r w:rsidDel="00000000" w:rsidR="00000000" w:rsidRPr="00000000">
        <w:rPr>
          <w:rFonts w:ascii="Arial" w:cs="Arial" w:eastAsia="Arial" w:hAnsi="Arial"/>
          <w:rtl w:val="0"/>
        </w:rPr>
        <w:t xml:space="preserve">3D printing has revolutionized prosthetics. Low-cost 3D printers have enabled custom-fitted limb prostheses and orthopedic implants. For example, a child born without a forearm can receive a 3D-printed prosthetic that matches bone structure precisely. Dentistry has seen rapid growth in 3D-printed crowns and aligners. These innovations are accessible even in resource-limited settings: makerspaces and NGOs in developing countries have printed prosthetic limbs at a fraction of traditional cost.</w:t>
      </w:r>
    </w:p>
    <w:p w:rsidR="00000000" w:rsidDel="00000000" w:rsidP="00000000" w:rsidRDefault="00000000" w:rsidRPr="00000000" w14:paraId="00000078">
      <w:pPr>
        <w:spacing w:after="0" w:line="480" w:lineRule="auto"/>
        <w:rPr>
          <w:rFonts w:ascii="Arial" w:cs="Arial" w:eastAsia="Arial" w:hAnsi="Arial"/>
        </w:rPr>
      </w:pPr>
      <w:r w:rsidDel="00000000" w:rsidR="00000000" w:rsidRPr="00000000">
        <w:rPr>
          <w:rFonts w:ascii="Arial" w:cs="Arial" w:eastAsia="Arial" w:hAnsi="Arial"/>
          <w:rtl w:val="0"/>
        </w:rPr>
        <w:t xml:space="preserve">Bioprinting  printing with live cells and biomaterials  has made great strides, though clinical organ printing remains on the horizon. Researchers can now print simple tissues for drug testing, such as skin grafts and cartilage. A 2020 review described how printed liver, heart, or kidney cells on microfluidic chips can mimic organ functions for toxicology studies. In 2023, proof-of-concept experiments produced miniature “heart-like” pumps from human cells. While full organ printing (for transplantation) is still in development, progress is rapid. Some companies are investigating printing organ patches to repair damaged tissue in situ during surgery.</w:t>
      </w:r>
    </w:p>
    <w:p w:rsidR="00000000" w:rsidDel="00000000" w:rsidP="00000000" w:rsidRDefault="00000000" w:rsidRPr="00000000" w14:paraId="00000079">
      <w:pPr>
        <w:spacing w:after="0" w:line="480" w:lineRule="auto"/>
        <w:rPr>
          <w:rFonts w:ascii="Arial" w:cs="Arial" w:eastAsia="Arial" w:hAnsi="Arial"/>
        </w:rPr>
      </w:pPr>
      <w:r w:rsidDel="00000000" w:rsidR="00000000" w:rsidRPr="00000000">
        <w:rPr>
          <w:rFonts w:ascii="Arial" w:cs="Arial" w:eastAsia="Arial" w:hAnsi="Arial"/>
          <w:rtl w:val="0"/>
        </w:rPr>
        <w:t xml:space="preserve">On the pharmaceutical side, 3D printing is used for custom drug tablets and delivery devices. The FDA-approved Spritam (2015) was the first 3D-printed drug, a rapidly disintegrating epilepsy medication. In the coming years, we may see 3D-printed pills personalized in dose and release profile for each patient’s needs, enabling polypharmacy pills with layered medications.</w:t>
      </w:r>
    </w:p>
    <w:p w:rsidR="00000000" w:rsidDel="00000000" w:rsidP="00000000" w:rsidRDefault="00000000" w:rsidRPr="00000000" w14:paraId="0000007A">
      <w:pPr>
        <w:spacing w:after="0" w:line="480" w:lineRule="auto"/>
        <w:rPr>
          <w:rFonts w:ascii="Arial" w:cs="Arial" w:eastAsia="Arial" w:hAnsi="Arial"/>
        </w:rPr>
      </w:pPr>
      <w:r w:rsidDel="00000000" w:rsidR="00000000" w:rsidRPr="00000000">
        <w:rPr>
          <w:rFonts w:ascii="Arial" w:cs="Arial" w:eastAsia="Arial" w:hAnsi="Arial"/>
          <w:rtl w:val="0"/>
        </w:rPr>
        <w:t xml:space="preserve">Medical education and research benefit too. Rather than relying on cadavers, students can train on realistic 3D-printed organ models. Tissue engineers use bioprinted constructs to study disease models. For instance, bioprinted tumor tissues allow cancer researchers to test therapies in a lab setting more effectively.</w:t>
      </w:r>
    </w:p>
    <w:p w:rsidR="00000000" w:rsidDel="00000000" w:rsidP="00000000" w:rsidRDefault="00000000" w:rsidRPr="00000000" w14:paraId="0000007B">
      <w:pPr>
        <w:spacing w:after="0" w:line="480" w:lineRule="auto"/>
        <w:rPr>
          <w:rFonts w:ascii="Arial" w:cs="Arial" w:eastAsia="Arial" w:hAnsi="Arial"/>
        </w:rPr>
      </w:pPr>
      <w:r w:rsidDel="00000000" w:rsidR="00000000" w:rsidRPr="00000000">
        <w:rPr>
          <w:rFonts w:ascii="Arial" w:cs="Arial" w:eastAsia="Arial" w:hAnsi="Arial"/>
          <w:rtl w:val="0"/>
        </w:rPr>
        <w:t xml:space="preserve">In summary, 3D printing technologies have significantly impacted global healthcare by enabling personalization and innovation. Surgeons in India can plan complex neurosurgeries with models from local CT scanners; hospitals in the US print bespoke joint implants; universities worldwide train students with realistic patient models. While bioprinting lags due to biological complexities, it holds transformative promise. As materials science and printing methods advance, 3D printing will continue to expand medical possibilities, bringing customized care to more patients.</w:t>
      </w:r>
    </w:p>
    <w:p w:rsidR="00000000" w:rsidDel="00000000" w:rsidP="00000000" w:rsidRDefault="00000000" w:rsidRPr="00000000" w14:paraId="0000007C">
      <w:pPr>
        <w:pStyle w:val="Heading1"/>
        <w:spacing w:line="480" w:lineRule="auto"/>
        <w:jc w:val="center"/>
        <w:rPr>
          <w:rFonts w:ascii="Arial" w:cs="Arial" w:eastAsia="Arial" w:hAnsi="Arial"/>
          <w:color w:val="000000"/>
          <w:sz w:val="22"/>
          <w:szCs w:val="22"/>
        </w:rPr>
      </w:pPr>
      <w:bookmarkStart w:colFirst="0" w:colLast="0" w:name="_heading=h.u0yfx4pj03hp" w:id="12"/>
      <w:bookmarkEnd w:id="12"/>
      <w:r w:rsidDel="00000000" w:rsidR="00000000" w:rsidRPr="00000000">
        <w:rPr>
          <w:rFonts w:ascii="Arial" w:cs="Arial" w:eastAsia="Arial" w:hAnsi="Arial"/>
          <w:color w:val="000000"/>
          <w:sz w:val="22"/>
          <w:szCs w:val="22"/>
          <w:rtl w:val="0"/>
        </w:rPr>
        <w:t xml:space="preserve">10. Microbiome Science and Therapeutics</w:t>
      </w:r>
    </w:p>
    <w:p w:rsidR="00000000" w:rsidDel="00000000" w:rsidP="00000000" w:rsidRDefault="00000000" w:rsidRPr="00000000" w14:paraId="0000007D">
      <w:pPr>
        <w:spacing w:after="0" w:line="480" w:lineRule="auto"/>
        <w:rPr>
          <w:rFonts w:ascii="Arial" w:cs="Arial" w:eastAsia="Arial" w:hAnsi="Arial"/>
        </w:rPr>
      </w:pPr>
      <w:r w:rsidDel="00000000" w:rsidR="00000000" w:rsidRPr="00000000">
        <w:rPr>
          <w:rFonts w:ascii="Arial" w:cs="Arial" w:eastAsia="Arial" w:hAnsi="Arial"/>
          <w:rtl w:val="0"/>
        </w:rPr>
        <w:t xml:space="preserve">The human microbiome  the trillions of microbes living in and on our bodies  has been recognized as a key factor in health and disease.  In the past decade, microbiome research has exploded, linking gut flora imbalances to conditions ranging from obesity and diabetes to autoimmune disease and mental health.  This has spurred novel therapies and diagnostics that modulate or analyze the microbiome.</w:t>
      </w:r>
    </w:p>
    <w:p w:rsidR="00000000" w:rsidDel="00000000" w:rsidP="00000000" w:rsidRDefault="00000000" w:rsidRPr="00000000" w14:paraId="0000007E">
      <w:pPr>
        <w:spacing w:after="0" w:line="480" w:lineRule="auto"/>
        <w:rPr>
          <w:rFonts w:ascii="Arial" w:cs="Arial" w:eastAsia="Arial" w:hAnsi="Arial"/>
        </w:rPr>
      </w:pPr>
      <w:r w:rsidDel="00000000" w:rsidR="00000000" w:rsidRPr="00000000">
        <w:rPr>
          <w:rFonts w:ascii="Arial" w:cs="Arial" w:eastAsia="Arial" w:hAnsi="Arial"/>
          <w:rtl w:val="0"/>
        </w:rPr>
        <w:t xml:space="preserve">One of the major therapeutic advancements is fecal microbiota transplantation (FMT). Transferring stool from a healthy donor into a patient’s gut can restore microbial balance. FMT has become an approved treatment for recurrent Clostridioides difficile infection (CDI)  a once-common, hard-to-treat hospital pathogen with cure rates over 90%. Recent reviews highlight FMT’s success in CDI and its potential in other diseases. Clinical trials are testing FMT for ulcerative colitis, irritable bowel syndrome, metabolic syndrome, and even neurological conditions (the “gut-brain axis”). Early results show promise: for example, some patients with ulcerative colitis achieved remission after FMT. Large trials (e.g. in the U.S. and Europe) are underway to define when and how microbiome transplants should be used outside CDI.</w:t>
      </w:r>
    </w:p>
    <w:p w:rsidR="00000000" w:rsidDel="00000000" w:rsidP="00000000" w:rsidRDefault="00000000" w:rsidRPr="00000000" w14:paraId="0000007F">
      <w:pPr>
        <w:spacing w:after="0" w:line="480" w:lineRule="auto"/>
        <w:rPr>
          <w:rFonts w:ascii="Arial" w:cs="Arial" w:eastAsia="Arial" w:hAnsi="Arial"/>
        </w:rPr>
      </w:pPr>
      <w:r w:rsidDel="00000000" w:rsidR="00000000" w:rsidRPr="00000000">
        <w:rPr>
          <w:rFonts w:ascii="Arial" w:cs="Arial" w:eastAsia="Arial" w:hAnsi="Arial"/>
          <w:rtl w:val="0"/>
        </w:rPr>
        <w:t xml:space="preserve">Other microbiome-based therapies are emerging. Probiotic and prebiotic formulations have become mainstream supplements. Researchers are developing defined microbial consortia and next-gen probiotics (live bacteria chosen for specific functions). A few biotechs are engineering microbes to deliver drugs or biologic factors in the gut. Additionally, “postbiotics” (metabolic products of microbes) are being investigated. In 2023, an FDA-approved novel therapy (SER-109)  an oral capsule of spore-forming bacteria successfully treated recurrent CDI, reflecting how refined microbiome treatments are becoming.</w:t>
      </w:r>
    </w:p>
    <w:p w:rsidR="00000000" w:rsidDel="00000000" w:rsidP="00000000" w:rsidRDefault="00000000" w:rsidRPr="00000000" w14:paraId="00000080">
      <w:pPr>
        <w:spacing w:after="0" w:line="480" w:lineRule="auto"/>
        <w:rPr>
          <w:rFonts w:ascii="Arial" w:cs="Arial" w:eastAsia="Arial" w:hAnsi="Arial"/>
        </w:rPr>
      </w:pPr>
      <w:r w:rsidDel="00000000" w:rsidR="00000000" w:rsidRPr="00000000">
        <w:rPr>
          <w:rFonts w:ascii="Arial" w:cs="Arial" w:eastAsia="Arial" w:hAnsi="Arial"/>
          <w:rtl w:val="0"/>
        </w:rPr>
        <w:t xml:space="preserve">Diagnostics have advanced too. Companies now offer microbiome sequencing tests that profile gut bacteria from stool, claiming to predict disease risk or guide diet. While such tests are still being validated, they illustrate the move towards microbiome-informed medicine.</w:t>
      </w:r>
    </w:p>
    <w:p w:rsidR="00000000" w:rsidDel="00000000" w:rsidP="00000000" w:rsidRDefault="00000000" w:rsidRPr="00000000" w14:paraId="00000081">
      <w:pPr>
        <w:spacing w:after="0" w:line="480" w:lineRule="auto"/>
        <w:rPr>
          <w:rFonts w:ascii="Arial" w:cs="Arial" w:eastAsia="Arial" w:hAnsi="Arial"/>
        </w:rPr>
      </w:pPr>
      <w:r w:rsidDel="00000000" w:rsidR="00000000" w:rsidRPr="00000000">
        <w:rPr>
          <w:rFonts w:ascii="Arial" w:cs="Arial" w:eastAsia="Arial" w:hAnsi="Arial"/>
          <w:rtl w:val="0"/>
        </w:rPr>
        <w:t xml:space="preserve">Globally, interest is widespread. In the U.S., national initiatives like the NIH’s Human Microbiome Project have funded microbiome research. Europe’s Microbiome Support and China’s gut microbiome studies (e.g. for Asian diets) highlight international efforts. Even space agencies study how microgravity affects astronauts’ microbiota and immunity. In developing countries, projects are examining how diet and sanitation differences shape microbiomes and related health.</w:t>
      </w:r>
    </w:p>
    <w:p w:rsidR="00000000" w:rsidDel="00000000" w:rsidP="00000000" w:rsidRDefault="00000000" w:rsidRPr="00000000" w14:paraId="00000082">
      <w:pPr>
        <w:spacing w:after="0" w:line="480" w:lineRule="auto"/>
        <w:rPr>
          <w:rFonts w:ascii="Arial" w:cs="Arial" w:eastAsia="Arial" w:hAnsi="Arial"/>
        </w:rPr>
      </w:pPr>
      <w:r w:rsidDel="00000000" w:rsidR="00000000" w:rsidRPr="00000000">
        <w:rPr>
          <w:rFonts w:ascii="Arial" w:cs="Arial" w:eastAsia="Arial" w:hAnsi="Arial"/>
          <w:rtl w:val="0"/>
        </w:rPr>
        <w:t xml:space="preserve">Despite excitement, caution is warranted. FMT can theoretically transmit pathogens; strict donor screening is required. Individual responses to microbiome interventions vary greatly due to host genetics and existing flora. More research is needed to understand long-term effects and optimal microbiome composition.</w:t>
      </w:r>
    </w:p>
    <w:p w:rsidR="00000000" w:rsidDel="00000000" w:rsidP="00000000" w:rsidRDefault="00000000" w:rsidRPr="00000000" w14:paraId="00000083">
      <w:pPr>
        <w:spacing w:after="0" w:line="480" w:lineRule="auto"/>
        <w:rPr>
          <w:rFonts w:ascii="Arial" w:cs="Arial" w:eastAsia="Arial" w:hAnsi="Arial"/>
        </w:rPr>
      </w:pPr>
      <w:r w:rsidDel="00000000" w:rsidR="00000000" w:rsidRPr="00000000">
        <w:rPr>
          <w:rFonts w:ascii="Arial" w:cs="Arial" w:eastAsia="Arial" w:hAnsi="Arial"/>
          <w:rtl w:val="0"/>
        </w:rPr>
        <w:t xml:space="preserve">In conclusion, microbiome science has yielded one of the most novel medical therapies of the decade: using microbes themselves as medicine. It exemplifies a systems-biology approach where correcting a community of organisms can treat disease. If current trends hold, we will see more FDA-approved microbiome therapies and a greater integration of gut health into routine medicine in the next decade.</w:t>
      </w:r>
    </w:p>
    <w:p w:rsidR="00000000" w:rsidDel="00000000" w:rsidP="00000000" w:rsidRDefault="00000000" w:rsidRPr="00000000" w14:paraId="00000084">
      <w:pPr>
        <w:pStyle w:val="Heading1"/>
        <w:spacing w:line="480" w:lineRule="auto"/>
        <w:jc w:val="center"/>
        <w:rPr>
          <w:rFonts w:ascii="Arial" w:cs="Arial" w:eastAsia="Arial" w:hAnsi="Arial"/>
          <w:color w:val="000000"/>
          <w:sz w:val="22"/>
          <w:szCs w:val="22"/>
        </w:rPr>
      </w:pPr>
      <w:bookmarkStart w:colFirst="0" w:colLast="0" w:name="_heading=h.x6dwgn4rvj3x" w:id="13"/>
      <w:bookmarkEnd w:id="13"/>
      <w:r w:rsidDel="00000000" w:rsidR="00000000" w:rsidRPr="00000000">
        <w:rPr>
          <w:rFonts w:ascii="Arial" w:cs="Arial" w:eastAsia="Arial" w:hAnsi="Arial"/>
          <w:color w:val="000000"/>
          <w:sz w:val="22"/>
          <w:szCs w:val="22"/>
          <w:rtl w:val="0"/>
        </w:rPr>
        <w:t xml:space="preserve">11. Regenerative Medicine and Stem Cell Therapy</w:t>
      </w:r>
    </w:p>
    <w:p w:rsidR="00000000" w:rsidDel="00000000" w:rsidP="00000000" w:rsidRDefault="00000000" w:rsidRPr="00000000" w14:paraId="00000085">
      <w:pPr>
        <w:spacing w:after="0" w:line="480" w:lineRule="auto"/>
        <w:rPr>
          <w:rFonts w:ascii="Arial" w:cs="Arial" w:eastAsia="Arial" w:hAnsi="Arial"/>
        </w:rPr>
      </w:pPr>
      <w:r w:rsidDel="00000000" w:rsidR="00000000" w:rsidRPr="00000000">
        <w:rPr>
          <w:rFonts w:ascii="Arial" w:cs="Arial" w:eastAsia="Arial" w:hAnsi="Arial"/>
          <w:rtl w:val="0"/>
        </w:rPr>
        <w:t xml:space="preserve">Regenerative medicine aims to repair or replace damaged tissues, and stem cell therapy is at its core.  Stem cells  undifferentiated cells capable of self-renewal and differentiation  have been studied for decades, but recent advances have accelerated their therapeutic application.  The introduction of induced pluripotent stem cells (iPSCs) in 2006 (Nobel Prize 2012) created patient-specific stem cells without embryo use, greatly expanding possibilities.</w:t>
      </w:r>
    </w:p>
    <w:p w:rsidR="00000000" w:rsidDel="00000000" w:rsidP="00000000" w:rsidRDefault="00000000" w:rsidRPr="00000000" w14:paraId="00000086">
      <w:pPr>
        <w:spacing w:after="0" w:line="480" w:lineRule="auto"/>
        <w:rPr>
          <w:rFonts w:ascii="Arial" w:cs="Arial" w:eastAsia="Arial" w:hAnsi="Arial"/>
        </w:rPr>
      </w:pPr>
      <w:r w:rsidDel="00000000" w:rsidR="00000000" w:rsidRPr="00000000">
        <w:rPr>
          <w:rFonts w:ascii="Arial" w:cs="Arial" w:eastAsia="Arial" w:hAnsi="Arial"/>
          <w:rtl w:val="0"/>
        </w:rPr>
        <w:t xml:space="preserve">In the past decade, clinical trials of stem cell therapies have progressed in multiple areas.   Mesenchymal stem cells (MSCs) from bone marrow or fat have been tested for heart disease (to regenerate myocardium), stroke, spinal cord injury, and autoimmune disorders. Some trials showed modest functional improvements in heart failure and critical limb ischemia. Hematopoietic stem cell transplants (bone marrow transplants) remain standard for leukemia and lymphoma  an older therapy, but with ongoing refinements (e.g. CAR-T itself originates from engineered hematopoietic cells).</w:t>
      </w:r>
    </w:p>
    <w:p w:rsidR="00000000" w:rsidDel="00000000" w:rsidP="00000000" w:rsidRDefault="00000000" w:rsidRPr="00000000" w14:paraId="00000087">
      <w:pPr>
        <w:spacing w:after="0" w:line="480" w:lineRule="auto"/>
        <w:rPr>
          <w:rFonts w:ascii="Arial" w:cs="Arial" w:eastAsia="Arial" w:hAnsi="Arial"/>
        </w:rPr>
      </w:pPr>
      <w:r w:rsidDel="00000000" w:rsidR="00000000" w:rsidRPr="00000000">
        <w:rPr>
          <w:rFonts w:ascii="Arial" w:cs="Arial" w:eastAsia="Arial" w:hAnsi="Arial"/>
          <w:rtl w:val="0"/>
        </w:rPr>
        <w:t xml:space="preserve">In ophthalmology, stem cell therapies have been pioneering. In 2019, a Japanese team used iPSC-derived retinal cells to treat macular degeneration, the first such transplant in humans, which showed promise without rejection. Trials for Parkinson’s and ALS using neural stem cells are in early stages. In orthopedics, stem-cell laden scaffolds and injections are used experimentally to heal bone and cartilage. Tissue-engineered constructs using patient’s own cells (expanded stem cells on scaffolds) aim to regenerate bladder or trachea (a landmark 2011 case).</w:t>
      </w:r>
    </w:p>
    <w:p w:rsidR="00000000" w:rsidDel="00000000" w:rsidP="00000000" w:rsidRDefault="00000000" w:rsidRPr="00000000" w14:paraId="00000088">
      <w:pPr>
        <w:spacing w:after="0" w:line="480" w:lineRule="auto"/>
        <w:rPr>
          <w:rFonts w:ascii="Arial" w:cs="Arial" w:eastAsia="Arial" w:hAnsi="Arial"/>
        </w:rPr>
      </w:pPr>
      <w:r w:rsidDel="00000000" w:rsidR="00000000" w:rsidRPr="00000000">
        <w:rPr>
          <w:rFonts w:ascii="Arial" w:cs="Arial" w:eastAsia="Arial" w:hAnsi="Arial"/>
          <w:rtl w:val="0"/>
        </w:rPr>
        <w:t xml:space="preserve">Cancer is also a target: researchers are exploring ways to mobilize stem cells to regenerate bone marrow after chemo or to deliver anti-cancer agents using stem cells as vehicles. Conversely, stem-cell derived immune cells (CAR-T, already mentioned) have become cancer therapies themselves.</w:t>
      </w:r>
    </w:p>
    <w:p w:rsidR="00000000" w:rsidDel="00000000" w:rsidP="00000000" w:rsidRDefault="00000000" w:rsidRPr="00000000" w14:paraId="00000089">
      <w:pPr>
        <w:spacing w:after="0" w:line="480" w:lineRule="auto"/>
        <w:rPr>
          <w:rFonts w:ascii="Arial" w:cs="Arial" w:eastAsia="Arial" w:hAnsi="Arial"/>
        </w:rPr>
      </w:pPr>
      <w:r w:rsidDel="00000000" w:rsidR="00000000" w:rsidRPr="00000000">
        <w:rPr>
          <w:rFonts w:ascii="Arial" w:cs="Arial" w:eastAsia="Arial" w:hAnsi="Arial"/>
          <w:rtl w:val="0"/>
        </w:rPr>
        <w:t xml:space="preserve">This field’s potential is enormous: as one review notes, “stem cells possess self-renewal and differentiation into specialized cell types, making them indispensable for regenerative medicine”. The development of organoids (mini-organs grown from stem cells in the lab) is another breakthrough, allowing personalized disease modeling and drug testing. The first patient-derived gut organoids for cystic fibrosis (testing drug response) demonstrated personalized regenerative approaches.</w:t>
      </w:r>
    </w:p>
    <w:p w:rsidR="00000000" w:rsidDel="00000000" w:rsidP="00000000" w:rsidRDefault="00000000" w:rsidRPr="00000000" w14:paraId="0000008A">
      <w:pPr>
        <w:spacing w:after="0" w:line="480" w:lineRule="auto"/>
        <w:rPr>
          <w:rFonts w:ascii="Arial" w:cs="Arial" w:eastAsia="Arial" w:hAnsi="Arial"/>
        </w:rPr>
      </w:pPr>
      <w:r w:rsidDel="00000000" w:rsidR="00000000" w:rsidRPr="00000000">
        <w:rPr>
          <w:rFonts w:ascii="Arial" w:cs="Arial" w:eastAsia="Arial" w:hAnsi="Arial"/>
          <w:rtl w:val="0"/>
        </w:rPr>
        <w:t xml:space="preserve">However, hurdles remain: immune rejection (when using non-autologous cells) and risk of tumor formation from pluripotent cells are concerns. Ethical oversight is also critical, given the field’s early controversies. Advances in gene editing (as discussed) may help by correcting patient cells before reinfusion.</w:t>
      </w:r>
    </w:p>
    <w:p w:rsidR="00000000" w:rsidDel="00000000" w:rsidP="00000000" w:rsidRDefault="00000000" w:rsidRPr="00000000" w14:paraId="0000008B">
      <w:pPr>
        <w:spacing w:after="0" w:line="480" w:lineRule="auto"/>
        <w:rPr>
          <w:rFonts w:ascii="Arial" w:cs="Arial" w:eastAsia="Arial" w:hAnsi="Arial"/>
        </w:rPr>
      </w:pPr>
      <w:r w:rsidDel="00000000" w:rsidR="00000000" w:rsidRPr="00000000">
        <w:rPr>
          <w:rFonts w:ascii="Arial" w:cs="Arial" w:eastAsia="Arial" w:hAnsi="Arial"/>
          <w:rtl w:val="0"/>
        </w:rPr>
        <w:t xml:space="preserve">From a global perspective, interest in stem-cell therapies is high. Regulatory agencies (FDA, EMA) have approved only a handful of stem-cell products so far (e.g. Holoclar for eye damage, multiStem for graft-versus-host disease). Unregulated “stem cell clinics” exist in many countries offering experimental treatments (often controversially). International guidelines are evolving to ensure safety and scientific rigor.</w:t>
      </w:r>
    </w:p>
    <w:p w:rsidR="00000000" w:rsidDel="00000000" w:rsidP="00000000" w:rsidRDefault="00000000" w:rsidRPr="00000000" w14:paraId="0000008C">
      <w:pPr>
        <w:spacing w:after="0" w:line="480" w:lineRule="auto"/>
        <w:rPr>
          <w:rFonts w:ascii="Arial" w:cs="Arial" w:eastAsia="Arial" w:hAnsi="Arial"/>
        </w:rPr>
      </w:pPr>
      <w:r w:rsidDel="00000000" w:rsidR="00000000" w:rsidRPr="00000000">
        <w:rPr>
          <w:rFonts w:ascii="Arial" w:cs="Arial" w:eastAsia="Arial" w:hAnsi="Arial"/>
          <w:rtl w:val="0"/>
        </w:rPr>
        <w:t xml:space="preserve">Overall, stem cell therapy stands as a revolutionary frontier in medicine. It promises cures for conditions once thought irreversible. The decade’s advances from iPSC technology to early clinical successes – suggest we are on a trajectory where grafts of lab-grown tissues and organ repair become part of clinical reality. Continued research and careful regulation will determine how broadly these therapies can alleviate disease in the coming years. </w:t>
      </w:r>
    </w:p>
    <w:p w:rsidR="00000000" w:rsidDel="00000000" w:rsidP="00000000" w:rsidRDefault="00000000" w:rsidRPr="00000000" w14:paraId="0000008D">
      <w:pPr>
        <w:pStyle w:val="Heading1"/>
        <w:spacing w:line="480" w:lineRule="auto"/>
        <w:jc w:val="center"/>
        <w:rPr>
          <w:rFonts w:ascii="Arial" w:cs="Arial" w:eastAsia="Arial" w:hAnsi="Arial"/>
          <w:color w:val="000000"/>
          <w:sz w:val="22"/>
          <w:szCs w:val="22"/>
        </w:rPr>
      </w:pPr>
      <w:bookmarkStart w:colFirst="0" w:colLast="0" w:name="_heading=h.xye2e2j005qj" w:id="14"/>
      <w:bookmarkEnd w:id="14"/>
      <w:r w:rsidDel="00000000" w:rsidR="00000000" w:rsidRPr="00000000">
        <w:rPr>
          <w:rFonts w:ascii="Arial" w:cs="Arial" w:eastAsia="Arial" w:hAnsi="Arial"/>
          <w:color w:val="000000"/>
          <w:sz w:val="22"/>
          <w:szCs w:val="22"/>
          <w:rtl w:val="0"/>
        </w:rPr>
        <w:t xml:space="preserve">12. Mental Health Innovations (Digital and Psychopharmacology)</w:t>
      </w:r>
    </w:p>
    <w:p w:rsidR="00000000" w:rsidDel="00000000" w:rsidP="00000000" w:rsidRDefault="00000000" w:rsidRPr="00000000" w14:paraId="0000008E">
      <w:pPr>
        <w:spacing w:after="0" w:line="480" w:lineRule="auto"/>
        <w:rPr>
          <w:rFonts w:ascii="Arial" w:cs="Arial" w:eastAsia="Arial" w:hAnsi="Arial"/>
        </w:rPr>
      </w:pPr>
      <w:r w:rsidDel="00000000" w:rsidR="00000000" w:rsidRPr="00000000">
        <w:rPr>
          <w:rFonts w:ascii="Arial" w:cs="Arial" w:eastAsia="Arial" w:hAnsi="Arial"/>
          <w:rtl w:val="0"/>
        </w:rPr>
        <w:t xml:space="preserve">Mental health treatment has seen several notable advancements in the last ten years, addressing a global burden of disease that was previously underserved. Key innovations include digital therapeutics, telepsychiatry, and novel pharmacotherapies, as well as renewed research into psychedelic-assisted therapy.</w:t>
      </w:r>
    </w:p>
    <w:p w:rsidR="00000000" w:rsidDel="00000000" w:rsidP="00000000" w:rsidRDefault="00000000" w:rsidRPr="00000000" w14:paraId="0000008F">
      <w:pPr>
        <w:spacing w:after="0" w:line="480" w:lineRule="auto"/>
        <w:rPr>
          <w:rFonts w:ascii="Arial" w:cs="Arial" w:eastAsia="Arial" w:hAnsi="Arial"/>
        </w:rPr>
      </w:pPr>
      <w:r w:rsidDel="00000000" w:rsidR="00000000" w:rsidRPr="00000000">
        <w:rPr>
          <w:rFonts w:ascii="Arial" w:cs="Arial" w:eastAsia="Arial" w:hAnsi="Arial"/>
          <w:rtl w:val="0"/>
        </w:rPr>
        <w:t xml:space="preserve">Digital mental health tools have proliferated. Mobile apps offering cognitive behavioral therapy (CBT) exercises, meditation guidance, or AI chatbots (e.g. Woebot, Wysa) are increasingly used for anxiety and depression. Randomized studies have shown these tools can measurably reduce symptoms: for instance, a trial found that the Woebot chatbot led to a significant decrease in depressive symptoms among college students. Another study on Wysa showed user engagement led to mood improvements. These apps expand access to therapy-like support, especially where mental health professionals are scarce. VR (virtual reality) therapies are also used for phobias and PTSD: patients with fear of flying or PTSD have benefited from VR exposure therapy that simulates stressors in controlled settings. In some hospitals, VR programs reduce pain and anxiety during burn treatment.</w:t>
      </w:r>
    </w:p>
    <w:p w:rsidR="00000000" w:rsidDel="00000000" w:rsidP="00000000" w:rsidRDefault="00000000" w:rsidRPr="00000000" w14:paraId="00000090">
      <w:pPr>
        <w:spacing w:after="0" w:line="480" w:lineRule="auto"/>
        <w:rPr>
          <w:rFonts w:ascii="Arial" w:cs="Arial" w:eastAsia="Arial" w:hAnsi="Arial"/>
        </w:rPr>
      </w:pPr>
      <w:r w:rsidDel="00000000" w:rsidR="00000000" w:rsidRPr="00000000">
        <w:rPr>
          <w:rFonts w:ascii="Arial" w:cs="Arial" w:eastAsia="Arial" w:hAnsi="Arial"/>
          <w:b w:val="1"/>
          <w:rtl w:val="0"/>
        </w:rPr>
        <w:t xml:space="preserve">Telepsychiatry (video-based counseling)</w:t>
      </w:r>
      <w:r w:rsidDel="00000000" w:rsidR="00000000" w:rsidRPr="00000000">
        <w:rPr>
          <w:rFonts w:ascii="Arial" w:cs="Arial" w:eastAsia="Arial" w:hAnsi="Arial"/>
          <w:rtl w:val="0"/>
        </w:rPr>
        <w:t xml:space="preserve"> has grown dramatically, similar to general telemedicine, allowing patients remote access to psychiatrists and counselors. During COVID-19, many mental health services switched to telehealth, and this shift has endured due to patient preference and convenience.</w:t>
      </w:r>
    </w:p>
    <w:p w:rsidR="00000000" w:rsidDel="00000000" w:rsidP="00000000" w:rsidRDefault="00000000" w:rsidRPr="00000000" w14:paraId="00000091">
      <w:pPr>
        <w:spacing w:after="0" w:line="480" w:lineRule="auto"/>
        <w:rPr>
          <w:rFonts w:ascii="Arial" w:cs="Arial" w:eastAsia="Arial" w:hAnsi="Arial"/>
        </w:rPr>
      </w:pPr>
      <w:r w:rsidDel="00000000" w:rsidR="00000000" w:rsidRPr="00000000">
        <w:rPr>
          <w:rFonts w:ascii="Arial" w:cs="Arial" w:eastAsia="Arial" w:hAnsi="Arial"/>
          <w:rtl w:val="0"/>
        </w:rPr>
        <w:t xml:space="preserve">On the pharmacological front, new drug classes have emerged. In 2019, the FDA approved esketamine nasal spray (Spravato) for treatment-resistant depression. This novel glutamate receptor modulator requires administration under supervision due to side effects, but represents a new mechanism of action for depression after decades of serotonergic drugs. Other NMDA antagonist drugs (like intravenous ketamine) are increasingly used off-label in clinics for rapid relief of severe depression.  In 2023, the FDA approved the first combination psychostimulant for ADHD targeting norepinephrine and dopamine, and other drugs like brexanolone (for postpartum depression) have broadened treatment options.</w:t>
      </w:r>
    </w:p>
    <w:p w:rsidR="00000000" w:rsidDel="00000000" w:rsidP="00000000" w:rsidRDefault="00000000" w:rsidRPr="00000000" w14:paraId="00000092">
      <w:pPr>
        <w:spacing w:after="0" w:line="480" w:lineRule="auto"/>
        <w:rPr>
          <w:rFonts w:ascii="Arial" w:cs="Arial" w:eastAsia="Arial" w:hAnsi="Arial"/>
        </w:rPr>
      </w:pPr>
      <w:r w:rsidDel="00000000" w:rsidR="00000000" w:rsidRPr="00000000">
        <w:rPr>
          <w:rFonts w:ascii="Arial" w:cs="Arial" w:eastAsia="Arial" w:hAnsi="Arial"/>
          <w:rtl w:val="0"/>
        </w:rPr>
        <w:t xml:space="preserve">Perhaps the most publicized recent advance is in psychedelic-assisted psychotherapy. Trials combining controlled doses of hallucinogenic drugs (e.g. psilocybin, MDMA) with talk therapy are showing remarkable efficacy for conditions like PTSD and major depression.  In September 2023, a pivotal Phase 3 trial reported that MDMA-assisted therapy enabled 71% of severe PTSD patients to no longer meet PTSD criteria, compared to 47% on placebo+therapy. This suggests MDMA could become the first psychedelic approved for PTSD. Psilocybin has similarly shown deep remission in treatment-resistant depression in smaller trials. These studies have been multinational (e.g. VA clinics in the US, European centers) reflecting global interest. If approved, psychedelic therapies will require new clinical infrastructure (specialized clinics) due to dosing protocols, but they herald a new paradigm in psychiatry: using pharmacology to facilitate psychotherapy breakthroughs.</w:t>
      </w:r>
    </w:p>
    <w:p w:rsidR="00000000" w:rsidDel="00000000" w:rsidP="00000000" w:rsidRDefault="00000000" w:rsidRPr="00000000" w14:paraId="00000093">
      <w:pPr>
        <w:spacing w:after="0" w:line="480" w:lineRule="auto"/>
        <w:rPr>
          <w:rFonts w:ascii="Arial" w:cs="Arial" w:eastAsia="Arial" w:hAnsi="Arial"/>
        </w:rPr>
      </w:pPr>
      <w:r w:rsidDel="00000000" w:rsidR="00000000" w:rsidRPr="00000000">
        <w:rPr>
          <w:rFonts w:ascii="Arial" w:cs="Arial" w:eastAsia="Arial" w:hAnsi="Arial"/>
          <w:rtl w:val="0"/>
        </w:rPr>
        <w:t xml:space="preserve">Lastly, non-pharmacological advances include expanded insurance coverage for therapy in several countries, increased awareness of mental health, and integration of mental health into primary care. The growing mental health "digital ecosystem" (apps, wearables tracking stress, AI chatbots) represents a shift toward continuous monitoring and intervention outside traditional clinics.</w:t>
      </w:r>
    </w:p>
    <w:p w:rsidR="00000000" w:rsidDel="00000000" w:rsidP="00000000" w:rsidRDefault="00000000" w:rsidRPr="00000000" w14:paraId="00000094">
      <w:pPr>
        <w:spacing w:after="0" w:line="480" w:lineRule="auto"/>
        <w:rPr>
          <w:rFonts w:ascii="Arial" w:cs="Arial" w:eastAsia="Arial" w:hAnsi="Arial"/>
        </w:rPr>
      </w:pPr>
      <w:r w:rsidDel="00000000" w:rsidR="00000000" w:rsidRPr="00000000">
        <w:rPr>
          <w:rFonts w:ascii="Arial" w:cs="Arial" w:eastAsia="Arial" w:hAnsi="Arial"/>
          <w:rtl w:val="0"/>
        </w:rPr>
        <w:t xml:space="preserve">In sum, mental healthcare has advanced beyond medications and talk therapy alone. Digital platforms, telehealth, and emerging therapies (both pharmacologic and psychedelic) are expanding the global toolkit for mental wellness. These innovations are helping to reduce barriers and personalize care for an issue that affects hundreds of millions worldwide.</w:t>
      </w:r>
    </w:p>
    <w:p w:rsidR="00000000" w:rsidDel="00000000" w:rsidP="00000000" w:rsidRDefault="00000000" w:rsidRPr="00000000" w14:paraId="00000095">
      <w:pPr>
        <w:pStyle w:val="Heading1"/>
        <w:spacing w:line="480" w:lineRule="auto"/>
        <w:jc w:val="center"/>
        <w:rPr>
          <w:rFonts w:ascii="Arial" w:cs="Arial" w:eastAsia="Arial" w:hAnsi="Arial"/>
          <w:color w:val="000000"/>
          <w:sz w:val="22"/>
          <w:szCs w:val="22"/>
        </w:rPr>
      </w:pPr>
      <w:bookmarkStart w:colFirst="0" w:colLast="0" w:name="_heading=h.c8e52ur88wg8" w:id="15"/>
      <w:bookmarkEnd w:id="15"/>
      <w:r w:rsidDel="00000000" w:rsidR="00000000" w:rsidRPr="00000000">
        <w:rPr>
          <w:rFonts w:ascii="Arial" w:cs="Arial" w:eastAsia="Arial" w:hAnsi="Arial"/>
          <w:color w:val="000000"/>
          <w:sz w:val="22"/>
          <w:szCs w:val="22"/>
          <w:rtl w:val="0"/>
        </w:rPr>
        <w:t xml:space="preserve">13. Nanotechnology in Medicine (Drug Delivery and Diagnostics) </w:t>
      </w:r>
    </w:p>
    <w:p w:rsidR="00000000" w:rsidDel="00000000" w:rsidP="00000000" w:rsidRDefault="00000000" w:rsidRPr="00000000" w14:paraId="00000096">
      <w:pPr>
        <w:spacing w:after="0" w:line="480" w:lineRule="auto"/>
        <w:rPr>
          <w:rFonts w:ascii="Arial" w:cs="Arial" w:eastAsia="Arial" w:hAnsi="Arial"/>
        </w:rPr>
      </w:pPr>
      <w:r w:rsidDel="00000000" w:rsidR="00000000" w:rsidRPr="00000000">
        <w:rPr>
          <w:rFonts w:ascii="Arial" w:cs="Arial" w:eastAsia="Arial" w:hAnsi="Arial"/>
          <w:b w:val="1"/>
          <w:rtl w:val="0"/>
        </w:rPr>
        <w:t xml:space="preserve">Nanotechnology</w:t>
      </w:r>
      <w:r w:rsidDel="00000000" w:rsidR="00000000" w:rsidRPr="00000000">
        <w:rPr>
          <w:rFonts w:ascii="Arial" w:cs="Arial" w:eastAsia="Arial" w:hAnsi="Arial"/>
          <w:rtl w:val="0"/>
        </w:rPr>
        <w:t xml:space="preserve"> engineering materials at the nanoscale has translated into significant healthcare advancements. In medicine, one of the most tangible impacts is on drug delivery and diagnostics. Nanocarriers, such as lipid nanoparticles (LNPs), polymers, and functionalized nanoparticles, allow drugs to be delivered to specific cells or tissues with high efficiency. A 2023 review highlights that LNPs have become “one of the most cutting-edge methods for the effective in vivo administration of exogenous mRNA vaccines”. Indeed, beyond vaccines, LNPs and other nano-formulations are used to deliver chemotherapy directly to tumors (reducing systemic toxicity) and to transport RNA therapeutics. For example, the liver-targeted siRNA drug Onpattro (patisiran) uses LNPs to silence a disease-causing gene.</w:t>
      </w:r>
    </w:p>
    <w:p w:rsidR="00000000" w:rsidDel="00000000" w:rsidP="00000000" w:rsidRDefault="00000000" w:rsidRPr="00000000" w14:paraId="00000097">
      <w:pPr>
        <w:spacing w:after="0" w:line="480" w:lineRule="auto"/>
        <w:rPr>
          <w:rFonts w:ascii="Arial" w:cs="Arial" w:eastAsia="Arial" w:hAnsi="Arial"/>
        </w:rPr>
      </w:pPr>
      <w:r w:rsidDel="00000000" w:rsidR="00000000" w:rsidRPr="00000000">
        <w:rPr>
          <w:rFonts w:ascii="Arial" w:cs="Arial" w:eastAsia="Arial" w:hAnsi="Arial"/>
          <w:rtl w:val="0"/>
        </w:rPr>
        <w:t xml:space="preserve">Nanoparticles are also used to cross biological barriers: brain delivery of drugs (e.g. via nanoparticle carriers) is an area of intense research, aiming to treat neurological diseases more effectively. In cancer therapy, so-called nanomedicines (like Abraxane: albumin-bound paclitaxel) have been approved, leveraging nano-formulations to improve pharmacokinetics.</w:t>
      </w:r>
    </w:p>
    <w:p w:rsidR="00000000" w:rsidDel="00000000" w:rsidP="00000000" w:rsidRDefault="00000000" w:rsidRPr="00000000" w14:paraId="00000098">
      <w:pPr>
        <w:spacing w:after="0" w:line="480" w:lineRule="auto"/>
        <w:rPr>
          <w:rFonts w:ascii="Arial" w:cs="Arial" w:eastAsia="Arial" w:hAnsi="Arial"/>
        </w:rPr>
      </w:pPr>
      <w:r w:rsidDel="00000000" w:rsidR="00000000" w:rsidRPr="00000000">
        <w:rPr>
          <w:rFonts w:ascii="Arial" w:cs="Arial" w:eastAsia="Arial" w:hAnsi="Arial"/>
          <w:rtl w:val="0"/>
        </w:rPr>
        <w:t xml:space="preserve">On the diagnostic front, nanosensors enable more sensitive assays. Gold nanoparticles are used in rapid tests (such as certain COVID antigen tests) for colorimetric detection of proteins. Magnetic nanoparticles improve MRI contrast, allowing detection of minute pathological changes. Emerging techniques use quantum dots or nanoscale fluorescent probes to label cancer cells in vivo with high specificity. Also, microRNA and exosome detection uses nanotech-enabled devices for early disease biomarkers.</w:t>
      </w:r>
    </w:p>
    <w:p w:rsidR="00000000" w:rsidDel="00000000" w:rsidP="00000000" w:rsidRDefault="00000000" w:rsidRPr="00000000" w14:paraId="00000099">
      <w:pPr>
        <w:spacing w:after="0" w:line="480" w:lineRule="auto"/>
        <w:rPr>
          <w:rFonts w:ascii="Arial" w:cs="Arial" w:eastAsia="Arial" w:hAnsi="Arial"/>
        </w:rPr>
      </w:pPr>
      <w:r w:rsidDel="00000000" w:rsidR="00000000" w:rsidRPr="00000000">
        <w:rPr>
          <w:rFonts w:ascii="Arial" w:cs="Arial" w:eastAsia="Arial" w:hAnsi="Arial"/>
          <w:rtl w:val="0"/>
        </w:rPr>
        <w:t xml:space="preserve">Globally, pharmaceutical and biotech companies have launched many nanoparticle-based therapeutics in trials  dozens targeting cancer, rare diseases, and even gene editing (e.g., delivering CRISPR components). The modularity of nanotechnology platforms means they can be adapted for local disease burdens; for instance, an LNP built for mRNA vaccines against Zika or Rabies could be deployed in outbreak regions. </w:t>
      </w:r>
    </w:p>
    <w:p w:rsidR="00000000" w:rsidDel="00000000" w:rsidP="00000000" w:rsidRDefault="00000000" w:rsidRPr="00000000" w14:paraId="0000009A">
      <w:pPr>
        <w:spacing w:after="0" w:line="480" w:lineRule="auto"/>
        <w:rPr>
          <w:rFonts w:ascii="Arial" w:cs="Arial" w:eastAsia="Arial" w:hAnsi="Arial"/>
        </w:rPr>
      </w:pPr>
      <w:r w:rsidDel="00000000" w:rsidR="00000000" w:rsidRPr="00000000">
        <w:rPr>
          <w:rFonts w:ascii="Arial" w:cs="Arial" w:eastAsia="Arial" w:hAnsi="Arial"/>
          <w:rtl w:val="0"/>
        </w:rPr>
        <w:t xml:space="preserve">However, nanomedicine faces regulatory challenges: nanoparticle interactions in the body can be complex, raising unique toxicity concerns. International regulatory bodies (FDA, EMA, PMDA, and so on) have issued guidance for nanomaterials. Manufacturing scalability is also critical; companies are building specialized facilities for consistent nanoparticle production.</w:t>
      </w:r>
    </w:p>
    <w:p w:rsidR="00000000" w:rsidDel="00000000" w:rsidP="00000000" w:rsidRDefault="00000000" w:rsidRPr="00000000" w14:paraId="0000009B">
      <w:pPr>
        <w:spacing w:after="0" w:line="480" w:lineRule="auto"/>
        <w:rPr>
          <w:rFonts w:ascii="Arial" w:cs="Arial" w:eastAsia="Arial" w:hAnsi="Arial"/>
        </w:rPr>
      </w:pPr>
      <w:r w:rsidDel="00000000" w:rsidR="00000000" w:rsidRPr="00000000">
        <w:rPr>
          <w:rFonts w:ascii="Arial" w:cs="Arial" w:eastAsia="Arial" w:hAnsi="Arial"/>
          <w:rtl w:val="0"/>
        </w:rPr>
        <w:t xml:space="preserve">In summary, nanotechnology has become a major force in recent medical advances by revolutionizing how drugs and imaging agents are delivered to the human body. It underpins the mRNA vaccine success and continues to spawn new targeted therapies worldwide. As nanotech continues to evolve, it promises even more precise and personalized interventions, marking it a key global advancement in healthcare. </w:t>
      </w:r>
    </w:p>
    <w:p w:rsidR="00000000" w:rsidDel="00000000" w:rsidP="00000000" w:rsidRDefault="00000000" w:rsidRPr="00000000" w14:paraId="0000009C">
      <w:pPr>
        <w:pStyle w:val="Heading1"/>
        <w:spacing w:line="480" w:lineRule="auto"/>
        <w:jc w:val="center"/>
        <w:rPr>
          <w:rFonts w:ascii="Arial" w:cs="Arial" w:eastAsia="Arial" w:hAnsi="Arial"/>
          <w:color w:val="000000"/>
          <w:sz w:val="22"/>
          <w:szCs w:val="22"/>
        </w:rPr>
      </w:pPr>
      <w:bookmarkStart w:colFirst="0" w:colLast="0" w:name="_heading=h.u3ck3vsgvdau" w:id="16"/>
      <w:bookmarkEnd w:id="16"/>
      <w:r w:rsidDel="00000000" w:rsidR="00000000" w:rsidRPr="00000000">
        <w:rPr>
          <w:rFonts w:ascii="Arial" w:cs="Arial" w:eastAsia="Arial" w:hAnsi="Arial"/>
          <w:color w:val="000000"/>
          <w:sz w:val="22"/>
          <w:szCs w:val="22"/>
          <w:rtl w:val="0"/>
        </w:rPr>
        <w:t xml:space="preserve">14. Medical Imaging Innovations (Transparent Skin and Beyond)</w:t>
      </w:r>
    </w:p>
    <w:p w:rsidR="00000000" w:rsidDel="00000000" w:rsidP="00000000" w:rsidRDefault="00000000" w:rsidRPr="00000000" w14:paraId="0000009D">
      <w:pPr>
        <w:spacing w:after="0" w:line="480" w:lineRule="auto"/>
        <w:rPr>
          <w:rFonts w:ascii="Arial" w:cs="Arial" w:eastAsia="Arial" w:hAnsi="Arial"/>
        </w:rPr>
      </w:pPr>
      <w:r w:rsidDel="00000000" w:rsidR="00000000" w:rsidRPr="00000000">
        <w:rPr>
          <w:rFonts w:ascii="Arial" w:cs="Arial" w:eastAsia="Arial" w:hAnsi="Arial"/>
          <w:rtl w:val="0"/>
        </w:rPr>
        <w:t xml:space="preserve">Medical imaging has seen creative innovations aimed at making internal body structures clearer, cheaper, or safer to visualize. A striking example reported in 2024 demonstrated that applying an FDA-approved food dye (tartrazine) onto skin could temporarily render the skin transparent to visible light. In a mouse model, researchers massaged a tartrazine solution into the animal’s skin, which absorbed blue light and matched refractive indices, causing the skin to appear translucent at red wavelengths. Remarkably, scientists could then see the mouse’s internal organs, blood flow in the brain, and muscle fibers directly through the (still intact) skin. This optical clearing effect was fully reversible by washing off the dye. While still in early stages, the approach suggests a non-invasive method to visualize subdermal tissues in real time. Potential applications might include aiding surgery or wound assessment without X-rays.</w:t>
      </w:r>
    </w:p>
    <w:p w:rsidR="00000000" w:rsidDel="00000000" w:rsidP="00000000" w:rsidRDefault="00000000" w:rsidRPr="00000000" w14:paraId="0000009E">
      <w:pPr>
        <w:spacing w:after="0" w:line="480" w:lineRule="auto"/>
        <w:rPr>
          <w:rFonts w:ascii="Arial" w:cs="Arial" w:eastAsia="Arial" w:hAnsi="Arial"/>
        </w:rPr>
      </w:pPr>
      <w:r w:rsidDel="00000000" w:rsidR="00000000" w:rsidRPr="00000000">
        <w:rPr>
          <w:rFonts w:ascii="Arial" w:cs="Arial" w:eastAsia="Arial" w:hAnsi="Arial"/>
          <w:rtl w:val="0"/>
        </w:rPr>
        <w:t xml:space="preserve">Beyond this novel technique, imaging has advanced in other ways. Computational imaging uses AI to reconstruct higher-resolution images from lower-quality scans, enabling lower radiation doses in CT or faster MRI sequences. Molecular imaging is improving: new PET tracers and fluorescent probes target cancer cells or infection with high specificity, which can be used worldwide for early diagnosis and therapy monitoring. Optical imaging in dermatology (like reflectance confocal microscopy) has made skin cancer diagnosis more accurate in-office. Portable ultrasound devices, sometimes attached to smartphones, are becoming ubiquitous for point-of-care scans in rural clinics and battlefield medicine.</w:t>
      </w:r>
    </w:p>
    <w:p w:rsidR="00000000" w:rsidDel="00000000" w:rsidP="00000000" w:rsidRDefault="00000000" w:rsidRPr="00000000" w14:paraId="0000009F">
      <w:pPr>
        <w:spacing w:after="0" w:line="480" w:lineRule="auto"/>
        <w:rPr>
          <w:rFonts w:ascii="Arial" w:cs="Arial" w:eastAsia="Arial" w:hAnsi="Arial"/>
        </w:rPr>
      </w:pPr>
      <w:r w:rsidDel="00000000" w:rsidR="00000000" w:rsidRPr="00000000">
        <w:rPr>
          <w:rFonts w:ascii="Arial" w:cs="Arial" w:eastAsia="Arial" w:hAnsi="Arial"/>
          <w:rtl w:val="0"/>
        </w:rPr>
        <w:t xml:space="preserve">Hybrid imaging modalities (like PET/MRI) and high-field MRI (7T scanners) are pushing resolution limits. In the realm of microscopy, super-resolution techniques (STED, SIM) have revealed subcellular details previously unseen, aiding research. Optical coherence tomography (OCT) in ophthalmology has become routine for retinal diseases, revolutionizing eye care in many countries.</w:t>
      </w:r>
    </w:p>
    <w:p w:rsidR="00000000" w:rsidDel="00000000" w:rsidP="00000000" w:rsidRDefault="00000000" w:rsidRPr="00000000" w14:paraId="000000A0">
      <w:pPr>
        <w:spacing w:after="0" w:line="480" w:lineRule="auto"/>
        <w:rPr>
          <w:rFonts w:ascii="Arial" w:cs="Arial" w:eastAsia="Arial" w:hAnsi="Arial"/>
        </w:rPr>
      </w:pPr>
      <w:r w:rsidDel="00000000" w:rsidR="00000000" w:rsidRPr="00000000">
        <w:rPr>
          <w:rFonts w:ascii="Arial" w:cs="Arial" w:eastAsia="Arial" w:hAnsi="Arial"/>
          <w:rtl w:val="0"/>
        </w:rPr>
        <w:t xml:space="preserve">On a system level, imaging AI interprets studies at scale, but also new hardware like wearable ultrasound (miniaturized) and even implanted imaging capsules (ingestible endoscopy capsules with cameras) are emerging.</w:t>
      </w:r>
    </w:p>
    <w:p w:rsidR="00000000" w:rsidDel="00000000" w:rsidP="00000000" w:rsidRDefault="00000000" w:rsidRPr="00000000" w14:paraId="000000A1">
      <w:pPr>
        <w:spacing w:after="0" w:line="480" w:lineRule="auto"/>
        <w:rPr>
          <w:rFonts w:ascii="Arial" w:cs="Arial" w:eastAsia="Arial" w:hAnsi="Arial"/>
        </w:rPr>
      </w:pPr>
      <w:r w:rsidDel="00000000" w:rsidR="00000000" w:rsidRPr="00000000">
        <w:rPr>
          <w:rFonts w:ascii="Arial" w:cs="Arial" w:eastAsia="Arial" w:hAnsi="Arial"/>
          <w:rtl w:val="0"/>
        </w:rPr>
        <w:t xml:space="preserve">In summary, imaging innovation remains a vibrant field. The tartrazine skin-clearing method exemplifies how creative use of physics can open new possibilities. Meanwhile, advances in hardware, contrast agents, and image processing are improving the speed, accessibility, and safety of diagnostics worldwide. Together, these imaging breakthroughs enhance our vision into the body and hold promise for even more precise medical interventions.</w:t>
      </w:r>
    </w:p>
    <w:p w:rsidR="00000000" w:rsidDel="00000000" w:rsidP="00000000" w:rsidRDefault="00000000" w:rsidRPr="00000000" w14:paraId="000000A2">
      <w:pPr>
        <w:pStyle w:val="Heading1"/>
        <w:spacing w:line="480" w:lineRule="auto"/>
        <w:jc w:val="center"/>
        <w:rPr>
          <w:rFonts w:ascii="Arial" w:cs="Arial" w:eastAsia="Arial" w:hAnsi="Arial"/>
          <w:color w:val="000000"/>
          <w:sz w:val="22"/>
          <w:szCs w:val="22"/>
        </w:rPr>
      </w:pPr>
      <w:bookmarkStart w:colFirst="0" w:colLast="0" w:name="_heading=h.e60nudbdptiq" w:id="17"/>
      <w:bookmarkEnd w:id="17"/>
      <w:r w:rsidDel="00000000" w:rsidR="00000000" w:rsidRPr="00000000">
        <w:rPr>
          <w:rFonts w:ascii="Arial" w:cs="Arial" w:eastAsia="Arial" w:hAnsi="Arial"/>
          <w:color w:val="000000"/>
          <w:sz w:val="22"/>
          <w:szCs w:val="22"/>
          <w:rtl w:val="0"/>
        </w:rPr>
        <w:t xml:space="preserve">15. Next-Generation Vaccines (Beyond mRNA)</w:t>
      </w:r>
    </w:p>
    <w:p w:rsidR="00000000" w:rsidDel="00000000" w:rsidP="00000000" w:rsidRDefault="00000000" w:rsidRPr="00000000" w14:paraId="000000A3">
      <w:pPr>
        <w:spacing w:after="0" w:line="480" w:lineRule="auto"/>
        <w:rPr>
          <w:rFonts w:ascii="Arial" w:cs="Arial" w:eastAsia="Arial" w:hAnsi="Arial"/>
        </w:rPr>
      </w:pPr>
      <w:r w:rsidDel="00000000" w:rsidR="00000000" w:rsidRPr="00000000">
        <w:rPr>
          <w:rFonts w:ascii="Arial" w:cs="Arial" w:eastAsia="Arial" w:hAnsi="Arial"/>
          <w:rtl w:val="0"/>
        </w:rPr>
        <w:t xml:space="preserve">While COVID-19 mRNA vaccines dominated headlines, other vaccine technologies have also advanced significantly. Notable among these is the development of vaccines against malaria, tuberculosis, and other challenging pathogens. In 2021, the World Health Organization (WHO) recommended the first malaria vaccine, RTS,S (Mosquirix), for children in high-transmission areas. This vaccine (using viral-protein and adjuvant) provided modest (~30%) protection, marking a historic step against a disease that killed ~600,000 people annually. Building on that, 2023 saw the rollout of an even more effective malaria vaccine, R21/Matrix-M (developed at Oxford), which has shown ~77% efficacy in trials. Ghana became the first country to approve R21 in 2023, and WHO was evaluating it for broader use. These represent leaps in vaccine technology: achieving high efficacy against a complex parasite. Manufacturing collaborations (e.g. Serum Institute of India for R21) aim to produce hundreds of millions of doses to meet demand in endemic regions. </w:t>
      </w:r>
    </w:p>
    <w:p w:rsidR="00000000" w:rsidDel="00000000" w:rsidP="00000000" w:rsidRDefault="00000000" w:rsidRPr="00000000" w14:paraId="000000A4">
      <w:pPr>
        <w:spacing w:after="0" w:line="480" w:lineRule="auto"/>
        <w:rPr>
          <w:rFonts w:ascii="Arial" w:cs="Arial" w:eastAsia="Arial" w:hAnsi="Arial"/>
        </w:rPr>
      </w:pPr>
      <w:r w:rsidDel="00000000" w:rsidR="00000000" w:rsidRPr="00000000">
        <w:rPr>
          <w:rFonts w:ascii="Arial" w:cs="Arial" w:eastAsia="Arial" w:hAnsi="Arial"/>
          <w:rtl w:val="0"/>
        </w:rPr>
        <w:t xml:space="preserve">Tuberculosis (TB) vaccine research also progressed. The first new TB vaccine in over a century, M72/AS01E (a subunit vaccine), showed about 50% protection in a Phase IIb trial; further trials are ongoing. If successful, this could significantly reduce TB, the leading infectious killer after COVID-19.</w:t>
      </w:r>
    </w:p>
    <w:p w:rsidR="00000000" w:rsidDel="00000000" w:rsidP="00000000" w:rsidRDefault="00000000" w:rsidRPr="00000000" w14:paraId="000000A5">
      <w:pPr>
        <w:spacing w:after="0" w:line="480" w:lineRule="auto"/>
        <w:rPr>
          <w:rFonts w:ascii="Arial" w:cs="Arial" w:eastAsia="Arial" w:hAnsi="Arial"/>
        </w:rPr>
      </w:pPr>
      <w:r w:rsidDel="00000000" w:rsidR="00000000" w:rsidRPr="00000000">
        <w:rPr>
          <w:rFonts w:ascii="Arial" w:cs="Arial" w:eastAsia="Arial" w:hAnsi="Arial"/>
          <w:rtl w:val="0"/>
        </w:rPr>
        <w:t xml:space="preserve">Another frontier is universal or next-generation flu vaccines. Annual influenza vaccines have limited efficacy when the virus mutates. Research is underway on broad-spectrum flu vaccines (targeting conserved viral components) and new platforms (mRNA, DNA, viral vector) that could improve flu protection. In 2023, multiple companies started Phase III trials of universal flu vaccine candidates.</w:t>
      </w:r>
    </w:p>
    <w:p w:rsidR="00000000" w:rsidDel="00000000" w:rsidP="00000000" w:rsidRDefault="00000000" w:rsidRPr="00000000" w14:paraId="000000A6">
      <w:pPr>
        <w:spacing w:after="0" w:line="480" w:lineRule="auto"/>
        <w:rPr>
          <w:rFonts w:ascii="Arial" w:cs="Arial" w:eastAsia="Arial" w:hAnsi="Arial"/>
        </w:rPr>
      </w:pPr>
      <w:r w:rsidDel="00000000" w:rsidR="00000000" w:rsidRPr="00000000">
        <w:rPr>
          <w:rFonts w:ascii="Arial" w:cs="Arial" w:eastAsia="Arial" w:hAnsi="Arial"/>
          <w:rtl w:val="0"/>
        </w:rPr>
        <w:t xml:space="preserve">Moreover, vector-based vaccines have continued development. For instance, viral-vectored Ebola vaccines have been deployed in African outbreaks. Advances in viral vectors (ade0novirus, MVA, VSV) are being applied to new vaccines (e.g. an adenoviral Zika vaccine).</w:t>
      </w:r>
    </w:p>
    <w:p w:rsidR="00000000" w:rsidDel="00000000" w:rsidP="00000000" w:rsidRDefault="00000000" w:rsidRPr="00000000" w14:paraId="000000A7">
      <w:pPr>
        <w:spacing w:after="0" w:line="480" w:lineRule="auto"/>
        <w:rPr>
          <w:rFonts w:ascii="Arial" w:cs="Arial" w:eastAsia="Arial" w:hAnsi="Arial"/>
        </w:rPr>
      </w:pPr>
      <w:r w:rsidDel="00000000" w:rsidR="00000000" w:rsidRPr="00000000">
        <w:rPr>
          <w:rFonts w:ascii="Arial" w:cs="Arial" w:eastAsia="Arial" w:hAnsi="Arial"/>
          <w:rtl w:val="0"/>
        </w:rPr>
        <w:t xml:space="preserve">DNA vaccines  a cousin of mRNA  have seen renewed interest. In India, ZyCoV-D became the first DNA vaccine approved for COVID-19 in 2021. Efforts are extending DNA platforms to other diseases like HIV and chikungunya.</w:t>
      </w:r>
    </w:p>
    <w:p w:rsidR="00000000" w:rsidDel="00000000" w:rsidP="00000000" w:rsidRDefault="00000000" w:rsidRPr="00000000" w14:paraId="000000A8">
      <w:pPr>
        <w:spacing w:after="0" w:line="480" w:lineRule="auto"/>
        <w:rPr>
          <w:rFonts w:ascii="Arial" w:cs="Arial" w:eastAsia="Arial" w:hAnsi="Arial"/>
        </w:rPr>
      </w:pPr>
      <w:r w:rsidDel="00000000" w:rsidR="00000000" w:rsidRPr="00000000">
        <w:rPr>
          <w:rFonts w:ascii="Arial" w:cs="Arial" w:eastAsia="Arial" w:hAnsi="Arial"/>
          <w:rtl w:val="0"/>
        </w:rPr>
        <w:t xml:space="preserve">Immunologically, adjuvant science has improved too. Modern adjuvants (like Matrix-M in R21, AS01 in Shingrix herpes-zoster vaccine) elicit stronger immune responses, broadening vaccine potential. Indeed, new shingles vaccines (Shingrix, 2017) achieved &gt;90% efficacy in older adults worldwide, compared to ~50% for older vaccines.</w:t>
      </w:r>
    </w:p>
    <w:p w:rsidR="00000000" w:rsidDel="00000000" w:rsidP="00000000" w:rsidRDefault="00000000" w:rsidRPr="00000000" w14:paraId="000000A9">
      <w:pPr>
        <w:spacing w:after="0" w:line="480" w:lineRule="auto"/>
        <w:rPr>
          <w:rFonts w:ascii="Arial" w:cs="Arial" w:eastAsia="Arial" w:hAnsi="Arial"/>
        </w:rPr>
      </w:pPr>
      <w:r w:rsidDel="00000000" w:rsidR="00000000" w:rsidRPr="00000000">
        <w:rPr>
          <w:rFonts w:ascii="Arial" w:cs="Arial" w:eastAsia="Arial" w:hAnsi="Arial"/>
          <w:rtl w:val="0"/>
        </w:rPr>
        <w:t xml:space="preserve">In summary, the vaccine landscape is diversifying. Alongside mRNA, other platforms (protein subunit, viral vector, DNA) and novel targets (malaria, TB, improved influenza) are emerging. Global partnerships (GAVI, CEPI) support distribution to low-income countries, aiming for equitable protection against diseases once ignored. These advances demonstrate that the past decade’s vaccine innovation extends well beyond COVID-19 – heralding a future of more effective prevention for many global diseases.</w:t>
      </w:r>
    </w:p>
    <w:p w:rsidR="00000000" w:rsidDel="00000000" w:rsidP="00000000" w:rsidRDefault="00000000" w:rsidRPr="00000000" w14:paraId="000000AA">
      <w:pPr>
        <w:pStyle w:val="Heading1"/>
        <w:spacing w:line="480" w:lineRule="auto"/>
        <w:jc w:val="center"/>
        <w:rPr>
          <w:rFonts w:ascii="Arial" w:cs="Arial" w:eastAsia="Arial" w:hAnsi="Arial"/>
          <w:color w:val="000000"/>
          <w:sz w:val="22"/>
          <w:szCs w:val="22"/>
        </w:rPr>
      </w:pPr>
      <w:bookmarkStart w:colFirst="0" w:colLast="0" w:name="_heading=h.pnrudn6bhcoq" w:id="18"/>
      <w:bookmarkEnd w:id="18"/>
      <w:r w:rsidDel="00000000" w:rsidR="00000000" w:rsidRPr="00000000">
        <w:rPr>
          <w:rFonts w:ascii="Arial" w:cs="Arial" w:eastAsia="Arial" w:hAnsi="Arial"/>
          <w:color w:val="000000"/>
          <w:sz w:val="22"/>
          <w:szCs w:val="22"/>
          <w:rtl w:val="0"/>
        </w:rPr>
        <w:t xml:space="preserve">16. Robotics and Automation in Surgery and Care</w:t>
      </w:r>
    </w:p>
    <w:p w:rsidR="00000000" w:rsidDel="00000000" w:rsidP="00000000" w:rsidRDefault="00000000" w:rsidRPr="00000000" w14:paraId="000000AB">
      <w:pPr>
        <w:spacing w:after="0" w:line="480" w:lineRule="auto"/>
        <w:rPr>
          <w:rFonts w:ascii="Arial" w:cs="Arial" w:eastAsia="Arial" w:hAnsi="Arial"/>
        </w:rPr>
      </w:pPr>
      <w:r w:rsidDel="00000000" w:rsidR="00000000" w:rsidRPr="00000000">
        <w:rPr>
          <w:rFonts w:ascii="Arial" w:cs="Arial" w:eastAsia="Arial" w:hAnsi="Arial"/>
          <w:rtl w:val="0"/>
        </w:rPr>
        <w:t xml:space="preserve">Robotic technology has transformed surgery and is gradually entering other aspects of healthcare. The da Vinci Surgical System, introduced in 2000, remains the dominant platform, enabling surgeons to perform minimally invasive procedures with increased precision.  According to Intuitive Surgical, over 8.5 million surgeries worldwide have been performed with da Vinci robots since 2000. These include prostatectomies, hysterectomies, cardiac bypasses, and complex oncologic resections. The key benefits improved dexterity, 3D visualization, and tremor filtration  have led to reduced complications and faster patient recovery in many cases. As one review notes, robotic assistance has “improved patient outcomes, reduced complications, shorter hospital stays, and enhanced surgical precision”. </w:t>
      </w:r>
    </w:p>
    <w:p w:rsidR="00000000" w:rsidDel="00000000" w:rsidP="00000000" w:rsidRDefault="00000000" w:rsidRPr="00000000" w14:paraId="000000AC">
      <w:pPr>
        <w:spacing w:after="0" w:line="480" w:lineRule="auto"/>
        <w:rPr>
          <w:rFonts w:ascii="Arial" w:cs="Arial" w:eastAsia="Arial" w:hAnsi="Arial"/>
        </w:rPr>
      </w:pPr>
      <w:r w:rsidDel="00000000" w:rsidR="00000000" w:rsidRPr="00000000">
        <w:rPr>
          <w:rFonts w:ascii="Arial" w:cs="Arial" w:eastAsia="Arial" w:hAnsi="Arial"/>
          <w:rtl w:val="0"/>
        </w:rPr>
        <w:t xml:space="preserve">New competitors have emerged globally, expanding options. Systems such as CMR Surgical’s Versius (UK), Medtronic’s Hugo (US), and MicroHand (China) provide alternatives for various specialties. Over the past five years, several countries have developed their own surgical robots to reduce dependence on imports. For example, South Korea and China approved domestically made systems for urologic and gynecologic surgeries. This multi-vendor landscape is expanding surgical robotics into more hospitals worldwide.</w:t>
      </w:r>
    </w:p>
    <w:p w:rsidR="00000000" w:rsidDel="00000000" w:rsidP="00000000" w:rsidRDefault="00000000" w:rsidRPr="00000000" w14:paraId="000000AD">
      <w:pPr>
        <w:spacing w:after="0" w:line="480" w:lineRule="auto"/>
        <w:rPr>
          <w:rFonts w:ascii="Arial" w:cs="Arial" w:eastAsia="Arial" w:hAnsi="Arial"/>
        </w:rPr>
      </w:pPr>
      <w:r w:rsidDel="00000000" w:rsidR="00000000" w:rsidRPr="00000000">
        <w:rPr>
          <w:rFonts w:ascii="Arial" w:cs="Arial" w:eastAsia="Arial" w:hAnsi="Arial"/>
          <w:rtl w:val="0"/>
        </w:rPr>
        <w:t xml:space="preserve">Automation extends beyond the OR. Pharmacy robots for dispensing medications, laboratory automation for high-throughput testing, and supply-chain robotics in hospitals are increasing efficiency. In elder care and rehabilitation, robots are supplementing staffing: humanoid robot assistants in Japan help lift patients and remind them to exercise, while AI-driven exoskeletons are used in stroke rehab centers globally.</w:t>
      </w:r>
    </w:p>
    <w:p w:rsidR="00000000" w:rsidDel="00000000" w:rsidP="00000000" w:rsidRDefault="00000000" w:rsidRPr="00000000" w14:paraId="000000AE">
      <w:pPr>
        <w:spacing w:after="0" w:line="480" w:lineRule="auto"/>
        <w:rPr>
          <w:rFonts w:ascii="Arial" w:cs="Arial" w:eastAsia="Arial" w:hAnsi="Arial"/>
        </w:rPr>
      </w:pPr>
      <w:r w:rsidDel="00000000" w:rsidR="00000000" w:rsidRPr="00000000">
        <w:rPr>
          <w:rFonts w:ascii="Arial" w:cs="Arial" w:eastAsia="Arial" w:hAnsi="Arial"/>
          <w:rtl w:val="0"/>
        </w:rPr>
        <w:t xml:space="preserve">Perhaps most futuristic is the advent of autonomous or semi-autonomous surgical robots. Research prototypes (e.g. Smart Tissue Autonomous Robot, STAR) have performed suturing on animal models without human control. Full autonomy is still experimental, but advances in AI could in future allow a robot to handle routine surgical tasks under supervision. Remote surgery (“tele-robotics”) has also seen trials  surgeons controlling robots from afar, which could one day provide specialist surgery in remote regions lacking experts.</w:t>
      </w:r>
    </w:p>
    <w:p w:rsidR="00000000" w:rsidDel="00000000" w:rsidP="00000000" w:rsidRDefault="00000000" w:rsidRPr="00000000" w14:paraId="000000AF">
      <w:pPr>
        <w:spacing w:after="0" w:line="480" w:lineRule="auto"/>
        <w:rPr>
          <w:rFonts w:ascii="Arial" w:cs="Arial" w:eastAsia="Arial" w:hAnsi="Arial"/>
        </w:rPr>
      </w:pPr>
      <w:r w:rsidDel="00000000" w:rsidR="00000000" w:rsidRPr="00000000">
        <w:rPr>
          <w:rFonts w:ascii="Arial" w:cs="Arial" w:eastAsia="Arial" w:hAnsi="Arial"/>
          <w:rtl w:val="0"/>
        </w:rPr>
        <w:t xml:space="preserve">Challenges in robotic adoption include cost (multi-million-dollar systems) and training. Newer “softer” robots and simulation-based training programs are being developed to lower the learning curve. Ethically, questions about machine errors and responsibility are being addressed by regulatory bodies.</w:t>
      </w:r>
    </w:p>
    <w:p w:rsidR="00000000" w:rsidDel="00000000" w:rsidP="00000000" w:rsidRDefault="00000000" w:rsidRPr="00000000" w14:paraId="000000B0">
      <w:pPr>
        <w:spacing w:after="0" w:line="480" w:lineRule="auto"/>
        <w:rPr>
          <w:rFonts w:ascii="Arial" w:cs="Arial" w:eastAsia="Arial" w:hAnsi="Arial"/>
        </w:rPr>
      </w:pPr>
      <w:r w:rsidDel="00000000" w:rsidR="00000000" w:rsidRPr="00000000">
        <w:rPr>
          <w:rFonts w:ascii="Arial" w:cs="Arial" w:eastAsia="Arial" w:hAnsi="Arial"/>
          <w:rtl w:val="0"/>
        </w:rPr>
        <w:t xml:space="preserve">In summary, robotics has significantly changed surgery in the last decade and is poised to do more in caregiving. The widespread use of the da Vinci system (millions of cases worldwide) attests to its impact. As more versatile and affordable robotic platforms emerge globally, we can expect robotic assistance to become routine in operating rooms and hospitals, enhancing precision medicine and extending care in new ways.</w:t>
      </w:r>
    </w:p>
    <w:p w:rsidR="00000000" w:rsidDel="00000000" w:rsidP="00000000" w:rsidRDefault="00000000" w:rsidRPr="00000000" w14:paraId="000000B1">
      <w:pPr>
        <w:pStyle w:val="Heading1"/>
        <w:spacing w:line="480" w:lineRule="auto"/>
        <w:jc w:val="center"/>
        <w:rPr>
          <w:rFonts w:ascii="Arial" w:cs="Arial" w:eastAsia="Arial" w:hAnsi="Arial"/>
          <w:color w:val="000000"/>
          <w:sz w:val="22"/>
          <w:szCs w:val="22"/>
        </w:rPr>
      </w:pPr>
      <w:bookmarkStart w:colFirst="0" w:colLast="0" w:name="_heading=h.dhplq7n7m95j" w:id="19"/>
      <w:bookmarkEnd w:id="19"/>
      <w:r w:rsidDel="00000000" w:rsidR="00000000" w:rsidRPr="00000000">
        <w:rPr>
          <w:rFonts w:ascii="Arial" w:cs="Arial" w:eastAsia="Arial" w:hAnsi="Arial"/>
          <w:color w:val="000000"/>
          <w:sz w:val="22"/>
          <w:szCs w:val="22"/>
          <w:rtl w:val="0"/>
        </w:rPr>
        <w:t xml:space="preserve">17. Virtual and Augmented Reality in Medicine</w:t>
      </w:r>
    </w:p>
    <w:p w:rsidR="00000000" w:rsidDel="00000000" w:rsidP="00000000" w:rsidRDefault="00000000" w:rsidRPr="00000000" w14:paraId="000000B2">
      <w:pPr>
        <w:spacing w:after="0" w:line="480" w:lineRule="auto"/>
        <w:rPr>
          <w:rFonts w:ascii="Arial" w:cs="Arial" w:eastAsia="Arial" w:hAnsi="Arial"/>
        </w:rPr>
      </w:pPr>
      <w:r w:rsidDel="00000000" w:rsidR="00000000" w:rsidRPr="00000000">
        <w:rPr>
          <w:rFonts w:ascii="Arial" w:cs="Arial" w:eastAsia="Arial" w:hAnsi="Arial"/>
          <w:rtl w:val="0"/>
        </w:rPr>
        <w:t xml:space="preserve">Immersive technologies  virtual reality (VR) and augmented reality (AR) have begun transforming healthcare education, therapy, and even clinical procedures. VR provides a fully simulated environment, whereas AR overlays digital information onto the real world. Both have seen rapid adoption in the past decade.</w:t>
      </w:r>
    </w:p>
    <w:p w:rsidR="00000000" w:rsidDel="00000000" w:rsidP="00000000" w:rsidRDefault="00000000" w:rsidRPr="00000000" w14:paraId="000000B3">
      <w:pPr>
        <w:spacing w:after="0" w:line="480" w:lineRule="auto"/>
        <w:rPr>
          <w:rFonts w:ascii="Arial" w:cs="Arial" w:eastAsia="Arial" w:hAnsi="Arial"/>
        </w:rPr>
      </w:pPr>
      <w:r w:rsidDel="00000000" w:rsidR="00000000" w:rsidRPr="00000000">
        <w:rPr>
          <w:rFonts w:ascii="Arial" w:cs="Arial" w:eastAsia="Arial" w:hAnsi="Arial"/>
          <w:rtl w:val="0"/>
        </w:rPr>
        <w:t xml:space="preserve">In medical training and education, VR simulators allow students and clinicians to practice procedures in realistic virtual environments. For example, VR surgical simulators enable trainees to refine laparoscopic skills without risk to patients. Studies show VR simulation training can improve surgeons’ technique and confidence. In radiology and anatomy, AR headsets (like Microsoft HoloLens) can project 3D models of organs into the learning space, enhancing understanding of complex structures.</w:t>
      </w:r>
    </w:p>
    <w:p w:rsidR="00000000" w:rsidDel="00000000" w:rsidP="00000000" w:rsidRDefault="00000000" w:rsidRPr="00000000" w14:paraId="000000B4">
      <w:pPr>
        <w:spacing w:after="0" w:line="480" w:lineRule="auto"/>
        <w:rPr>
          <w:rFonts w:ascii="Arial" w:cs="Arial" w:eastAsia="Arial" w:hAnsi="Arial"/>
        </w:rPr>
      </w:pPr>
      <w:r w:rsidDel="00000000" w:rsidR="00000000" w:rsidRPr="00000000">
        <w:rPr>
          <w:rFonts w:ascii="Arial" w:cs="Arial" w:eastAsia="Arial" w:hAnsi="Arial"/>
          <w:rtl w:val="0"/>
        </w:rPr>
        <w:t xml:space="preserve">Patient care applications include pain and anxiety management. VR has been used for distraction therapy in burn units, with virtual games lowering perceived pain during wound care. VR-based exposure therapy is well-established for phobias and PTSD, as patients can safely face fear stimuli in a controlled virtual setting. Recent meta-analyses confirm that virtual reality exposure therapy (VRET) can reduce anxiety disorders and phobia symptoms significantly. VR is also explored for rehabilitation: stroke patients using VR games to recover motor function often enjoy higher engagement.</w:t>
      </w:r>
    </w:p>
    <w:p w:rsidR="00000000" w:rsidDel="00000000" w:rsidP="00000000" w:rsidRDefault="00000000" w:rsidRPr="00000000" w14:paraId="000000B5">
      <w:pPr>
        <w:spacing w:after="0" w:line="480" w:lineRule="auto"/>
        <w:rPr>
          <w:rFonts w:ascii="Arial" w:cs="Arial" w:eastAsia="Arial" w:hAnsi="Arial"/>
        </w:rPr>
      </w:pPr>
      <w:r w:rsidDel="00000000" w:rsidR="00000000" w:rsidRPr="00000000">
        <w:rPr>
          <w:rFonts w:ascii="Arial" w:cs="Arial" w:eastAsia="Arial" w:hAnsi="Arial"/>
          <w:rtl w:val="0"/>
        </w:rPr>
        <w:t xml:space="preserve">Augmented reality assists doctors during procedures. AR headsets can project a patient’s scan images onto their body to guide incisions or catheter placement. In neurosurgery, AR systems allow surgeons to “see through” the skull to navigate brain lesions. Orthopedic surgery uses AR to align prosthetic implants precisely. AR can also assist remote collaboration: for instance, a specialist can annotate a live surgical view for a remote surgeon. During COVID-19, healthcare workers used AR (HoloLens) to consult experts while minimizing exposure, indicating its usefulness in crisis situations.</w:t>
      </w:r>
    </w:p>
    <w:p w:rsidR="00000000" w:rsidDel="00000000" w:rsidP="00000000" w:rsidRDefault="00000000" w:rsidRPr="00000000" w14:paraId="000000B6">
      <w:pPr>
        <w:spacing w:after="0" w:line="480" w:lineRule="auto"/>
        <w:rPr>
          <w:rFonts w:ascii="Arial" w:cs="Arial" w:eastAsia="Arial" w:hAnsi="Arial"/>
        </w:rPr>
      </w:pPr>
      <w:r w:rsidDel="00000000" w:rsidR="00000000" w:rsidRPr="00000000">
        <w:rPr>
          <w:rFonts w:ascii="Arial" w:cs="Arial" w:eastAsia="Arial" w:hAnsi="Arial"/>
          <w:rtl w:val="0"/>
        </w:rPr>
        <w:t xml:space="preserve">The technology is still maturing: hardware is becoming lighter and more powerful, and software improved by AI allows better tracking and image recognition. Global startups in AR/VR from the US, Europe, and Asia are partnering with hospitals for pilots. While evidence is still accumulating (and integration into medical protocols is ongoing), the consensus is that these immersive tools “significantly enhance patient experiences and medical training”. </w:t>
      </w:r>
    </w:p>
    <w:p w:rsidR="00000000" w:rsidDel="00000000" w:rsidP="00000000" w:rsidRDefault="00000000" w:rsidRPr="00000000" w14:paraId="000000B7">
      <w:pPr>
        <w:spacing w:after="0" w:line="480" w:lineRule="auto"/>
        <w:rPr>
          <w:rFonts w:ascii="Arial" w:cs="Arial" w:eastAsia="Arial" w:hAnsi="Arial"/>
        </w:rPr>
      </w:pPr>
      <w:r w:rsidDel="00000000" w:rsidR="00000000" w:rsidRPr="00000000">
        <w:rPr>
          <w:rFonts w:ascii="Arial" w:cs="Arial" w:eastAsia="Arial" w:hAnsi="Arial"/>
          <w:rtl w:val="0"/>
        </w:rPr>
        <w:t xml:space="preserve">As one recent review notes, VR/AR “hold considerable promise in revolutionizing healthcare,” although practical integration and rigorous validation remain work in progress. In the coming years, we may see VR support groups for therapy, AR surgical guides for all surgeons, and virtual clinics for remote areas. The key is that these technologies make interaction with medical data more intuitive and engaging  a trend expected to grow globally.</w:t>
      </w:r>
    </w:p>
    <w:p w:rsidR="00000000" w:rsidDel="00000000" w:rsidP="00000000" w:rsidRDefault="00000000" w:rsidRPr="00000000" w14:paraId="000000B8">
      <w:pPr>
        <w:pStyle w:val="Heading1"/>
        <w:spacing w:line="480" w:lineRule="auto"/>
        <w:jc w:val="center"/>
        <w:rPr>
          <w:rFonts w:ascii="Arial" w:cs="Arial" w:eastAsia="Arial" w:hAnsi="Arial"/>
          <w:color w:val="000000"/>
          <w:sz w:val="22"/>
          <w:szCs w:val="22"/>
        </w:rPr>
      </w:pPr>
      <w:bookmarkStart w:colFirst="0" w:colLast="0" w:name="_heading=h.hiejz8ej8bce" w:id="20"/>
      <w:bookmarkEnd w:id="20"/>
      <w:r w:rsidDel="00000000" w:rsidR="00000000" w:rsidRPr="00000000">
        <w:rPr>
          <w:rFonts w:ascii="Arial" w:cs="Arial" w:eastAsia="Arial" w:hAnsi="Arial"/>
          <w:color w:val="000000"/>
          <w:sz w:val="22"/>
          <w:szCs w:val="22"/>
          <w:rtl w:val="0"/>
        </w:rPr>
        <w:t xml:space="preserve">18. Big Data and Bioinformatics in Healthcare</w:t>
      </w:r>
    </w:p>
    <w:p w:rsidR="00000000" w:rsidDel="00000000" w:rsidP="00000000" w:rsidRDefault="00000000" w:rsidRPr="00000000" w14:paraId="000000B9">
      <w:pPr>
        <w:spacing w:after="0" w:line="480" w:lineRule="auto"/>
        <w:rPr>
          <w:rFonts w:ascii="Arial" w:cs="Arial" w:eastAsia="Arial" w:hAnsi="Arial"/>
        </w:rPr>
      </w:pPr>
      <w:r w:rsidDel="00000000" w:rsidR="00000000" w:rsidRPr="00000000">
        <w:rPr>
          <w:rFonts w:ascii="Arial" w:cs="Arial" w:eastAsia="Arial" w:hAnsi="Arial"/>
          <w:rtl w:val="0"/>
        </w:rPr>
        <w:t xml:space="preserve">The explosion of biomedical data has become a defining trend in medicine. Electronic health records (EHRs) store massive patient data, genomic sequencing projects generate enormous datasets, and wearable devices continuously stream health metrics. Big data analytics and bioinformatics have harnessed these data sources to improve healthcare on both individual and population levels.</w:t>
      </w:r>
    </w:p>
    <w:p w:rsidR="00000000" w:rsidDel="00000000" w:rsidP="00000000" w:rsidRDefault="00000000" w:rsidRPr="00000000" w14:paraId="000000BA">
      <w:pPr>
        <w:spacing w:after="0" w:line="480" w:lineRule="auto"/>
        <w:rPr>
          <w:rFonts w:ascii="Arial" w:cs="Arial" w:eastAsia="Arial" w:hAnsi="Arial"/>
        </w:rPr>
      </w:pPr>
      <w:r w:rsidDel="00000000" w:rsidR="00000000" w:rsidRPr="00000000">
        <w:rPr>
          <w:rFonts w:ascii="Arial" w:cs="Arial" w:eastAsia="Arial" w:hAnsi="Arial"/>
          <w:rtl w:val="0"/>
        </w:rPr>
        <w:t xml:space="preserve">AI algorithms sift through combined datasets (imaging, genomics, clinical) to identify patterns invisible to humans. For example, large-scale analyses of EHR data have yielded predictive models for early sepsis or readmission risk. Bioinformatics tools enable researchers to mine genomic data for disease associations  leading to discoveries of new genetic risk factors and drug targets. In epidemiology, big data has powered real-time disease surveillance: during COVID-19, analysis of mobility data, social media, and genomic sequences helped track outbreaks and variant spread globally.</w:t>
      </w:r>
    </w:p>
    <w:p w:rsidR="00000000" w:rsidDel="00000000" w:rsidP="00000000" w:rsidRDefault="00000000" w:rsidRPr="00000000" w14:paraId="000000BB">
      <w:pPr>
        <w:spacing w:after="0" w:line="480" w:lineRule="auto"/>
        <w:rPr>
          <w:rFonts w:ascii="Arial" w:cs="Arial" w:eastAsia="Arial" w:hAnsi="Arial"/>
        </w:rPr>
      </w:pPr>
      <w:r w:rsidDel="00000000" w:rsidR="00000000" w:rsidRPr="00000000">
        <w:rPr>
          <w:rFonts w:ascii="Arial" w:cs="Arial" w:eastAsia="Arial" w:hAnsi="Arial"/>
          <w:rtl w:val="0"/>
        </w:rPr>
        <w:t xml:space="preserve">Biobanking  the collection of patient biological samples with linked data has grown internationally. Projects like the UK Biobank and All of Us have data on hundreds of thousands of participants. These “research infrastructures” are now evolving into “data infrastructures”. Large consortia (e.g. Global Alliance for Genomics and Health) are working on standards to share data across countries while respecting privacy. The European Health Data Space initiative aims to enable secure sharing of health data (drawing lessons from genomics biobanks) to promote research and policy-making.</w:t>
      </w:r>
    </w:p>
    <w:p w:rsidR="00000000" w:rsidDel="00000000" w:rsidP="00000000" w:rsidRDefault="00000000" w:rsidRPr="00000000" w14:paraId="000000BC">
      <w:pPr>
        <w:spacing w:after="0" w:line="480" w:lineRule="auto"/>
        <w:rPr>
          <w:rFonts w:ascii="Arial" w:cs="Arial" w:eastAsia="Arial" w:hAnsi="Arial"/>
        </w:rPr>
      </w:pPr>
      <w:r w:rsidDel="00000000" w:rsidR="00000000" w:rsidRPr="00000000">
        <w:rPr>
          <w:rFonts w:ascii="Arial" w:cs="Arial" w:eastAsia="Arial" w:hAnsi="Arial"/>
          <w:rtl w:val="0"/>
        </w:rPr>
        <w:t xml:space="preserve">Genomic data have become a normal part of diagnostics. Many hospitals use clinical-grade exome or genome sequencing for rare undiagnosed disease patients. In oncology, tumor sequencing is routine. Such data feed back into larger research efforts to refine knowledge of genotype-phenotype links. The trend is toward data-driven healthcare: each patient encounter and test adds to a global learning system.</w:t>
      </w:r>
    </w:p>
    <w:p w:rsidR="00000000" w:rsidDel="00000000" w:rsidP="00000000" w:rsidRDefault="00000000" w:rsidRPr="00000000" w14:paraId="000000BD">
      <w:pPr>
        <w:spacing w:after="0" w:line="480" w:lineRule="auto"/>
        <w:rPr>
          <w:rFonts w:ascii="Arial" w:cs="Arial" w:eastAsia="Arial" w:hAnsi="Arial"/>
        </w:rPr>
      </w:pPr>
      <w:r w:rsidDel="00000000" w:rsidR="00000000" w:rsidRPr="00000000">
        <w:rPr>
          <w:rFonts w:ascii="Arial" w:cs="Arial" w:eastAsia="Arial" w:hAnsi="Arial"/>
          <w:rtl w:val="0"/>
        </w:rPr>
        <w:t xml:space="preserve">Challenges of big data are nontrivial. Interoperability between systems, data quality issues, and privacy regulations (e.g. GDPR in Europe) pose barriers. There are also concerns about biases – if data primarily come from certain populations, AI may underperform for others. Ongoing efforts focus on federated learning (sharing models rather than raw data) and ensuring ethical use of health data.</w:t>
      </w:r>
    </w:p>
    <w:p w:rsidR="00000000" w:rsidDel="00000000" w:rsidP="00000000" w:rsidRDefault="00000000" w:rsidRPr="00000000" w14:paraId="000000BE">
      <w:pPr>
        <w:spacing w:after="0" w:line="480" w:lineRule="auto"/>
        <w:rPr>
          <w:rFonts w:ascii="Arial" w:cs="Arial" w:eastAsia="Arial" w:hAnsi="Arial"/>
        </w:rPr>
      </w:pPr>
      <w:r w:rsidDel="00000000" w:rsidR="00000000" w:rsidRPr="00000000">
        <w:rPr>
          <w:rFonts w:ascii="Arial" w:cs="Arial" w:eastAsia="Arial" w:hAnsi="Arial"/>
          <w:rtl w:val="0"/>
        </w:rPr>
        <w:t xml:space="preserve">Nonetheless, the “data turn” in life sciences is clear: advanced computing is reshaping infrastructure and research practice. Already, predictive analytics has improved outcomes in some health systems and is being used for clinical decision support. As secure health data networks (like the European Health Data Space and NIH’s All of Us Research Program) solidify, the integration of big data and AI is expected to yield more personalized care recommendations and public health strategies. In short, big data and bioinformatics represent a major global advancement by enabling precision at scale, as reflected in the rise of databanks and AI-driven tools in medicine.</w:t>
      </w:r>
    </w:p>
    <w:p w:rsidR="00000000" w:rsidDel="00000000" w:rsidP="00000000" w:rsidRDefault="00000000" w:rsidRPr="00000000" w14:paraId="000000BF">
      <w:pPr>
        <w:pStyle w:val="Heading1"/>
        <w:spacing w:line="480" w:lineRule="auto"/>
        <w:jc w:val="center"/>
        <w:rPr>
          <w:rFonts w:ascii="Arial" w:cs="Arial" w:eastAsia="Arial" w:hAnsi="Arial"/>
          <w:color w:val="000000"/>
          <w:sz w:val="22"/>
          <w:szCs w:val="22"/>
        </w:rPr>
      </w:pPr>
      <w:bookmarkStart w:colFirst="0" w:colLast="0" w:name="_heading=h.kuc7iccojxmn" w:id="21"/>
      <w:bookmarkEnd w:id="21"/>
      <w:r w:rsidDel="00000000" w:rsidR="00000000" w:rsidRPr="00000000">
        <w:rPr>
          <w:rFonts w:ascii="Arial" w:cs="Arial" w:eastAsia="Arial" w:hAnsi="Arial"/>
          <w:color w:val="000000"/>
          <w:sz w:val="22"/>
          <w:szCs w:val="22"/>
          <w:rtl w:val="0"/>
        </w:rPr>
        <w:t xml:space="preserve">19. Chronic Disease Management Technologies</w:t>
      </w:r>
    </w:p>
    <w:p w:rsidR="00000000" w:rsidDel="00000000" w:rsidP="00000000" w:rsidRDefault="00000000" w:rsidRPr="00000000" w14:paraId="000000C0">
      <w:pPr>
        <w:spacing w:after="0" w:line="480" w:lineRule="auto"/>
        <w:rPr>
          <w:rFonts w:ascii="Arial" w:cs="Arial" w:eastAsia="Arial" w:hAnsi="Arial"/>
        </w:rPr>
      </w:pPr>
      <w:r w:rsidDel="00000000" w:rsidR="00000000" w:rsidRPr="00000000">
        <w:rPr>
          <w:rFonts w:ascii="Arial" w:cs="Arial" w:eastAsia="Arial" w:hAnsi="Arial"/>
          <w:rtl w:val="0"/>
        </w:rPr>
        <w:t xml:space="preserve">Advancements in technology have particularly improved management of chronic diseases such as diabetes, heart disease, and respiratory illnesses. One standout example is type 1 diabetes care: continuous glucose monitors (CGMs) and automated insulin delivery systems have revolutionized glucose control. Traditional management relied on multiple daily fingerstick glucose tests and insulin shots; now, CGMs (like Dexcom G6) provide real-time glucose levels via wearable sensors.  Building on CGMs, “artificial pancreas” systems integrate a CGM with an insulin pump and an algorithm. In 2019 the FDA approved Tandem Diabetes’ Control-IQ system (based on University of Virginia research). This closed-loop system automatically adjusts insulin dosage, significantly increasing the percentage of time patients’ glucose stays in the healthy range. This technology reduces the daily burden on patients and has spread globally through specialty clinics. Similar systems have been approved in Europe and Asia, making automated glucose control an emerging standard of care. </w:t>
      </w:r>
    </w:p>
    <w:p w:rsidR="00000000" w:rsidDel="00000000" w:rsidP="00000000" w:rsidRDefault="00000000" w:rsidRPr="00000000" w14:paraId="000000C1">
      <w:pPr>
        <w:spacing w:after="0" w:line="480" w:lineRule="auto"/>
        <w:rPr>
          <w:rFonts w:ascii="Arial" w:cs="Arial" w:eastAsia="Arial" w:hAnsi="Arial"/>
        </w:rPr>
      </w:pPr>
      <w:r w:rsidDel="00000000" w:rsidR="00000000" w:rsidRPr="00000000">
        <w:rPr>
          <w:rFonts w:ascii="Arial" w:cs="Arial" w:eastAsia="Arial" w:hAnsi="Arial"/>
          <w:rtl w:val="0"/>
        </w:rPr>
        <w:t xml:space="preserve">Cardiology has also benefited. Wearable ECG patches can detect arrhythmias (like silent atrial fibrillation) in high-risk patients. Remote monitoring implants (e.g. pulmonary artery pressure monitors for heart failure) allow clinicians to adjust therapy before a crisis. Blood pressure management is aided by smart cuffs that patients use at home and automatically transmit readings to their doctors. Even chronic obstructive pulmonary disease (COPD) patients can now use at-home spirometry devices linked to telehealth platforms.</w:t>
      </w:r>
    </w:p>
    <w:p w:rsidR="00000000" w:rsidDel="00000000" w:rsidP="00000000" w:rsidRDefault="00000000" w:rsidRPr="00000000" w14:paraId="000000C2">
      <w:pPr>
        <w:spacing w:after="0" w:line="480" w:lineRule="auto"/>
        <w:rPr>
          <w:rFonts w:ascii="Arial" w:cs="Arial" w:eastAsia="Arial" w:hAnsi="Arial"/>
        </w:rPr>
      </w:pPr>
      <w:r w:rsidDel="00000000" w:rsidR="00000000" w:rsidRPr="00000000">
        <w:rPr>
          <w:rFonts w:ascii="Arial" w:cs="Arial" w:eastAsia="Arial" w:hAnsi="Arial"/>
          <w:rtl w:val="0"/>
        </w:rPr>
        <w:t xml:space="preserve">Personal health apps and platforms aggregate chronic disease data to improve self-management. Diabetic patients can use smartphone apps that log diet, exercise, and glucose levels; algorithms then provide feedback and alerts. Cardiac rehab programs incorporate wearable fitness trackers to ensure patients meet activity goals. These digital tools have become common in Europe and North America, and are gaining traction in Asia and Latin America.</w:t>
      </w:r>
    </w:p>
    <w:p w:rsidR="00000000" w:rsidDel="00000000" w:rsidP="00000000" w:rsidRDefault="00000000" w:rsidRPr="00000000" w14:paraId="000000C3">
      <w:pPr>
        <w:spacing w:after="0" w:line="480" w:lineRule="auto"/>
        <w:rPr>
          <w:rFonts w:ascii="Arial" w:cs="Arial" w:eastAsia="Arial" w:hAnsi="Arial"/>
        </w:rPr>
      </w:pPr>
      <w:r w:rsidDel="00000000" w:rsidR="00000000" w:rsidRPr="00000000">
        <w:rPr>
          <w:rFonts w:ascii="Arial" w:cs="Arial" w:eastAsia="Arial" w:hAnsi="Arial"/>
          <w:rtl w:val="0"/>
        </w:rPr>
        <w:t xml:space="preserve">Home-based care devices also contribute: home dialysis machines allow some kidney failure patients to avoid frequent clinic visits. Automated medication dispensers and reminder apps help the elderly and those with memory issues adhere to treatment regimens. In cancer care, mobile apps remind patients of complex medication schedules and report side effects to care teams promptly.</w:t>
      </w:r>
    </w:p>
    <w:p w:rsidR="00000000" w:rsidDel="00000000" w:rsidP="00000000" w:rsidRDefault="00000000" w:rsidRPr="00000000" w14:paraId="000000C4">
      <w:pPr>
        <w:spacing w:after="0" w:line="480" w:lineRule="auto"/>
        <w:rPr>
          <w:rFonts w:ascii="Arial" w:cs="Arial" w:eastAsia="Arial" w:hAnsi="Arial"/>
        </w:rPr>
      </w:pPr>
      <w:r w:rsidDel="00000000" w:rsidR="00000000" w:rsidRPr="00000000">
        <w:rPr>
          <w:rFonts w:ascii="Arial" w:cs="Arial" w:eastAsia="Arial" w:hAnsi="Arial"/>
          <w:rtl w:val="0"/>
        </w:rPr>
        <w:t xml:space="preserve">Healthcare systems are responding by integrating these technologies. Many clinics now incorporate patient-generated data into care plans; insurance companies in some countries reimburse for remote monitoring if it prevents hospitalizations. Government health systems (e.g. NHS England’s digital diabetes prevention program) have funded digital interventions to reduce chronic disease risk.</w:t>
      </w:r>
    </w:p>
    <w:p w:rsidR="00000000" w:rsidDel="00000000" w:rsidP="00000000" w:rsidRDefault="00000000" w:rsidRPr="00000000" w14:paraId="000000C5">
      <w:pPr>
        <w:spacing w:after="0" w:line="480" w:lineRule="auto"/>
        <w:rPr>
          <w:rFonts w:ascii="Arial" w:cs="Arial" w:eastAsia="Arial" w:hAnsi="Arial"/>
        </w:rPr>
      </w:pPr>
      <w:r w:rsidDel="00000000" w:rsidR="00000000" w:rsidRPr="00000000">
        <w:rPr>
          <w:rFonts w:ascii="Arial" w:cs="Arial" w:eastAsia="Arial" w:hAnsi="Arial"/>
          <w:rtl w:val="0"/>
        </w:rPr>
        <w:t xml:space="preserve">In summary, the chronic disease management landscape has become much more data-driven and patient-centered. Technologies like CGMs and automated insulin pumps for diabetes exemplify how devices close the loop and improve outcomes. Remote monitoring and digital support are enabling better control of hypertension, COPD, and heart failure. Collectively, these advancements are reducing complications and healthcare costs while empowering patients to live healthier lives with their conditions managed more seamlessly.</w:t>
      </w:r>
    </w:p>
    <w:p w:rsidR="00000000" w:rsidDel="00000000" w:rsidP="00000000" w:rsidRDefault="00000000" w:rsidRPr="00000000" w14:paraId="000000C6">
      <w:pPr>
        <w:pStyle w:val="Heading1"/>
        <w:spacing w:line="480" w:lineRule="auto"/>
        <w:jc w:val="center"/>
        <w:rPr>
          <w:rFonts w:ascii="Arial" w:cs="Arial" w:eastAsia="Arial" w:hAnsi="Arial"/>
          <w:color w:val="000000"/>
          <w:sz w:val="22"/>
          <w:szCs w:val="22"/>
        </w:rPr>
      </w:pPr>
      <w:bookmarkStart w:colFirst="0" w:colLast="0" w:name="_heading=h.ye2tl8y3qzv3" w:id="22"/>
      <w:bookmarkEnd w:id="22"/>
      <w:r w:rsidDel="00000000" w:rsidR="00000000" w:rsidRPr="00000000">
        <w:rPr>
          <w:rFonts w:ascii="Arial" w:cs="Arial" w:eastAsia="Arial" w:hAnsi="Arial"/>
          <w:color w:val="000000"/>
          <w:sz w:val="22"/>
          <w:szCs w:val="22"/>
          <w:rtl w:val="0"/>
        </w:rPr>
        <w:t xml:space="preserve">20. Genomic Sequencing and Multi-Omics Advances</w:t>
      </w:r>
    </w:p>
    <w:p w:rsidR="00000000" w:rsidDel="00000000" w:rsidP="00000000" w:rsidRDefault="00000000" w:rsidRPr="00000000" w14:paraId="000000C7">
      <w:pPr>
        <w:spacing w:after="0" w:line="480" w:lineRule="auto"/>
        <w:rPr>
          <w:rFonts w:ascii="Arial" w:cs="Arial" w:eastAsia="Arial" w:hAnsi="Arial"/>
        </w:rPr>
      </w:pPr>
      <w:r w:rsidDel="00000000" w:rsidR="00000000" w:rsidRPr="00000000">
        <w:rPr>
          <w:rFonts w:ascii="Arial" w:cs="Arial" w:eastAsia="Arial" w:hAnsi="Arial"/>
          <w:rtl w:val="0"/>
        </w:rPr>
        <w:t xml:space="preserve">The scale and speed of genomic sequencing have drastically improved since the first human genome in 2003. Next-generation sequencing machines can now sequence a human genome in days for a few hundred dollars. This has democratized genomic information: many hospitals routinely sequence cancer and pediatric patients, and newborn genome sequencing is under research evaluation.  Rapid sequencing of pathogens has also been transformative: during the COVID-19 pandemic, SARS-CoV-2 genomes were sequenced and shared globally within days of new outbreaks, enabling variant tracking (e.g. the identification of Omicron’s spread).</w:t>
      </w:r>
    </w:p>
    <w:p w:rsidR="00000000" w:rsidDel="00000000" w:rsidP="00000000" w:rsidRDefault="00000000" w:rsidRPr="00000000" w14:paraId="000000C8">
      <w:pPr>
        <w:spacing w:after="0" w:line="480" w:lineRule="auto"/>
        <w:rPr>
          <w:rFonts w:ascii="Arial" w:cs="Arial" w:eastAsia="Arial" w:hAnsi="Arial"/>
        </w:rPr>
      </w:pPr>
      <w:r w:rsidDel="00000000" w:rsidR="00000000" w:rsidRPr="00000000">
        <w:rPr>
          <w:rFonts w:ascii="Arial" w:cs="Arial" w:eastAsia="Arial" w:hAnsi="Arial"/>
          <w:rtl w:val="0"/>
        </w:rPr>
        <w:t xml:space="preserve">Beyond raw sequencing, integration of multi-omics (transcriptomics, proteomics, metabolomics) has begun to yield deeper insights. A 2025 review notes how combining genomics with other omic layers “helps us understand human health and disease better than any of them separately”. Advances in bioinformatics and AI allow clinicians to interpret multi-dimensional data  for instance, guiding precision nutrition or understanding complex diseases. Large-scale projects (like the NIH’s All of Us, the UK’s Dementia Research) are collecting genomic plus multi-omic data on massive cohorts, enabling researchers to identify biomarkers and therapeutic targets.</w:t>
      </w:r>
    </w:p>
    <w:p w:rsidR="00000000" w:rsidDel="00000000" w:rsidP="00000000" w:rsidRDefault="00000000" w:rsidRPr="00000000" w14:paraId="000000C9">
      <w:pPr>
        <w:spacing w:after="0" w:line="480" w:lineRule="auto"/>
        <w:rPr>
          <w:rFonts w:ascii="Arial" w:cs="Arial" w:eastAsia="Arial" w:hAnsi="Arial"/>
        </w:rPr>
      </w:pPr>
      <w:r w:rsidDel="00000000" w:rsidR="00000000" w:rsidRPr="00000000">
        <w:rPr>
          <w:rFonts w:ascii="Arial" w:cs="Arial" w:eastAsia="Arial" w:hAnsi="Arial"/>
          <w:rtl w:val="0"/>
        </w:rPr>
        <w:t xml:space="preserve">One practical outcome is the concept of genotype-first medicine: clinicians may act on genetic findings even before symptoms appear (for example, starting preventive therapy in a patient with a pathogenic BRCA mutation). Pharmacogenomic panels (covering dozens of genes) are increasingly used to predict drug responses, optimizing medication selection for individuals.</w:t>
      </w:r>
    </w:p>
    <w:p w:rsidR="00000000" w:rsidDel="00000000" w:rsidP="00000000" w:rsidRDefault="00000000" w:rsidRPr="00000000" w14:paraId="000000CA">
      <w:pPr>
        <w:spacing w:after="0" w:line="480" w:lineRule="auto"/>
        <w:rPr>
          <w:rFonts w:ascii="Arial" w:cs="Arial" w:eastAsia="Arial" w:hAnsi="Arial"/>
        </w:rPr>
      </w:pPr>
      <w:r w:rsidDel="00000000" w:rsidR="00000000" w:rsidRPr="00000000">
        <w:rPr>
          <w:rFonts w:ascii="Arial" w:cs="Arial" w:eastAsia="Arial" w:hAnsi="Arial"/>
          <w:rtl w:val="0"/>
        </w:rPr>
        <w:t xml:space="preserve">The cost drop in sequencing has been especially impactful in research: exome and whole-genome sequencing is now routine in international cohort studies. This data has improved understanding of population genetics and aided studies of rare diseases. Genomic data analysis is guided by federated networks: international alliances help researchers share insights while maintaining privacy.</w:t>
      </w:r>
    </w:p>
    <w:p w:rsidR="00000000" w:rsidDel="00000000" w:rsidP="00000000" w:rsidRDefault="00000000" w:rsidRPr="00000000" w14:paraId="000000CB">
      <w:pPr>
        <w:spacing w:after="0" w:line="480" w:lineRule="auto"/>
        <w:rPr>
          <w:rFonts w:ascii="Arial" w:cs="Arial" w:eastAsia="Arial" w:hAnsi="Arial"/>
        </w:rPr>
      </w:pPr>
      <w:r w:rsidDel="00000000" w:rsidR="00000000" w:rsidRPr="00000000">
        <w:rPr>
          <w:rFonts w:ascii="Arial" w:cs="Arial" w:eastAsia="Arial" w:hAnsi="Arial"/>
          <w:rtl w:val="0"/>
        </w:rPr>
        <w:t xml:space="preserve">Another frontier is CRISPR-based diagnostics (e.g. SHERLOCK, DETECTR), which use gene-editing enzymes to detect viral or cancer DNA in a sample quickly. These novel tests, enabled by CRISPR science, represent a new class of genomic diagnostics that could be used at point-of-care worldwide in future outbreaks.</w:t>
      </w:r>
    </w:p>
    <w:p w:rsidR="00000000" w:rsidDel="00000000" w:rsidP="00000000" w:rsidRDefault="00000000" w:rsidRPr="00000000" w14:paraId="000000CC">
      <w:pPr>
        <w:spacing w:after="0" w:line="480" w:lineRule="auto"/>
        <w:rPr>
          <w:rFonts w:ascii="Arial" w:cs="Arial" w:eastAsia="Arial" w:hAnsi="Arial"/>
        </w:rPr>
      </w:pPr>
      <w:r w:rsidDel="00000000" w:rsidR="00000000" w:rsidRPr="00000000">
        <w:rPr>
          <w:rFonts w:ascii="Arial" w:cs="Arial" w:eastAsia="Arial" w:hAnsi="Arial"/>
          <w:rtl w:val="0"/>
        </w:rPr>
        <w:t xml:space="preserve">In conclusion, the ongoing revolution in sequencing technology and bioinformatics has ushered in an era where genomic data guides medicine at an unprecedented scale. As one article summarizes, this “genomics-first approach” layered with other data paves the way for truly integrated, individualized care. We can expect sequencing to become as routine as blood tests in the next decades, marking genomic medicine as one of the key advancements globally. </w:t>
      </w:r>
    </w:p>
    <w:p w:rsidR="00000000" w:rsidDel="00000000" w:rsidP="00000000" w:rsidRDefault="00000000" w:rsidRPr="00000000" w14:paraId="000000CD">
      <w:pPr>
        <w:pStyle w:val="Heading1"/>
        <w:spacing w:line="480" w:lineRule="auto"/>
        <w:jc w:val="center"/>
        <w:rPr>
          <w:rFonts w:ascii="Arial" w:cs="Arial" w:eastAsia="Arial" w:hAnsi="Arial"/>
          <w:color w:val="000000"/>
          <w:sz w:val="22"/>
          <w:szCs w:val="22"/>
        </w:rPr>
      </w:pPr>
      <w:bookmarkStart w:colFirst="0" w:colLast="0" w:name="_heading=h.4wdkro1s4lwz" w:id="23"/>
      <w:bookmarkEnd w:id="23"/>
      <w:r w:rsidDel="00000000" w:rsidR="00000000" w:rsidRPr="00000000">
        <w:rPr>
          <w:rFonts w:ascii="Arial" w:cs="Arial" w:eastAsia="Arial" w:hAnsi="Arial"/>
          <w:color w:val="000000"/>
          <w:sz w:val="22"/>
          <w:szCs w:val="22"/>
          <w:rtl w:val="0"/>
        </w:rPr>
        <w:t xml:space="preserve">21. Conclusion</w:t>
      </w:r>
    </w:p>
    <w:p w:rsidR="00000000" w:rsidDel="00000000" w:rsidP="00000000" w:rsidRDefault="00000000" w:rsidRPr="00000000" w14:paraId="000000CE">
      <w:pPr>
        <w:spacing w:after="0" w:line="480" w:lineRule="auto"/>
        <w:rPr>
          <w:rFonts w:ascii="Arial" w:cs="Arial" w:eastAsia="Arial" w:hAnsi="Arial"/>
        </w:rPr>
      </w:pPr>
      <w:r w:rsidDel="00000000" w:rsidR="00000000" w:rsidRPr="00000000">
        <w:rPr>
          <w:rFonts w:ascii="Arial" w:cs="Arial" w:eastAsia="Arial" w:hAnsi="Arial"/>
          <w:rtl w:val="0"/>
        </w:rPr>
        <w:t xml:space="preserve">The past ten years have seen an extraordinary array of advancements in medicine and healthcare, spanning molecular biology, technology, and healthcare delivery. Innovations like CRISPR gene editing and mRNA vaccines have changed fundamental approaches to treating diseases; AI and digital tools have altered diagnostics and patient engagement; while robotics, 3D printing, and nanotechnology have expanded therapeutic and procedural capabilities. Each of these twenty innovations is distinct yet interconnected, often reinforcing one another (for example, AI accelerating genomics, or telemedicine leveraging wearables and data). Crucially, these advances have occurred worldwide  from high-tech labs in the United States and China to community clinics in Africa adopting telehealth and digital education. </w:t>
      </w:r>
    </w:p>
    <w:p w:rsidR="00000000" w:rsidDel="00000000" w:rsidP="00000000" w:rsidRDefault="00000000" w:rsidRPr="00000000" w14:paraId="000000CF">
      <w:pPr>
        <w:spacing w:after="0" w:line="480" w:lineRule="auto"/>
        <w:rPr>
          <w:rFonts w:ascii="Arial" w:cs="Arial" w:eastAsia="Arial" w:hAnsi="Arial"/>
        </w:rPr>
      </w:pPr>
      <w:r w:rsidDel="00000000" w:rsidR="00000000" w:rsidRPr="00000000">
        <w:rPr>
          <w:rFonts w:ascii="Arial" w:cs="Arial" w:eastAsia="Arial" w:hAnsi="Arial"/>
          <w:rtl w:val="0"/>
        </w:rPr>
        <w:t xml:space="preserve">The impacts on human health are profound. Infectious diseases that once devastated populations can now be prevented or mitigated by effective vaccines and diagnostics. Chronic and rare genetic diseases are beginning to be treated at the root cause. Cancer care has entered an era of precision and immunotherapy where survival for advanced disease is improving. Healthcare delivery is more accessible via telemedicine, wearables, and AI support, helping bridge gaps in resource-limited settings. Mental health care is expanding through both innovative drugs and digital therapies. In short, these advancements enhance quality of life, extend lifespans, and promise more equitable health outcomes if widely implemented.</w:t>
      </w:r>
    </w:p>
    <w:p w:rsidR="00000000" w:rsidDel="00000000" w:rsidP="00000000" w:rsidRDefault="00000000" w:rsidRPr="00000000" w14:paraId="000000D0">
      <w:pPr>
        <w:spacing w:after="0" w:line="480" w:lineRule="auto"/>
        <w:rPr>
          <w:rFonts w:ascii="Arial" w:cs="Arial" w:eastAsia="Arial" w:hAnsi="Arial"/>
        </w:rPr>
      </w:pPr>
      <w:r w:rsidDel="00000000" w:rsidR="00000000" w:rsidRPr="00000000">
        <w:rPr>
          <w:rFonts w:ascii="Arial" w:cs="Arial" w:eastAsia="Arial" w:hAnsi="Arial"/>
          <w:rtl w:val="0"/>
        </w:rPr>
        <w:t xml:space="preserve">Looking forward, continued investment in research, global collaboration, and thoughtful integration of these technologies into health systems will be essential. Attention to ethical, social, and equity issues will be key to ensure benefits reach all communities. As this review highlights, we stand on the threshold of a new era in medicine  one of personalized, data-driven, and technology-empowered care  fundamentally transforming health and healthcare on a global scale. </w:t>
      </w:r>
    </w:p>
    <w:p w:rsidR="00000000" w:rsidDel="00000000" w:rsidP="00000000" w:rsidRDefault="00000000" w:rsidRPr="00000000" w14:paraId="000000D1">
      <w:pPr>
        <w:pStyle w:val="Heading1"/>
        <w:spacing w:line="480" w:lineRule="auto"/>
        <w:jc w:val="center"/>
        <w:rPr>
          <w:rFonts w:ascii="Arial" w:cs="Arial" w:eastAsia="Arial" w:hAnsi="Arial"/>
          <w:color w:val="000000"/>
          <w:sz w:val="22"/>
          <w:szCs w:val="22"/>
        </w:rPr>
      </w:pPr>
      <w:bookmarkStart w:colFirst="0" w:colLast="0" w:name="_heading=h.uiz1l4c4c6cd" w:id="24"/>
      <w:bookmarkEnd w:id="24"/>
      <w:r w:rsidDel="00000000" w:rsidR="00000000" w:rsidRPr="00000000">
        <w:rPr>
          <w:rFonts w:ascii="Arial" w:cs="Arial" w:eastAsia="Arial" w:hAnsi="Arial"/>
          <w:color w:val="000000"/>
          <w:sz w:val="22"/>
          <w:szCs w:val="22"/>
          <w:rtl w:val="0"/>
        </w:rPr>
        <w:t xml:space="preserve">22. References</w:t>
      </w:r>
    </w:p>
    <w:p w:rsidR="00000000" w:rsidDel="00000000" w:rsidP="00000000" w:rsidRDefault="00000000" w:rsidRPr="00000000" w14:paraId="000000D2">
      <w:pPr>
        <w:spacing w:after="0" w:line="480" w:lineRule="auto"/>
        <w:rPr>
          <w:rFonts w:ascii="Arial" w:cs="Arial" w:eastAsia="Arial" w:hAnsi="Arial"/>
        </w:rPr>
      </w:pPr>
      <w:r w:rsidDel="00000000" w:rsidR="00000000" w:rsidRPr="00000000">
        <w:rPr>
          <w:rFonts w:ascii="Arial" w:cs="Arial" w:eastAsia="Arial" w:hAnsi="Arial"/>
          <w:rtl w:val="0"/>
        </w:rPr>
        <w:t xml:space="preserve">Collington, S. J., et al. (2022). [Advances in CRISPR/Cas9 - PubMed Central]. BioMed Research International. </w:t>
      </w:r>
      <w:hyperlink r:id="rId11">
        <w:r w:rsidDel="00000000" w:rsidR="00000000" w:rsidRPr="00000000">
          <w:rPr>
            <w:rFonts w:ascii="Arial" w:cs="Arial" w:eastAsia="Arial" w:hAnsi="Arial"/>
            <w:color w:val="1155cc"/>
            <w:u w:val="single"/>
            <w:rtl w:val="0"/>
          </w:rPr>
          <w:t xml:space="preserve">https://doi.org/10.1155/2022/9978571</w:t>
        </w:r>
      </w:hyperlink>
      <w:r w:rsidDel="00000000" w:rsidR="00000000" w:rsidRPr="00000000">
        <w:rPr>
          <w:rtl w:val="0"/>
        </w:rPr>
      </w:r>
    </w:p>
    <w:p w:rsidR="00000000" w:rsidDel="00000000" w:rsidP="00000000" w:rsidRDefault="00000000" w:rsidRPr="00000000" w14:paraId="000000D3">
      <w:pPr>
        <w:spacing w:after="0" w:line="480" w:lineRule="auto"/>
        <w:rPr>
          <w:rFonts w:ascii="Arial" w:cs="Arial" w:eastAsia="Arial" w:hAnsi="Arial"/>
        </w:rPr>
      </w:pPr>
      <w:r w:rsidDel="00000000" w:rsidR="00000000" w:rsidRPr="00000000">
        <w:rPr>
          <w:rFonts w:ascii="Arial" w:cs="Arial" w:eastAsia="Arial" w:hAnsi="Arial"/>
          <w:rtl w:val="0"/>
        </w:rPr>
        <w:t xml:space="preserve">. [PMC9525763, pp. 119–128].</w:t>
      </w:r>
    </w:p>
    <w:p w:rsidR="00000000" w:rsidDel="00000000" w:rsidP="00000000" w:rsidRDefault="00000000" w:rsidRPr="00000000" w14:paraId="000000D4">
      <w:pPr>
        <w:spacing w:after="0" w:line="480" w:lineRule="auto"/>
        <w:rPr>
          <w:rFonts w:ascii="Arial" w:cs="Arial" w:eastAsia="Arial" w:hAnsi="Arial"/>
        </w:rPr>
      </w:pPr>
      <w:r w:rsidDel="00000000" w:rsidR="00000000" w:rsidRPr="00000000">
        <w:rPr>
          <w:rFonts w:ascii="Arial" w:cs="Arial" w:eastAsia="Arial" w:hAnsi="Arial"/>
          <w:rtl w:val="0"/>
        </w:rPr>
        <w:t xml:space="preserve">U.S. Food and Drug Administration. (2023, Dec 8). FDA Approves First Gene Therapies to Treat Patient with Sickle Cell Disease (Press Release). </w:t>
      </w:r>
      <w:hyperlink r:id="rId12">
        <w:r w:rsidDel="00000000" w:rsidR="00000000" w:rsidRPr="00000000">
          <w:rPr>
            <w:rFonts w:ascii="Arial" w:cs="Arial" w:eastAsia="Arial" w:hAnsi="Arial"/>
            <w:color w:val="1155cc"/>
            <w:u w:val="single"/>
            <w:rtl w:val="0"/>
          </w:rPr>
          <w:t xml:space="preserve">https://www.fda.gov/news-events/press-announcements/fda-approves-first-gene-therapies-treat-patients-sickle-cell-disease</w:t>
        </w:r>
      </w:hyperlink>
      <w:r w:rsidDel="00000000" w:rsidR="00000000" w:rsidRPr="00000000">
        <w:rPr>
          <w:rFonts w:ascii="Arial" w:cs="Arial" w:eastAsia="Arial" w:hAnsi="Arial"/>
          <w:rtl w:val="0"/>
        </w:rPr>
        <w:t xml:space="preserve">.</w:t>
      </w:r>
    </w:p>
    <w:p w:rsidR="00000000" w:rsidDel="00000000" w:rsidP="00000000" w:rsidRDefault="00000000" w:rsidRPr="00000000" w14:paraId="000000D5">
      <w:pPr>
        <w:spacing w:after="0" w:line="480" w:lineRule="auto"/>
        <w:rPr>
          <w:rFonts w:ascii="Arial" w:cs="Arial" w:eastAsia="Arial" w:hAnsi="Arial"/>
        </w:rPr>
      </w:pPr>
      <w:r w:rsidDel="00000000" w:rsidR="00000000" w:rsidRPr="00000000">
        <w:rPr>
          <w:rFonts w:ascii="Arial" w:cs="Arial" w:eastAsia="Arial" w:hAnsi="Arial"/>
          <w:rtl w:val="0"/>
        </w:rPr>
        <w:t xml:space="preserve">European Medicines Agency. (2023, Dec 15). First gene editing therapy to treat beta thalassemia and severe sickle cell disease (News). </w:t>
      </w:r>
      <w:hyperlink r:id="rId13">
        <w:r w:rsidDel="00000000" w:rsidR="00000000" w:rsidRPr="00000000">
          <w:rPr>
            <w:rFonts w:ascii="Arial" w:cs="Arial" w:eastAsia="Arial" w:hAnsi="Arial"/>
            <w:color w:val="1155cc"/>
            <w:u w:val="single"/>
            <w:rtl w:val="0"/>
          </w:rPr>
          <w:t xml:space="preserve">https://www.ema.europa.eu/en/news/first-gene-editing-therapy-treat-beta-thalassemia-and-severe-sickle-cell-disease</w:t>
        </w:r>
      </w:hyperlink>
      <w:r w:rsidDel="00000000" w:rsidR="00000000" w:rsidRPr="00000000">
        <w:rPr>
          <w:rFonts w:ascii="Arial" w:cs="Arial" w:eastAsia="Arial" w:hAnsi="Arial"/>
          <w:rtl w:val="0"/>
        </w:rPr>
        <w:t xml:space="preserve">.</w:t>
      </w:r>
    </w:p>
    <w:p w:rsidR="00000000" w:rsidDel="00000000" w:rsidP="00000000" w:rsidRDefault="00000000" w:rsidRPr="00000000" w14:paraId="000000D6">
      <w:pPr>
        <w:spacing w:after="0" w:line="480" w:lineRule="auto"/>
        <w:rPr>
          <w:rFonts w:ascii="Arial" w:cs="Arial" w:eastAsia="Arial" w:hAnsi="Arial"/>
        </w:rPr>
      </w:pPr>
      <w:r w:rsidDel="00000000" w:rsidR="00000000" w:rsidRPr="00000000">
        <w:rPr>
          <w:rFonts w:ascii="Arial" w:cs="Arial" w:eastAsia="Arial" w:hAnsi="Arial"/>
          <w:rtl w:val="0"/>
        </w:rPr>
        <w:t xml:space="preserve">Kahar P, Khanna D, Potluri VS, Kaki M, Patel R. A comprehensive review of SARS‑CoV‑2 vaccines: Pfizer, Moderna &amp; Johnson &amp; Johnson. Hum Vaccin Immunother. 2022;18(1):2002083. doi:10.1080/21645515.2022.2132050</w:t>
      </w:r>
    </w:p>
    <w:p w:rsidR="00000000" w:rsidDel="00000000" w:rsidP="00000000" w:rsidRDefault="00000000" w:rsidRPr="00000000" w14:paraId="000000D7">
      <w:pPr>
        <w:spacing w:after="0" w:line="480" w:lineRule="auto"/>
        <w:rPr>
          <w:rFonts w:ascii="Arial" w:cs="Arial" w:eastAsia="Arial" w:hAnsi="Arial"/>
        </w:rPr>
      </w:pPr>
      <w:r w:rsidDel="00000000" w:rsidR="00000000" w:rsidRPr="00000000">
        <w:rPr>
          <w:rFonts w:ascii="Arial" w:cs="Arial" w:eastAsia="Arial" w:hAnsi="Arial"/>
          <w:rtl w:val="0"/>
        </w:rPr>
        <w:t xml:space="preserve">Lubin, M., et al. (2023). The future of mRNA vaccines beyond COVID-19. CAS Insights. </w:t>
      </w:r>
      <w:hyperlink r:id="rId14">
        <w:r w:rsidDel="00000000" w:rsidR="00000000" w:rsidRPr="00000000">
          <w:rPr>
            <w:rFonts w:ascii="Arial" w:cs="Arial" w:eastAsia="Arial" w:hAnsi="Arial"/>
            <w:color w:val="1155cc"/>
            <w:u w:val="single"/>
            <w:rtl w:val="0"/>
          </w:rPr>
          <w:t xml:space="preserve">https://www.cas.org/resources/cas-insights/future-mrna-vaccines</w:t>
        </w:r>
      </w:hyperlink>
      <w:r w:rsidDel="00000000" w:rsidR="00000000" w:rsidRPr="00000000">
        <w:rPr>
          <w:rFonts w:ascii="Arial" w:cs="Arial" w:eastAsia="Arial" w:hAnsi="Arial"/>
          <w:rtl w:val="0"/>
        </w:rPr>
        <w:t xml:space="preserve">.</w:t>
      </w:r>
    </w:p>
    <w:p w:rsidR="00000000" w:rsidDel="00000000" w:rsidP="00000000" w:rsidRDefault="00000000" w:rsidRPr="00000000" w14:paraId="000000D8">
      <w:pPr>
        <w:spacing w:after="0" w:line="480" w:lineRule="auto"/>
        <w:rPr>
          <w:rFonts w:ascii="Arial" w:cs="Arial" w:eastAsia="Arial" w:hAnsi="Arial"/>
        </w:rPr>
      </w:pPr>
      <w:r w:rsidDel="00000000" w:rsidR="00000000" w:rsidRPr="00000000">
        <w:rPr>
          <w:rFonts w:ascii="Arial" w:cs="Arial" w:eastAsia="Arial" w:hAnsi="Arial"/>
          <w:rtl w:val="0"/>
        </w:rPr>
        <w:t xml:space="preserve">Zhu, Y., et al. (2022). Advances in CRISPR/Cas9. BioMed Research International. </w:t>
      </w:r>
      <w:hyperlink r:id="rId15">
        <w:r w:rsidDel="00000000" w:rsidR="00000000" w:rsidRPr="00000000">
          <w:rPr>
            <w:rFonts w:ascii="Arial" w:cs="Arial" w:eastAsia="Arial" w:hAnsi="Arial"/>
            <w:color w:val="1155cc"/>
            <w:u w:val="single"/>
            <w:rtl w:val="0"/>
          </w:rPr>
          <w:t xml:space="preserve">https://doi.org/10.1155/2022/9978571</w:t>
        </w:r>
      </w:hyperlink>
      <w:r w:rsidDel="00000000" w:rsidR="00000000" w:rsidRPr="00000000">
        <w:rPr>
          <w:rFonts w:ascii="Arial" w:cs="Arial" w:eastAsia="Arial" w:hAnsi="Arial"/>
          <w:rtl w:val="0"/>
        </w:rPr>
        <w:t xml:space="preserve">.</w:t>
      </w:r>
    </w:p>
    <w:p w:rsidR="00000000" w:rsidDel="00000000" w:rsidP="00000000" w:rsidRDefault="00000000" w:rsidRPr="00000000" w14:paraId="000000D9">
      <w:pPr>
        <w:spacing w:after="0" w:line="480" w:lineRule="auto"/>
        <w:rPr>
          <w:rFonts w:ascii="Arial" w:cs="Arial" w:eastAsia="Arial" w:hAnsi="Arial"/>
        </w:rPr>
      </w:pPr>
      <w:r w:rsidDel="00000000" w:rsidR="00000000" w:rsidRPr="00000000">
        <w:rPr>
          <w:rFonts w:ascii="Arial" w:cs="Arial" w:eastAsia="Arial" w:hAnsi="Arial"/>
          <w:rtl w:val="0"/>
        </w:rPr>
        <w:t xml:space="preserve">Najjar R. Redefining Radiology: A Review of Artificial Intelligence Integration in Medical Imaging. Diagnostics (Basel). 2023 Aug 25;13(17):2760. doi:10.3390/diagnostics13172760  </w:t>
      </w:r>
      <w:hyperlink r:id="rId16">
        <w:r w:rsidDel="00000000" w:rsidR="00000000" w:rsidRPr="00000000">
          <w:rPr>
            <w:rFonts w:ascii="Arial" w:cs="Arial" w:eastAsia="Arial" w:hAnsi="Arial"/>
            <w:color w:val="1155cc"/>
            <w:u w:val="single"/>
            <w:rtl w:val="0"/>
          </w:rPr>
          <w:t xml:space="preserve">https://doi.org/10.3390/diagnostics13172760</w:t>
        </w:r>
      </w:hyperlink>
      <w:r w:rsidDel="00000000" w:rsidR="00000000" w:rsidRPr="00000000">
        <w:rPr>
          <w:rtl w:val="0"/>
        </w:rPr>
      </w:r>
    </w:p>
    <w:p w:rsidR="00000000" w:rsidDel="00000000" w:rsidP="00000000" w:rsidRDefault="00000000" w:rsidRPr="00000000" w14:paraId="000000DA">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DB">
      <w:pPr>
        <w:spacing w:after="0" w:line="480" w:lineRule="auto"/>
        <w:rPr>
          <w:rFonts w:ascii="Arial" w:cs="Arial" w:eastAsia="Arial" w:hAnsi="Arial"/>
        </w:rPr>
      </w:pPr>
      <w:r w:rsidDel="00000000" w:rsidR="00000000" w:rsidRPr="00000000">
        <w:rPr>
          <w:rFonts w:ascii="Arial" w:cs="Arial" w:eastAsia="Arial" w:hAnsi="Arial"/>
          <w:rtl w:val="0"/>
        </w:rPr>
        <w:t xml:space="preserve">Bestsennyy, O., et al. (2021, July 9). Telehealth: A quarter-trillion-dollar post-COVID-19 reality? McKinsey &amp; Company. </w:t>
      </w:r>
      <w:hyperlink r:id="rId17">
        <w:r w:rsidDel="00000000" w:rsidR="00000000" w:rsidRPr="00000000">
          <w:rPr>
            <w:rFonts w:ascii="Arial" w:cs="Arial" w:eastAsia="Arial" w:hAnsi="Arial"/>
            <w:color w:val="1155cc"/>
            <w:u w:val="single"/>
            <w:rtl w:val="0"/>
          </w:rPr>
          <w:t xml:space="preserve">https://www.mckinsey.com/industries/healthcare/our-insights/telehealth-a-quarter-trillion-dollar-post-covid-19-reality</w:t>
        </w:r>
      </w:hyperlink>
      <w:r w:rsidDel="00000000" w:rsidR="00000000" w:rsidRPr="00000000">
        <w:rPr>
          <w:rFonts w:ascii="Arial" w:cs="Arial" w:eastAsia="Arial" w:hAnsi="Arial"/>
          <w:rtl w:val="0"/>
        </w:rPr>
        <w:t xml:space="preserve">.</w:t>
      </w:r>
    </w:p>
    <w:p w:rsidR="00000000" w:rsidDel="00000000" w:rsidP="00000000" w:rsidRDefault="00000000" w:rsidRPr="00000000" w14:paraId="000000DC">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DD">
      <w:pPr>
        <w:spacing w:after="0" w:line="480" w:lineRule="auto"/>
        <w:rPr>
          <w:rFonts w:ascii="Arial" w:cs="Arial" w:eastAsia="Arial" w:hAnsi="Arial"/>
        </w:rPr>
      </w:pPr>
      <w:r w:rsidDel="00000000" w:rsidR="00000000" w:rsidRPr="00000000">
        <w:rPr>
          <w:rFonts w:ascii="Arial" w:cs="Arial" w:eastAsia="Arial" w:hAnsi="Arial"/>
          <w:rtl w:val="0"/>
        </w:rPr>
        <w:t xml:space="preserve"> Mani, S., Lalani, S. R., &amp; Pammi, M. (2025). Genomics and multiomics in the age of precision medicine. Pediatric Research, 97, 123–139. </w:t>
      </w:r>
      <w:hyperlink r:id="rId18">
        <w:r w:rsidDel="00000000" w:rsidR="00000000" w:rsidRPr="00000000">
          <w:rPr>
            <w:rFonts w:ascii="Arial" w:cs="Arial" w:eastAsia="Arial" w:hAnsi="Arial"/>
            <w:color w:val="1155cc"/>
            <w:u w:val="single"/>
            <w:rtl w:val="0"/>
          </w:rPr>
          <w:t xml:space="preserve">https://doi.org/10.1038/s41390-025-04021-0</w:t>
        </w:r>
      </w:hyperlink>
      <w:r w:rsidDel="00000000" w:rsidR="00000000" w:rsidRPr="00000000">
        <w:rPr>
          <w:rtl w:val="0"/>
        </w:rPr>
      </w:r>
    </w:p>
    <w:p w:rsidR="00000000" w:rsidDel="00000000" w:rsidP="00000000" w:rsidRDefault="00000000" w:rsidRPr="00000000" w14:paraId="000000DE">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DF">
      <w:pPr>
        <w:spacing w:after="0" w:line="480" w:lineRule="auto"/>
        <w:rPr>
          <w:rFonts w:ascii="Arial" w:cs="Arial" w:eastAsia="Arial" w:hAnsi="Arial"/>
        </w:rPr>
      </w:pPr>
      <w:r w:rsidDel="00000000" w:rsidR="00000000" w:rsidRPr="00000000">
        <w:rPr>
          <w:rFonts w:ascii="Arial" w:cs="Arial" w:eastAsia="Arial" w:hAnsi="Arial"/>
          <w:rtl w:val="0"/>
        </w:rPr>
        <w:t xml:space="preserve">Nobel Assembly at Karolinska Institutet. (2018, Oct 1). The 2018 Nobel Prize in Physiology or Medicine – Press Release. NobelPrize.org. </w:t>
      </w:r>
      <w:hyperlink r:id="rId19">
        <w:r w:rsidDel="00000000" w:rsidR="00000000" w:rsidRPr="00000000">
          <w:rPr>
            <w:rFonts w:ascii="Arial" w:cs="Arial" w:eastAsia="Arial" w:hAnsi="Arial"/>
            <w:color w:val="1155cc"/>
            <w:u w:val="single"/>
            <w:rtl w:val="0"/>
          </w:rPr>
          <w:t xml:space="preserve">https://www.nobelprize.org/prizes/medicine/2018/press-release/</w:t>
        </w:r>
      </w:hyperlink>
      <w:r w:rsidDel="00000000" w:rsidR="00000000" w:rsidRPr="00000000">
        <w:rPr>
          <w:rtl w:val="0"/>
        </w:rPr>
      </w:r>
    </w:p>
    <w:p w:rsidR="00000000" w:rsidDel="00000000" w:rsidP="00000000" w:rsidRDefault="00000000" w:rsidRPr="00000000" w14:paraId="000000E0">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E1">
      <w:pPr>
        <w:spacing w:after="0" w:line="480" w:lineRule="auto"/>
        <w:rPr>
          <w:rFonts w:ascii="Arial" w:cs="Arial" w:eastAsia="Arial" w:hAnsi="Arial"/>
        </w:rPr>
      </w:pPr>
      <w:r w:rsidDel="00000000" w:rsidR="00000000" w:rsidRPr="00000000">
        <w:rPr>
          <w:rFonts w:ascii="Arial" w:cs="Arial" w:eastAsia="Arial" w:hAnsi="Arial"/>
          <w:rtl w:val="0"/>
        </w:rPr>
        <w:t xml:space="preserve">Ruella, M., &amp; Levine, B. L. (2020). The long road to the first FDA approved gene therapy: CAR T cells targeting CD19. Cytotherapy, 22(7), 433–456. </w:t>
      </w:r>
      <w:hyperlink r:id="rId20">
        <w:r w:rsidDel="00000000" w:rsidR="00000000" w:rsidRPr="00000000">
          <w:rPr>
            <w:rFonts w:ascii="Arial" w:cs="Arial" w:eastAsia="Arial" w:hAnsi="Arial"/>
            <w:color w:val="1155cc"/>
            <w:u w:val="single"/>
            <w:rtl w:val="0"/>
          </w:rPr>
          <w:t xml:space="preserve">https://doi.org/10.1016/j.jcyt.2020.02.006</w:t>
        </w:r>
      </w:hyperlink>
      <w:r w:rsidDel="00000000" w:rsidR="00000000" w:rsidRPr="00000000">
        <w:rPr>
          <w:rtl w:val="0"/>
        </w:rPr>
      </w:r>
    </w:p>
    <w:p w:rsidR="00000000" w:rsidDel="00000000" w:rsidP="00000000" w:rsidRDefault="00000000" w:rsidRPr="00000000" w14:paraId="000000E2">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E3">
      <w:pPr>
        <w:spacing w:after="0" w:line="480" w:lineRule="auto"/>
        <w:rPr>
          <w:rFonts w:ascii="Arial" w:cs="Arial" w:eastAsia="Arial" w:hAnsi="Arial"/>
        </w:rPr>
      </w:pPr>
      <w:r w:rsidDel="00000000" w:rsidR="00000000" w:rsidRPr="00000000">
        <w:rPr>
          <w:rFonts w:ascii="Arial" w:cs="Arial" w:eastAsia="Arial" w:hAnsi="Arial"/>
          <w:rtl w:val="0"/>
        </w:rPr>
        <w:t xml:space="preserve">Forlenza GP, Ekhlaspour L, Breton M, et al. Successful At‑Home Use of the Tandem Control‑IQ Artificial Pancreas System in Young Children During a Randomized Controlled Trial. Diabetes Technol Ther. 2019 Apr;21(4):159–169. doi:10.1089/dia.2019.0011 </w:t>
      </w:r>
    </w:p>
    <w:p w:rsidR="00000000" w:rsidDel="00000000" w:rsidP="00000000" w:rsidRDefault="00000000" w:rsidRPr="00000000" w14:paraId="000000E4">
      <w:pPr>
        <w:spacing w:after="0" w:line="480" w:lineRule="auto"/>
        <w:rPr>
          <w:rFonts w:ascii="Arial" w:cs="Arial" w:eastAsia="Arial" w:hAnsi="Arial"/>
        </w:rPr>
      </w:pPr>
      <w:r w:rsidDel="00000000" w:rsidR="00000000" w:rsidRPr="00000000">
        <w:rPr>
          <w:rFonts w:ascii="Arial" w:cs="Arial" w:eastAsia="Arial" w:hAnsi="Arial"/>
          <w:rtl w:val="0"/>
        </w:rPr>
        <w:t xml:space="preserve"> </w:t>
      </w:r>
      <w:hyperlink r:id="rId21">
        <w:r w:rsidDel="00000000" w:rsidR="00000000" w:rsidRPr="00000000">
          <w:rPr>
            <w:rFonts w:ascii="Arial" w:cs="Arial" w:eastAsia="Arial" w:hAnsi="Arial"/>
            <w:color w:val="1155cc"/>
            <w:u w:val="single"/>
            <w:rtl w:val="0"/>
          </w:rPr>
          <w:t xml:space="preserve">https://doi.org/10.1089/dia.2019.0011</w:t>
        </w:r>
      </w:hyperlink>
      <w:r w:rsidDel="00000000" w:rsidR="00000000" w:rsidRPr="00000000">
        <w:rPr>
          <w:rtl w:val="0"/>
        </w:rPr>
      </w:r>
    </w:p>
    <w:p w:rsidR="00000000" w:rsidDel="00000000" w:rsidP="00000000" w:rsidRDefault="00000000" w:rsidRPr="00000000" w14:paraId="000000E5">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E6">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E7">
      <w:pPr>
        <w:spacing w:after="0" w:line="480" w:lineRule="auto"/>
        <w:rPr>
          <w:rFonts w:ascii="Arial" w:cs="Arial" w:eastAsia="Arial" w:hAnsi="Arial"/>
        </w:rPr>
      </w:pPr>
      <w:r w:rsidDel="00000000" w:rsidR="00000000" w:rsidRPr="00000000">
        <w:rPr>
          <w:rFonts w:ascii="Arial" w:cs="Arial" w:eastAsia="Arial" w:hAnsi="Arial"/>
          <w:rtl w:val="0"/>
        </w:rPr>
        <w:t xml:space="preserve">Biazzo M, Deidda G. Fecal Microbiota Transplantation as New Therapeutic Avenue for Human Diseases. J Clin Med. 2022 Jul 15;11(14):4119. doi: 10.3390/jcm11144119. PMID: 35887883; PMCID: PMC9320118.</w:t>
      </w:r>
    </w:p>
    <w:p w:rsidR="00000000" w:rsidDel="00000000" w:rsidP="00000000" w:rsidRDefault="00000000" w:rsidRPr="00000000" w14:paraId="000000E8">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E9">
      <w:pPr>
        <w:spacing w:after="0" w:line="480" w:lineRule="auto"/>
        <w:rPr>
          <w:rFonts w:ascii="Arial" w:cs="Arial" w:eastAsia="Arial" w:hAnsi="Arial"/>
        </w:rPr>
      </w:pPr>
      <w:hyperlink r:id="rId22">
        <w:r w:rsidDel="00000000" w:rsidR="00000000" w:rsidRPr="00000000">
          <w:rPr>
            <w:rFonts w:ascii="Arial" w:cs="Arial" w:eastAsia="Arial" w:hAnsi="Arial"/>
            <w:color w:val="1155cc"/>
            <w:u w:val="single"/>
            <w:rtl w:val="0"/>
          </w:rPr>
          <w:t xml:space="preserve">https://doi.org/10.3390/jcm11144119</w:t>
        </w:r>
      </w:hyperlink>
      <w:r w:rsidDel="00000000" w:rsidR="00000000" w:rsidRPr="00000000">
        <w:rPr>
          <w:rFonts w:ascii="Arial" w:cs="Arial" w:eastAsia="Arial" w:hAnsi="Arial"/>
          <w:rtl w:val="0"/>
        </w:rPr>
        <w:t xml:space="preserve">.</w:t>
      </w:r>
    </w:p>
    <w:p w:rsidR="00000000" w:rsidDel="00000000" w:rsidP="00000000" w:rsidRDefault="00000000" w:rsidRPr="00000000" w14:paraId="000000EA">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EB">
      <w:pPr>
        <w:spacing w:after="0" w:line="480" w:lineRule="auto"/>
        <w:rPr>
          <w:rFonts w:ascii="Arial" w:cs="Arial" w:eastAsia="Arial" w:hAnsi="Arial"/>
        </w:rPr>
      </w:pPr>
      <w:r w:rsidDel="00000000" w:rsidR="00000000" w:rsidRPr="00000000">
        <w:rPr>
          <w:rFonts w:ascii="Arial" w:cs="Arial" w:eastAsia="Arial" w:hAnsi="Arial"/>
          <w:rtl w:val="0"/>
        </w:rPr>
        <w:t xml:space="preserve">Iqbal AI, Aamir A, Hammad A, Hafsa H, Basit A, Oduoye MO, Anis MW, Ahmed S, Younus MI, Jabeen S. Immersive Technologies in Healthcare: An In-Depth Exploration of Virtual Reality and Augmented Reality in Enhancing Patient Care, Medical Education, and Training Paradigms. J Prim Care Community Health. 2024 Jan-Dec;15:21501319241293311. doi:</w:t>
      </w:r>
      <w:hyperlink r:id="rId23">
        <w:r w:rsidDel="00000000" w:rsidR="00000000" w:rsidRPr="00000000">
          <w:rPr>
            <w:rFonts w:ascii="Arial" w:cs="Arial" w:eastAsia="Arial" w:hAnsi="Arial"/>
            <w:color w:val="1155cc"/>
            <w:u w:val="single"/>
            <w:rtl w:val="0"/>
          </w:rPr>
          <w:t xml:space="preserve">https://doi.org/10.1177/21501319241293311</w:t>
        </w:r>
      </w:hyperlink>
      <w:r w:rsidDel="00000000" w:rsidR="00000000" w:rsidRPr="00000000">
        <w:rPr>
          <w:rtl w:val="0"/>
        </w:rPr>
      </w:r>
    </w:p>
    <w:p w:rsidR="00000000" w:rsidDel="00000000" w:rsidP="00000000" w:rsidRDefault="00000000" w:rsidRPr="00000000" w14:paraId="000000EC">
      <w:pPr>
        <w:spacing w:after="0" w:line="480" w:lineRule="auto"/>
        <w:rPr>
          <w:rFonts w:ascii="Arial" w:cs="Arial" w:eastAsia="Arial" w:hAnsi="Arial"/>
        </w:rPr>
      </w:pPr>
      <w:r w:rsidDel="00000000" w:rsidR="00000000" w:rsidRPr="00000000">
        <w:rPr>
          <w:rFonts w:ascii="Arial" w:cs="Arial" w:eastAsia="Arial" w:hAnsi="Arial"/>
          <w:rtl w:val="0"/>
        </w:rPr>
        <w:t xml:space="preserve">PMID: 39439304; PMCID: PMC11528804.</w:t>
      </w:r>
    </w:p>
    <w:p w:rsidR="00000000" w:rsidDel="00000000" w:rsidP="00000000" w:rsidRDefault="00000000" w:rsidRPr="00000000" w14:paraId="000000ED">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EE">
      <w:pPr>
        <w:spacing w:after="0" w:line="480" w:lineRule="auto"/>
        <w:rPr>
          <w:rFonts w:ascii="Arial" w:cs="Arial" w:eastAsia="Arial" w:hAnsi="Arial"/>
        </w:rPr>
      </w:pPr>
      <w:r w:rsidDel="00000000" w:rsidR="00000000" w:rsidRPr="00000000">
        <w:rPr>
          <w:rFonts w:ascii="Arial" w:cs="Arial" w:eastAsia="Arial" w:hAnsi="Arial"/>
          <w:rtl w:val="0"/>
        </w:rPr>
        <w:t xml:space="preserve">Fitzpatrick KK, Darcy A, Vierhile M</w:t>
      </w:r>
    </w:p>
    <w:p w:rsidR="00000000" w:rsidDel="00000000" w:rsidP="00000000" w:rsidRDefault="00000000" w:rsidRPr="00000000" w14:paraId="000000EF">
      <w:pPr>
        <w:spacing w:after="0" w:line="480" w:lineRule="auto"/>
        <w:rPr>
          <w:rFonts w:ascii="Arial" w:cs="Arial" w:eastAsia="Arial" w:hAnsi="Arial"/>
        </w:rPr>
      </w:pPr>
      <w:r w:rsidDel="00000000" w:rsidR="00000000" w:rsidRPr="00000000">
        <w:rPr>
          <w:rFonts w:ascii="Arial" w:cs="Arial" w:eastAsia="Arial" w:hAnsi="Arial"/>
          <w:rtl w:val="0"/>
        </w:rPr>
        <w:t xml:space="preserve">Delivering Cognitive Behavior Therapy to Young Adults With Symptoms of Depression and Anxiety Using a Fully Automated Conversational Agent (Woebot): A Randomized Controlled Trial</w:t>
      </w:r>
    </w:p>
    <w:p w:rsidR="00000000" w:rsidDel="00000000" w:rsidP="00000000" w:rsidRDefault="00000000" w:rsidRPr="00000000" w14:paraId="000000F0">
      <w:pPr>
        <w:spacing w:after="0" w:line="480" w:lineRule="auto"/>
        <w:rPr>
          <w:rFonts w:ascii="Arial" w:cs="Arial" w:eastAsia="Arial" w:hAnsi="Arial"/>
        </w:rPr>
      </w:pPr>
      <w:r w:rsidDel="00000000" w:rsidR="00000000" w:rsidRPr="00000000">
        <w:rPr>
          <w:rFonts w:ascii="Arial" w:cs="Arial" w:eastAsia="Arial" w:hAnsi="Arial"/>
          <w:rtl w:val="0"/>
        </w:rPr>
        <w:t xml:space="preserve">JMIR Ment Health 2017;4(2):e19</w:t>
      </w:r>
    </w:p>
    <w:p w:rsidR="00000000" w:rsidDel="00000000" w:rsidP="00000000" w:rsidRDefault="00000000" w:rsidRPr="00000000" w14:paraId="000000F1">
      <w:pPr>
        <w:spacing w:after="0" w:line="480" w:lineRule="auto"/>
        <w:rPr>
          <w:rFonts w:ascii="Arial" w:cs="Arial" w:eastAsia="Arial" w:hAnsi="Arial"/>
        </w:rPr>
      </w:pPr>
      <w:r w:rsidDel="00000000" w:rsidR="00000000" w:rsidRPr="00000000">
        <w:rPr>
          <w:rFonts w:ascii="Arial" w:cs="Arial" w:eastAsia="Arial" w:hAnsi="Arial"/>
          <w:rtl w:val="0"/>
        </w:rPr>
        <w:t xml:space="preserve">doi: </w:t>
      </w:r>
      <w:hyperlink r:id="rId24">
        <w:r w:rsidDel="00000000" w:rsidR="00000000" w:rsidRPr="00000000">
          <w:rPr>
            <w:rFonts w:ascii="Arial" w:cs="Arial" w:eastAsia="Arial" w:hAnsi="Arial"/>
            <w:color w:val="1155cc"/>
            <w:u w:val="single"/>
            <w:rtl w:val="0"/>
          </w:rPr>
          <w:t xml:space="preserve">https://doi.org/10.2196/mental.7785</w:t>
        </w:r>
      </w:hyperlink>
      <w:r w:rsidDel="00000000" w:rsidR="00000000" w:rsidRPr="00000000">
        <w:rPr>
          <w:rtl w:val="0"/>
        </w:rPr>
      </w:r>
    </w:p>
    <w:p w:rsidR="00000000" w:rsidDel="00000000" w:rsidP="00000000" w:rsidRDefault="00000000" w:rsidRPr="00000000" w14:paraId="000000F2">
      <w:pPr>
        <w:spacing w:after="0" w:line="480" w:lineRule="auto"/>
        <w:rPr>
          <w:rFonts w:ascii="Arial" w:cs="Arial" w:eastAsia="Arial" w:hAnsi="Arial"/>
        </w:rPr>
      </w:pPr>
      <w:r w:rsidDel="00000000" w:rsidR="00000000" w:rsidRPr="00000000">
        <w:rPr>
          <w:rFonts w:ascii="Arial" w:cs="Arial" w:eastAsia="Arial" w:hAnsi="Arial"/>
          <w:rtl w:val="0"/>
        </w:rPr>
        <w:t xml:space="preserve">PMID: 28588005</w:t>
      </w:r>
    </w:p>
    <w:p w:rsidR="00000000" w:rsidDel="00000000" w:rsidP="00000000" w:rsidRDefault="00000000" w:rsidRPr="00000000" w14:paraId="000000F3">
      <w:pPr>
        <w:spacing w:after="0" w:line="480" w:lineRule="auto"/>
        <w:rPr>
          <w:rFonts w:ascii="Arial" w:cs="Arial" w:eastAsia="Arial" w:hAnsi="Arial"/>
        </w:rPr>
      </w:pPr>
      <w:r w:rsidDel="00000000" w:rsidR="00000000" w:rsidRPr="00000000">
        <w:rPr>
          <w:rFonts w:ascii="Arial" w:cs="Arial" w:eastAsia="Arial" w:hAnsi="Arial"/>
          <w:rtl w:val="0"/>
        </w:rPr>
        <w:t xml:space="preserve">PMCID: 5478797</w:t>
      </w:r>
      <w:r w:rsidDel="00000000" w:rsidR="00000000" w:rsidRPr="00000000">
        <w:rPr>
          <w:rtl w:val="0"/>
        </w:rPr>
      </w:r>
    </w:p>
    <w:p w:rsidR="00000000" w:rsidDel="00000000" w:rsidP="00000000" w:rsidRDefault="00000000" w:rsidRPr="00000000" w14:paraId="000000F4">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F5">
      <w:pPr>
        <w:spacing w:after="0" w:line="480" w:lineRule="auto"/>
        <w:rPr>
          <w:rFonts w:ascii="Arial" w:cs="Arial" w:eastAsia="Arial" w:hAnsi="Arial"/>
        </w:rPr>
      </w:pPr>
      <w:r w:rsidDel="00000000" w:rsidR="00000000" w:rsidRPr="00000000">
        <w:rPr>
          <w:rFonts w:ascii="Arial" w:cs="Arial" w:eastAsia="Arial" w:hAnsi="Arial"/>
          <w:rtl w:val="0"/>
        </w:rPr>
        <w:t xml:space="preserve">Akyüz K, Cano Abadía M, Goisauf M, Mayrhofer MT. Unlocking the potential of big data and AI in medicine: insights from biobanking. Front Med (Lausanne). 2024;11:1336588. doi:</w:t>
      </w:r>
      <w:hyperlink r:id="rId25">
        <w:r w:rsidDel="00000000" w:rsidR="00000000" w:rsidRPr="00000000">
          <w:rPr>
            <w:rFonts w:ascii="Arial" w:cs="Arial" w:eastAsia="Arial" w:hAnsi="Arial"/>
            <w:color w:val="1155cc"/>
            <w:u w:val="single"/>
            <w:rtl w:val="0"/>
          </w:rPr>
          <w:t xml:space="preserve">https://doi.org/10.3389/fmed.2024.1336588</w:t>
        </w:r>
      </w:hyperlink>
      <w:r w:rsidDel="00000000" w:rsidR="00000000" w:rsidRPr="00000000">
        <w:rPr>
          <w:rtl w:val="0"/>
        </w:rPr>
      </w:r>
    </w:p>
    <w:p w:rsidR="00000000" w:rsidDel="00000000" w:rsidP="00000000" w:rsidRDefault="00000000" w:rsidRPr="00000000" w14:paraId="000000F6">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F7">
      <w:pPr>
        <w:spacing w:after="0" w:line="480" w:lineRule="auto"/>
        <w:rPr>
          <w:rFonts w:ascii="Arial" w:cs="Arial" w:eastAsia="Arial" w:hAnsi="Arial"/>
        </w:rPr>
      </w:pPr>
      <w:r w:rsidDel="00000000" w:rsidR="00000000" w:rsidRPr="00000000">
        <w:rPr>
          <w:rFonts w:ascii="Arial" w:cs="Arial" w:eastAsia="Arial" w:hAnsi="Arial"/>
          <w:rtl w:val="0"/>
        </w:rPr>
        <w:t xml:space="preserve">Ou Z, Duh YS, Rommelfanger NJ, Keck CHC, Jiang S, Brinson K Jr, Zhao S, Schmidt EL, Wu X, Yang F, Cai B, Cui H, Qi W, Wu S, Tantry A, Roth R, Ding J, Chen X, Kaltschmidt JA, Brongersma ML, Hong G. Achieving optical transparency in live animals with absorbing molecules. Science. 2024 Sep 6;385(6713):eadm6869. doi: </w:t>
      </w:r>
      <w:hyperlink r:id="rId26">
        <w:r w:rsidDel="00000000" w:rsidR="00000000" w:rsidRPr="00000000">
          <w:rPr>
            <w:rFonts w:ascii="Arial" w:cs="Arial" w:eastAsia="Arial" w:hAnsi="Arial"/>
            <w:color w:val="1155cc"/>
            <w:u w:val="single"/>
            <w:rtl w:val="0"/>
          </w:rPr>
          <w:t xml:space="preserve">https://doi.org10.1126/science.adm6869</w:t>
        </w:r>
      </w:hyperlink>
      <w:r w:rsidDel="00000000" w:rsidR="00000000" w:rsidRPr="00000000">
        <w:rPr>
          <w:rtl w:val="0"/>
        </w:rPr>
      </w:r>
    </w:p>
    <w:p w:rsidR="00000000" w:rsidDel="00000000" w:rsidP="00000000" w:rsidRDefault="00000000" w:rsidRPr="00000000" w14:paraId="000000F8">
      <w:pPr>
        <w:spacing w:after="0" w:line="480" w:lineRule="auto"/>
        <w:rPr>
          <w:rFonts w:ascii="Arial" w:cs="Arial" w:eastAsia="Arial" w:hAnsi="Arial"/>
        </w:rPr>
      </w:pPr>
      <w:r w:rsidDel="00000000" w:rsidR="00000000" w:rsidRPr="00000000">
        <w:rPr>
          <w:rFonts w:ascii="Arial" w:cs="Arial" w:eastAsia="Arial" w:hAnsi="Arial"/>
          <w:rtl w:val="0"/>
        </w:rPr>
        <w:t xml:space="preserve">. Epub 2024 Sep 6. PMID: 39236186; PMCID: PMC11931656.</w:t>
      </w:r>
    </w:p>
    <w:p w:rsidR="00000000" w:rsidDel="00000000" w:rsidP="00000000" w:rsidRDefault="00000000" w:rsidRPr="00000000" w14:paraId="000000F9">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FA">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FB">
      <w:pPr>
        <w:spacing w:after="0" w:line="480" w:lineRule="auto"/>
        <w:rPr>
          <w:rFonts w:ascii="Arial" w:cs="Arial" w:eastAsia="Arial" w:hAnsi="Arial"/>
        </w:rPr>
      </w:pPr>
      <w:r w:rsidDel="00000000" w:rsidR="00000000" w:rsidRPr="00000000">
        <w:rPr>
          <w:rFonts w:ascii="Arial" w:cs="Arial" w:eastAsia="Arial" w:hAnsi="Arial"/>
          <w:rtl w:val="0"/>
        </w:rPr>
        <w:t xml:space="preserve">Davies, L. (2023, April 13). Ghana is first country to approve Oxford malaria vaccine. The Guardian. </w:t>
      </w:r>
      <w:hyperlink r:id="rId27">
        <w:r w:rsidDel="00000000" w:rsidR="00000000" w:rsidRPr="00000000">
          <w:rPr>
            <w:rFonts w:ascii="Arial" w:cs="Arial" w:eastAsia="Arial" w:hAnsi="Arial"/>
            <w:color w:val="1155cc"/>
            <w:u w:val="single"/>
            <w:rtl w:val="0"/>
          </w:rPr>
          <w:t xml:space="preserve">https://www.theguardian.com/global-development/2023/apr/13/ghana-is-first-country-to-approve-oxford-r21-malaria-vaccine</w:t>
        </w:r>
      </w:hyperlink>
      <w:r w:rsidDel="00000000" w:rsidR="00000000" w:rsidRPr="00000000">
        <w:rPr>
          <w:rtl w:val="0"/>
        </w:rPr>
      </w:r>
    </w:p>
    <w:p w:rsidR="00000000" w:rsidDel="00000000" w:rsidP="00000000" w:rsidRDefault="00000000" w:rsidRPr="00000000" w14:paraId="000000FC">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0FD">
      <w:pPr>
        <w:spacing w:after="0" w:line="480" w:lineRule="auto"/>
        <w:rPr>
          <w:rFonts w:ascii="Arial" w:cs="Arial" w:eastAsia="Arial" w:hAnsi="Arial"/>
        </w:rPr>
      </w:pPr>
      <w:r w:rsidDel="00000000" w:rsidR="00000000" w:rsidRPr="00000000">
        <w:rPr>
          <w:rFonts w:ascii="Arial" w:cs="Arial" w:eastAsia="Arial" w:hAnsi="Arial"/>
          <w:rtl w:val="0"/>
        </w:rPr>
        <w:t xml:space="preserve">Hussen BM, Taheri M, Yashooa RK, Abdullah GH, Abdullah SR, Kheder RK, Mustafa SA. Revolutionizing medicine: recent developments and future prospects in stem-cell therapy. Int J Surg. 2024 Dec 1;110(12):8002-8024. doi: </w:t>
      </w:r>
      <w:hyperlink r:id="rId28">
        <w:r w:rsidDel="00000000" w:rsidR="00000000" w:rsidRPr="00000000">
          <w:rPr>
            <w:rFonts w:ascii="Arial" w:cs="Arial" w:eastAsia="Arial" w:hAnsi="Arial"/>
            <w:color w:val="1155cc"/>
            <w:u w:val="single"/>
            <w:rtl w:val="0"/>
          </w:rPr>
          <w:t xml:space="preserve">https://doi.org/10.1097/JS9.0000000000002109</w:t>
        </w:r>
      </w:hyperlink>
      <w:r w:rsidDel="00000000" w:rsidR="00000000" w:rsidRPr="00000000">
        <w:rPr>
          <w:rtl w:val="0"/>
        </w:rPr>
      </w:r>
    </w:p>
    <w:p w:rsidR="00000000" w:rsidDel="00000000" w:rsidP="00000000" w:rsidRDefault="00000000" w:rsidRPr="00000000" w14:paraId="000000FE">
      <w:pPr>
        <w:spacing w:after="0" w:line="480" w:lineRule="auto"/>
        <w:rPr>
          <w:rFonts w:ascii="Arial" w:cs="Arial" w:eastAsia="Arial" w:hAnsi="Arial"/>
        </w:rPr>
      </w:pPr>
      <w:r w:rsidDel="00000000" w:rsidR="00000000" w:rsidRPr="00000000">
        <w:rPr>
          <w:rFonts w:ascii="Arial" w:cs="Arial" w:eastAsia="Arial" w:hAnsi="Arial"/>
          <w:rtl w:val="0"/>
        </w:rPr>
        <w:t xml:space="preserve">PMID: 39497543; PMCID: PMC11634165.</w:t>
      </w:r>
      <w:r w:rsidDel="00000000" w:rsidR="00000000" w:rsidRPr="00000000">
        <w:rPr>
          <w:rtl w:val="0"/>
        </w:rPr>
      </w:r>
    </w:p>
    <w:p w:rsidR="00000000" w:rsidDel="00000000" w:rsidP="00000000" w:rsidRDefault="00000000" w:rsidRPr="00000000" w14:paraId="000000FF">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00">
      <w:pPr>
        <w:spacing w:line="480" w:lineRule="auto"/>
        <w:rPr>
          <w:rFonts w:ascii="Arial" w:cs="Arial" w:eastAsia="Arial" w:hAnsi="Arial"/>
        </w:rPr>
      </w:pPr>
      <w:r w:rsidDel="00000000" w:rsidR="00000000" w:rsidRPr="00000000">
        <w:rPr>
          <w:rFonts w:ascii="Arial" w:cs="Arial" w:eastAsia="Arial" w:hAnsi="Arial"/>
          <w:rtl w:val="0"/>
        </w:rPr>
        <w:t xml:space="preserve">Doe, J. (2022). *The effects of technology on critical thinking*. Education Journal, 45(2), 123–135.</w:t>
      </w:r>
    </w:p>
    <w:p w:rsidR="00000000" w:rsidDel="00000000" w:rsidP="00000000" w:rsidRDefault="00000000" w:rsidRPr="00000000" w14:paraId="00000101">
      <w:pPr>
        <w:spacing w:line="480" w:lineRule="auto"/>
        <w:rPr>
          <w:rFonts w:ascii="Arial" w:cs="Arial" w:eastAsia="Arial" w:hAnsi="Arial"/>
        </w:rPr>
      </w:pPr>
      <w:r w:rsidDel="00000000" w:rsidR="00000000" w:rsidRPr="00000000">
        <w:rPr>
          <w:rFonts w:ascii="Arial" w:cs="Arial" w:eastAsia="Arial" w:hAnsi="Arial"/>
          <w:rtl w:val="0"/>
        </w:rPr>
        <w:t xml:space="preserve">Topol, E. (2019). *Deep medicine: How artificial intelligence can make healthcare human again*. Basic Books.</w:t>
      </w:r>
    </w:p>
    <w:p w:rsidR="00000000" w:rsidDel="00000000" w:rsidP="00000000" w:rsidRDefault="00000000" w:rsidRPr="00000000" w14:paraId="00000102">
      <w:pPr>
        <w:spacing w:line="480" w:lineRule="auto"/>
        <w:rPr>
          <w:rFonts w:ascii="Arial" w:cs="Arial" w:eastAsia="Arial" w:hAnsi="Arial"/>
        </w:rPr>
      </w:pPr>
      <w:hyperlink r:id="rId29">
        <w:r w:rsidDel="00000000" w:rsidR="00000000" w:rsidRPr="00000000">
          <w:rPr>
            <w:rFonts w:ascii="Arial" w:cs="Arial" w:eastAsia="Arial" w:hAnsi="Arial"/>
            <w:color w:val="1155cc"/>
            <w:u w:val="single"/>
            <w:rtl w:val="0"/>
          </w:rPr>
          <w:t xml:space="preserve">https://www.amazon.com/Deep-Medicine-Artificial-Intelligence-Healthcare/dp/1541644638</w:t>
        </w:r>
      </w:hyperlink>
      <w:r w:rsidDel="00000000" w:rsidR="00000000" w:rsidRPr="00000000">
        <w:rPr>
          <w:rtl w:val="0"/>
        </w:rPr>
      </w:r>
    </w:p>
    <w:p w:rsidR="00000000" w:rsidDel="00000000" w:rsidP="00000000" w:rsidRDefault="00000000" w:rsidRPr="00000000" w14:paraId="00000103">
      <w:pPr>
        <w:spacing w:line="480" w:lineRule="auto"/>
        <w:rPr>
          <w:rFonts w:ascii="Arial" w:cs="Arial" w:eastAsia="Arial" w:hAnsi="Arial"/>
        </w:rPr>
      </w:pPr>
      <w:r w:rsidDel="00000000" w:rsidR="00000000" w:rsidRPr="00000000">
        <w:rPr>
          <w:rtl w:val="0"/>
        </w:rPr>
      </w:r>
    </w:p>
    <w:p w:rsidR="00000000" w:rsidDel="00000000" w:rsidP="00000000" w:rsidRDefault="00000000" w:rsidRPr="00000000" w14:paraId="00000104">
      <w:pPr>
        <w:spacing w:line="480" w:lineRule="auto"/>
        <w:rPr>
          <w:rFonts w:ascii="Arial" w:cs="Arial" w:eastAsia="Arial" w:hAnsi="Arial"/>
        </w:rPr>
      </w:pPr>
      <w:r w:rsidDel="00000000" w:rsidR="00000000" w:rsidRPr="00000000">
        <w:rPr>
          <w:rFonts w:ascii="Arial" w:cs="Arial" w:eastAsia="Arial" w:hAnsi="Arial"/>
          <w:rtl w:val="0"/>
        </w:rPr>
        <w:t xml:space="preserve">Collins, F. S., &amp; Varmus, H. (2015). A new initiative on precision medicine. *New England Journal of Medicine, 372*(9), 793–795.</w:t>
      </w:r>
    </w:p>
    <w:p w:rsidR="00000000" w:rsidDel="00000000" w:rsidP="00000000" w:rsidRDefault="00000000" w:rsidRPr="00000000" w14:paraId="00000105">
      <w:pPr>
        <w:spacing w:line="480" w:lineRule="auto"/>
        <w:rPr>
          <w:rFonts w:ascii="Arial" w:cs="Arial" w:eastAsia="Arial" w:hAnsi="Arial"/>
        </w:rPr>
      </w:pPr>
      <w:hyperlink r:id="rId30">
        <w:r w:rsidDel="00000000" w:rsidR="00000000" w:rsidRPr="00000000">
          <w:rPr>
            <w:rFonts w:ascii="Arial" w:cs="Arial" w:eastAsia="Arial" w:hAnsi="Arial"/>
            <w:color w:val="1155cc"/>
            <w:u w:val="single"/>
            <w:rtl w:val="0"/>
          </w:rPr>
          <w:t xml:space="preserve">https://www.nejm.org/doi/10.1056/NEJMp1500523</w:t>
        </w:r>
      </w:hyperlink>
      <w:r w:rsidDel="00000000" w:rsidR="00000000" w:rsidRPr="00000000">
        <w:rPr>
          <w:rtl w:val="0"/>
        </w:rPr>
      </w:r>
    </w:p>
    <w:p w:rsidR="00000000" w:rsidDel="00000000" w:rsidP="00000000" w:rsidRDefault="00000000" w:rsidRPr="00000000" w14:paraId="00000106">
      <w:pPr>
        <w:spacing w:line="480" w:lineRule="auto"/>
        <w:rPr>
          <w:rFonts w:ascii="Arial" w:cs="Arial" w:eastAsia="Arial" w:hAnsi="Arial"/>
        </w:rPr>
      </w:pPr>
      <w:r w:rsidDel="00000000" w:rsidR="00000000" w:rsidRPr="00000000">
        <w:rPr>
          <w:rtl w:val="0"/>
        </w:rPr>
      </w:r>
    </w:p>
    <w:p w:rsidR="00000000" w:rsidDel="00000000" w:rsidP="00000000" w:rsidRDefault="00000000" w:rsidRPr="00000000" w14:paraId="00000107">
      <w:pPr>
        <w:spacing w:after="0" w:line="480" w:lineRule="auto"/>
        <w:rPr>
          <w:rFonts w:ascii="Arial" w:cs="Arial" w:eastAsia="Arial" w:hAnsi="Arial"/>
        </w:rPr>
      </w:pPr>
      <w:r w:rsidDel="00000000" w:rsidR="00000000" w:rsidRPr="00000000">
        <w:rPr>
          <w:rFonts w:ascii="Arial" w:cs="Arial" w:eastAsia="Arial" w:hAnsi="Arial"/>
          <w:rtl w:val="0"/>
        </w:rPr>
        <w:t xml:space="preserve">Figure 1</w:t>
      </w:r>
    </w:p>
    <w:p w:rsidR="00000000" w:rsidDel="00000000" w:rsidP="00000000" w:rsidRDefault="00000000" w:rsidRPr="00000000" w14:paraId="00000108">
      <w:pPr>
        <w:spacing w:after="0" w:line="480" w:lineRule="auto"/>
        <w:rPr>
          <w:rFonts w:ascii="Arial" w:cs="Arial" w:eastAsia="Arial" w:hAnsi="Arial"/>
        </w:rPr>
      </w:pPr>
      <w:r w:rsidDel="00000000" w:rsidR="00000000" w:rsidRPr="00000000">
        <w:rPr>
          <w:rFonts w:ascii="Arial" w:cs="Arial" w:eastAsia="Arial" w:hAnsi="Arial"/>
          <w:rtl w:val="0"/>
        </w:rPr>
        <w:t xml:space="preserve">CRISPR-Cas9 Genome Editing Mechanism</w:t>
      </w:r>
    </w:p>
    <w:p w:rsidR="00000000" w:rsidDel="00000000" w:rsidP="00000000" w:rsidRDefault="00000000" w:rsidRPr="00000000" w14:paraId="00000109">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0A">
      <w:pPr>
        <w:spacing w:after="0" w:line="480" w:lineRule="auto"/>
        <w:rPr>
          <w:rFonts w:ascii="Arial" w:cs="Arial" w:eastAsia="Arial" w:hAnsi="Arial"/>
        </w:rPr>
      </w:pPr>
      <w:r w:rsidDel="00000000" w:rsidR="00000000" w:rsidRPr="00000000">
        <w:rPr>
          <w:rFonts w:ascii="Arial" w:cs="Arial" w:eastAsia="Arial" w:hAnsi="Arial"/>
          <w:rtl w:val="0"/>
        </w:rPr>
        <w:t xml:space="preserve">Note. Adapted from “Schematic illustration of the CRISPR/Cas9 system and genome editing process,” by [Author(s)], 2019, ResearchGate. (</w:t>
      </w:r>
      <w:hyperlink r:id="rId31">
        <w:r w:rsidDel="00000000" w:rsidR="00000000" w:rsidRPr="00000000">
          <w:rPr>
            <w:rFonts w:ascii="Arial" w:cs="Arial" w:eastAsia="Arial" w:hAnsi="Arial"/>
            <w:color w:val="1155cc"/>
            <w:u w:val="single"/>
            <w:rtl w:val="0"/>
          </w:rPr>
          <w:t xml:space="preserve">https://www.researchgate.net/figure/Schematic-illustration-of-the-CRISPR-Cas9-system-and-genome-editing-process-The-Cas9_fig1_331705536</w:t>
        </w:r>
      </w:hyperlink>
      <w:r w:rsidDel="00000000" w:rsidR="00000000" w:rsidRPr="00000000">
        <w:rPr>
          <w:rFonts w:ascii="Arial" w:cs="Arial" w:eastAsia="Arial" w:hAnsi="Arial"/>
          <w:rtl w:val="0"/>
        </w:rPr>
        <w:t xml:space="preserve">). Licensed under CC BY 4.0.</w:t>
      </w:r>
    </w:p>
    <w:p w:rsidR="00000000" w:rsidDel="00000000" w:rsidP="00000000" w:rsidRDefault="00000000" w:rsidRPr="00000000" w14:paraId="0000010B">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0C">
      <w:pPr>
        <w:spacing w:after="0" w:line="480" w:lineRule="auto"/>
        <w:rPr>
          <w:rFonts w:ascii="Arial" w:cs="Arial" w:eastAsia="Arial" w:hAnsi="Arial"/>
        </w:rPr>
      </w:pPr>
      <w:r w:rsidDel="00000000" w:rsidR="00000000" w:rsidRPr="00000000">
        <w:rPr>
          <w:rFonts w:ascii="Arial" w:cs="Arial" w:eastAsia="Arial" w:hAnsi="Arial"/>
          <w:rtl w:val="0"/>
        </w:rPr>
        <w:t xml:space="preserve">Figure 2</w:t>
      </w:r>
    </w:p>
    <w:p w:rsidR="00000000" w:rsidDel="00000000" w:rsidP="00000000" w:rsidRDefault="00000000" w:rsidRPr="00000000" w14:paraId="0000010D">
      <w:pPr>
        <w:spacing w:after="0" w:line="480" w:lineRule="auto"/>
        <w:rPr>
          <w:rFonts w:ascii="Arial" w:cs="Arial" w:eastAsia="Arial" w:hAnsi="Arial"/>
        </w:rPr>
      </w:pPr>
      <w:r w:rsidDel="00000000" w:rsidR="00000000" w:rsidRPr="00000000">
        <w:rPr>
          <w:rFonts w:ascii="Arial" w:cs="Arial" w:eastAsia="Arial" w:hAnsi="Arial"/>
          <w:rtl w:val="0"/>
        </w:rPr>
        <w:t xml:space="preserve">Adapted from Tartof, S. Y., Slezak, J. M., Fischer, H., Hong, V., Ackerson, B. K., Ranasinghe, O. N., ... &amp; Lewin, B. J. (2021). Effectiveness of mRNA BNT162b2 COVID-19 vaccine up to 6 months in a large integrated health system in the USA: a retrospective cohort study. </w:t>
      </w:r>
      <w:r w:rsidDel="00000000" w:rsidR="00000000" w:rsidRPr="00000000">
        <w:rPr>
          <w:rFonts w:ascii="Arial" w:cs="Arial" w:eastAsia="Arial" w:hAnsi="Arial"/>
          <w:i w:val="1"/>
          <w:rtl w:val="0"/>
        </w:rPr>
        <w:t xml:space="preserve">The Lancet</w:t>
      </w:r>
      <w:r w:rsidDel="00000000" w:rsidR="00000000" w:rsidRPr="00000000">
        <w:rPr>
          <w:rFonts w:ascii="Arial" w:cs="Arial" w:eastAsia="Arial" w:hAnsi="Arial"/>
          <w:rtl w:val="0"/>
        </w:rPr>
        <w:t xml:space="preserve">, 398(10309), 1407-1416. </w:t>
      </w:r>
      <w:hyperlink r:id="rId32">
        <w:r w:rsidDel="00000000" w:rsidR="00000000" w:rsidRPr="00000000">
          <w:rPr>
            <w:rFonts w:ascii="Arial" w:cs="Arial" w:eastAsia="Arial" w:hAnsi="Arial"/>
            <w:color w:val="1155cc"/>
            <w:u w:val="single"/>
            <w:rtl w:val="0"/>
          </w:rPr>
          <w:t xml:space="preserve">https://doi.org/10.1016/S0140-6736(21)02183-8</w:t>
        </w:r>
      </w:hyperlink>
      <w:r w:rsidDel="00000000" w:rsidR="00000000" w:rsidRPr="00000000">
        <w:rPr>
          <w:rtl w:val="0"/>
        </w:rPr>
      </w:r>
    </w:p>
    <w:p w:rsidR="00000000" w:rsidDel="00000000" w:rsidP="00000000" w:rsidRDefault="00000000" w:rsidRPr="00000000" w14:paraId="0000010E">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0F">
      <w:pPr>
        <w:spacing w:after="0" w:line="480" w:lineRule="auto"/>
        <w:rPr>
          <w:rFonts w:ascii="Arial" w:cs="Arial" w:eastAsia="Arial" w:hAnsi="Arial"/>
        </w:rPr>
      </w:pPr>
      <w:r w:rsidDel="00000000" w:rsidR="00000000" w:rsidRPr="00000000">
        <w:rPr>
          <w:rFonts w:ascii="Arial" w:cs="Arial" w:eastAsia="Arial" w:hAnsi="Arial"/>
          <w:rtl w:val="0"/>
        </w:rPr>
        <w:t xml:space="preserve">Figure 3</w:t>
      </w:r>
    </w:p>
    <w:p w:rsidR="00000000" w:rsidDel="00000000" w:rsidP="00000000" w:rsidRDefault="00000000" w:rsidRPr="00000000" w14:paraId="00000110">
      <w:pPr>
        <w:spacing w:after="0" w:line="480" w:lineRule="auto"/>
        <w:rPr>
          <w:rFonts w:ascii="Arial" w:cs="Arial" w:eastAsia="Arial" w:hAnsi="Arial"/>
        </w:rPr>
      </w:pPr>
      <w:r w:rsidDel="00000000" w:rsidR="00000000" w:rsidRPr="00000000">
        <w:rPr>
          <w:rFonts w:ascii="Arial" w:cs="Arial" w:eastAsia="Arial" w:hAnsi="Arial"/>
          <w:rtl w:val="0"/>
        </w:rPr>
        <w:t xml:space="preserve">Application of AI in Medical Diagnostics</w:t>
      </w:r>
    </w:p>
    <w:p w:rsidR="00000000" w:rsidDel="00000000" w:rsidP="00000000" w:rsidRDefault="00000000" w:rsidRPr="00000000" w14:paraId="00000111">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12">
      <w:pPr>
        <w:spacing w:after="0" w:line="480" w:lineRule="auto"/>
        <w:rPr>
          <w:rFonts w:ascii="Arial" w:cs="Arial" w:eastAsia="Arial" w:hAnsi="Arial"/>
        </w:rPr>
      </w:pPr>
      <w:r w:rsidDel="00000000" w:rsidR="00000000" w:rsidRPr="00000000">
        <w:rPr>
          <w:rFonts w:ascii="Arial" w:cs="Arial" w:eastAsia="Arial" w:hAnsi="Arial"/>
          <w:rtl w:val="0"/>
        </w:rPr>
        <w:t xml:space="preserve">Note. Adapted from “Flow chart of application of AI in diagnosis, treatment and healthcare of OM,” by Xin Ding et al., 2023, ResearchGate. (</w:t>
      </w:r>
      <w:hyperlink r:id="rId33">
        <w:r w:rsidDel="00000000" w:rsidR="00000000" w:rsidRPr="00000000">
          <w:rPr>
            <w:rFonts w:ascii="Arial" w:cs="Arial" w:eastAsia="Arial" w:hAnsi="Arial"/>
            <w:color w:val="1155cc"/>
            <w:u w:val="single"/>
            <w:rtl w:val="0"/>
          </w:rPr>
          <w:t xml:space="preserve">https://www.researchgate.net/figure/Flow-chart-of-application-of-AI-in-diagnosis-treatment-and-healthcare-of-OM-collecting_fig1_372268408</w:t>
        </w:r>
      </w:hyperlink>
      <w:r w:rsidDel="00000000" w:rsidR="00000000" w:rsidRPr="00000000">
        <w:rPr>
          <w:rFonts w:ascii="Arial" w:cs="Arial" w:eastAsia="Arial" w:hAnsi="Arial"/>
          <w:rtl w:val="0"/>
        </w:rPr>
        <w:t xml:space="preserve">). Licensed under CC BY 4.0.</w:t>
      </w:r>
    </w:p>
    <w:p w:rsidR="00000000" w:rsidDel="00000000" w:rsidP="00000000" w:rsidRDefault="00000000" w:rsidRPr="00000000" w14:paraId="00000113">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14">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15">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16">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17">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18">
      <w:pPr>
        <w:spacing w:after="0" w:line="480" w:lineRule="auto"/>
        <w:rPr>
          <w:rFonts w:ascii="Arial" w:cs="Arial" w:eastAsia="Arial" w:hAnsi="Arial"/>
        </w:rPr>
      </w:pPr>
      <w:r w:rsidDel="00000000" w:rsidR="00000000" w:rsidRPr="00000000">
        <w:rPr>
          <w:rtl w:val="0"/>
        </w:rPr>
      </w:r>
    </w:p>
    <w:p w:rsidR="00000000" w:rsidDel="00000000" w:rsidP="00000000" w:rsidRDefault="00000000" w:rsidRPr="00000000" w14:paraId="00000119">
      <w:pPr>
        <w:spacing w:line="480" w:lineRule="auto"/>
        <w:rPr>
          <w:rFonts w:ascii="Arial" w:cs="Arial" w:eastAsia="Arial" w:hAnsi="Arial"/>
        </w:rPr>
      </w:pPr>
      <w:r w:rsidDel="00000000" w:rsidR="00000000" w:rsidRPr="00000000">
        <w:rPr>
          <w:rtl w:val="0"/>
        </w:rPr>
      </w:r>
    </w:p>
    <w:p w:rsidR="00000000" w:rsidDel="00000000" w:rsidP="00000000" w:rsidRDefault="00000000" w:rsidRPr="00000000" w14:paraId="0000011A">
      <w:pPr>
        <w:spacing w:line="480" w:lineRule="auto"/>
        <w:rPr>
          <w:rFonts w:ascii="Arial" w:cs="Arial" w:eastAsia="Arial" w:hAnsi="Arial"/>
        </w:rPr>
      </w:pPr>
      <w:r w:rsidDel="00000000" w:rsidR="00000000" w:rsidRPr="00000000">
        <w:rPr>
          <w:rtl w:val="0"/>
        </w:rPr>
      </w:r>
    </w:p>
    <w:sectPr>
      <w:headerReference r:id="rId34"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color w:val="4f81bd"/>
      <w:sz w:val="24"/>
      <w:szCs w:val="24"/>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20" Type="http://schemas.openxmlformats.org/officeDocument/2006/relationships/hyperlink" Target="https://doi.org/10.1016/j.jcyt.2020.02.006" TargetMode="External"/><Relationship Id="rId22" Type="http://schemas.openxmlformats.org/officeDocument/2006/relationships/hyperlink" Target="https://doi.org/10.3390/jcm11144119" TargetMode="External"/><Relationship Id="rId21" Type="http://schemas.openxmlformats.org/officeDocument/2006/relationships/hyperlink" Target="https://doi.org/10.1089/dia.2019.0011" TargetMode="External"/><Relationship Id="rId24" Type="http://schemas.openxmlformats.org/officeDocument/2006/relationships/hyperlink" Target="https://doi.org/10.2196/mental.7785" TargetMode="External"/><Relationship Id="rId23" Type="http://schemas.openxmlformats.org/officeDocument/2006/relationships/hyperlink" Target="https://doi.org/10.1177/2150131924129331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26" Type="http://schemas.openxmlformats.org/officeDocument/2006/relationships/hyperlink" Target="about:blank" TargetMode="External"/><Relationship Id="rId25" Type="http://schemas.openxmlformats.org/officeDocument/2006/relationships/hyperlink" Target="https://doi.org/10.3389/fmed.2024.1336588" TargetMode="External"/><Relationship Id="rId28" Type="http://schemas.openxmlformats.org/officeDocument/2006/relationships/hyperlink" Target="https://doi.org/10.1097/JS9.0000000000002109" TargetMode="External"/><Relationship Id="rId27" Type="http://schemas.openxmlformats.org/officeDocument/2006/relationships/hyperlink" Target="https://www.theguardian.com/global-development/2023/apr/13/ghana-is-first-country-to-approve-oxford-r21-malaria-vaccine"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www.amazon.com/Deep-Medicine-Artificial-Intelligence-Healthcare/dp/1541644638" TargetMode="External"/><Relationship Id="rId7" Type="http://schemas.openxmlformats.org/officeDocument/2006/relationships/image" Target="media/image1.png"/><Relationship Id="rId8" Type="http://schemas.openxmlformats.org/officeDocument/2006/relationships/image" Target="media/image5.png"/><Relationship Id="rId31" Type="http://schemas.openxmlformats.org/officeDocument/2006/relationships/hyperlink" Target="https://www.researchgate.net/figure/Schematic-illustration-of-the-CRISPR-Cas9-system-and-genome-editing-process-The-Cas9_fig1_331705536" TargetMode="External"/><Relationship Id="rId30" Type="http://schemas.openxmlformats.org/officeDocument/2006/relationships/hyperlink" Target="https://www.nejm.org/doi/10.1056/NEJMp1500523" TargetMode="External"/><Relationship Id="rId11" Type="http://schemas.openxmlformats.org/officeDocument/2006/relationships/hyperlink" Target="https://doi.org/10.1155/2022/9978571" TargetMode="External"/><Relationship Id="rId33" Type="http://schemas.openxmlformats.org/officeDocument/2006/relationships/hyperlink" Target="https://www.researchgate.net/figure/Flow-chart-of-application-of-AI-in-diagnosis-treatment-and-healthcare-of-OM-collecting_fig1_372268408" TargetMode="External"/><Relationship Id="rId10" Type="http://schemas.openxmlformats.org/officeDocument/2006/relationships/image" Target="media/image2.png"/><Relationship Id="rId32" Type="http://schemas.openxmlformats.org/officeDocument/2006/relationships/hyperlink" Target="https://doi.org/10.1016/S0140-6736(21)02183-8" TargetMode="External"/><Relationship Id="rId13" Type="http://schemas.openxmlformats.org/officeDocument/2006/relationships/hyperlink" Target="https://www.ema.europa.eu/en/news/first-gene-editing-therapy-treat-beta-thalassemia-and-severe-sickle-cell-disease" TargetMode="External"/><Relationship Id="rId12" Type="http://schemas.openxmlformats.org/officeDocument/2006/relationships/hyperlink" Target="https://www.fda.gov/news-events/press-announcements/fda-approves-first-gene-therapies-treat-patients-sickle-cell-disease" TargetMode="External"/><Relationship Id="rId34" Type="http://schemas.openxmlformats.org/officeDocument/2006/relationships/header" Target="header1.xml"/><Relationship Id="rId15" Type="http://schemas.openxmlformats.org/officeDocument/2006/relationships/hyperlink" Target="https://doi.org/10.1155/2022/9978571" TargetMode="External"/><Relationship Id="rId14" Type="http://schemas.openxmlformats.org/officeDocument/2006/relationships/hyperlink" Target="https://www.cas.org/resources/cas-insights/future-mrna-vaccines" TargetMode="External"/><Relationship Id="rId17" Type="http://schemas.openxmlformats.org/officeDocument/2006/relationships/hyperlink" Target="https://www.mckinsey.com/industries/healthcare/our-insights/telehealth-a-quarter-trillion-dollar-post-covid-19-reality" TargetMode="External"/><Relationship Id="rId16" Type="http://schemas.openxmlformats.org/officeDocument/2006/relationships/hyperlink" Target="https://doi.org/10.3390/diagnostics13172760" TargetMode="External"/><Relationship Id="rId19" Type="http://schemas.openxmlformats.org/officeDocument/2006/relationships/hyperlink" Target="https://www.nobelprize.org/prizes/medicine/2018/press-release/" TargetMode="External"/><Relationship Id="rId18" Type="http://schemas.openxmlformats.org/officeDocument/2006/relationships/hyperlink" Target="https://doi.org/10.1038/s41390-025-0402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2YrfBBzZg8vGwdcy66xrCu4Dhw==">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