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2AA9" w14:textId="1A041948" w:rsidR="00EF4B94" w:rsidRDefault="00914C56"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822"/>
        <w:gridCol w:w="7041"/>
        <w:gridCol w:w="720"/>
        <w:gridCol w:w="4320"/>
      </w:tblGrid>
      <w:tr w:rsidR="00D8098C" w:rsidRPr="00B853C6" w14:paraId="68BC94E2" w14:textId="1CEFEAFD" w:rsidTr="003D447D">
        <w:tc>
          <w:tcPr>
            <w:tcW w:w="587" w:type="dxa"/>
            <w:tcBorders>
              <w:top w:val="single" w:sz="4" w:space="0" w:color="auto"/>
              <w:bottom w:val="single" w:sz="6" w:space="0" w:color="7F7F7F"/>
            </w:tcBorders>
            <w:shd w:val="clear" w:color="auto" w:fill="auto"/>
          </w:tcPr>
          <w:p w14:paraId="00DEF8A5"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shd w:val="clear" w:color="auto" w:fill="auto"/>
          </w:tcPr>
          <w:p w14:paraId="04F587D2"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shd w:val="clear" w:color="auto" w:fill="auto"/>
          </w:tcPr>
          <w:p w14:paraId="5A682768" w14:textId="77777777" w:rsidR="00D8098C" w:rsidRPr="00F0337F" w:rsidRDefault="00D8098C"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720" w:type="dxa"/>
            <w:tcBorders>
              <w:top w:val="single" w:sz="4" w:space="0" w:color="auto"/>
              <w:bottom w:val="single" w:sz="6" w:space="0" w:color="7F7F7F"/>
            </w:tcBorders>
          </w:tcPr>
          <w:p w14:paraId="26D050FB" w14:textId="497E77E4" w:rsidR="00D8098C" w:rsidRPr="00F0337F"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c>
          <w:tcPr>
            <w:tcW w:w="4320" w:type="dxa"/>
            <w:tcBorders>
              <w:top w:val="single" w:sz="4" w:space="0" w:color="auto"/>
              <w:bottom w:val="single" w:sz="6" w:space="0" w:color="7F7F7F"/>
            </w:tcBorders>
          </w:tcPr>
          <w:p w14:paraId="3B169EDD" w14:textId="040F4512" w:rsidR="00D8098C" w:rsidRDefault="00EF4B94" w:rsidP="00426603">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Relevant text from manuscript</w:t>
            </w:r>
          </w:p>
        </w:tc>
      </w:tr>
      <w:tr w:rsidR="00D8098C" w:rsidRPr="00B853C6" w14:paraId="6D71F361" w14:textId="15A67F44" w:rsidTr="003D447D">
        <w:tc>
          <w:tcPr>
            <w:tcW w:w="587" w:type="dxa"/>
            <w:tcBorders>
              <w:top w:val="single" w:sz="6" w:space="0" w:color="7F7F7F"/>
              <w:bottom w:val="single" w:sz="6" w:space="0" w:color="7F7F7F"/>
            </w:tcBorders>
            <w:shd w:val="clear" w:color="auto" w:fill="EEEEEE"/>
          </w:tcPr>
          <w:p w14:paraId="25A8835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4CC4316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1DA8BD46" w14:textId="22BBD1AD" w:rsidR="00D8098C" w:rsidRPr="00F0337F" w:rsidRDefault="00D8098C"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sidR="000A4CE8">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sidR="006912BF">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720" w:type="dxa"/>
            <w:tcBorders>
              <w:top w:val="single" w:sz="6" w:space="0" w:color="7F7F7F"/>
              <w:bottom w:val="single" w:sz="6" w:space="0" w:color="7F7F7F"/>
            </w:tcBorders>
            <w:shd w:val="clear" w:color="auto" w:fill="EEEEEE"/>
          </w:tcPr>
          <w:p w14:paraId="428F187D" w14:textId="570DF73A"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1</w:t>
            </w:r>
          </w:p>
        </w:tc>
        <w:tc>
          <w:tcPr>
            <w:tcW w:w="4320" w:type="dxa"/>
            <w:tcBorders>
              <w:top w:val="single" w:sz="6" w:space="0" w:color="7F7F7F"/>
              <w:bottom w:val="single" w:sz="6" w:space="0" w:color="7F7F7F"/>
            </w:tcBorders>
            <w:shd w:val="clear" w:color="auto" w:fill="EEEEEE"/>
          </w:tcPr>
          <w:p w14:paraId="30713829" w14:textId="77777777" w:rsidR="008E6B08" w:rsidRPr="008E6B08" w:rsidRDefault="008E6B08" w:rsidP="008E6B08">
            <w:pPr>
              <w:spacing w:beforeLines="50" w:before="120" w:afterLines="50" w:after="120"/>
              <w:rPr>
                <w:rFonts w:eastAsia="Times New Roman"/>
                <w:sz w:val="18"/>
                <w:szCs w:val="18"/>
                <w:lang w:val="en-GB" w:eastAsia="en-GB"/>
              </w:rPr>
            </w:pPr>
            <w:r w:rsidRPr="008E6B08">
              <w:rPr>
                <w:rFonts w:eastAsia="Times New Roman"/>
                <w:sz w:val="18"/>
                <w:szCs w:val="18"/>
                <w:lang w:val="en-GB" w:eastAsia="en-GB"/>
              </w:rPr>
              <w:t>This study aimed to identify novel biomarkers and elucidate the molecular mechanisms of knee OA by integrating RNA sequencing (RNA-seq), Mendelian Randomization (MR), and machine learning (ML) approaches.</w:t>
            </w:r>
          </w:p>
          <w:p w14:paraId="2F6D1FAF" w14:textId="77777777" w:rsidR="00D8098C" w:rsidRPr="008E6B08"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41E6A58" w14:textId="3A4EC1CE" w:rsidTr="003D447D">
        <w:tc>
          <w:tcPr>
            <w:tcW w:w="587" w:type="dxa"/>
            <w:tcBorders>
              <w:top w:val="single" w:sz="6" w:space="0" w:color="7F7F7F"/>
            </w:tcBorders>
            <w:shd w:val="clear" w:color="auto" w:fill="auto"/>
          </w:tcPr>
          <w:p w14:paraId="4792BEF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63B58F01"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shd w:val="clear" w:color="auto" w:fill="auto"/>
          </w:tcPr>
          <w:p w14:paraId="473C01D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6681F500" w14:textId="77777777" w:rsidR="00D8098C" w:rsidRPr="00F0337F"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7A6DC6E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7DB622D8" w14:textId="3921B7E8" w:rsidTr="003D447D">
        <w:tc>
          <w:tcPr>
            <w:tcW w:w="587" w:type="dxa"/>
            <w:shd w:val="clear" w:color="auto" w:fill="EEEEEE"/>
          </w:tcPr>
          <w:p w14:paraId="7DE28D61"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14:paraId="7756B327"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14:paraId="5423D52E" w14:textId="5998ED56"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sidR="00514462">
              <w:rPr>
                <w:rFonts w:eastAsia="Times New Roman"/>
                <w:sz w:val="18"/>
                <w:szCs w:val="18"/>
                <w:lang w:val="en-GB" w:eastAsia="en-GB"/>
              </w:rPr>
              <w:t xml:space="preserve">a </w:t>
            </w:r>
            <w:r>
              <w:rPr>
                <w:rFonts w:eastAsia="Times New Roman"/>
                <w:sz w:val="18"/>
                <w:szCs w:val="18"/>
                <w:lang w:val="en-GB" w:eastAsia="en-GB"/>
              </w:rPr>
              <w:t>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720" w:type="dxa"/>
            <w:shd w:val="clear" w:color="auto" w:fill="EEEEEE"/>
          </w:tcPr>
          <w:p w14:paraId="460FB29C" w14:textId="702C753D"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2</w:t>
            </w:r>
          </w:p>
        </w:tc>
        <w:tc>
          <w:tcPr>
            <w:tcW w:w="4320" w:type="dxa"/>
            <w:shd w:val="clear" w:color="auto" w:fill="EEEEEE"/>
          </w:tcPr>
          <w:p w14:paraId="5D990A22" w14:textId="087CED24" w:rsidR="00D8098C" w:rsidRPr="008E6B08" w:rsidRDefault="008E6B08" w:rsidP="00426603">
            <w:pPr>
              <w:spacing w:beforeLines="40" w:before="96" w:afterLines="40" w:after="96" w:line="24" w:lineRule="atLeast"/>
              <w:rPr>
                <w:rFonts w:eastAsia="Times New Roman" w:hint="eastAsia"/>
                <w:sz w:val="18"/>
                <w:szCs w:val="18"/>
                <w:lang w:val="en-GB" w:eastAsia="en-GB"/>
              </w:rPr>
            </w:pPr>
            <w:r w:rsidRPr="008E6B08">
              <w:rPr>
                <w:rFonts w:eastAsia="Times New Roman"/>
                <w:sz w:val="18"/>
                <w:szCs w:val="18"/>
                <w:lang w:val="en-GB" w:eastAsia="en-GB"/>
              </w:rPr>
              <w:t>Expression quantitative trait loci (</w:t>
            </w:r>
            <w:proofErr w:type="spellStart"/>
            <w:r w:rsidRPr="008E6B08">
              <w:rPr>
                <w:rFonts w:eastAsia="Times New Roman"/>
                <w:sz w:val="18"/>
                <w:szCs w:val="18"/>
                <w:lang w:val="en-GB" w:eastAsia="en-GB"/>
              </w:rPr>
              <w:t>eQTL</w:t>
            </w:r>
            <w:proofErr w:type="spellEnd"/>
            <w:r w:rsidRPr="008E6B08">
              <w:rPr>
                <w:rFonts w:eastAsia="Times New Roman"/>
                <w:sz w:val="18"/>
                <w:szCs w:val="18"/>
                <w:lang w:val="en-GB" w:eastAsia="en-GB"/>
              </w:rPr>
              <w:t>) analysis serves as an effective approach to link genetic variants with gene expression levels, offering a valuable perspective on the regulatory mechanisms underlying disease susceptibility</w:t>
            </w:r>
            <w:r w:rsidRPr="008E6B08">
              <w:rPr>
                <w:rFonts w:eastAsia="Times New Roman" w:hint="eastAsia"/>
                <w:sz w:val="18"/>
                <w:szCs w:val="18"/>
                <w:lang w:val="en-GB" w:eastAsia="en-GB"/>
              </w:rPr>
              <w:t>.</w:t>
            </w:r>
            <w:r w:rsidRPr="008E6B08">
              <w:rPr>
                <w:rFonts w:eastAsia="Times New Roman"/>
                <w:sz w:val="18"/>
                <w:szCs w:val="18"/>
                <w:lang w:val="en-GB" w:eastAsia="en-GB"/>
              </w:rPr>
              <w:t xml:space="preserve"> </w:t>
            </w:r>
            <w:r w:rsidRPr="008E6B08">
              <w:rPr>
                <w:rFonts w:eastAsia="Times New Roman"/>
                <w:sz w:val="18"/>
                <w:szCs w:val="18"/>
                <w:lang w:val="en-GB" w:eastAsia="en-GB"/>
              </w:rPr>
              <w:t>SMR leverages genetic variants as instrumental variables to assess whether changes in gene expression directly contribute to disease phenotypes.</w:t>
            </w:r>
          </w:p>
        </w:tc>
      </w:tr>
      <w:tr w:rsidR="00D8098C" w:rsidRPr="00B853C6" w14:paraId="7907A3D3" w14:textId="5AB948A7" w:rsidTr="003D447D">
        <w:tc>
          <w:tcPr>
            <w:tcW w:w="587" w:type="dxa"/>
            <w:tcBorders>
              <w:bottom w:val="single" w:sz="6" w:space="0" w:color="7F7F7F"/>
            </w:tcBorders>
            <w:shd w:val="clear" w:color="auto" w:fill="auto"/>
          </w:tcPr>
          <w:p w14:paraId="4F63B03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shd w:val="clear" w:color="auto" w:fill="auto"/>
          </w:tcPr>
          <w:p w14:paraId="3E6B9EE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shd w:val="clear" w:color="auto" w:fill="auto"/>
          </w:tcPr>
          <w:p w14:paraId="41BC8A04" w14:textId="77777777" w:rsidR="00D8098C" w:rsidRPr="008E6B08" w:rsidRDefault="00D8098C" w:rsidP="00426603">
            <w:pPr>
              <w:spacing w:beforeLines="40" w:before="96" w:afterLines="40" w:after="96" w:line="24" w:lineRule="atLeast"/>
              <w:rPr>
                <w:rFonts w:eastAsia="Cambria"/>
                <w:b/>
                <w:bCs/>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720" w:type="dxa"/>
            <w:tcBorders>
              <w:bottom w:val="single" w:sz="6" w:space="0" w:color="7F7F7F"/>
            </w:tcBorders>
          </w:tcPr>
          <w:p w14:paraId="2294F6C5" w14:textId="3238812B"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2</w:t>
            </w:r>
          </w:p>
        </w:tc>
        <w:tc>
          <w:tcPr>
            <w:tcW w:w="4320" w:type="dxa"/>
            <w:tcBorders>
              <w:bottom w:val="single" w:sz="6" w:space="0" w:color="7F7F7F"/>
            </w:tcBorders>
          </w:tcPr>
          <w:p w14:paraId="11250836" w14:textId="6223BB16" w:rsidR="00D8098C" w:rsidRPr="004D7CAB" w:rsidRDefault="008E6B08" w:rsidP="00426603">
            <w:pPr>
              <w:spacing w:beforeLines="40" w:before="96" w:afterLines="40" w:after="96" w:line="24" w:lineRule="atLeast"/>
              <w:rPr>
                <w:rFonts w:eastAsiaTheme="minorEastAsia" w:hint="eastAsia"/>
                <w:sz w:val="18"/>
                <w:szCs w:val="18"/>
                <w:lang w:val="en-GB" w:eastAsia="zh-CN"/>
              </w:rPr>
            </w:pPr>
            <w:r w:rsidRPr="008E6B08">
              <w:rPr>
                <w:rFonts w:eastAsia="Times New Roman"/>
                <w:sz w:val="18"/>
                <w:szCs w:val="18"/>
                <w:lang w:val="en-GB" w:eastAsia="en-GB"/>
              </w:rPr>
              <w:t>To further infer causal relationships between gene expression and disease traits, the Summary-data-based Mendelian Randomization (SMR) method has been developed</w:t>
            </w:r>
            <w:r w:rsidR="004D7CAB">
              <w:rPr>
                <w:rFonts w:eastAsiaTheme="minorEastAsia" w:hint="eastAsia"/>
                <w:sz w:val="18"/>
                <w:szCs w:val="18"/>
                <w:lang w:val="en-GB" w:eastAsia="zh-CN"/>
              </w:rPr>
              <w:t>.</w:t>
            </w:r>
          </w:p>
        </w:tc>
      </w:tr>
      <w:tr w:rsidR="00D8098C" w:rsidRPr="00B853C6" w14:paraId="59599383" w14:textId="2880B554" w:rsidTr="003D447D">
        <w:tc>
          <w:tcPr>
            <w:tcW w:w="587" w:type="dxa"/>
            <w:tcBorders>
              <w:top w:val="single" w:sz="6" w:space="0" w:color="7F7F7F"/>
            </w:tcBorders>
            <w:shd w:val="clear" w:color="auto" w:fill="EEEEEE"/>
          </w:tcPr>
          <w:p w14:paraId="3524D6D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6152628C"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14:paraId="309B85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shd w:val="clear" w:color="auto" w:fill="EEEEEE"/>
          </w:tcPr>
          <w:p w14:paraId="2FFEF450"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shd w:val="clear" w:color="auto" w:fill="EEEEEE"/>
          </w:tcPr>
          <w:p w14:paraId="6CB9315A"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440155E" w14:textId="16610A1F" w:rsidTr="003D447D">
        <w:tc>
          <w:tcPr>
            <w:tcW w:w="587" w:type="dxa"/>
            <w:shd w:val="clear" w:color="auto" w:fill="auto"/>
          </w:tcPr>
          <w:p w14:paraId="5C7CF34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shd w:val="clear" w:color="auto" w:fill="auto"/>
          </w:tcPr>
          <w:p w14:paraId="408E2A89"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shd w:val="clear" w:color="auto" w:fill="auto"/>
          </w:tcPr>
          <w:p w14:paraId="29029CA4"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720" w:type="dxa"/>
          </w:tcPr>
          <w:p w14:paraId="0E181C75" w14:textId="5F4AC553"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23CE0AC6" w14:textId="269FFE21" w:rsidR="00D8098C" w:rsidRPr="004D7CAB" w:rsidRDefault="008E6B08" w:rsidP="00426603">
            <w:pPr>
              <w:spacing w:beforeLines="40" w:before="96" w:afterLines="40" w:after="96" w:line="24" w:lineRule="atLeast"/>
              <w:rPr>
                <w:rFonts w:eastAsiaTheme="minorEastAsia" w:hint="eastAsia"/>
                <w:sz w:val="18"/>
                <w:szCs w:val="18"/>
                <w:lang w:val="en-GB" w:eastAsia="zh-CN"/>
              </w:rPr>
            </w:pPr>
            <w:r w:rsidRPr="008E6B08">
              <w:rPr>
                <w:rFonts w:eastAsia="Times New Roman"/>
                <w:sz w:val="18"/>
                <w:szCs w:val="18"/>
                <w:lang w:val="en-GB" w:eastAsia="en-GB"/>
              </w:rPr>
              <w:t xml:space="preserve">This study utilized available </w:t>
            </w:r>
            <w:proofErr w:type="spellStart"/>
            <w:r w:rsidRPr="008E6B08">
              <w:rPr>
                <w:rFonts w:eastAsia="Times New Roman"/>
                <w:sz w:val="18"/>
                <w:szCs w:val="18"/>
                <w:lang w:val="en-GB" w:eastAsia="en-GB"/>
              </w:rPr>
              <w:t>eQTL</w:t>
            </w:r>
            <w:proofErr w:type="spellEnd"/>
            <w:r w:rsidRPr="008E6B08">
              <w:rPr>
                <w:rFonts w:eastAsia="Times New Roman"/>
                <w:sz w:val="18"/>
                <w:szCs w:val="18"/>
                <w:lang w:val="en-GB" w:eastAsia="en-GB"/>
              </w:rPr>
              <w:t xml:space="preserve"> as proxies for the expression of identified marker genes. The </w:t>
            </w:r>
            <w:proofErr w:type="spellStart"/>
            <w:r w:rsidRPr="008E6B08">
              <w:rPr>
                <w:rFonts w:eastAsia="Times New Roman"/>
                <w:sz w:val="18"/>
                <w:szCs w:val="18"/>
                <w:lang w:val="en-GB" w:eastAsia="en-GB"/>
              </w:rPr>
              <w:t>eQTL</w:t>
            </w:r>
            <w:proofErr w:type="spellEnd"/>
            <w:r w:rsidRPr="008E6B08">
              <w:rPr>
                <w:rFonts w:eastAsia="Times New Roman"/>
                <w:sz w:val="18"/>
                <w:szCs w:val="18"/>
                <w:lang w:val="en-GB" w:eastAsia="en-GB"/>
              </w:rPr>
              <w:t xml:space="preserve"> summary data were obtained from the </w:t>
            </w:r>
            <w:proofErr w:type="spellStart"/>
            <w:r w:rsidRPr="008E6B08">
              <w:rPr>
                <w:rFonts w:eastAsia="Times New Roman"/>
                <w:sz w:val="18"/>
                <w:szCs w:val="18"/>
                <w:lang w:val="en-GB" w:eastAsia="en-GB"/>
              </w:rPr>
              <w:t>eQTLGen</w:t>
            </w:r>
            <w:proofErr w:type="spellEnd"/>
            <w:r w:rsidRPr="008E6B08">
              <w:rPr>
                <w:rFonts w:eastAsia="Times New Roman"/>
                <w:sz w:val="18"/>
                <w:szCs w:val="18"/>
                <w:lang w:val="en-GB" w:eastAsia="en-GB"/>
              </w:rPr>
              <w:t xml:space="preserve"> Consortium (</w:t>
            </w:r>
            <w:hyperlink r:id="rId10" w:tgtFrame="_new" w:history="1">
              <w:r w:rsidRPr="008E6B08">
                <w:rPr>
                  <w:rFonts w:eastAsia="Times New Roman"/>
                  <w:sz w:val="18"/>
                  <w:szCs w:val="18"/>
                  <w:lang w:val="en-GB" w:eastAsia="en-GB"/>
                </w:rPr>
                <w:t>https://www.eqtlgen.org/</w:t>
              </w:r>
            </w:hyperlink>
            <w:r w:rsidRPr="008E6B08">
              <w:rPr>
                <w:rFonts w:eastAsia="Times New Roman" w:hint="eastAsia"/>
                <w:sz w:val="18"/>
                <w:szCs w:val="18"/>
                <w:lang w:val="en-GB" w:eastAsia="en-GB"/>
              </w:rPr>
              <w:t>)</w:t>
            </w:r>
            <w:r w:rsidRPr="008E6B08">
              <w:rPr>
                <w:rFonts w:eastAsia="Times New Roman" w:hint="eastAsia"/>
                <w:sz w:val="18"/>
                <w:szCs w:val="18"/>
                <w:lang w:val="en-GB" w:eastAsia="en-GB"/>
              </w:rPr>
              <w:t>.</w:t>
            </w:r>
            <w:r w:rsidRPr="008E6B08">
              <w:rPr>
                <w:rFonts w:eastAsia="Times New Roman"/>
                <w:sz w:val="18"/>
                <w:szCs w:val="18"/>
                <w:lang w:val="en-GB" w:eastAsia="en-GB"/>
              </w:rPr>
              <w:t xml:space="preserve"> </w:t>
            </w:r>
            <w:r w:rsidRPr="008E6B08">
              <w:rPr>
                <w:rFonts w:eastAsia="Times New Roman"/>
                <w:sz w:val="18"/>
                <w:szCs w:val="18"/>
                <w:lang w:val="en-GB" w:eastAsia="en-GB"/>
              </w:rPr>
              <w:t xml:space="preserve">The outcome of knee </w:t>
            </w:r>
            <w:r w:rsidRPr="008E6B08">
              <w:rPr>
                <w:rFonts w:eastAsia="Times New Roman" w:hint="eastAsia"/>
                <w:sz w:val="18"/>
                <w:szCs w:val="18"/>
                <w:lang w:val="en-GB" w:eastAsia="en-GB"/>
              </w:rPr>
              <w:t>OA</w:t>
            </w:r>
            <w:r w:rsidRPr="008E6B08">
              <w:rPr>
                <w:rFonts w:eastAsia="Times New Roman"/>
                <w:sz w:val="18"/>
                <w:szCs w:val="18"/>
                <w:lang w:val="en-GB" w:eastAsia="en-GB"/>
              </w:rPr>
              <w:t xml:space="preserve"> (knee OA</w:t>
            </w:r>
            <w:r w:rsidRPr="008E6B08">
              <w:rPr>
                <w:rFonts w:eastAsia="Times New Roman" w:hint="eastAsia"/>
                <w:sz w:val="18"/>
                <w:szCs w:val="18"/>
                <w:lang w:val="en-GB" w:eastAsia="en-GB"/>
              </w:rPr>
              <w:t>:</w:t>
            </w:r>
            <w:r w:rsidRPr="008E6B08">
              <w:rPr>
                <w:rFonts w:eastAsia="Times New Roman"/>
                <w:sz w:val="18"/>
                <w:szCs w:val="18"/>
                <w:lang w:val="en-GB" w:eastAsia="en-GB"/>
              </w:rPr>
              <w:t xml:space="preserve"> GCST007090), was derived from the GWAS, which included 24,955 cases of European ancestry and 378,169 controls</w:t>
            </w:r>
            <w:r w:rsidR="004D7CAB">
              <w:rPr>
                <w:rFonts w:eastAsiaTheme="minorEastAsia" w:hint="eastAsia"/>
                <w:sz w:val="18"/>
                <w:szCs w:val="18"/>
                <w:lang w:val="en-GB" w:eastAsia="zh-CN"/>
              </w:rPr>
              <w:t>.</w:t>
            </w:r>
          </w:p>
        </w:tc>
      </w:tr>
      <w:tr w:rsidR="00D8098C" w:rsidRPr="00B853C6" w14:paraId="47D5AE21" w14:textId="3CA8D4AF" w:rsidTr="003D447D">
        <w:tc>
          <w:tcPr>
            <w:tcW w:w="587" w:type="dxa"/>
            <w:shd w:val="clear" w:color="auto" w:fill="EEEEEE"/>
          </w:tcPr>
          <w:p w14:paraId="0980B68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9E72ACB"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246167BE"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720" w:type="dxa"/>
            <w:shd w:val="clear" w:color="auto" w:fill="EEEEEE"/>
          </w:tcPr>
          <w:p w14:paraId="048ED5CF" w14:textId="696A5354" w:rsidR="00D8098C" w:rsidRPr="008E6B08" w:rsidRDefault="008E6B08" w:rsidP="00426603">
            <w:pPr>
              <w:spacing w:beforeLines="40" w:before="96" w:afterLines="40" w:after="96" w:line="24" w:lineRule="atLeast"/>
              <w:rPr>
                <w:rFonts w:eastAsiaTheme="minorEastAsia" w:hint="eastAsia"/>
                <w:sz w:val="18"/>
                <w:szCs w:val="18"/>
                <w:shd w:val="clear" w:color="auto" w:fill="FFFFFF"/>
                <w:lang w:val="en-GB" w:eastAsia="zh-CN"/>
              </w:rPr>
            </w:pPr>
            <w:r>
              <w:rPr>
                <w:rFonts w:eastAsiaTheme="minorEastAsia" w:hint="eastAsia"/>
                <w:sz w:val="18"/>
                <w:szCs w:val="18"/>
                <w:shd w:val="clear" w:color="auto" w:fill="FFFFFF"/>
                <w:lang w:val="en-GB" w:eastAsia="zh-CN"/>
              </w:rPr>
              <w:t>4</w:t>
            </w:r>
          </w:p>
        </w:tc>
        <w:tc>
          <w:tcPr>
            <w:tcW w:w="4320" w:type="dxa"/>
            <w:shd w:val="clear" w:color="auto" w:fill="EEEEEE"/>
          </w:tcPr>
          <w:p w14:paraId="34D362DB" w14:textId="77777777" w:rsidR="008E6B08" w:rsidRPr="008E6B08" w:rsidRDefault="008E6B08" w:rsidP="008E6B08">
            <w:pPr>
              <w:spacing w:beforeLines="40" w:before="96" w:afterLines="40" w:after="96" w:line="24" w:lineRule="atLeast"/>
              <w:rPr>
                <w:rFonts w:eastAsia="Times New Roman"/>
                <w:sz w:val="18"/>
                <w:szCs w:val="18"/>
                <w:lang w:val="en-GB" w:eastAsia="en-GB"/>
              </w:rPr>
            </w:pPr>
            <w:r w:rsidRPr="008E6B08">
              <w:rPr>
                <w:rFonts w:eastAsia="Times New Roman"/>
                <w:sz w:val="18"/>
                <w:szCs w:val="18"/>
                <w:lang w:val="en-GB" w:eastAsia="en-GB"/>
              </w:rPr>
              <w:t>All datasets</w:t>
            </w:r>
            <w:r w:rsidRPr="008E6B08">
              <w:rPr>
                <w:rFonts w:eastAsia="Times New Roman" w:hint="eastAsia"/>
                <w:sz w:val="18"/>
                <w:szCs w:val="18"/>
                <w:lang w:val="en-GB" w:eastAsia="en-GB"/>
              </w:rPr>
              <w:t xml:space="preserve"> and more </w:t>
            </w:r>
            <w:proofErr w:type="spellStart"/>
            <w:r w:rsidRPr="008E6B08">
              <w:rPr>
                <w:rFonts w:eastAsia="Times New Roman" w:hint="eastAsia"/>
                <w:sz w:val="18"/>
                <w:szCs w:val="18"/>
                <w:lang w:val="en-GB" w:eastAsia="en-GB"/>
              </w:rPr>
              <w:t>informations</w:t>
            </w:r>
            <w:proofErr w:type="spellEnd"/>
            <w:r w:rsidRPr="008E6B08">
              <w:rPr>
                <w:rFonts w:eastAsia="Times New Roman"/>
                <w:sz w:val="18"/>
                <w:szCs w:val="18"/>
                <w:lang w:val="en-GB" w:eastAsia="en-GB"/>
              </w:rPr>
              <w:t xml:space="preserve"> are accessible through the IEU </w:t>
            </w:r>
            <w:proofErr w:type="spellStart"/>
            <w:r w:rsidRPr="008E6B08">
              <w:rPr>
                <w:rFonts w:eastAsia="Times New Roman"/>
                <w:sz w:val="18"/>
                <w:szCs w:val="18"/>
                <w:lang w:val="en-GB" w:eastAsia="en-GB"/>
              </w:rPr>
              <w:t>OpenGWAS</w:t>
            </w:r>
            <w:proofErr w:type="spellEnd"/>
            <w:r w:rsidRPr="008E6B08">
              <w:rPr>
                <w:rFonts w:eastAsia="Times New Roman"/>
                <w:sz w:val="18"/>
                <w:szCs w:val="18"/>
                <w:lang w:val="en-GB" w:eastAsia="en-GB"/>
              </w:rPr>
              <w:t xml:space="preserve"> project.</w:t>
            </w:r>
          </w:p>
          <w:p w14:paraId="33F4171D" w14:textId="77777777" w:rsidR="00D8098C" w:rsidRPr="008E6B08" w:rsidRDefault="00D8098C" w:rsidP="008E6B08">
            <w:pPr>
              <w:spacing w:beforeLines="40" w:before="96" w:afterLines="40" w:after="96" w:line="24" w:lineRule="atLeast"/>
              <w:rPr>
                <w:rFonts w:eastAsia="Times New Roman"/>
                <w:sz w:val="18"/>
                <w:szCs w:val="18"/>
                <w:lang w:val="en-GB" w:eastAsia="en-GB"/>
              </w:rPr>
            </w:pPr>
          </w:p>
        </w:tc>
      </w:tr>
      <w:tr w:rsidR="00D8098C" w:rsidRPr="00B853C6" w14:paraId="376A6F82" w14:textId="43693FDC" w:rsidTr="003D447D">
        <w:tc>
          <w:tcPr>
            <w:tcW w:w="587" w:type="dxa"/>
            <w:shd w:val="clear" w:color="auto" w:fill="auto"/>
          </w:tcPr>
          <w:p w14:paraId="6B85F4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CF2EB5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E3BCE69"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720" w:type="dxa"/>
          </w:tcPr>
          <w:p w14:paraId="29ACC32C" w14:textId="10814FAD" w:rsidR="00D8098C" w:rsidRPr="008E6B08" w:rsidRDefault="008E6B08" w:rsidP="00426603">
            <w:pPr>
              <w:spacing w:beforeLines="40" w:before="96" w:afterLines="40" w:after="96" w:line="24" w:lineRule="atLeast"/>
              <w:textAlignment w:val="baseline"/>
              <w:rPr>
                <w:rFonts w:eastAsiaTheme="minorEastAsia" w:hint="eastAsia"/>
                <w:sz w:val="18"/>
                <w:szCs w:val="18"/>
                <w:shd w:val="clear" w:color="auto" w:fill="FFFFFF"/>
                <w:lang w:val="en-GB" w:eastAsia="zh-CN"/>
              </w:rPr>
            </w:pPr>
            <w:r>
              <w:rPr>
                <w:rFonts w:eastAsiaTheme="minorEastAsia" w:hint="eastAsia"/>
                <w:sz w:val="18"/>
                <w:szCs w:val="18"/>
                <w:shd w:val="clear" w:color="auto" w:fill="FFFFFF"/>
                <w:lang w:val="en-GB" w:eastAsia="zh-CN"/>
              </w:rPr>
              <w:t>4</w:t>
            </w:r>
          </w:p>
        </w:tc>
        <w:tc>
          <w:tcPr>
            <w:tcW w:w="4320" w:type="dxa"/>
          </w:tcPr>
          <w:p w14:paraId="37C3B4C3" w14:textId="3BFEC7F8" w:rsidR="00D8098C" w:rsidRPr="008E6B08" w:rsidRDefault="008E6B08" w:rsidP="00426603">
            <w:pPr>
              <w:spacing w:beforeLines="40" w:before="96" w:afterLines="40" w:after="96" w:line="24" w:lineRule="atLeast"/>
              <w:textAlignment w:val="baseline"/>
              <w:rPr>
                <w:rFonts w:eastAsiaTheme="minorEastAsia" w:hint="eastAsia"/>
                <w:color w:val="000000"/>
                <w:sz w:val="18"/>
                <w:szCs w:val="18"/>
                <w:lang w:eastAsia="zh-CN"/>
              </w:rPr>
            </w:pPr>
            <w:r w:rsidRPr="008E6B08">
              <w:rPr>
                <w:rFonts w:eastAsia="Times New Roman"/>
                <w:color w:val="000000"/>
                <w:sz w:val="18"/>
                <w:szCs w:val="18"/>
              </w:rPr>
              <w:t xml:space="preserve">The outcome of knee </w:t>
            </w:r>
            <w:r w:rsidRPr="008E6B08">
              <w:rPr>
                <w:rFonts w:eastAsia="Times New Roman" w:hint="eastAsia"/>
                <w:color w:val="000000"/>
                <w:sz w:val="18"/>
                <w:szCs w:val="18"/>
              </w:rPr>
              <w:t>OA</w:t>
            </w:r>
            <w:r w:rsidRPr="008E6B08">
              <w:rPr>
                <w:rFonts w:eastAsia="Times New Roman"/>
                <w:color w:val="000000"/>
                <w:sz w:val="18"/>
                <w:szCs w:val="18"/>
              </w:rPr>
              <w:t xml:space="preserve"> (knee OA</w:t>
            </w:r>
            <w:r w:rsidRPr="008E6B08">
              <w:rPr>
                <w:rFonts w:eastAsia="Times New Roman" w:hint="eastAsia"/>
                <w:color w:val="000000"/>
                <w:sz w:val="18"/>
                <w:szCs w:val="18"/>
              </w:rPr>
              <w:t>:</w:t>
            </w:r>
            <w:r w:rsidRPr="008E6B08">
              <w:rPr>
                <w:rFonts w:eastAsia="Times New Roman"/>
                <w:color w:val="000000"/>
                <w:sz w:val="18"/>
                <w:szCs w:val="18"/>
              </w:rPr>
              <w:t xml:space="preserve"> GCST007090), was derived from the GWAS, which included 24,955 cases of European ancestry and 378,169 controls</w:t>
            </w:r>
            <w:r>
              <w:rPr>
                <w:rFonts w:eastAsiaTheme="minorEastAsia" w:hint="eastAsia"/>
                <w:color w:val="000000"/>
                <w:sz w:val="18"/>
                <w:szCs w:val="18"/>
                <w:lang w:eastAsia="zh-CN"/>
              </w:rPr>
              <w:t>.</w:t>
            </w:r>
          </w:p>
        </w:tc>
      </w:tr>
      <w:tr w:rsidR="00D8098C" w:rsidRPr="00B853C6" w14:paraId="04B065C7" w14:textId="72F11B68" w:rsidTr="003D447D">
        <w:tc>
          <w:tcPr>
            <w:tcW w:w="587" w:type="dxa"/>
            <w:shd w:val="clear" w:color="auto" w:fill="EEEEEE"/>
          </w:tcPr>
          <w:p w14:paraId="09448E2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60DD29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7B54F10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720" w:type="dxa"/>
            <w:shd w:val="clear" w:color="auto" w:fill="EEEEEE"/>
          </w:tcPr>
          <w:p w14:paraId="2CDB28F5" w14:textId="4CB565A1"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shd w:val="clear" w:color="auto" w:fill="EEEEEE"/>
          </w:tcPr>
          <w:p w14:paraId="26B556E6" w14:textId="5BE389C3" w:rsidR="00D8098C" w:rsidRPr="004D7CAB" w:rsidRDefault="008E6B08" w:rsidP="00426603">
            <w:pPr>
              <w:spacing w:beforeLines="40" w:before="96" w:afterLines="40" w:after="96" w:line="24" w:lineRule="atLeast"/>
              <w:rPr>
                <w:rFonts w:eastAsiaTheme="minorEastAsia" w:hint="eastAsia"/>
                <w:sz w:val="18"/>
                <w:szCs w:val="18"/>
                <w:lang w:val="en-GB" w:eastAsia="zh-CN"/>
              </w:rPr>
            </w:pPr>
            <w:r w:rsidRPr="008E6B08">
              <w:rPr>
                <w:rFonts w:eastAsia="Times New Roman"/>
                <w:sz w:val="18"/>
                <w:szCs w:val="18"/>
                <w:lang w:val="en-GB" w:eastAsia="en-GB"/>
              </w:rPr>
              <w:t>We selected common single nucleotide polymorphisms (SNPs) (minor allele frequency [MAF] &gt; 1%) that were significantly associated with the expression of selected genes (p &lt; 5.0×10</w:t>
            </w:r>
            <w:r w:rsidRPr="008E6B08">
              <w:rPr>
                <w:rFonts w:ascii="Cambria Math" w:eastAsia="Times New Roman" w:hAnsi="Cambria Math" w:cs="Cambria Math"/>
                <w:sz w:val="18"/>
                <w:szCs w:val="18"/>
                <w:lang w:val="en-GB" w:eastAsia="en-GB"/>
              </w:rPr>
              <w:t>⁻</w:t>
            </w:r>
            <w:r w:rsidRPr="008E6B08">
              <w:rPr>
                <w:rFonts w:eastAsia="Times New Roman"/>
                <w:sz w:val="18"/>
                <w:szCs w:val="18"/>
                <w:lang w:val="en-GB" w:eastAsia="en-GB"/>
              </w:rPr>
              <w:t>⁸). Only cis-</w:t>
            </w:r>
            <w:proofErr w:type="spellStart"/>
            <w:r w:rsidRPr="008E6B08">
              <w:rPr>
                <w:rFonts w:eastAsia="Times New Roman"/>
                <w:sz w:val="18"/>
                <w:szCs w:val="18"/>
                <w:lang w:val="en-GB" w:eastAsia="en-GB"/>
              </w:rPr>
              <w:t>eQTLs</w:t>
            </w:r>
            <w:proofErr w:type="spellEnd"/>
            <w:r w:rsidRPr="008E6B08">
              <w:rPr>
                <w:rFonts w:eastAsia="Times New Roman"/>
                <w:sz w:val="18"/>
                <w:szCs w:val="18"/>
                <w:lang w:val="en-GB" w:eastAsia="en-GB"/>
              </w:rPr>
              <w:t xml:space="preserve"> were included in this study to construct genetic instruments</w:t>
            </w:r>
            <w:r w:rsidR="004D7CAB">
              <w:rPr>
                <w:rFonts w:eastAsiaTheme="minorEastAsia" w:hint="eastAsia"/>
                <w:sz w:val="18"/>
                <w:szCs w:val="18"/>
                <w:lang w:val="en-GB" w:eastAsia="zh-CN"/>
              </w:rPr>
              <w:t>.</w:t>
            </w:r>
          </w:p>
        </w:tc>
      </w:tr>
      <w:tr w:rsidR="00D8098C" w:rsidRPr="00B853C6" w14:paraId="215DDE8E" w14:textId="5C8C984B" w:rsidTr="003D447D">
        <w:tc>
          <w:tcPr>
            <w:tcW w:w="587" w:type="dxa"/>
            <w:shd w:val="clear" w:color="auto" w:fill="auto"/>
          </w:tcPr>
          <w:p w14:paraId="7E3D460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FB55AD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B6B6065"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20" w:type="dxa"/>
          </w:tcPr>
          <w:p w14:paraId="37FB656C" w14:textId="77777777" w:rsidR="00D8098C" w:rsidRPr="00A1236D"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320" w:type="dxa"/>
          </w:tcPr>
          <w:p w14:paraId="18BB4B57" w14:textId="517DE59A" w:rsidR="00D8098C" w:rsidRPr="004D7CAB" w:rsidRDefault="008E6B08" w:rsidP="00426603">
            <w:pPr>
              <w:spacing w:beforeLines="40" w:before="96" w:afterLines="40" w:after="96" w:line="24" w:lineRule="atLeast"/>
              <w:textAlignment w:val="baseline"/>
              <w:rPr>
                <w:rFonts w:eastAsiaTheme="minorEastAsia" w:hint="eastAsia"/>
                <w:sz w:val="18"/>
                <w:szCs w:val="18"/>
                <w:shd w:val="clear" w:color="auto" w:fill="FFFFFF"/>
                <w:lang w:val="en-US" w:eastAsia="zh-CN"/>
              </w:rPr>
            </w:pPr>
            <w:r w:rsidRPr="008E6B08">
              <w:rPr>
                <w:rFonts w:eastAsia="Times New Roman"/>
                <w:sz w:val="18"/>
                <w:szCs w:val="18"/>
                <w:shd w:val="clear" w:color="auto" w:fill="FFFFFF"/>
                <w:lang w:val="en-US" w:eastAsia="en-GB"/>
              </w:rPr>
              <w:t>All of this information can be obtained from the original article</w:t>
            </w:r>
            <w:r w:rsidR="004D7CAB">
              <w:rPr>
                <w:rFonts w:eastAsiaTheme="minorEastAsia" w:hint="eastAsia"/>
                <w:sz w:val="18"/>
                <w:szCs w:val="18"/>
                <w:shd w:val="clear" w:color="auto" w:fill="FFFFFF"/>
                <w:lang w:val="en-US" w:eastAsia="zh-CN"/>
              </w:rPr>
              <w:t>.</w:t>
            </w:r>
          </w:p>
        </w:tc>
      </w:tr>
      <w:tr w:rsidR="00D8098C" w:rsidRPr="00B853C6" w14:paraId="69A6C8B1" w14:textId="39D94CE4" w:rsidTr="003D447D">
        <w:tc>
          <w:tcPr>
            <w:tcW w:w="587" w:type="dxa"/>
            <w:shd w:val="clear" w:color="auto" w:fill="EEEEEE"/>
          </w:tcPr>
          <w:p w14:paraId="292FBB9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3C46B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14:paraId="4E713FBB" w14:textId="77777777" w:rsidR="00D8098C" w:rsidRPr="00A1236D" w:rsidRDefault="00D8098C" w:rsidP="00426603">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720" w:type="dxa"/>
            <w:shd w:val="clear" w:color="auto" w:fill="EEEEEE"/>
          </w:tcPr>
          <w:p w14:paraId="2754FA07" w14:textId="77777777" w:rsidR="00D8098C" w:rsidRPr="00A1236D" w:rsidRDefault="00D8098C" w:rsidP="00426603">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320" w:type="dxa"/>
            <w:shd w:val="clear" w:color="auto" w:fill="EEEEEE"/>
          </w:tcPr>
          <w:p w14:paraId="6067A95B" w14:textId="4667F083" w:rsidR="00D8098C" w:rsidRPr="008E6B08" w:rsidRDefault="008E6B08" w:rsidP="00426603">
            <w:pPr>
              <w:spacing w:beforeLines="40" w:before="96" w:afterLines="40" w:after="96" w:line="24" w:lineRule="atLeast"/>
              <w:textAlignment w:val="baseline"/>
              <w:rPr>
                <w:rFonts w:eastAsiaTheme="minorEastAsia" w:hint="eastAsia"/>
                <w:sz w:val="18"/>
                <w:szCs w:val="18"/>
                <w:shd w:val="clear" w:color="auto" w:fill="FFFFFF"/>
                <w:lang w:val="en-GB" w:eastAsia="zh-CN"/>
              </w:rPr>
            </w:pPr>
            <w:r w:rsidRPr="008E6B08">
              <w:rPr>
                <w:rFonts w:eastAsia="Times New Roman"/>
                <w:sz w:val="18"/>
                <w:szCs w:val="18"/>
                <w:shd w:val="clear" w:color="auto" w:fill="FFFFFF"/>
                <w:lang w:val="en-GB" w:eastAsia="en-GB"/>
              </w:rPr>
              <w:t>Since this GWAS data was sourced online from a study that already obtained ethics approval and informed consent, no further action is required on my part.</w:t>
            </w:r>
          </w:p>
        </w:tc>
      </w:tr>
      <w:tr w:rsidR="00D8098C" w:rsidRPr="00B853C6" w14:paraId="23EA53EC" w14:textId="1D3E4E77" w:rsidTr="003D447D">
        <w:tc>
          <w:tcPr>
            <w:tcW w:w="587" w:type="dxa"/>
            <w:shd w:val="clear" w:color="auto" w:fill="auto"/>
          </w:tcPr>
          <w:p w14:paraId="3E6E0D6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shd w:val="clear" w:color="auto" w:fill="auto"/>
          </w:tcPr>
          <w:p w14:paraId="1F0455B3"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D8098C" w:rsidRPr="00F0337F" w:rsidRDefault="00D8098C" w:rsidP="00426603">
            <w:pPr>
              <w:spacing w:beforeLines="40" w:before="96" w:afterLines="40" w:after="96" w:line="24" w:lineRule="atLeast"/>
              <w:jc w:val="center"/>
              <w:rPr>
                <w:rFonts w:eastAsia="Cambria"/>
                <w:sz w:val="18"/>
                <w:szCs w:val="18"/>
                <w:lang w:val="en-GB" w:eastAsia="en-US"/>
              </w:rPr>
            </w:pPr>
          </w:p>
        </w:tc>
        <w:tc>
          <w:tcPr>
            <w:tcW w:w="7041" w:type="dxa"/>
            <w:shd w:val="clear" w:color="auto" w:fill="auto"/>
          </w:tcPr>
          <w:p w14:paraId="5139727F"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720" w:type="dxa"/>
          </w:tcPr>
          <w:p w14:paraId="6A2AE76D" w14:textId="342B91AC"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7A54DE1B" w14:textId="40F01C9C" w:rsidR="00D8098C" w:rsidRPr="008E6B08" w:rsidRDefault="008E6B08" w:rsidP="00426603">
            <w:pPr>
              <w:spacing w:beforeLines="40" w:before="96" w:afterLines="40" w:after="96" w:line="24" w:lineRule="atLeast"/>
              <w:rPr>
                <w:rFonts w:eastAsia="Times New Roman" w:hint="eastAsia"/>
                <w:sz w:val="18"/>
                <w:szCs w:val="18"/>
                <w:lang w:val="en-GB" w:eastAsia="en-GB"/>
              </w:rPr>
            </w:pPr>
            <w:r w:rsidRPr="008E6B08">
              <w:rPr>
                <w:rFonts w:eastAsia="Times New Roman"/>
                <w:sz w:val="18"/>
                <w:szCs w:val="18"/>
                <w:lang w:val="en-GB" w:eastAsia="en-GB"/>
              </w:rPr>
              <w:t>Since the MR method in this article is just one of several approaches, the three Mendelian assumptions are not described in detail; however, this study fully adheres to the three Mendelian assumptions.</w:t>
            </w:r>
            <w:r w:rsidRPr="008E6B08">
              <w:rPr>
                <w:rFonts w:eastAsia="Times New Roman"/>
                <w:sz w:val="18"/>
                <w:szCs w:val="18"/>
                <w:lang w:val="en-GB" w:eastAsia="en-GB"/>
              </w:rPr>
              <w:t xml:space="preserve"> </w:t>
            </w:r>
            <w:r w:rsidRPr="008E6B08">
              <w:rPr>
                <w:rFonts w:eastAsia="Times New Roman"/>
                <w:sz w:val="18"/>
                <w:szCs w:val="18"/>
                <w:lang w:val="en-GB" w:eastAsia="en-GB"/>
              </w:rPr>
              <w:t>In sensitivity analyses, the HEIDI test (heterogeneity in dependent instruments) implemented in the SMR software was applied to evaluate whether the association between gene expression and the outcome was driven by linkage</w:t>
            </w:r>
            <w:r w:rsidRPr="008E6B08">
              <w:rPr>
                <w:rFonts w:eastAsia="Times New Roman" w:hint="eastAsia"/>
                <w:sz w:val="18"/>
                <w:szCs w:val="18"/>
                <w:lang w:val="en-GB" w:eastAsia="en-GB"/>
              </w:rPr>
              <w:t>.</w:t>
            </w:r>
          </w:p>
        </w:tc>
      </w:tr>
      <w:tr w:rsidR="00D8098C" w:rsidRPr="00B853C6" w14:paraId="6209F8C8" w14:textId="78A53B40" w:rsidTr="003D447D">
        <w:tc>
          <w:tcPr>
            <w:tcW w:w="587" w:type="dxa"/>
            <w:shd w:val="clear" w:color="auto" w:fill="EEEEEE"/>
          </w:tcPr>
          <w:p w14:paraId="6FA239C8"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22" w:type="dxa"/>
            <w:shd w:val="clear" w:color="auto" w:fill="EEEEEE"/>
          </w:tcPr>
          <w:p w14:paraId="3D8F9E93"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14:paraId="49C33D0D"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720" w:type="dxa"/>
            <w:shd w:val="clear" w:color="auto" w:fill="EEEEEE"/>
          </w:tcPr>
          <w:p w14:paraId="0D1191BA"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75DF0C4B" w14:textId="77777777" w:rsidR="00D8098C"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4346E621" w14:textId="11B8B572" w:rsidTr="003D447D">
        <w:tc>
          <w:tcPr>
            <w:tcW w:w="587" w:type="dxa"/>
            <w:shd w:val="clear" w:color="auto" w:fill="auto"/>
          </w:tcPr>
          <w:p w14:paraId="339A016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3635743C"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3BB90022"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720" w:type="dxa"/>
          </w:tcPr>
          <w:p w14:paraId="22720A53"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76159846" w14:textId="6DE5B074" w:rsidR="00D8098C" w:rsidRDefault="008E6B08" w:rsidP="00426603">
            <w:pPr>
              <w:spacing w:beforeLines="40" w:before="96" w:afterLines="40" w:after="96" w:line="24" w:lineRule="atLeast"/>
              <w:rPr>
                <w:rFonts w:eastAsia="Times New Roman"/>
                <w:sz w:val="18"/>
                <w:szCs w:val="18"/>
                <w:lang w:val="en-GB" w:eastAsia="en-GB"/>
              </w:rPr>
            </w:pPr>
            <w:r w:rsidRPr="008E6B08">
              <w:rPr>
                <w:rFonts w:eastAsia="Times New Roman"/>
                <w:sz w:val="18"/>
                <w:szCs w:val="18"/>
                <w:lang w:val="en-GB" w:eastAsia="en-GB"/>
              </w:rPr>
              <w:t>In the SMR analysis, quantitative variables like effect sizes and standard errors from GWAS data were used on their original scale, without transformation.</w:t>
            </w:r>
          </w:p>
        </w:tc>
      </w:tr>
      <w:tr w:rsidR="00D8098C" w:rsidRPr="00B853C6" w14:paraId="642A4D4B" w14:textId="4880F3BA" w:rsidTr="003D447D">
        <w:tc>
          <w:tcPr>
            <w:tcW w:w="587" w:type="dxa"/>
            <w:shd w:val="clear" w:color="auto" w:fill="EEEEEE"/>
          </w:tcPr>
          <w:p w14:paraId="11F7484C"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69D49F3"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B2ACDE9"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720" w:type="dxa"/>
            <w:shd w:val="clear" w:color="auto" w:fill="EEEEEE"/>
          </w:tcPr>
          <w:p w14:paraId="0DAE64B0" w14:textId="5683A17D"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shd w:val="clear" w:color="auto" w:fill="EEEEEE"/>
          </w:tcPr>
          <w:p w14:paraId="1612F89F" w14:textId="6EE569F8" w:rsidR="00D8098C" w:rsidRDefault="008E6B08" w:rsidP="00426603">
            <w:pPr>
              <w:spacing w:beforeLines="40" w:before="96" w:afterLines="40" w:after="96" w:line="24" w:lineRule="atLeast"/>
              <w:rPr>
                <w:rFonts w:eastAsia="Times New Roman"/>
                <w:sz w:val="18"/>
                <w:szCs w:val="18"/>
                <w:lang w:val="en-GB" w:eastAsia="en-GB"/>
              </w:rPr>
            </w:pPr>
            <w:r w:rsidRPr="008E6B08">
              <w:rPr>
                <w:rFonts w:eastAsia="Times New Roman"/>
                <w:sz w:val="18"/>
                <w:szCs w:val="18"/>
                <w:lang w:val="en-GB" w:eastAsia="en-GB"/>
              </w:rPr>
              <w:t>We selected common single nucleotide polymorphisms (SNPs) (minor allele frequency [MAF] &gt; 1%) that were significantly associated with the expression of selected genes (p &lt; 5.0×10</w:t>
            </w:r>
            <w:r w:rsidRPr="008E6B08">
              <w:rPr>
                <w:rFonts w:ascii="Cambria Math" w:eastAsia="Times New Roman" w:hAnsi="Cambria Math" w:cs="Cambria Math"/>
                <w:sz w:val="18"/>
                <w:szCs w:val="18"/>
                <w:lang w:val="en-GB" w:eastAsia="en-GB"/>
              </w:rPr>
              <w:t>⁻</w:t>
            </w:r>
            <w:r w:rsidRPr="008E6B08">
              <w:rPr>
                <w:rFonts w:eastAsia="Times New Roman"/>
                <w:sz w:val="18"/>
                <w:szCs w:val="18"/>
                <w:lang w:val="en-GB" w:eastAsia="en-GB"/>
              </w:rPr>
              <w:t>⁸). Only cis-</w:t>
            </w:r>
            <w:proofErr w:type="spellStart"/>
            <w:r w:rsidRPr="008E6B08">
              <w:rPr>
                <w:rFonts w:eastAsia="Times New Roman"/>
                <w:sz w:val="18"/>
                <w:szCs w:val="18"/>
                <w:lang w:val="en-GB" w:eastAsia="en-GB"/>
              </w:rPr>
              <w:t>eQTLs</w:t>
            </w:r>
            <w:proofErr w:type="spellEnd"/>
            <w:r w:rsidRPr="008E6B08">
              <w:rPr>
                <w:rFonts w:eastAsia="Times New Roman"/>
                <w:sz w:val="18"/>
                <w:szCs w:val="18"/>
                <w:lang w:val="en-GB" w:eastAsia="en-GB"/>
              </w:rPr>
              <w:t xml:space="preserve"> were included in this study to construct genetic instruments</w:t>
            </w:r>
          </w:p>
        </w:tc>
      </w:tr>
      <w:tr w:rsidR="00D8098C" w:rsidRPr="00B853C6" w14:paraId="70378831" w14:textId="0868B0A4" w:rsidTr="003D447D">
        <w:tc>
          <w:tcPr>
            <w:tcW w:w="587" w:type="dxa"/>
            <w:shd w:val="clear" w:color="auto" w:fill="auto"/>
          </w:tcPr>
          <w:p w14:paraId="45E414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9F665E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CB03D9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720" w:type="dxa"/>
          </w:tcPr>
          <w:p w14:paraId="7B7E7C35" w14:textId="68128137"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334D44EB" w14:textId="682189FC"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sidRPr="008E6B08">
              <w:rPr>
                <w:rFonts w:eastAsia="Times New Roman"/>
                <w:sz w:val="18"/>
                <w:szCs w:val="18"/>
                <w:lang w:val="en-GB" w:eastAsia="en-GB"/>
              </w:rPr>
              <w:t>In my SMR analysis, the MR estimator is based on the Wald ratio, where the causal effect is estimated as the ratio of the variant-outcome effect to the variant-exposure effect. Related statistics include p-values and the HEIDI test for heterogeneity. No covariates were explicitly included in the SMR model, as it relies on summary data without additional adjustment.</w:t>
            </w:r>
          </w:p>
        </w:tc>
      </w:tr>
      <w:tr w:rsidR="00D8098C" w:rsidRPr="00B853C6" w14:paraId="0D8F3A7E" w14:textId="14623463" w:rsidTr="003D447D">
        <w:tc>
          <w:tcPr>
            <w:tcW w:w="587" w:type="dxa"/>
            <w:shd w:val="clear" w:color="auto" w:fill="EEEEEE"/>
          </w:tcPr>
          <w:p w14:paraId="1D70C4C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A3AAFD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08786389"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720" w:type="dxa"/>
            <w:shd w:val="clear" w:color="auto" w:fill="EEEEEE"/>
          </w:tcPr>
          <w:p w14:paraId="297C3632"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16808665" w14:textId="70BE8A97"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No missing data</w:t>
            </w:r>
          </w:p>
        </w:tc>
      </w:tr>
      <w:tr w:rsidR="00D8098C" w:rsidRPr="00B853C6" w14:paraId="77F037B8" w14:textId="6696FA54" w:rsidTr="003D447D">
        <w:tc>
          <w:tcPr>
            <w:tcW w:w="587" w:type="dxa"/>
            <w:shd w:val="clear" w:color="auto" w:fill="auto"/>
          </w:tcPr>
          <w:p w14:paraId="4AC39E5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D9E035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auto"/>
          </w:tcPr>
          <w:p w14:paraId="41F1E52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720" w:type="dxa"/>
          </w:tcPr>
          <w:p w14:paraId="6B5C4982" w14:textId="60506405" w:rsidR="00D8098C" w:rsidRPr="008E6B08" w:rsidRDefault="008E6B08"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490E44D4" w14:textId="36E939E0" w:rsidR="00D8098C" w:rsidRDefault="008E6B08" w:rsidP="00426603">
            <w:pPr>
              <w:spacing w:beforeLines="40" w:before="96" w:afterLines="40" w:after="96" w:line="24" w:lineRule="atLeast"/>
              <w:rPr>
                <w:rFonts w:eastAsia="Times New Roman"/>
                <w:sz w:val="18"/>
                <w:szCs w:val="18"/>
                <w:lang w:val="en-GB" w:eastAsia="en-GB"/>
              </w:rPr>
            </w:pPr>
            <w:r w:rsidRPr="008E6B08">
              <w:rPr>
                <w:rFonts w:eastAsia="Times New Roman"/>
                <w:sz w:val="18"/>
                <w:szCs w:val="18"/>
                <w:lang w:val="en-GB" w:eastAsia="en-GB"/>
              </w:rPr>
              <w:t>results were considered reliable when genes passed both the SMR test (HEIDI p &gt; 0.05) and FDR correction (p &lt; 0.05).</w:t>
            </w:r>
          </w:p>
        </w:tc>
      </w:tr>
      <w:tr w:rsidR="00D8098C" w:rsidRPr="00B853C6" w14:paraId="585043CE" w14:textId="4922F612" w:rsidTr="003D447D">
        <w:tc>
          <w:tcPr>
            <w:tcW w:w="587" w:type="dxa"/>
            <w:shd w:val="clear" w:color="auto" w:fill="EEEEEE"/>
          </w:tcPr>
          <w:p w14:paraId="55967D0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14:paraId="0947B164"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1E6D0B1E" w14:textId="77777777" w:rsidR="00D8098C" w:rsidRPr="00A1236D" w:rsidRDefault="00D8098C" w:rsidP="00426603">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720" w:type="dxa"/>
            <w:shd w:val="clear" w:color="auto" w:fill="EEEEEE"/>
          </w:tcPr>
          <w:p w14:paraId="61C50F74" w14:textId="7C06A0D4" w:rsidR="00D8098C" w:rsidRPr="00CF5BA3" w:rsidRDefault="00CF5BA3" w:rsidP="00426603">
            <w:pPr>
              <w:tabs>
                <w:tab w:val="left" w:pos="1620"/>
              </w:tabs>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shd w:val="clear" w:color="auto" w:fill="EEEEEE"/>
          </w:tcPr>
          <w:p w14:paraId="5D46DB2B" w14:textId="28F7CEBB" w:rsidR="00D8098C" w:rsidRPr="00CF5BA3" w:rsidRDefault="00CF5BA3" w:rsidP="00426603">
            <w:pPr>
              <w:tabs>
                <w:tab w:val="left" w:pos="1620"/>
              </w:tabs>
              <w:spacing w:beforeLines="40" w:before="96" w:afterLines="40" w:after="96" w:line="24" w:lineRule="atLeast"/>
              <w:rPr>
                <w:rFonts w:eastAsiaTheme="minorEastAsia" w:hint="eastAsia"/>
                <w:sz w:val="18"/>
                <w:szCs w:val="18"/>
                <w:lang w:val="en-GB" w:eastAsia="zh-CN"/>
              </w:rPr>
            </w:pPr>
            <w:r w:rsidRPr="00CF5BA3">
              <w:rPr>
                <w:rFonts w:eastAsia="Cambria"/>
                <w:sz w:val="18"/>
                <w:szCs w:val="18"/>
                <w:lang w:val="en-GB" w:eastAsia="en-US"/>
              </w:rPr>
              <w:t>In my SMR analysis, the validity of Mendelian Randomization assumptions was assessed using the HEIDI (Heterogeneity in Dependent Instruments) test to check for pleiotropy, ensuring the genetic variants affect the outcome only through the exposure. Prior knowledge from GWAS data confirmed variant-exposure associations (p &lt; 5 × 10</w:t>
            </w:r>
            <w:r w:rsidRPr="00CF5BA3">
              <w:rPr>
                <w:rFonts w:ascii="Cambria Math" w:eastAsia="Cambria" w:hAnsi="Cambria Math" w:cs="Cambria Math"/>
                <w:sz w:val="18"/>
                <w:szCs w:val="18"/>
                <w:lang w:val="en-GB" w:eastAsia="en-US"/>
              </w:rPr>
              <w:t>⁻</w:t>
            </w:r>
            <w:r w:rsidRPr="00CF5BA3">
              <w:rPr>
                <w:rFonts w:eastAsia="Cambria"/>
                <w:sz w:val="18"/>
                <w:szCs w:val="18"/>
                <w:lang w:val="en-GB" w:eastAsia="en-US"/>
              </w:rPr>
              <w:t>⁸), supporting the relevance assumption, while the use of independent variants (via LD pruning) addressed the independence assumption.</w:t>
            </w:r>
          </w:p>
        </w:tc>
      </w:tr>
      <w:tr w:rsidR="00D8098C" w:rsidRPr="00B853C6" w14:paraId="383932D9" w14:textId="2C1AFE56" w:rsidTr="003D447D">
        <w:tc>
          <w:tcPr>
            <w:tcW w:w="587" w:type="dxa"/>
            <w:shd w:val="clear" w:color="auto" w:fill="auto"/>
          </w:tcPr>
          <w:p w14:paraId="1A4621BC"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shd w:val="clear" w:color="auto" w:fill="auto"/>
          </w:tcPr>
          <w:p w14:paraId="0F88F25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shd w:val="clear" w:color="auto" w:fill="auto"/>
          </w:tcPr>
          <w:p w14:paraId="13C6445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720" w:type="dxa"/>
          </w:tcPr>
          <w:p w14:paraId="4B9B6FF5" w14:textId="68D2A44A" w:rsidR="00D8098C" w:rsidRPr="00CF5BA3" w:rsidRDefault="00CF5BA3"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4,5</w:t>
            </w:r>
          </w:p>
        </w:tc>
        <w:tc>
          <w:tcPr>
            <w:tcW w:w="4320" w:type="dxa"/>
          </w:tcPr>
          <w:p w14:paraId="44A11B9B" w14:textId="2292FDBA" w:rsidR="00CF5BA3" w:rsidRPr="00CF5BA3" w:rsidRDefault="00CF5BA3" w:rsidP="00CF5BA3">
            <w:pPr>
              <w:spacing w:beforeLines="40" w:before="96" w:afterLines="40" w:after="96" w:line="24" w:lineRule="atLeast"/>
              <w:rPr>
                <w:rFonts w:eastAsiaTheme="minorEastAsia"/>
                <w:sz w:val="18"/>
                <w:szCs w:val="18"/>
                <w:lang w:val="en-GB" w:eastAsia="zh-CN"/>
              </w:rPr>
            </w:pPr>
            <w:r w:rsidRPr="00CF5BA3">
              <w:rPr>
                <w:rFonts w:eastAsia="Times New Roman"/>
                <w:sz w:val="18"/>
                <w:szCs w:val="18"/>
                <w:lang w:val="en-GB" w:eastAsia="en-GB"/>
              </w:rPr>
              <w:t>In sensitivity analyses, the HEIDI test (heterogeneity in dependent instruments) implemented in the SMR software was applied to evaluate whether the association between gene expression and the outcome was driven by linkage.</w:t>
            </w:r>
            <w:r>
              <w:rPr>
                <w:rFonts w:eastAsiaTheme="minorEastAsia" w:hint="eastAsia"/>
                <w:sz w:val="18"/>
                <w:szCs w:val="18"/>
                <w:lang w:val="en-GB" w:eastAsia="zh-CN"/>
              </w:rPr>
              <w:t xml:space="preserve"> </w:t>
            </w:r>
            <w:r w:rsidRPr="00CF5BA3">
              <w:rPr>
                <w:rFonts w:eastAsia="Times New Roman"/>
                <w:sz w:val="18"/>
                <w:szCs w:val="18"/>
                <w:lang w:val="en-GB" w:eastAsia="en-GB"/>
              </w:rPr>
              <w:t>The overlapping genes were further validated using Bayesian colocalization analysis (COLOC) to assess the posterior probability of causal variants within genomic regions.</w:t>
            </w:r>
          </w:p>
          <w:p w14:paraId="229BFDFD" w14:textId="19D7C0FE" w:rsidR="00CF5BA3" w:rsidRPr="00CF5BA3" w:rsidRDefault="00CF5BA3" w:rsidP="00426603">
            <w:pPr>
              <w:spacing w:beforeLines="40" w:before="96" w:afterLines="40" w:after="96" w:line="24" w:lineRule="atLeast"/>
              <w:rPr>
                <w:rFonts w:eastAsia="Times New Roman" w:hint="eastAsia"/>
                <w:sz w:val="18"/>
                <w:szCs w:val="18"/>
                <w:lang w:val="en-GB" w:eastAsia="en-GB"/>
              </w:rPr>
            </w:pPr>
          </w:p>
        </w:tc>
      </w:tr>
      <w:tr w:rsidR="00D8098C" w:rsidRPr="00B853C6" w14:paraId="55C7A410" w14:textId="0BAB653A" w:rsidTr="003D447D">
        <w:tc>
          <w:tcPr>
            <w:tcW w:w="587" w:type="dxa"/>
            <w:shd w:val="clear" w:color="auto" w:fill="EEEEEE"/>
          </w:tcPr>
          <w:p w14:paraId="056075DE"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14:paraId="6096809E"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14:paraId="08D1055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721E714E"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95710C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EA9EBD1" w14:textId="4D05FA5B" w:rsidTr="003D447D">
        <w:tc>
          <w:tcPr>
            <w:tcW w:w="587" w:type="dxa"/>
            <w:shd w:val="clear" w:color="auto" w:fill="auto"/>
          </w:tcPr>
          <w:p w14:paraId="66EDED80"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BD32B9"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054FBA47"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720" w:type="dxa"/>
          </w:tcPr>
          <w:p w14:paraId="305BB821" w14:textId="499C3943" w:rsidR="00D8098C" w:rsidRPr="00CF5BA3" w:rsidRDefault="00CF5BA3"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5</w:t>
            </w:r>
          </w:p>
        </w:tc>
        <w:tc>
          <w:tcPr>
            <w:tcW w:w="4320" w:type="dxa"/>
          </w:tcPr>
          <w:p w14:paraId="518157DC" w14:textId="77777777" w:rsidR="00CF5BA3" w:rsidRPr="00CF5BA3" w:rsidRDefault="00CF5BA3" w:rsidP="00CF5BA3">
            <w:pPr>
              <w:spacing w:beforeLines="50" w:before="120" w:afterLines="50" w:after="120"/>
              <w:rPr>
                <w:rFonts w:eastAsia="Times New Roman"/>
                <w:sz w:val="18"/>
                <w:szCs w:val="18"/>
                <w:lang w:val="en-GB" w:eastAsia="en-GB"/>
              </w:rPr>
            </w:pPr>
            <w:r w:rsidRPr="00CF5BA3">
              <w:rPr>
                <w:rFonts w:eastAsia="Times New Roman"/>
                <w:sz w:val="18"/>
                <w:szCs w:val="18"/>
                <w:lang w:val="en-GB" w:eastAsia="en-GB"/>
              </w:rPr>
              <w:t xml:space="preserve">SMR analyses were conducted using </w:t>
            </w:r>
            <w:r w:rsidRPr="00CF5BA3">
              <w:rPr>
                <w:rFonts w:eastAsia="Times New Roman" w:hint="eastAsia"/>
                <w:sz w:val="18"/>
                <w:szCs w:val="18"/>
                <w:lang w:val="en-GB" w:eastAsia="en-GB"/>
              </w:rPr>
              <w:t>SMR software. P</w:t>
            </w:r>
            <w:r w:rsidRPr="00CF5BA3">
              <w:rPr>
                <w:rFonts w:eastAsia="Times New Roman"/>
                <w:sz w:val="18"/>
                <w:szCs w:val="18"/>
                <w:lang w:val="en-GB" w:eastAsia="en-GB"/>
              </w:rPr>
              <w:t xml:space="preserve">ackages such as gassocplot2, </w:t>
            </w:r>
            <w:proofErr w:type="spellStart"/>
            <w:r w:rsidRPr="00CF5BA3">
              <w:rPr>
                <w:rFonts w:eastAsia="Times New Roman"/>
                <w:sz w:val="18"/>
                <w:szCs w:val="18"/>
                <w:lang w:val="en-GB" w:eastAsia="en-GB"/>
              </w:rPr>
              <w:t>coloc</w:t>
            </w:r>
            <w:proofErr w:type="spellEnd"/>
            <w:r w:rsidRPr="00CF5BA3">
              <w:rPr>
                <w:rFonts w:eastAsia="Times New Roman"/>
                <w:sz w:val="18"/>
                <w:szCs w:val="18"/>
                <w:lang w:val="en-GB" w:eastAsia="en-GB"/>
              </w:rPr>
              <w:t xml:space="preserve">, and </w:t>
            </w:r>
            <w:proofErr w:type="spellStart"/>
            <w:r w:rsidRPr="00CF5BA3">
              <w:rPr>
                <w:rFonts w:eastAsia="Times New Roman"/>
                <w:sz w:val="18"/>
                <w:szCs w:val="18"/>
                <w:lang w:val="en-GB" w:eastAsia="en-GB"/>
              </w:rPr>
              <w:t>plinkbinr</w:t>
            </w:r>
            <w:proofErr w:type="spellEnd"/>
            <w:r w:rsidRPr="00CF5BA3">
              <w:rPr>
                <w:rFonts w:eastAsia="Times New Roman"/>
                <w:sz w:val="18"/>
                <w:szCs w:val="18"/>
                <w:lang w:val="en-GB" w:eastAsia="en-GB"/>
              </w:rPr>
              <w:t xml:space="preserve"> to perform colocalization analyses.</w:t>
            </w:r>
          </w:p>
          <w:p w14:paraId="79626260" w14:textId="77777777" w:rsidR="00D8098C" w:rsidRPr="00CF5BA3"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6A631D93" w14:textId="2BD5AA8E" w:rsidTr="003D447D">
        <w:tc>
          <w:tcPr>
            <w:tcW w:w="587" w:type="dxa"/>
            <w:tcBorders>
              <w:bottom w:val="single" w:sz="6" w:space="0" w:color="7F7F7F"/>
            </w:tcBorders>
            <w:shd w:val="clear" w:color="auto" w:fill="EEEEEE"/>
          </w:tcPr>
          <w:p w14:paraId="37C8895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2349B556"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14:paraId="5DBE58D7"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720" w:type="dxa"/>
            <w:tcBorders>
              <w:bottom w:val="single" w:sz="6" w:space="0" w:color="7F7F7F"/>
            </w:tcBorders>
            <w:shd w:val="clear" w:color="auto" w:fill="EEEEEE"/>
          </w:tcPr>
          <w:p w14:paraId="2325504F"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3EFCD231" w14:textId="2D708B42" w:rsidR="00D8098C" w:rsidRPr="00CF5BA3" w:rsidRDefault="00CF5BA3" w:rsidP="00426603">
            <w:pPr>
              <w:spacing w:beforeLines="40" w:before="96" w:afterLines="40" w:after="96" w:line="24" w:lineRule="atLeast"/>
              <w:rPr>
                <w:rFonts w:eastAsiaTheme="minorEastAsia" w:hint="eastAsia"/>
                <w:sz w:val="18"/>
                <w:szCs w:val="18"/>
                <w:lang w:val="en-GB" w:eastAsia="zh-CN"/>
              </w:rPr>
            </w:pPr>
            <w:r w:rsidRPr="00CF5BA3">
              <w:rPr>
                <w:rFonts w:eastAsia="Times New Roman"/>
                <w:sz w:val="18"/>
                <w:szCs w:val="18"/>
                <w:lang w:val="en-GB" w:eastAsia="en-GB"/>
              </w:rPr>
              <w:t xml:space="preserve">For my SMR analysis, the study protocol and details were not pre-registered, as this was not deemed necessary for the nature of this research. </w:t>
            </w:r>
          </w:p>
        </w:tc>
      </w:tr>
      <w:tr w:rsidR="00D8098C" w:rsidRPr="00B853C6" w14:paraId="040F15E5" w14:textId="3B11C618" w:rsidTr="003D447D">
        <w:tc>
          <w:tcPr>
            <w:tcW w:w="587" w:type="dxa"/>
            <w:tcBorders>
              <w:top w:val="single" w:sz="6" w:space="0" w:color="7F7F7F"/>
            </w:tcBorders>
            <w:shd w:val="clear" w:color="auto" w:fill="auto"/>
          </w:tcPr>
          <w:p w14:paraId="777278B3"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7D8D653B"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shd w:val="clear" w:color="auto" w:fill="auto"/>
          </w:tcPr>
          <w:p w14:paraId="3471928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0E355A6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3E956D1"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7F47EED" w14:textId="4A481C08" w:rsidTr="003D447D">
        <w:tc>
          <w:tcPr>
            <w:tcW w:w="587" w:type="dxa"/>
            <w:shd w:val="clear" w:color="auto" w:fill="EEEEEE"/>
          </w:tcPr>
          <w:p w14:paraId="51C7A54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14:paraId="731D0370"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14:paraId="3B19CDA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1091FF5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4B684E79"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6CA228D1" w14:textId="316B6A36" w:rsidTr="003D447D">
        <w:tc>
          <w:tcPr>
            <w:tcW w:w="587" w:type="dxa"/>
            <w:shd w:val="clear" w:color="auto" w:fill="auto"/>
          </w:tcPr>
          <w:p w14:paraId="29B6277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C1499C8"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4D5C652C" w14:textId="6B5065AC"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sidR="000A4CE8">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720" w:type="dxa"/>
          </w:tcPr>
          <w:p w14:paraId="7AF8CC23" w14:textId="2111CF99" w:rsidR="00D8098C" w:rsidRPr="00CF5BA3" w:rsidRDefault="00CF5BA3"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tcPr>
          <w:p w14:paraId="00D65497" w14:textId="19D79129" w:rsidR="00D8098C" w:rsidRDefault="00CF5BA3" w:rsidP="00426603">
            <w:pPr>
              <w:spacing w:beforeLines="40" w:before="96" w:afterLines="40" w:after="96" w:line="24" w:lineRule="atLeast"/>
              <w:rPr>
                <w:rFonts w:eastAsia="Times New Roman"/>
                <w:sz w:val="18"/>
                <w:szCs w:val="18"/>
                <w:lang w:val="en-GB" w:eastAsia="en-GB"/>
              </w:rPr>
            </w:pPr>
            <w:r w:rsidRPr="00CF5BA3">
              <w:rPr>
                <w:rFonts w:eastAsia="Times New Roman"/>
                <w:sz w:val="18"/>
                <w:szCs w:val="18"/>
                <w:lang w:val="en-GB" w:eastAsia="en-GB"/>
              </w:rPr>
              <w:t xml:space="preserve">The outcome of knee </w:t>
            </w:r>
            <w:r w:rsidRPr="00CF5BA3">
              <w:rPr>
                <w:rFonts w:eastAsia="Times New Roman" w:hint="eastAsia"/>
                <w:sz w:val="18"/>
                <w:szCs w:val="18"/>
                <w:lang w:val="en-GB" w:eastAsia="en-GB"/>
              </w:rPr>
              <w:t>OA</w:t>
            </w:r>
            <w:r w:rsidRPr="00CF5BA3">
              <w:rPr>
                <w:rFonts w:eastAsia="Times New Roman"/>
                <w:sz w:val="18"/>
                <w:szCs w:val="18"/>
                <w:lang w:val="en-GB" w:eastAsia="en-GB"/>
              </w:rPr>
              <w:t xml:space="preserve"> (knee OA</w:t>
            </w:r>
            <w:r w:rsidRPr="00CF5BA3">
              <w:rPr>
                <w:rFonts w:eastAsia="Times New Roman" w:hint="eastAsia"/>
                <w:sz w:val="18"/>
                <w:szCs w:val="18"/>
                <w:lang w:val="en-GB" w:eastAsia="en-GB"/>
              </w:rPr>
              <w:t>:</w:t>
            </w:r>
            <w:r w:rsidRPr="00CF5BA3">
              <w:rPr>
                <w:rFonts w:eastAsia="Times New Roman"/>
                <w:sz w:val="18"/>
                <w:szCs w:val="18"/>
                <w:lang w:val="en-GB" w:eastAsia="en-GB"/>
              </w:rPr>
              <w:t xml:space="preserve"> GCST007090), was derived from the GWAS, which included 24,955 cases of European ancestry and 378,169 controls</w:t>
            </w:r>
          </w:p>
        </w:tc>
      </w:tr>
      <w:tr w:rsidR="00D8098C" w:rsidRPr="00B853C6" w14:paraId="0765C344" w14:textId="3B2EDCCF" w:rsidTr="003D447D">
        <w:tc>
          <w:tcPr>
            <w:tcW w:w="587" w:type="dxa"/>
            <w:shd w:val="clear" w:color="auto" w:fill="EEEEEE"/>
          </w:tcPr>
          <w:p w14:paraId="2404BFF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545C2F1"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5491AF" w14:textId="3F437E24" w:rsidR="00D8098C" w:rsidRPr="00A1236D" w:rsidRDefault="00D8098C" w:rsidP="009E033F">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sidR="000A4CE8">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sidR="009E033F">
              <w:rPr>
                <w:rFonts w:eastAsia="Times New Roman"/>
                <w:sz w:val="18"/>
                <w:szCs w:val="18"/>
                <w:lang w:val="en-GB" w:eastAsia="en-GB"/>
              </w:rPr>
              <w:t>SDs</w:t>
            </w:r>
            <w:r w:rsidRPr="00A1236D">
              <w:rPr>
                <w:rFonts w:eastAsia="Times New Roman"/>
                <w:sz w:val="18"/>
                <w:szCs w:val="18"/>
                <w:lang w:val="en-GB" w:eastAsia="en-GB"/>
              </w:rPr>
              <w:t>, proportions)</w:t>
            </w:r>
          </w:p>
        </w:tc>
        <w:tc>
          <w:tcPr>
            <w:tcW w:w="720" w:type="dxa"/>
            <w:shd w:val="clear" w:color="auto" w:fill="EEEEEE"/>
          </w:tcPr>
          <w:p w14:paraId="03BBA613" w14:textId="1B5F8CE1" w:rsidR="00D8098C" w:rsidRPr="00CF5BA3" w:rsidRDefault="00CF5BA3"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0FD9D468" w14:textId="7C46D3F0" w:rsidR="00D8098C" w:rsidRDefault="00CF5BA3" w:rsidP="00426603">
            <w:pPr>
              <w:spacing w:beforeLines="40" w:before="96" w:afterLines="40" w:after="96" w:line="24" w:lineRule="atLeast"/>
              <w:rPr>
                <w:rFonts w:eastAsia="Times New Roman"/>
                <w:sz w:val="18"/>
                <w:szCs w:val="18"/>
                <w:lang w:val="en-GB" w:eastAsia="en-GB"/>
              </w:rPr>
            </w:pPr>
            <w:r w:rsidRPr="00CF5BA3">
              <w:rPr>
                <w:rFonts w:eastAsia="Times New Roman"/>
                <w:sz w:val="18"/>
                <w:szCs w:val="18"/>
                <w:lang w:val="en-GB" w:eastAsia="en-GB"/>
              </w:rPr>
              <w:t xml:space="preserve">In this study, SMR analysis was employed to identify genes specifically associated with </w:t>
            </w:r>
            <w:r w:rsidRPr="00CF5BA3">
              <w:rPr>
                <w:rFonts w:eastAsia="Times New Roman" w:hint="eastAsia"/>
                <w:sz w:val="18"/>
                <w:szCs w:val="18"/>
                <w:lang w:val="en-GB" w:eastAsia="en-GB"/>
              </w:rPr>
              <w:t xml:space="preserve">knee </w:t>
            </w:r>
            <w:r w:rsidRPr="00CF5BA3">
              <w:rPr>
                <w:rFonts w:eastAsia="Times New Roman"/>
                <w:sz w:val="18"/>
                <w:szCs w:val="18"/>
                <w:lang w:val="en-GB" w:eastAsia="en-GB"/>
              </w:rPr>
              <w:t>OA. The SMR results identified 61 genes, including UQCC1, USP8, BMP6, and GZMK, that showed significant associations with OA susceptibility (P_HEIDI &gt; 0.05, P_FDR &lt; 0.05)</w:t>
            </w:r>
          </w:p>
        </w:tc>
      </w:tr>
      <w:tr w:rsidR="00D8098C" w:rsidRPr="00B853C6" w14:paraId="48F10342" w14:textId="398F2C24" w:rsidTr="003D447D">
        <w:tc>
          <w:tcPr>
            <w:tcW w:w="587" w:type="dxa"/>
            <w:shd w:val="clear" w:color="auto" w:fill="auto"/>
          </w:tcPr>
          <w:p w14:paraId="6600AF4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35099F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062EB561"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720" w:type="dxa"/>
          </w:tcPr>
          <w:p w14:paraId="10F6EF39"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tcPr>
          <w:p w14:paraId="449D40FD" w14:textId="727EA726" w:rsidR="00D8098C" w:rsidRPr="00CF5BA3" w:rsidRDefault="00CF5BA3" w:rsidP="00426603">
            <w:pPr>
              <w:spacing w:beforeLines="40" w:before="96" w:afterLines="40" w:after="96" w:line="24" w:lineRule="atLeast"/>
              <w:rPr>
                <w:rFonts w:eastAsiaTheme="minorEastAsia" w:hint="eastAsia"/>
                <w:sz w:val="18"/>
                <w:szCs w:val="18"/>
                <w:lang w:val="en-US" w:eastAsia="zh-CN"/>
              </w:rPr>
            </w:pPr>
            <w:r w:rsidRPr="00CF5BA3">
              <w:rPr>
                <w:rFonts w:eastAsia="Times New Roman"/>
                <w:sz w:val="18"/>
                <w:szCs w:val="18"/>
                <w:lang w:val="en-US" w:eastAsia="en-GB"/>
              </w:rPr>
              <w:t>The data sources for my SMR analysis do not include meta-analyses of previous studies, so no assessments of heterogeneity across studies were conducted.</w:t>
            </w:r>
          </w:p>
        </w:tc>
      </w:tr>
      <w:tr w:rsidR="00D8098C" w:rsidRPr="00B853C6" w14:paraId="51930A8C" w14:textId="221D5A9E" w:rsidTr="003D447D">
        <w:tc>
          <w:tcPr>
            <w:tcW w:w="587" w:type="dxa"/>
            <w:shd w:val="clear" w:color="auto" w:fill="EEEEEE"/>
          </w:tcPr>
          <w:p w14:paraId="6116DD95"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453F7877"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2EFD572E" w14:textId="5230C0F8" w:rsidR="00D8098C" w:rsidRPr="00A1236D" w:rsidRDefault="00D8098C" w:rsidP="00426603">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sidR="009E033F">
              <w:rPr>
                <w:rFonts w:eastAsia="Times New Roman"/>
                <w:sz w:val="18"/>
                <w:szCs w:val="18"/>
                <w:lang w:val="en-GB" w:eastAsia="en-GB"/>
              </w:rPr>
              <w:t>MR</w:t>
            </w:r>
            <w:r w:rsidRPr="00A1236D">
              <w:rPr>
                <w:rFonts w:eastAsia="Times New Roman"/>
                <w:sz w:val="18"/>
                <w:szCs w:val="18"/>
                <w:lang w:val="en-GB" w:eastAsia="en-GB"/>
              </w:rPr>
              <w:t>:</w:t>
            </w:r>
          </w:p>
          <w:p w14:paraId="48065368" w14:textId="77777777" w:rsidR="00D8098C" w:rsidRPr="00A1236D" w:rsidRDefault="00D8098C" w:rsidP="00426603">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w:t>
            </w:r>
            <w:proofErr w:type="spellStart"/>
            <w:r w:rsidRPr="00A1236D">
              <w:rPr>
                <w:rFonts w:eastAsia="Times New Roman"/>
                <w:sz w:val="18"/>
                <w:szCs w:val="18"/>
                <w:lang w:val="en-GB" w:eastAsia="en-GB"/>
              </w:rPr>
              <w:t>i</w:t>
            </w:r>
            <w:proofErr w:type="spellEnd"/>
            <w:r w:rsidRPr="00A1236D">
              <w:rPr>
                <w:rFonts w:eastAsia="Times New Roman"/>
                <w:sz w:val="18"/>
                <w:szCs w:val="18"/>
                <w:lang w:val="en-GB" w:eastAsia="en-GB"/>
              </w:rPr>
              <w:t>.  Provide justification of the similarity of the genetic variant-exposure associations between the exposure and outcome samples</w:t>
            </w:r>
          </w:p>
          <w:p w14:paraId="35BA928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exposure and outcome studies</w:t>
            </w:r>
          </w:p>
        </w:tc>
        <w:tc>
          <w:tcPr>
            <w:tcW w:w="720" w:type="dxa"/>
            <w:shd w:val="clear" w:color="auto" w:fill="EEEEEE"/>
          </w:tcPr>
          <w:p w14:paraId="4948EE3D" w14:textId="5863AA78" w:rsidR="00D8098C" w:rsidRPr="00CF5BA3" w:rsidRDefault="00CF5BA3"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4</w:t>
            </w:r>
          </w:p>
        </w:tc>
        <w:tc>
          <w:tcPr>
            <w:tcW w:w="4320" w:type="dxa"/>
            <w:shd w:val="clear" w:color="auto" w:fill="EEEEEE"/>
          </w:tcPr>
          <w:p w14:paraId="52D06EF6" w14:textId="77777777" w:rsidR="00CF5BA3" w:rsidRPr="00CF5BA3" w:rsidRDefault="00CF5BA3" w:rsidP="00CF5BA3">
            <w:pPr>
              <w:spacing w:beforeLines="40" w:before="96" w:afterLines="40" w:after="96" w:line="24" w:lineRule="atLeast"/>
              <w:rPr>
                <w:rFonts w:eastAsia="Times New Roman" w:hint="eastAsia"/>
                <w:sz w:val="18"/>
                <w:szCs w:val="18"/>
                <w:lang w:val="en-GB" w:eastAsia="en-GB"/>
              </w:rPr>
            </w:pPr>
            <w:r w:rsidRPr="00CF5BA3">
              <w:rPr>
                <w:rFonts w:eastAsia="Times New Roman" w:hint="eastAsia"/>
                <w:sz w:val="18"/>
                <w:szCs w:val="18"/>
                <w:lang w:val="en-GB" w:eastAsia="en-GB"/>
              </w:rPr>
              <w:t>The exposure and the outcome come from different cohort studies, minimizing the possibility of sample overlap.</w:t>
            </w:r>
          </w:p>
          <w:p w14:paraId="5B2A1A71" w14:textId="77777777" w:rsidR="00D8098C" w:rsidRPr="00CF5BA3" w:rsidRDefault="00D8098C" w:rsidP="00CF5BA3">
            <w:pPr>
              <w:spacing w:beforeLines="40" w:before="96" w:afterLines="40" w:after="96" w:line="24" w:lineRule="atLeast"/>
              <w:rPr>
                <w:rFonts w:eastAsia="Times New Roman"/>
                <w:sz w:val="18"/>
                <w:szCs w:val="18"/>
                <w:lang w:val="en-GB" w:eastAsia="en-GB"/>
              </w:rPr>
            </w:pPr>
          </w:p>
        </w:tc>
      </w:tr>
      <w:tr w:rsidR="00D8098C" w:rsidRPr="00B853C6" w14:paraId="52CFCA59" w14:textId="5AC9CE3E" w:rsidTr="003D447D">
        <w:tc>
          <w:tcPr>
            <w:tcW w:w="587" w:type="dxa"/>
            <w:shd w:val="clear" w:color="auto" w:fill="auto"/>
          </w:tcPr>
          <w:p w14:paraId="110872BB"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22" w:type="dxa"/>
            <w:shd w:val="clear" w:color="auto" w:fill="auto"/>
          </w:tcPr>
          <w:p w14:paraId="0C26298F"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shd w:val="clear" w:color="auto" w:fill="auto"/>
          </w:tcPr>
          <w:p w14:paraId="2F14FA3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035B3367"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AFA0083"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56845A2A" w14:textId="1DC0780C" w:rsidTr="003D447D">
        <w:tc>
          <w:tcPr>
            <w:tcW w:w="587" w:type="dxa"/>
            <w:shd w:val="clear" w:color="auto" w:fill="EEEEEE"/>
          </w:tcPr>
          <w:p w14:paraId="0892A548"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CDB72A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09CB478B"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720" w:type="dxa"/>
            <w:shd w:val="clear" w:color="auto" w:fill="EEEEEE"/>
          </w:tcPr>
          <w:p w14:paraId="7F1B8B69" w14:textId="78D84EF2" w:rsidR="00D8098C" w:rsidRPr="00CF5BA3" w:rsidRDefault="00CF5BA3"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7BCA1C07" w14:textId="0B7BD137" w:rsidR="00D8098C" w:rsidRPr="00B30018" w:rsidRDefault="00CF5BA3" w:rsidP="00426603">
            <w:pPr>
              <w:spacing w:beforeLines="40" w:before="96" w:afterLines="40" w:after="96" w:line="24" w:lineRule="atLeast"/>
              <w:rPr>
                <w:rFonts w:eastAsiaTheme="minorEastAsia" w:hint="eastAsia"/>
                <w:sz w:val="18"/>
                <w:szCs w:val="18"/>
                <w:lang w:val="en-GB" w:eastAsia="zh-CN"/>
              </w:rPr>
            </w:pPr>
            <w:r w:rsidRPr="00CF5BA3">
              <w:rPr>
                <w:rFonts w:eastAsia="Times New Roman"/>
                <w:sz w:val="18"/>
                <w:szCs w:val="18"/>
                <w:lang w:val="en-GB" w:eastAsia="en-GB"/>
              </w:rPr>
              <w:t xml:space="preserve">In this study, SMR analysis was employed to identify genes specifically associated with </w:t>
            </w:r>
            <w:r w:rsidRPr="00CF5BA3">
              <w:rPr>
                <w:rFonts w:eastAsia="Times New Roman" w:hint="eastAsia"/>
                <w:sz w:val="18"/>
                <w:szCs w:val="18"/>
                <w:lang w:val="en-GB" w:eastAsia="en-GB"/>
              </w:rPr>
              <w:t xml:space="preserve">knee </w:t>
            </w:r>
            <w:r w:rsidRPr="00CF5BA3">
              <w:rPr>
                <w:rFonts w:eastAsia="Times New Roman"/>
                <w:sz w:val="18"/>
                <w:szCs w:val="18"/>
                <w:lang w:val="en-GB" w:eastAsia="en-GB"/>
              </w:rPr>
              <w:t>OA. The SMR results identified 61 genes, including UQCC1, USP8, BMP6, and GZMK, that showed significant associations with OA susceptibility (P_HEIDI &gt; 0.05, P_FDR &lt; 0.05)</w:t>
            </w:r>
            <w:r w:rsidR="00B30018">
              <w:rPr>
                <w:rFonts w:eastAsiaTheme="minorEastAsia" w:hint="eastAsia"/>
                <w:sz w:val="18"/>
                <w:szCs w:val="18"/>
                <w:lang w:val="en-GB" w:eastAsia="zh-CN"/>
              </w:rPr>
              <w:t>.</w:t>
            </w:r>
          </w:p>
        </w:tc>
      </w:tr>
      <w:tr w:rsidR="00D8098C" w:rsidRPr="00B853C6" w14:paraId="2FAEFE68" w14:textId="09D82DE1" w:rsidTr="003D447D">
        <w:tc>
          <w:tcPr>
            <w:tcW w:w="587" w:type="dxa"/>
            <w:shd w:val="clear" w:color="auto" w:fill="auto"/>
          </w:tcPr>
          <w:p w14:paraId="2E83DFB7"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42A3CE2"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336E75EE" w14:textId="144F95EC" w:rsidR="00D8098C" w:rsidRPr="00A1236D" w:rsidRDefault="00D8098C" w:rsidP="009E033F">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sidR="009E033F">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720" w:type="dxa"/>
          </w:tcPr>
          <w:p w14:paraId="1E1B567F" w14:textId="66622017" w:rsidR="00D8098C" w:rsidRPr="00CF5BA3" w:rsidRDefault="00CF5BA3"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tcPr>
          <w:p w14:paraId="4564CEDB" w14:textId="3766A0FD" w:rsidR="00D8098C" w:rsidRPr="00CF5BA3" w:rsidRDefault="00CF5BA3" w:rsidP="00CF5BA3">
            <w:pPr>
              <w:spacing w:beforeLines="40" w:before="96" w:afterLines="40" w:after="96" w:line="24" w:lineRule="atLeast"/>
              <w:rPr>
                <w:rFonts w:eastAsiaTheme="minorEastAsia" w:hint="eastAsia"/>
                <w:sz w:val="18"/>
                <w:szCs w:val="18"/>
                <w:lang w:val="en-GB" w:eastAsia="zh-CN"/>
              </w:rPr>
            </w:pPr>
            <w:r w:rsidRPr="00CF5BA3">
              <w:rPr>
                <w:rFonts w:eastAsia="Times New Roman"/>
                <w:sz w:val="18"/>
                <w:szCs w:val="18"/>
                <w:lang w:val="en-GB" w:eastAsia="en-GB"/>
              </w:rPr>
              <w:t xml:space="preserve">Further examination of the SMR effect sizes (β-SMR) categorized these 61 genes into two groups based on the direction of their association with OA. The first group consisted of 34 genes with negative β-SMR values, indicating a potential protective effect against OA. </w:t>
            </w:r>
          </w:p>
        </w:tc>
      </w:tr>
      <w:tr w:rsidR="00D8098C" w:rsidRPr="00B853C6" w14:paraId="1FAC379E" w14:textId="0C198578" w:rsidTr="003D447D">
        <w:tc>
          <w:tcPr>
            <w:tcW w:w="587" w:type="dxa"/>
            <w:shd w:val="clear" w:color="auto" w:fill="EEEEEE"/>
          </w:tcPr>
          <w:p w14:paraId="6762B88A"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14E8164"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4BC6AB73"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720" w:type="dxa"/>
            <w:shd w:val="clear" w:color="auto" w:fill="EEEEEE"/>
          </w:tcPr>
          <w:p w14:paraId="326BA5CA" w14:textId="77777777" w:rsidR="00D8098C" w:rsidRPr="00A1236D" w:rsidRDefault="00D8098C" w:rsidP="00426603">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2E82DC9E" w14:textId="77777777" w:rsidR="0010294B" w:rsidRPr="0010294B" w:rsidRDefault="0010294B" w:rsidP="0010294B">
            <w:pPr>
              <w:spacing w:beforeLines="50" w:before="120" w:afterLines="50" w:after="120"/>
              <w:rPr>
                <w:rFonts w:eastAsia="Times New Roman"/>
                <w:sz w:val="18"/>
                <w:szCs w:val="18"/>
                <w:lang w:val="en-GB" w:eastAsia="en-GB"/>
              </w:rPr>
            </w:pPr>
            <w:r w:rsidRPr="0010294B">
              <w:rPr>
                <w:rFonts w:eastAsia="Times New Roman"/>
                <w:sz w:val="18"/>
                <w:szCs w:val="18"/>
                <w:lang w:val="en-GB" w:eastAsia="en-GB"/>
              </w:rPr>
              <w:t xml:space="preserve">Examples of genes in this group included </w:t>
            </w:r>
            <w:r w:rsidRPr="0010294B">
              <w:rPr>
                <w:rFonts w:eastAsia="Times New Roman" w:hint="eastAsia"/>
                <w:sz w:val="18"/>
                <w:szCs w:val="18"/>
                <w:lang w:val="en-GB" w:eastAsia="en-GB"/>
              </w:rPr>
              <w:t>ABCB9</w:t>
            </w:r>
            <w:r w:rsidRPr="0010294B">
              <w:rPr>
                <w:rFonts w:eastAsia="Times New Roman"/>
                <w:sz w:val="18"/>
                <w:szCs w:val="18"/>
                <w:lang w:val="en-GB" w:eastAsia="en-GB"/>
              </w:rPr>
              <w:t>, USP8, CORO1A, and ATAD5, among others, with β-SMR values ranging from -0.</w:t>
            </w:r>
            <w:r w:rsidRPr="0010294B">
              <w:rPr>
                <w:rFonts w:eastAsia="Times New Roman" w:hint="eastAsia"/>
                <w:sz w:val="18"/>
                <w:szCs w:val="18"/>
                <w:lang w:val="en-GB" w:eastAsia="en-GB"/>
              </w:rPr>
              <w:t>04</w:t>
            </w:r>
            <w:r w:rsidRPr="0010294B">
              <w:rPr>
                <w:rFonts w:eastAsia="Times New Roman"/>
                <w:sz w:val="18"/>
                <w:szCs w:val="18"/>
                <w:lang w:val="en-GB" w:eastAsia="en-GB"/>
              </w:rPr>
              <w:t xml:space="preserve"> to -0.</w:t>
            </w:r>
            <w:r w:rsidRPr="0010294B">
              <w:rPr>
                <w:rFonts w:eastAsia="Times New Roman" w:hint="eastAsia"/>
                <w:sz w:val="18"/>
                <w:szCs w:val="18"/>
                <w:lang w:val="en-GB" w:eastAsia="en-GB"/>
              </w:rPr>
              <w:t>9</w:t>
            </w:r>
            <w:r w:rsidRPr="0010294B">
              <w:rPr>
                <w:rFonts w:eastAsia="Times New Roman"/>
                <w:sz w:val="18"/>
                <w:szCs w:val="18"/>
                <w:lang w:val="en-GB" w:eastAsia="en-GB"/>
              </w:rPr>
              <w:t xml:space="preserve">2, as reported in </w:t>
            </w:r>
            <w:r w:rsidRPr="0010294B">
              <w:rPr>
                <w:rFonts w:eastAsia="Times New Roman" w:hint="eastAsia"/>
                <w:sz w:val="18"/>
                <w:szCs w:val="18"/>
                <w:lang w:val="en-GB" w:eastAsia="en-GB"/>
              </w:rPr>
              <w:t>S</w:t>
            </w:r>
            <w:r w:rsidRPr="0010294B">
              <w:rPr>
                <w:rFonts w:eastAsia="Times New Roman"/>
                <w:sz w:val="18"/>
                <w:szCs w:val="18"/>
                <w:lang w:val="en-GB" w:eastAsia="en-GB"/>
              </w:rPr>
              <w:t>upplementar</w:t>
            </w:r>
            <w:r w:rsidRPr="0010294B">
              <w:rPr>
                <w:rFonts w:eastAsia="Times New Roman" w:hint="eastAsia"/>
                <w:sz w:val="18"/>
                <w:szCs w:val="18"/>
                <w:lang w:val="en-GB" w:eastAsia="en-GB"/>
              </w:rPr>
              <w:t>y Table 2</w:t>
            </w:r>
            <w:r w:rsidRPr="0010294B">
              <w:rPr>
                <w:rFonts w:eastAsia="Times New Roman"/>
                <w:sz w:val="18"/>
                <w:szCs w:val="18"/>
                <w:lang w:val="en-GB" w:eastAsia="en-GB"/>
              </w:rPr>
              <w:t xml:space="preserve">. The second group comprised 27 genes with positive β-SMR values, suggesting a propensity to promote OA susceptibility. Notable genes in this group included </w:t>
            </w:r>
            <w:r w:rsidRPr="0010294B">
              <w:rPr>
                <w:rFonts w:eastAsia="Times New Roman" w:hint="eastAsia"/>
                <w:sz w:val="18"/>
                <w:szCs w:val="18"/>
                <w:lang w:val="en-GB" w:eastAsia="en-GB"/>
              </w:rPr>
              <w:t>ZFP57</w:t>
            </w:r>
            <w:r w:rsidRPr="0010294B">
              <w:rPr>
                <w:rFonts w:eastAsia="Times New Roman"/>
                <w:sz w:val="18"/>
                <w:szCs w:val="18"/>
                <w:lang w:val="en-GB" w:eastAsia="en-GB"/>
              </w:rPr>
              <w:t xml:space="preserve">, GZMK, </w:t>
            </w:r>
            <w:r w:rsidRPr="0010294B">
              <w:rPr>
                <w:rFonts w:eastAsia="Times New Roman" w:hint="eastAsia"/>
                <w:sz w:val="18"/>
                <w:szCs w:val="18"/>
                <w:lang w:val="en-GB" w:eastAsia="en-GB"/>
              </w:rPr>
              <w:t>UQCC1</w:t>
            </w:r>
            <w:r w:rsidRPr="0010294B">
              <w:rPr>
                <w:rFonts w:eastAsia="Times New Roman"/>
                <w:sz w:val="18"/>
                <w:szCs w:val="18"/>
                <w:lang w:val="en-GB" w:eastAsia="en-GB"/>
              </w:rPr>
              <w:t xml:space="preserve">, and </w:t>
            </w:r>
            <w:r w:rsidRPr="0010294B">
              <w:rPr>
                <w:rFonts w:eastAsia="Times New Roman" w:hint="eastAsia"/>
                <w:sz w:val="18"/>
                <w:szCs w:val="18"/>
                <w:lang w:val="en-GB" w:eastAsia="en-GB"/>
              </w:rPr>
              <w:t>IPP</w:t>
            </w:r>
            <w:r w:rsidRPr="0010294B">
              <w:rPr>
                <w:rFonts w:eastAsia="Times New Roman"/>
                <w:sz w:val="18"/>
                <w:szCs w:val="18"/>
                <w:lang w:val="en-GB" w:eastAsia="en-GB"/>
              </w:rPr>
              <w:t>, with β-SMR values ranging from 0.</w:t>
            </w:r>
            <w:r w:rsidRPr="0010294B">
              <w:rPr>
                <w:rFonts w:eastAsia="Times New Roman" w:hint="eastAsia"/>
                <w:sz w:val="18"/>
                <w:szCs w:val="18"/>
                <w:lang w:val="en-GB" w:eastAsia="en-GB"/>
              </w:rPr>
              <w:t>04</w:t>
            </w:r>
            <w:r w:rsidRPr="0010294B">
              <w:rPr>
                <w:rFonts w:eastAsia="Times New Roman"/>
                <w:sz w:val="18"/>
                <w:szCs w:val="18"/>
                <w:lang w:val="en-GB" w:eastAsia="en-GB"/>
              </w:rPr>
              <w:t xml:space="preserve"> to 0.</w:t>
            </w:r>
            <w:r w:rsidRPr="0010294B">
              <w:rPr>
                <w:rFonts w:eastAsia="Times New Roman" w:hint="eastAsia"/>
                <w:sz w:val="18"/>
                <w:szCs w:val="18"/>
                <w:lang w:val="en-GB" w:eastAsia="en-GB"/>
              </w:rPr>
              <w:t>79</w:t>
            </w:r>
            <w:r w:rsidRPr="0010294B">
              <w:rPr>
                <w:rFonts w:eastAsia="Times New Roman"/>
                <w:sz w:val="18"/>
                <w:szCs w:val="18"/>
                <w:lang w:val="en-GB" w:eastAsia="en-GB"/>
              </w:rPr>
              <w:t xml:space="preserve">, as specified in Supplementary Table 2. </w:t>
            </w:r>
          </w:p>
          <w:p w14:paraId="4A2216FF" w14:textId="77777777" w:rsidR="00D8098C" w:rsidRPr="0010294B" w:rsidRDefault="00D8098C" w:rsidP="00426603">
            <w:pPr>
              <w:spacing w:beforeLines="40" w:before="96" w:afterLines="40" w:after="96" w:line="24" w:lineRule="atLeast"/>
              <w:rPr>
                <w:rFonts w:eastAsia="Times New Roman"/>
                <w:sz w:val="18"/>
                <w:szCs w:val="18"/>
                <w:lang w:val="en-GB" w:eastAsia="en-GB"/>
              </w:rPr>
            </w:pPr>
          </w:p>
        </w:tc>
      </w:tr>
      <w:tr w:rsidR="00D8098C" w:rsidRPr="00B853C6" w14:paraId="00F87C74" w14:textId="30F32A00" w:rsidTr="003D447D">
        <w:tc>
          <w:tcPr>
            <w:tcW w:w="587" w:type="dxa"/>
            <w:shd w:val="clear" w:color="auto" w:fill="auto"/>
          </w:tcPr>
          <w:p w14:paraId="2CDE5DE6"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9C50E8E"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47CC3ACC"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720" w:type="dxa"/>
          </w:tcPr>
          <w:p w14:paraId="777DAC23" w14:textId="29B67CEE" w:rsidR="00D8098C" w:rsidRPr="0010294B" w:rsidRDefault="0010294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Fig. 2</w:t>
            </w:r>
          </w:p>
        </w:tc>
        <w:tc>
          <w:tcPr>
            <w:tcW w:w="4320" w:type="dxa"/>
          </w:tcPr>
          <w:p w14:paraId="7B9F0A4D" w14:textId="36A992FD" w:rsidR="00D8098C" w:rsidRPr="00B5509C" w:rsidRDefault="0010294B" w:rsidP="00B5509C">
            <w:pPr>
              <w:spacing w:beforeLines="50" w:before="120" w:afterLines="50" w:after="120"/>
              <w:rPr>
                <w:rFonts w:eastAsiaTheme="minorEastAsia" w:hint="eastAsia"/>
                <w:sz w:val="18"/>
                <w:szCs w:val="18"/>
                <w:lang w:val="en-GB" w:eastAsia="zh-CN"/>
              </w:rPr>
            </w:pPr>
            <w:r w:rsidRPr="0010294B">
              <w:rPr>
                <w:rFonts w:eastAsia="Times New Roman"/>
                <w:sz w:val="18"/>
                <w:szCs w:val="18"/>
                <w:lang w:val="en-GB" w:eastAsia="en-GB"/>
              </w:rPr>
              <w:t xml:space="preserve">Figure </w:t>
            </w:r>
            <w:r w:rsidRPr="0010294B">
              <w:rPr>
                <w:rFonts w:eastAsia="Times New Roman" w:hint="eastAsia"/>
                <w:sz w:val="18"/>
                <w:szCs w:val="18"/>
                <w:lang w:val="en-GB" w:eastAsia="en-GB"/>
              </w:rPr>
              <w:t>2.</w:t>
            </w:r>
            <w:r w:rsidRPr="0010294B">
              <w:rPr>
                <w:rFonts w:eastAsia="Times New Roman"/>
                <w:sz w:val="18"/>
                <w:szCs w:val="18"/>
                <w:lang w:val="en-GB" w:eastAsia="en-GB"/>
              </w:rPr>
              <w:t xml:space="preserve"> SMR analysis identifying OA-associated genes.</w:t>
            </w:r>
          </w:p>
        </w:tc>
      </w:tr>
      <w:tr w:rsidR="00D8098C" w:rsidRPr="00B853C6" w14:paraId="62E6DFEA" w14:textId="107C6F5B" w:rsidTr="003D447D">
        <w:tc>
          <w:tcPr>
            <w:tcW w:w="587" w:type="dxa"/>
            <w:shd w:val="clear" w:color="auto" w:fill="EEEEEE"/>
          </w:tcPr>
          <w:p w14:paraId="57CB2789"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22" w:type="dxa"/>
            <w:shd w:val="clear" w:color="auto" w:fill="EEEEEE"/>
          </w:tcPr>
          <w:p w14:paraId="27B891DB" w14:textId="77777777" w:rsidR="00D8098C" w:rsidRPr="00F0337F" w:rsidRDefault="00D8098C"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6EC050C1"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shd w:val="clear" w:color="auto" w:fill="EEEEEE"/>
          </w:tcPr>
          <w:p w14:paraId="3871A38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shd w:val="clear" w:color="auto" w:fill="EEEEEE"/>
          </w:tcPr>
          <w:p w14:paraId="10C8ADE2"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48EE0AFA" w14:textId="55C0BF1C" w:rsidTr="003D447D">
        <w:tc>
          <w:tcPr>
            <w:tcW w:w="587" w:type="dxa"/>
            <w:shd w:val="clear" w:color="auto" w:fill="auto"/>
          </w:tcPr>
          <w:p w14:paraId="4E29121D"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8A8B0EA"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1A97B456"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720" w:type="dxa"/>
          </w:tcPr>
          <w:p w14:paraId="6E2D56F0" w14:textId="3241B729" w:rsidR="00D8098C" w:rsidRPr="0010294B" w:rsidRDefault="0010294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tcPr>
          <w:p w14:paraId="5E7081D1" w14:textId="0E658F43" w:rsidR="00D8098C" w:rsidRDefault="0010294B" w:rsidP="00426603">
            <w:pPr>
              <w:spacing w:beforeLines="40" w:before="96" w:afterLines="40" w:after="96" w:line="24" w:lineRule="atLeast"/>
              <w:rPr>
                <w:rFonts w:eastAsia="Times New Roman"/>
                <w:sz w:val="18"/>
                <w:szCs w:val="18"/>
                <w:lang w:val="en-GB" w:eastAsia="en-GB"/>
              </w:rPr>
            </w:pPr>
            <w:r w:rsidRPr="0010294B">
              <w:rPr>
                <w:rFonts w:eastAsia="Times New Roman"/>
                <w:sz w:val="18"/>
                <w:szCs w:val="18"/>
                <w:lang w:val="en-GB" w:eastAsia="en-GB"/>
              </w:rPr>
              <w:t xml:space="preserve">In this study, SMR analysis was employed to identify genes specifically associated with </w:t>
            </w:r>
            <w:r w:rsidRPr="0010294B">
              <w:rPr>
                <w:rFonts w:eastAsia="Times New Roman" w:hint="eastAsia"/>
                <w:sz w:val="18"/>
                <w:szCs w:val="18"/>
                <w:lang w:val="en-GB" w:eastAsia="en-GB"/>
              </w:rPr>
              <w:t xml:space="preserve">knee </w:t>
            </w:r>
            <w:r w:rsidRPr="0010294B">
              <w:rPr>
                <w:rFonts w:eastAsia="Times New Roman"/>
                <w:sz w:val="18"/>
                <w:szCs w:val="18"/>
                <w:lang w:val="en-GB" w:eastAsia="en-GB"/>
              </w:rPr>
              <w:t>OA. The SMR results identified 61 genes, including UQCC1, USP8, BMP6, and GZMK, that showed significant associations with OA susceptibility (P_HEIDI &gt; 0.05, P_FDR &lt; 0.05)</w:t>
            </w:r>
          </w:p>
        </w:tc>
      </w:tr>
      <w:tr w:rsidR="00D8098C" w:rsidRPr="00B853C6" w14:paraId="7BDA55CD" w14:textId="6465618D" w:rsidTr="003D447D">
        <w:tc>
          <w:tcPr>
            <w:tcW w:w="587" w:type="dxa"/>
            <w:shd w:val="clear" w:color="auto" w:fill="EEEEEE"/>
          </w:tcPr>
          <w:p w14:paraId="6F27FA73"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BC0019D"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0ADD58"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720" w:type="dxa"/>
            <w:shd w:val="clear" w:color="auto" w:fill="EEEEEE"/>
          </w:tcPr>
          <w:p w14:paraId="2D6E39C6" w14:textId="3D27FB03" w:rsidR="00D8098C" w:rsidRPr="0010294B" w:rsidRDefault="0010294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205C4ED8" w14:textId="25EDE782" w:rsidR="00D8098C" w:rsidRDefault="0010294B" w:rsidP="00426603">
            <w:pPr>
              <w:spacing w:beforeLines="40" w:before="96" w:afterLines="40" w:after="96" w:line="24" w:lineRule="atLeast"/>
              <w:rPr>
                <w:rFonts w:eastAsia="Times New Roman"/>
                <w:sz w:val="18"/>
                <w:szCs w:val="18"/>
                <w:lang w:val="en-GB" w:eastAsia="en-GB"/>
              </w:rPr>
            </w:pPr>
            <w:r w:rsidRPr="0010294B">
              <w:rPr>
                <w:rFonts w:eastAsia="Times New Roman"/>
                <w:sz w:val="18"/>
                <w:szCs w:val="18"/>
                <w:lang w:val="en-GB" w:eastAsia="en-GB"/>
              </w:rPr>
              <w:t>Further colocalization analysis demonstrated that the posterior probability for the colocalization hypothesis (H4) in the analysis of GZMK reached 92.28%, significantly higher than other hypotheses</w:t>
            </w:r>
          </w:p>
        </w:tc>
      </w:tr>
      <w:tr w:rsidR="00D8098C" w:rsidRPr="00B853C6" w14:paraId="23F1C43D" w14:textId="6396118D" w:rsidTr="003D447D">
        <w:tc>
          <w:tcPr>
            <w:tcW w:w="587" w:type="dxa"/>
            <w:shd w:val="clear" w:color="auto" w:fill="auto"/>
          </w:tcPr>
          <w:p w14:paraId="021A9BB4" w14:textId="77777777" w:rsidR="00D8098C" w:rsidRPr="00F0337F" w:rsidRDefault="00D8098C"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shd w:val="clear" w:color="auto" w:fill="auto"/>
          </w:tcPr>
          <w:p w14:paraId="51D3F02D" w14:textId="77777777" w:rsidR="00D8098C" w:rsidRPr="00F0337F" w:rsidRDefault="00D8098C"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shd w:val="clear" w:color="auto" w:fill="auto"/>
          </w:tcPr>
          <w:p w14:paraId="4AB1D97F"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720" w:type="dxa"/>
          </w:tcPr>
          <w:p w14:paraId="50481D19" w14:textId="77777777" w:rsidR="00D8098C" w:rsidRPr="00A1236D" w:rsidRDefault="00D8098C" w:rsidP="00426603">
            <w:pPr>
              <w:spacing w:beforeLines="40" w:before="96" w:afterLines="40" w:after="96" w:line="24" w:lineRule="atLeast"/>
              <w:rPr>
                <w:rFonts w:eastAsia="Cambria"/>
                <w:sz w:val="18"/>
                <w:szCs w:val="18"/>
                <w:lang w:val="en-GB" w:eastAsia="en-US"/>
              </w:rPr>
            </w:pPr>
          </w:p>
        </w:tc>
        <w:tc>
          <w:tcPr>
            <w:tcW w:w="4320" w:type="dxa"/>
          </w:tcPr>
          <w:p w14:paraId="0F2C43F0" w14:textId="77777777" w:rsidR="00D8098C" w:rsidRDefault="00D8098C" w:rsidP="00426603">
            <w:pPr>
              <w:spacing w:beforeLines="40" w:before="96" w:afterLines="40" w:after="96" w:line="24" w:lineRule="atLeast"/>
              <w:rPr>
                <w:rFonts w:eastAsia="Cambria"/>
                <w:sz w:val="18"/>
                <w:szCs w:val="18"/>
                <w:lang w:val="en-GB" w:eastAsia="en-US"/>
              </w:rPr>
            </w:pPr>
          </w:p>
        </w:tc>
      </w:tr>
      <w:tr w:rsidR="00D8098C" w:rsidRPr="00B853C6" w14:paraId="1ABE2F1D" w14:textId="316B0F58" w:rsidTr="003D447D">
        <w:tc>
          <w:tcPr>
            <w:tcW w:w="587" w:type="dxa"/>
            <w:shd w:val="clear" w:color="auto" w:fill="EEEEEE"/>
          </w:tcPr>
          <w:p w14:paraId="0D022F9B" w14:textId="77777777" w:rsidR="00D8098C" w:rsidRPr="00F0337F" w:rsidRDefault="00D8098C" w:rsidP="00426603">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E8FFD0" w14:textId="77777777" w:rsidR="00D8098C" w:rsidRPr="00F0337F" w:rsidRDefault="00D8098C" w:rsidP="00426603">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30AA9260" w14:textId="77777777" w:rsidR="00D8098C" w:rsidRPr="00A1236D" w:rsidRDefault="00D8098C" w:rsidP="00426603">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720" w:type="dxa"/>
            <w:shd w:val="clear" w:color="auto" w:fill="EEEEEE"/>
          </w:tcPr>
          <w:p w14:paraId="39DB2F0E" w14:textId="440CC0DB" w:rsidR="00D8098C" w:rsidRPr="0010294B" w:rsidRDefault="0010294B" w:rsidP="00426603">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shd w:val="clear" w:color="auto" w:fill="EEEEEE"/>
          </w:tcPr>
          <w:p w14:paraId="6E963E44" w14:textId="6B3DF5E2" w:rsidR="0010294B" w:rsidRDefault="0010294B" w:rsidP="00426603">
            <w:pPr>
              <w:spacing w:beforeLines="40" w:before="96" w:afterLines="40" w:after="96" w:line="24" w:lineRule="atLeast"/>
              <w:rPr>
                <w:rFonts w:eastAsiaTheme="minorEastAsia" w:hint="eastAsia"/>
                <w:sz w:val="18"/>
                <w:szCs w:val="18"/>
                <w:lang w:val="en-GB" w:eastAsia="zh-CN"/>
              </w:rPr>
            </w:pPr>
            <w:r w:rsidRPr="0010294B">
              <w:rPr>
                <w:rFonts w:eastAsia="Times New Roman"/>
                <w:sz w:val="18"/>
                <w:szCs w:val="18"/>
                <w:lang w:val="en-GB" w:eastAsia="en-GB"/>
              </w:rPr>
              <w:t>P_HEIDI &gt; 0.05</w:t>
            </w:r>
          </w:p>
          <w:p w14:paraId="71AF007A" w14:textId="77777777" w:rsidR="0010294B" w:rsidRPr="0010294B" w:rsidRDefault="0010294B" w:rsidP="00426603">
            <w:pPr>
              <w:spacing w:beforeLines="40" w:before="96" w:afterLines="40" w:after="96" w:line="24" w:lineRule="atLeast"/>
              <w:rPr>
                <w:rFonts w:eastAsiaTheme="minorEastAsia" w:hint="eastAsia"/>
                <w:sz w:val="18"/>
                <w:szCs w:val="18"/>
                <w:lang w:val="en-GB" w:eastAsia="zh-CN"/>
              </w:rPr>
            </w:pPr>
          </w:p>
          <w:p w14:paraId="73386906" w14:textId="69BF4BE5" w:rsidR="0010294B" w:rsidRPr="0010294B" w:rsidRDefault="0010294B" w:rsidP="00426603">
            <w:pPr>
              <w:spacing w:beforeLines="40" w:before="96" w:afterLines="40" w:after="96" w:line="24" w:lineRule="atLeast"/>
              <w:rPr>
                <w:rFonts w:eastAsiaTheme="minorEastAsia" w:hint="eastAsia"/>
                <w:sz w:val="18"/>
                <w:szCs w:val="18"/>
                <w:lang w:val="en-GB" w:eastAsia="zh-CN"/>
              </w:rPr>
            </w:pPr>
          </w:p>
        </w:tc>
      </w:tr>
      <w:tr w:rsidR="00710DC1" w:rsidRPr="00B853C6" w14:paraId="3696A9F1" w14:textId="63B96DDA" w:rsidTr="003D447D">
        <w:tc>
          <w:tcPr>
            <w:tcW w:w="587" w:type="dxa"/>
            <w:shd w:val="clear" w:color="auto" w:fill="auto"/>
          </w:tcPr>
          <w:p w14:paraId="0D2234E5" w14:textId="77777777" w:rsidR="00710DC1" w:rsidRPr="00F0337F" w:rsidRDefault="00710DC1" w:rsidP="00710DC1">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7453E1FF" w14:textId="77777777" w:rsidR="00710DC1" w:rsidRPr="00F0337F" w:rsidRDefault="00710DC1" w:rsidP="00710DC1">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111E54D" w14:textId="77777777" w:rsidR="00710DC1" w:rsidRPr="00A1236D" w:rsidRDefault="00710DC1" w:rsidP="00710DC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720" w:type="dxa"/>
          </w:tcPr>
          <w:p w14:paraId="447F5BF5" w14:textId="1A0164D1" w:rsidR="00710DC1" w:rsidRPr="00710DC1" w:rsidRDefault="00710DC1"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6</w:t>
            </w:r>
          </w:p>
        </w:tc>
        <w:tc>
          <w:tcPr>
            <w:tcW w:w="4320" w:type="dxa"/>
          </w:tcPr>
          <w:p w14:paraId="5BB83735" w14:textId="5ADEFDCD" w:rsidR="00710DC1" w:rsidRPr="00710DC1" w:rsidRDefault="00710DC1" w:rsidP="00710DC1">
            <w:pPr>
              <w:spacing w:beforeLines="40" w:before="96" w:afterLines="40" w:after="96" w:line="24" w:lineRule="atLeast"/>
              <w:rPr>
                <w:rFonts w:eastAsiaTheme="minorEastAsia" w:hint="eastAsia"/>
                <w:sz w:val="18"/>
                <w:szCs w:val="18"/>
                <w:lang w:val="en-GB" w:eastAsia="zh-CN"/>
              </w:rPr>
            </w:pPr>
            <w:r w:rsidRPr="0010294B">
              <w:rPr>
                <w:rFonts w:eastAsia="Times New Roman"/>
                <w:sz w:val="18"/>
                <w:szCs w:val="18"/>
                <w:lang w:val="en-GB" w:eastAsia="en-GB"/>
              </w:rPr>
              <w:t>Further colocalization analysis demonstrated that the posterior probability for the colocalization hypothesis (H4) in the analysis of GZMK reached 92.28%, significantly higher than other hypotheses</w:t>
            </w:r>
            <w:r>
              <w:rPr>
                <w:rFonts w:eastAsiaTheme="minorEastAsia" w:hint="eastAsia"/>
                <w:sz w:val="18"/>
                <w:szCs w:val="18"/>
                <w:lang w:val="en-GB" w:eastAsia="zh-CN"/>
              </w:rPr>
              <w:t>.</w:t>
            </w:r>
          </w:p>
        </w:tc>
      </w:tr>
      <w:tr w:rsidR="00710DC1" w:rsidRPr="00B853C6" w14:paraId="1650BAB8" w14:textId="79D11DE7" w:rsidTr="003D447D">
        <w:tc>
          <w:tcPr>
            <w:tcW w:w="587" w:type="dxa"/>
            <w:shd w:val="clear" w:color="auto" w:fill="EEEEEE"/>
          </w:tcPr>
          <w:p w14:paraId="4D025CC4" w14:textId="77777777" w:rsidR="00710DC1" w:rsidRPr="00F0337F" w:rsidRDefault="00710DC1" w:rsidP="00710DC1">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EAD995A" w14:textId="77777777" w:rsidR="00710DC1" w:rsidRPr="00F0337F" w:rsidRDefault="00710DC1" w:rsidP="00710DC1">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14E0FCD9" w14:textId="77777777" w:rsidR="00710DC1" w:rsidRPr="00A1236D" w:rsidRDefault="00710DC1" w:rsidP="00710DC1">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720" w:type="dxa"/>
            <w:shd w:val="clear" w:color="auto" w:fill="EEEEEE"/>
          </w:tcPr>
          <w:p w14:paraId="03D1A085" w14:textId="77777777" w:rsidR="00710DC1" w:rsidRPr="00A1236D" w:rsidRDefault="00710DC1" w:rsidP="00710DC1">
            <w:pPr>
              <w:spacing w:beforeLines="40" w:before="96" w:afterLines="40" w:after="96" w:line="24" w:lineRule="atLeast"/>
              <w:rPr>
                <w:rFonts w:eastAsia="Times New Roman"/>
                <w:sz w:val="18"/>
                <w:szCs w:val="18"/>
                <w:lang w:val="en-GB" w:eastAsia="en-GB"/>
              </w:rPr>
            </w:pPr>
          </w:p>
        </w:tc>
        <w:tc>
          <w:tcPr>
            <w:tcW w:w="4320" w:type="dxa"/>
            <w:shd w:val="clear" w:color="auto" w:fill="EEEEEE"/>
          </w:tcPr>
          <w:p w14:paraId="66751F07" w14:textId="3A276AAC" w:rsidR="00710DC1" w:rsidRDefault="00710DC1" w:rsidP="00710DC1">
            <w:pPr>
              <w:spacing w:beforeLines="40" w:before="96" w:afterLines="40" w:after="96" w:line="24" w:lineRule="atLeast"/>
              <w:rPr>
                <w:rFonts w:eastAsia="Times New Roman"/>
                <w:sz w:val="18"/>
                <w:szCs w:val="18"/>
                <w:lang w:val="en-GB" w:eastAsia="en-GB"/>
              </w:rPr>
            </w:pPr>
            <w:r w:rsidRPr="00710DC1">
              <w:rPr>
                <w:rFonts w:eastAsia="Times New Roman"/>
                <w:sz w:val="18"/>
                <w:szCs w:val="18"/>
                <w:lang w:eastAsia="en-GB"/>
              </w:rPr>
              <w:t xml:space="preserve">In this study, we applied the SMR (Summary-data-based Mendelian Randomization) method, which is designed to assess the causal effect of gene expression on the outcome using </w:t>
            </w:r>
            <w:proofErr w:type="spellStart"/>
            <w:r w:rsidRPr="00710DC1">
              <w:rPr>
                <w:rFonts w:eastAsia="Times New Roman"/>
                <w:sz w:val="18"/>
                <w:szCs w:val="18"/>
                <w:lang w:eastAsia="en-GB"/>
              </w:rPr>
              <w:t>eQTL</w:t>
            </w:r>
            <w:proofErr w:type="spellEnd"/>
            <w:r w:rsidRPr="00710DC1">
              <w:rPr>
                <w:rFonts w:eastAsia="Times New Roman"/>
                <w:sz w:val="18"/>
                <w:szCs w:val="18"/>
                <w:lang w:eastAsia="en-GB"/>
              </w:rPr>
              <w:t xml:space="preserve"> as an instrumental variable. By its methodological design, SMR inherently assumes a unidirectional causal relationship from exposure to outcome. Thus, bidirectional MR was not performed in our analysis.</w:t>
            </w:r>
          </w:p>
        </w:tc>
      </w:tr>
      <w:tr w:rsidR="00710DC1" w:rsidRPr="00B853C6" w14:paraId="2034ACF7" w14:textId="19A8CB33" w:rsidTr="003D447D">
        <w:tc>
          <w:tcPr>
            <w:tcW w:w="587" w:type="dxa"/>
            <w:shd w:val="clear" w:color="auto" w:fill="auto"/>
          </w:tcPr>
          <w:p w14:paraId="3217ECED" w14:textId="77777777" w:rsidR="00710DC1" w:rsidRPr="00F0337F" w:rsidRDefault="00710DC1" w:rsidP="00710DC1">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AE90FE5" w14:textId="77777777" w:rsidR="00710DC1" w:rsidRPr="00F0337F" w:rsidRDefault="00710DC1" w:rsidP="00710DC1">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A13AF31" w14:textId="77777777" w:rsidR="00710DC1" w:rsidRPr="00A1236D" w:rsidRDefault="00710DC1" w:rsidP="00710DC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720" w:type="dxa"/>
          </w:tcPr>
          <w:p w14:paraId="528F9F4C" w14:textId="2B8BC5F4" w:rsidR="00710DC1" w:rsidRPr="00710DC1" w:rsidRDefault="00710DC1"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7</w:t>
            </w:r>
          </w:p>
        </w:tc>
        <w:tc>
          <w:tcPr>
            <w:tcW w:w="4320" w:type="dxa"/>
          </w:tcPr>
          <w:p w14:paraId="7B882C5B" w14:textId="2251AAF4" w:rsidR="00710DC1" w:rsidRPr="00710DC1" w:rsidRDefault="00710DC1" w:rsidP="00710DC1">
            <w:pPr>
              <w:spacing w:beforeLines="40" w:before="96" w:afterLines="40" w:after="96" w:line="24" w:lineRule="atLeast"/>
              <w:rPr>
                <w:rFonts w:eastAsia="Times New Roman"/>
                <w:sz w:val="18"/>
                <w:szCs w:val="18"/>
                <w:lang w:eastAsia="en-GB"/>
              </w:rPr>
            </w:pPr>
            <w:r w:rsidRPr="00710DC1">
              <w:rPr>
                <w:rFonts w:eastAsia="Times New Roman"/>
                <w:sz w:val="18"/>
                <w:szCs w:val="18"/>
                <w:lang w:eastAsia="en-GB"/>
              </w:rPr>
              <w:t>We also performed RNA-seq analysis, which identified GZMK as a significant gene, consistent with our SMR findings.</w:t>
            </w:r>
          </w:p>
        </w:tc>
      </w:tr>
      <w:tr w:rsidR="00710DC1" w:rsidRPr="00B853C6" w14:paraId="3E7CFBFC" w14:textId="3F99A047" w:rsidTr="003D447D">
        <w:tc>
          <w:tcPr>
            <w:tcW w:w="587" w:type="dxa"/>
            <w:tcBorders>
              <w:bottom w:val="single" w:sz="6" w:space="0" w:color="7F7F7F"/>
            </w:tcBorders>
            <w:shd w:val="clear" w:color="auto" w:fill="EEEEEE"/>
          </w:tcPr>
          <w:p w14:paraId="1FDC421F" w14:textId="77777777" w:rsidR="00710DC1" w:rsidRPr="00F0337F" w:rsidRDefault="00710DC1" w:rsidP="00710DC1">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5FE15030" w14:textId="77777777" w:rsidR="00710DC1" w:rsidRPr="00F0337F" w:rsidRDefault="00710DC1" w:rsidP="00710DC1">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14:paraId="61CE32BA" w14:textId="77777777" w:rsidR="00710DC1" w:rsidRPr="00A1236D" w:rsidRDefault="00710DC1" w:rsidP="00710DC1">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720" w:type="dxa"/>
            <w:tcBorders>
              <w:bottom w:val="single" w:sz="6" w:space="0" w:color="7F7F7F"/>
            </w:tcBorders>
            <w:shd w:val="clear" w:color="auto" w:fill="EEEEEE"/>
          </w:tcPr>
          <w:p w14:paraId="33892A62" w14:textId="77777777" w:rsidR="00710DC1" w:rsidRPr="00A1236D" w:rsidRDefault="00710DC1" w:rsidP="00710DC1">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03A6AB93" w14:textId="14FBBA5B" w:rsidR="00710DC1" w:rsidRDefault="00380156" w:rsidP="00710DC1">
            <w:pPr>
              <w:spacing w:beforeLines="40" w:before="96" w:afterLines="40" w:after="96" w:line="24" w:lineRule="atLeast"/>
              <w:rPr>
                <w:rFonts w:eastAsia="Times New Roman"/>
                <w:sz w:val="18"/>
                <w:szCs w:val="18"/>
                <w:lang w:val="en-GB" w:eastAsia="en-GB"/>
              </w:rPr>
            </w:pPr>
            <w:r w:rsidRPr="00380156">
              <w:rPr>
                <w:rFonts w:eastAsia="Times New Roman"/>
                <w:sz w:val="18"/>
                <w:szCs w:val="18"/>
                <w:lang w:val="en-GB" w:eastAsia="en-GB"/>
              </w:rPr>
              <w:t>We did not perform a leave-one-out analysis, as it is not a standard procedure in SMR analysis.</w:t>
            </w:r>
          </w:p>
        </w:tc>
      </w:tr>
      <w:tr w:rsidR="00710DC1" w:rsidRPr="00B853C6" w14:paraId="5B7D2773" w14:textId="7D8D257A" w:rsidTr="003D447D">
        <w:tc>
          <w:tcPr>
            <w:tcW w:w="587" w:type="dxa"/>
            <w:tcBorders>
              <w:top w:val="single" w:sz="6" w:space="0" w:color="7F7F7F"/>
            </w:tcBorders>
            <w:shd w:val="clear" w:color="auto" w:fill="auto"/>
          </w:tcPr>
          <w:p w14:paraId="5BDBDA65"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1C564B75" w14:textId="77777777" w:rsidR="00710DC1" w:rsidRPr="00F0337F" w:rsidRDefault="00710DC1" w:rsidP="00710DC1">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shd w:val="clear" w:color="auto" w:fill="auto"/>
          </w:tcPr>
          <w:p w14:paraId="35997729" w14:textId="77777777" w:rsidR="00710DC1" w:rsidRPr="00A1236D" w:rsidRDefault="00710DC1" w:rsidP="00710DC1">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1AAD7FFB" w14:textId="77777777" w:rsidR="00710DC1" w:rsidRPr="00A1236D" w:rsidRDefault="00710DC1" w:rsidP="00710DC1">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2AE3A897" w14:textId="77777777" w:rsidR="00710DC1" w:rsidRDefault="00710DC1" w:rsidP="00710DC1">
            <w:pPr>
              <w:spacing w:beforeLines="40" w:before="96" w:afterLines="40" w:after="96" w:line="24" w:lineRule="atLeast"/>
              <w:rPr>
                <w:rFonts w:eastAsia="Cambria"/>
                <w:sz w:val="18"/>
                <w:szCs w:val="18"/>
                <w:lang w:val="en-GB" w:eastAsia="en-US"/>
              </w:rPr>
            </w:pPr>
          </w:p>
        </w:tc>
      </w:tr>
      <w:tr w:rsidR="00710DC1" w:rsidRPr="00B853C6" w14:paraId="1800AF05" w14:textId="4BEA2748" w:rsidTr="003D447D">
        <w:tc>
          <w:tcPr>
            <w:tcW w:w="587" w:type="dxa"/>
            <w:shd w:val="clear" w:color="auto" w:fill="EEEEEE"/>
          </w:tcPr>
          <w:p w14:paraId="6B5F5286"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22" w:type="dxa"/>
            <w:shd w:val="clear" w:color="auto" w:fill="EEEEEE"/>
          </w:tcPr>
          <w:p w14:paraId="42EDC029"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14:paraId="35F1CADF" w14:textId="77777777" w:rsidR="00710DC1" w:rsidRPr="00A1236D" w:rsidRDefault="00710DC1" w:rsidP="00710DC1">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720" w:type="dxa"/>
            <w:shd w:val="clear" w:color="auto" w:fill="EEEEEE"/>
          </w:tcPr>
          <w:p w14:paraId="2C7117BF" w14:textId="67125FBC" w:rsidR="00710DC1" w:rsidRPr="00380156" w:rsidRDefault="00380156"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8</w:t>
            </w:r>
          </w:p>
        </w:tc>
        <w:tc>
          <w:tcPr>
            <w:tcW w:w="4320" w:type="dxa"/>
            <w:shd w:val="clear" w:color="auto" w:fill="EEEEEE"/>
          </w:tcPr>
          <w:p w14:paraId="70F1DDE7" w14:textId="42A618A6" w:rsidR="00710DC1" w:rsidRDefault="00380156" w:rsidP="00710DC1">
            <w:pPr>
              <w:spacing w:beforeLines="40" w:before="96" w:afterLines="40" w:after="96" w:line="24" w:lineRule="atLeast"/>
              <w:rPr>
                <w:rFonts w:eastAsia="Times New Roman"/>
                <w:sz w:val="18"/>
                <w:szCs w:val="18"/>
                <w:lang w:val="en-GB" w:eastAsia="en-GB"/>
              </w:rPr>
            </w:pPr>
            <w:r w:rsidRPr="00380156">
              <w:rPr>
                <w:rFonts w:eastAsia="Times New Roman"/>
                <w:sz w:val="18"/>
                <w:szCs w:val="18"/>
                <w:lang w:val="en-GB" w:eastAsia="en-GB"/>
              </w:rPr>
              <w:t>The genetic evidence from our SMR and colocalization analyses provides robust support for GZMK’s causal association with OA.</w:t>
            </w:r>
          </w:p>
        </w:tc>
      </w:tr>
      <w:tr w:rsidR="00710DC1" w:rsidRPr="00B853C6" w14:paraId="06BFAFA4" w14:textId="151FB6CE" w:rsidTr="003D447D">
        <w:tc>
          <w:tcPr>
            <w:tcW w:w="587" w:type="dxa"/>
            <w:shd w:val="clear" w:color="auto" w:fill="auto"/>
          </w:tcPr>
          <w:p w14:paraId="6D471CC5"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22" w:type="dxa"/>
            <w:shd w:val="clear" w:color="auto" w:fill="auto"/>
          </w:tcPr>
          <w:p w14:paraId="5C27961E"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shd w:val="clear" w:color="auto" w:fill="auto"/>
          </w:tcPr>
          <w:p w14:paraId="75B6F41B" w14:textId="77777777" w:rsidR="00710DC1" w:rsidRPr="00A1236D" w:rsidRDefault="00710DC1" w:rsidP="00710DC1">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720" w:type="dxa"/>
          </w:tcPr>
          <w:p w14:paraId="201D4281" w14:textId="75D1C139" w:rsidR="00710DC1" w:rsidRPr="00380156" w:rsidRDefault="00380156"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9</w:t>
            </w:r>
          </w:p>
        </w:tc>
        <w:tc>
          <w:tcPr>
            <w:tcW w:w="4320" w:type="dxa"/>
          </w:tcPr>
          <w:p w14:paraId="7CB4BA33" w14:textId="3B68C7F0" w:rsidR="00710DC1" w:rsidRDefault="00380156" w:rsidP="00710DC1">
            <w:pPr>
              <w:spacing w:beforeLines="40" w:before="96" w:afterLines="40" w:after="96" w:line="24" w:lineRule="atLeast"/>
              <w:rPr>
                <w:rFonts w:eastAsia="Times New Roman"/>
                <w:sz w:val="18"/>
                <w:szCs w:val="18"/>
                <w:lang w:val="en-GB" w:eastAsia="en-GB"/>
              </w:rPr>
            </w:pPr>
            <w:r w:rsidRPr="00380156">
              <w:rPr>
                <w:rFonts w:eastAsia="Times New Roman"/>
                <w:sz w:val="18"/>
                <w:szCs w:val="18"/>
                <w:lang w:val="en-GB" w:eastAsia="en-GB"/>
              </w:rPr>
              <w:t xml:space="preserve">SMR and colocalization analyses rely on external </w:t>
            </w:r>
            <w:proofErr w:type="spellStart"/>
            <w:r w:rsidRPr="00380156">
              <w:rPr>
                <w:rFonts w:eastAsia="Times New Roman"/>
                <w:sz w:val="18"/>
                <w:szCs w:val="18"/>
                <w:lang w:val="en-GB" w:eastAsia="en-GB"/>
              </w:rPr>
              <w:t>eQTL</w:t>
            </w:r>
            <w:proofErr w:type="spellEnd"/>
            <w:r w:rsidRPr="00380156">
              <w:rPr>
                <w:rFonts w:eastAsia="Times New Roman"/>
                <w:sz w:val="18"/>
                <w:szCs w:val="18"/>
                <w:lang w:val="en-GB" w:eastAsia="en-GB"/>
              </w:rPr>
              <w:t xml:space="preserve"> and GWAS data, which may not fully capture synovial-specific effects, a challenge highlighted in tissue-specific genetic studies.</w:t>
            </w:r>
          </w:p>
        </w:tc>
      </w:tr>
      <w:tr w:rsidR="00710DC1" w:rsidRPr="00B853C6" w14:paraId="71F8B8B5" w14:textId="34C247AC" w:rsidTr="003D447D">
        <w:tc>
          <w:tcPr>
            <w:tcW w:w="587" w:type="dxa"/>
            <w:shd w:val="clear" w:color="auto" w:fill="EEEEEE"/>
          </w:tcPr>
          <w:p w14:paraId="02C1D590"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16</w:t>
            </w:r>
          </w:p>
        </w:tc>
        <w:tc>
          <w:tcPr>
            <w:tcW w:w="1822" w:type="dxa"/>
            <w:shd w:val="clear" w:color="auto" w:fill="EEEEEE"/>
          </w:tcPr>
          <w:p w14:paraId="612AA484"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14:paraId="3BF6466E" w14:textId="77777777" w:rsidR="00710DC1" w:rsidRPr="00A1236D" w:rsidRDefault="00710DC1" w:rsidP="00710DC1">
            <w:pPr>
              <w:spacing w:beforeLines="40" w:before="96" w:afterLines="40" w:after="96" w:line="24" w:lineRule="atLeast"/>
              <w:rPr>
                <w:rFonts w:eastAsia="Cambria"/>
                <w:sz w:val="18"/>
                <w:szCs w:val="18"/>
                <w:lang w:val="en-GB" w:eastAsia="en-US"/>
              </w:rPr>
            </w:pPr>
          </w:p>
        </w:tc>
        <w:tc>
          <w:tcPr>
            <w:tcW w:w="720" w:type="dxa"/>
            <w:shd w:val="clear" w:color="auto" w:fill="EEEEEE"/>
          </w:tcPr>
          <w:p w14:paraId="4B5179B2" w14:textId="77777777" w:rsidR="00710DC1" w:rsidRPr="00A1236D" w:rsidRDefault="00710DC1" w:rsidP="00710DC1">
            <w:pPr>
              <w:spacing w:beforeLines="40" w:before="96" w:afterLines="40" w:after="96" w:line="24" w:lineRule="atLeast"/>
              <w:rPr>
                <w:rFonts w:eastAsia="Cambria"/>
                <w:sz w:val="18"/>
                <w:szCs w:val="18"/>
                <w:lang w:val="en-GB" w:eastAsia="en-US"/>
              </w:rPr>
            </w:pPr>
          </w:p>
        </w:tc>
        <w:tc>
          <w:tcPr>
            <w:tcW w:w="4320" w:type="dxa"/>
            <w:shd w:val="clear" w:color="auto" w:fill="EEEEEE"/>
          </w:tcPr>
          <w:p w14:paraId="1C445080" w14:textId="77777777" w:rsidR="00710DC1" w:rsidRDefault="00710DC1" w:rsidP="00710DC1">
            <w:pPr>
              <w:spacing w:beforeLines="40" w:before="96" w:afterLines="40" w:after="96" w:line="24" w:lineRule="atLeast"/>
              <w:rPr>
                <w:rFonts w:eastAsia="Cambria"/>
                <w:sz w:val="18"/>
                <w:szCs w:val="18"/>
                <w:lang w:val="en-GB" w:eastAsia="en-US"/>
              </w:rPr>
            </w:pPr>
          </w:p>
        </w:tc>
      </w:tr>
      <w:tr w:rsidR="00710DC1" w:rsidRPr="00B853C6" w14:paraId="62E6D51A" w14:textId="140D03A2" w:rsidTr="003D447D">
        <w:tc>
          <w:tcPr>
            <w:tcW w:w="587" w:type="dxa"/>
            <w:shd w:val="clear" w:color="auto" w:fill="auto"/>
          </w:tcPr>
          <w:p w14:paraId="6DD2F448" w14:textId="77777777" w:rsidR="00710DC1" w:rsidRPr="00F0337F" w:rsidRDefault="00710DC1" w:rsidP="00710DC1">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F26A29" w14:textId="77777777" w:rsidR="00710DC1" w:rsidRPr="00F0337F" w:rsidRDefault="00710DC1" w:rsidP="00710DC1">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7EDF9868" w14:textId="096ED659" w:rsidR="00710DC1" w:rsidRPr="00A1236D" w:rsidRDefault="00710DC1" w:rsidP="00710DC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w:t>
            </w:r>
            <w:proofErr w:type="gramStart"/>
            <w:r w:rsidRPr="00A1236D">
              <w:rPr>
                <w:rFonts w:eastAsia="Times New Roman"/>
                <w:sz w:val="18"/>
                <w:szCs w:val="18"/>
                <w:lang w:val="en-GB" w:eastAsia="en-GB"/>
              </w:rPr>
              <w:t xml:space="preserve">and in comparison </w:t>
            </w:r>
            <w:proofErr w:type="gramEnd"/>
            <w:r>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720" w:type="dxa"/>
          </w:tcPr>
          <w:p w14:paraId="565CC165" w14:textId="1C7B3207" w:rsidR="00710DC1" w:rsidRPr="00380156" w:rsidRDefault="00380156"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7</w:t>
            </w:r>
          </w:p>
        </w:tc>
        <w:tc>
          <w:tcPr>
            <w:tcW w:w="4320" w:type="dxa"/>
          </w:tcPr>
          <w:p w14:paraId="5251245C" w14:textId="4AA0F87B" w:rsidR="00710DC1" w:rsidRDefault="00380156" w:rsidP="00710DC1">
            <w:pPr>
              <w:spacing w:beforeLines="40" w:before="96" w:afterLines="40" w:after="96" w:line="24" w:lineRule="atLeast"/>
              <w:rPr>
                <w:rFonts w:eastAsia="Times New Roman"/>
                <w:sz w:val="18"/>
                <w:szCs w:val="18"/>
                <w:lang w:val="en-GB" w:eastAsia="en-GB"/>
              </w:rPr>
            </w:pPr>
            <w:r w:rsidRPr="00380156">
              <w:rPr>
                <w:rFonts w:eastAsia="Times New Roman"/>
                <w:sz w:val="18"/>
                <w:szCs w:val="18"/>
                <w:lang w:val="en-GB" w:eastAsia="en-GB"/>
              </w:rPr>
              <w:t xml:space="preserve">In this study, we employed an integrative multi-omics approach, combining RNA-seq of synovial tissue, genetic association analyses, and </w:t>
            </w:r>
            <w:r w:rsidRPr="00380156">
              <w:rPr>
                <w:rFonts w:eastAsia="Times New Roman" w:hint="eastAsia"/>
                <w:sz w:val="18"/>
                <w:szCs w:val="18"/>
                <w:lang w:val="en-GB" w:eastAsia="en-GB"/>
              </w:rPr>
              <w:t>ML model</w:t>
            </w:r>
            <w:r w:rsidRPr="00380156">
              <w:rPr>
                <w:rFonts w:eastAsia="Times New Roman"/>
                <w:sz w:val="18"/>
                <w:szCs w:val="18"/>
                <w:lang w:val="en-GB" w:eastAsia="en-GB"/>
              </w:rPr>
              <w:t>, to elucidate the molecular mechanisms underlying knee</w:t>
            </w:r>
            <w:r w:rsidRPr="00380156">
              <w:rPr>
                <w:rFonts w:eastAsia="Times New Roman" w:hint="eastAsia"/>
                <w:sz w:val="18"/>
                <w:szCs w:val="18"/>
                <w:lang w:val="en-GB" w:eastAsia="en-GB"/>
              </w:rPr>
              <w:t xml:space="preserve"> OA</w:t>
            </w:r>
            <w:r w:rsidRPr="00380156">
              <w:rPr>
                <w:rFonts w:eastAsia="Times New Roman"/>
                <w:sz w:val="18"/>
                <w:szCs w:val="18"/>
                <w:lang w:val="en-GB" w:eastAsia="en-GB"/>
              </w:rPr>
              <w:t>. Our findings identified GZMK as a pivotal gene with a strong causal link to OA pathogenesis, validated through differential expression analysis,</w:t>
            </w:r>
            <w:r w:rsidRPr="00380156">
              <w:rPr>
                <w:rFonts w:eastAsia="Times New Roman" w:hint="eastAsia"/>
                <w:sz w:val="18"/>
                <w:szCs w:val="18"/>
                <w:lang w:val="en-GB" w:eastAsia="en-GB"/>
              </w:rPr>
              <w:t xml:space="preserve"> </w:t>
            </w:r>
            <w:r w:rsidRPr="00380156">
              <w:rPr>
                <w:rFonts w:eastAsia="Times New Roman"/>
                <w:sz w:val="18"/>
                <w:szCs w:val="18"/>
                <w:lang w:val="en-GB" w:eastAsia="en-GB"/>
              </w:rPr>
              <w:t>SMR, Bayesian colocalization, and predictive modelling with LASSO and Random Forest.</w:t>
            </w:r>
          </w:p>
        </w:tc>
      </w:tr>
      <w:tr w:rsidR="00710DC1" w:rsidRPr="00B853C6" w14:paraId="156B69E5" w14:textId="453FC5BE" w:rsidTr="003D447D">
        <w:tc>
          <w:tcPr>
            <w:tcW w:w="587" w:type="dxa"/>
            <w:shd w:val="clear" w:color="auto" w:fill="EEEEEE"/>
          </w:tcPr>
          <w:p w14:paraId="4C8A2215" w14:textId="77777777" w:rsidR="00710DC1" w:rsidRPr="00F0337F" w:rsidRDefault="00710DC1" w:rsidP="00710DC1">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A4A5F16" w14:textId="77777777" w:rsidR="00710DC1" w:rsidRPr="00F0337F" w:rsidRDefault="00710DC1" w:rsidP="00710DC1">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22EB891" w14:textId="35DEA636" w:rsidR="00710DC1" w:rsidRPr="00A1236D" w:rsidRDefault="00710DC1" w:rsidP="00710DC1">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720" w:type="dxa"/>
            <w:shd w:val="clear" w:color="auto" w:fill="EEEEEE"/>
          </w:tcPr>
          <w:p w14:paraId="2FA4AA4D" w14:textId="35E9A31A" w:rsidR="00710DC1" w:rsidRPr="00380156" w:rsidRDefault="00380156"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8</w:t>
            </w:r>
          </w:p>
        </w:tc>
        <w:tc>
          <w:tcPr>
            <w:tcW w:w="4320" w:type="dxa"/>
            <w:shd w:val="clear" w:color="auto" w:fill="EEEEEE"/>
          </w:tcPr>
          <w:p w14:paraId="3A91F000" w14:textId="2BEAE5DC" w:rsidR="00710DC1" w:rsidRPr="00380156" w:rsidRDefault="00380156" w:rsidP="00710DC1">
            <w:pPr>
              <w:spacing w:beforeLines="40" w:before="96" w:afterLines="40" w:after="96" w:line="24" w:lineRule="atLeast"/>
              <w:rPr>
                <w:rFonts w:eastAsia="Times New Roman" w:hint="eastAsia"/>
                <w:sz w:val="18"/>
                <w:szCs w:val="18"/>
                <w:lang w:val="en-GB" w:eastAsia="en-GB"/>
              </w:rPr>
            </w:pPr>
            <w:r w:rsidRPr="00380156">
              <w:rPr>
                <w:rFonts w:eastAsia="Times New Roman"/>
                <w:sz w:val="18"/>
                <w:szCs w:val="18"/>
                <w:lang w:val="en-GB" w:eastAsia="en-GB"/>
              </w:rPr>
              <w:t>GZMK</w:t>
            </w:r>
            <w:r w:rsidRPr="00380156">
              <w:rPr>
                <w:rFonts w:eastAsia="Times New Roman" w:hint="eastAsia"/>
                <w:sz w:val="18"/>
                <w:szCs w:val="18"/>
                <w:lang w:val="en-GB" w:eastAsia="en-GB"/>
              </w:rPr>
              <w:t xml:space="preserve"> (</w:t>
            </w:r>
            <w:r w:rsidRPr="00380156">
              <w:rPr>
                <w:rFonts w:eastAsia="Times New Roman"/>
                <w:sz w:val="18"/>
                <w:szCs w:val="18"/>
                <w:lang w:val="en-GB" w:eastAsia="en-GB"/>
              </w:rPr>
              <w:t>encoding granzyme K</w:t>
            </w:r>
            <w:r w:rsidRPr="00380156">
              <w:rPr>
                <w:rFonts w:eastAsia="Times New Roman" w:hint="eastAsia"/>
                <w:sz w:val="18"/>
                <w:szCs w:val="18"/>
                <w:lang w:val="en-GB" w:eastAsia="en-GB"/>
              </w:rPr>
              <w:t>)</w:t>
            </w:r>
            <w:r w:rsidRPr="00380156">
              <w:rPr>
                <w:rFonts w:eastAsia="Times New Roman"/>
                <w:sz w:val="18"/>
                <w:szCs w:val="18"/>
                <w:lang w:val="en-GB" w:eastAsia="en-GB"/>
              </w:rPr>
              <w:t xml:space="preserve">, is a serine protease expressed by cytotoxic lymphocytes like NK cells and CD8+ T cells, known to induce pro-inflammatory cytokine release and matrix degradation. This aligns with prior evidence linking granzymes to arthritic inflammation, with studies reporting elevated granzyme expression in inflamed synovial tissues across multiple </w:t>
            </w:r>
            <w:r w:rsidRPr="00380156">
              <w:rPr>
                <w:rFonts w:eastAsia="Times New Roman"/>
                <w:sz w:val="18"/>
                <w:szCs w:val="18"/>
                <w:lang w:val="en-GB" w:eastAsia="en-GB"/>
              </w:rPr>
              <w:lastRenderedPageBreak/>
              <w:t>conditions</w:t>
            </w:r>
            <w:r w:rsidRPr="00380156">
              <w:rPr>
                <w:rFonts w:eastAsia="Times New Roman" w:hint="eastAsia"/>
                <w:sz w:val="18"/>
                <w:szCs w:val="18"/>
                <w:lang w:val="en-GB" w:eastAsia="en-GB"/>
              </w:rPr>
              <w:t xml:space="preserve">. </w:t>
            </w:r>
            <w:r w:rsidRPr="00380156">
              <w:rPr>
                <w:rFonts w:eastAsia="Times New Roman"/>
                <w:sz w:val="18"/>
                <w:szCs w:val="18"/>
                <w:lang w:val="en-GB" w:eastAsia="en-GB"/>
              </w:rPr>
              <w:t>GZMK has been demonstrated to trigger the release of pro-inflammatory cytokines, including IL-1β, TNF-α, IL-6, IL-8, and CCL2</w:t>
            </w:r>
            <w:r w:rsidRPr="00380156">
              <w:rPr>
                <w:rFonts w:eastAsia="Times New Roman" w:hint="eastAsia"/>
                <w:sz w:val="18"/>
                <w:szCs w:val="18"/>
                <w:lang w:val="en-GB" w:eastAsia="en-GB"/>
              </w:rPr>
              <w:t>, these cytokines are key mediators of synovial inflammation, driving immune cell recruitment, fibroblast activation, and angiogenesis in OA</w:t>
            </w:r>
          </w:p>
        </w:tc>
      </w:tr>
      <w:tr w:rsidR="00710DC1" w:rsidRPr="00B853C6" w14:paraId="203390A0" w14:textId="367D17C4" w:rsidTr="003D447D">
        <w:tc>
          <w:tcPr>
            <w:tcW w:w="587" w:type="dxa"/>
            <w:shd w:val="clear" w:color="auto" w:fill="auto"/>
          </w:tcPr>
          <w:p w14:paraId="54CA3A27" w14:textId="77777777" w:rsidR="00710DC1" w:rsidRPr="00F0337F" w:rsidRDefault="00710DC1" w:rsidP="00710DC1">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D25BA57" w14:textId="77777777" w:rsidR="00710DC1" w:rsidRPr="00F0337F" w:rsidRDefault="00710DC1" w:rsidP="00710DC1">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B6A8315" w14:textId="77777777" w:rsidR="00710DC1" w:rsidRPr="00A1236D" w:rsidRDefault="00710DC1" w:rsidP="00710DC1">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720" w:type="dxa"/>
          </w:tcPr>
          <w:p w14:paraId="32FCF028" w14:textId="5AA22429" w:rsidR="00710DC1" w:rsidRPr="00380156" w:rsidRDefault="00380156" w:rsidP="00710DC1">
            <w:pPr>
              <w:tabs>
                <w:tab w:val="left" w:pos="1350"/>
              </w:tabs>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8</w:t>
            </w:r>
          </w:p>
        </w:tc>
        <w:tc>
          <w:tcPr>
            <w:tcW w:w="4320" w:type="dxa"/>
          </w:tcPr>
          <w:p w14:paraId="78058AE6" w14:textId="535CC7E2" w:rsidR="00710DC1" w:rsidRPr="00380156" w:rsidRDefault="00380156" w:rsidP="00710DC1">
            <w:pPr>
              <w:tabs>
                <w:tab w:val="left" w:pos="1350"/>
              </w:tabs>
              <w:spacing w:beforeLines="40" w:before="96" w:afterLines="40" w:after="96" w:line="24" w:lineRule="atLeast"/>
              <w:rPr>
                <w:rFonts w:eastAsia="Times New Roman"/>
                <w:color w:val="000000"/>
                <w:sz w:val="18"/>
                <w:szCs w:val="18"/>
                <w:lang w:eastAsia="en-GB"/>
              </w:rPr>
            </w:pPr>
            <w:r w:rsidRPr="00380156">
              <w:rPr>
                <w:rFonts w:eastAsia="Times New Roman"/>
                <w:color w:val="000000"/>
                <w:sz w:val="18"/>
                <w:szCs w:val="18"/>
                <w:lang w:eastAsia="en-GB"/>
              </w:rPr>
              <w:t xml:space="preserve">Compared to classical OA susceptibility genes such as RUNX2, which are primarily involved in cartilage homeostasis and bone remodeling, GZMK </w:t>
            </w:r>
            <w:r w:rsidRPr="00380156">
              <w:rPr>
                <w:rFonts w:eastAsia="Times New Roman" w:hint="eastAsia"/>
                <w:color w:val="000000"/>
                <w:sz w:val="18"/>
                <w:szCs w:val="18"/>
                <w:lang w:eastAsia="en-GB"/>
              </w:rPr>
              <w:t xml:space="preserve">may </w:t>
            </w:r>
            <w:r w:rsidRPr="00380156">
              <w:rPr>
                <w:rFonts w:eastAsia="Times New Roman"/>
                <w:color w:val="000000"/>
                <w:sz w:val="18"/>
                <w:szCs w:val="18"/>
                <w:lang w:eastAsia="en-GB"/>
              </w:rPr>
              <w:t>represent an immune-driven mechanism of OA, linking genetic predisposition to chronic inflammation</w:t>
            </w:r>
          </w:p>
        </w:tc>
      </w:tr>
      <w:tr w:rsidR="00710DC1" w:rsidRPr="00B853C6" w14:paraId="71FDAFC1" w14:textId="00A47F15" w:rsidTr="003D447D">
        <w:tc>
          <w:tcPr>
            <w:tcW w:w="587" w:type="dxa"/>
            <w:tcBorders>
              <w:bottom w:val="single" w:sz="6" w:space="0" w:color="7F7F7F"/>
            </w:tcBorders>
            <w:shd w:val="clear" w:color="auto" w:fill="EEEEEE"/>
          </w:tcPr>
          <w:p w14:paraId="7540155A"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22" w:type="dxa"/>
            <w:tcBorders>
              <w:bottom w:val="single" w:sz="6" w:space="0" w:color="7F7F7F"/>
            </w:tcBorders>
            <w:shd w:val="clear" w:color="auto" w:fill="EEEEEE"/>
          </w:tcPr>
          <w:p w14:paraId="3680059F"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14:paraId="68647C33" w14:textId="77777777" w:rsidR="00710DC1" w:rsidRPr="00A1236D" w:rsidRDefault="00710DC1" w:rsidP="00710DC1">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720" w:type="dxa"/>
            <w:tcBorders>
              <w:bottom w:val="single" w:sz="6" w:space="0" w:color="7F7F7F"/>
            </w:tcBorders>
            <w:shd w:val="clear" w:color="auto" w:fill="EEEEEE"/>
          </w:tcPr>
          <w:p w14:paraId="3ACD3D08" w14:textId="77777777" w:rsidR="00710DC1" w:rsidRPr="00A1236D" w:rsidRDefault="00710DC1" w:rsidP="00710DC1">
            <w:pPr>
              <w:spacing w:beforeLines="40" w:before="96" w:afterLines="40" w:after="96" w:line="24" w:lineRule="atLeast"/>
              <w:rPr>
                <w:rFonts w:eastAsia="Times New Roman"/>
                <w:sz w:val="18"/>
                <w:szCs w:val="18"/>
                <w:lang w:val="en-GB" w:eastAsia="en-GB"/>
              </w:rPr>
            </w:pPr>
          </w:p>
        </w:tc>
        <w:tc>
          <w:tcPr>
            <w:tcW w:w="4320" w:type="dxa"/>
            <w:tcBorders>
              <w:bottom w:val="single" w:sz="6" w:space="0" w:color="7F7F7F"/>
            </w:tcBorders>
            <w:shd w:val="clear" w:color="auto" w:fill="EEEEEE"/>
          </w:tcPr>
          <w:p w14:paraId="41ABF5A9" w14:textId="012E6792" w:rsidR="00710DC1" w:rsidRPr="00380156" w:rsidRDefault="00380156" w:rsidP="00710DC1">
            <w:pPr>
              <w:spacing w:beforeLines="40" w:before="96" w:afterLines="40" w:after="96" w:line="24" w:lineRule="atLeast"/>
              <w:rPr>
                <w:rFonts w:eastAsiaTheme="minorEastAsia" w:hint="eastAsia"/>
                <w:sz w:val="18"/>
                <w:szCs w:val="18"/>
                <w:lang w:val="en-US" w:eastAsia="zh-CN"/>
              </w:rPr>
            </w:pPr>
            <w:r w:rsidRPr="00380156">
              <w:rPr>
                <w:rFonts w:eastAsia="Times New Roman"/>
                <w:sz w:val="18"/>
                <w:szCs w:val="18"/>
                <w:lang w:val="en-US" w:eastAsia="en-GB"/>
              </w:rPr>
              <w:t>Although we did not conduct a detailed analysis of generalizability, our MR findings are based on genetic variants, which are generally stable across populations. Therefore, the results may be applicable to other populations with similar genetic backgrounds. However, further validation in diverse cohorts and across different exposure periods or levels would be beneficial to confirm the robustness of our conclusions.</w:t>
            </w:r>
          </w:p>
        </w:tc>
      </w:tr>
      <w:tr w:rsidR="00710DC1" w:rsidRPr="00B853C6" w14:paraId="57884E75" w14:textId="6FD41AE6" w:rsidTr="003D447D">
        <w:tc>
          <w:tcPr>
            <w:tcW w:w="587" w:type="dxa"/>
            <w:tcBorders>
              <w:top w:val="single" w:sz="6" w:space="0" w:color="7F7F7F"/>
            </w:tcBorders>
            <w:shd w:val="clear" w:color="auto" w:fill="auto"/>
          </w:tcPr>
          <w:p w14:paraId="2C4C694A"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0A6FFE33"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shd w:val="clear" w:color="auto" w:fill="auto"/>
          </w:tcPr>
          <w:p w14:paraId="0577947E" w14:textId="77777777" w:rsidR="00710DC1" w:rsidRPr="00F0337F" w:rsidRDefault="00710DC1" w:rsidP="00710DC1">
            <w:pPr>
              <w:spacing w:beforeLines="40" w:before="96" w:afterLines="40" w:after="96" w:line="24" w:lineRule="atLeast"/>
              <w:rPr>
                <w:rFonts w:eastAsia="Cambria"/>
                <w:sz w:val="18"/>
                <w:szCs w:val="18"/>
                <w:lang w:val="en-GB" w:eastAsia="en-US"/>
              </w:rPr>
            </w:pPr>
          </w:p>
        </w:tc>
        <w:tc>
          <w:tcPr>
            <w:tcW w:w="720" w:type="dxa"/>
            <w:tcBorders>
              <w:top w:val="single" w:sz="6" w:space="0" w:color="7F7F7F"/>
            </w:tcBorders>
          </w:tcPr>
          <w:p w14:paraId="7561574C" w14:textId="77777777" w:rsidR="00710DC1" w:rsidRPr="00F0337F" w:rsidRDefault="00710DC1" w:rsidP="00710DC1">
            <w:pPr>
              <w:spacing w:beforeLines="40" w:before="96" w:afterLines="40" w:after="96" w:line="24" w:lineRule="atLeast"/>
              <w:rPr>
                <w:rFonts w:eastAsia="Cambria"/>
                <w:sz w:val="18"/>
                <w:szCs w:val="18"/>
                <w:lang w:val="en-GB" w:eastAsia="en-US"/>
              </w:rPr>
            </w:pPr>
          </w:p>
        </w:tc>
        <w:tc>
          <w:tcPr>
            <w:tcW w:w="4320" w:type="dxa"/>
            <w:tcBorders>
              <w:top w:val="single" w:sz="6" w:space="0" w:color="7F7F7F"/>
            </w:tcBorders>
          </w:tcPr>
          <w:p w14:paraId="3718ED5B" w14:textId="77777777" w:rsidR="00710DC1" w:rsidRDefault="00710DC1" w:rsidP="00710DC1">
            <w:pPr>
              <w:spacing w:beforeLines="40" w:before="96" w:afterLines="40" w:after="96" w:line="24" w:lineRule="atLeast"/>
              <w:rPr>
                <w:rFonts w:eastAsia="Cambria"/>
                <w:sz w:val="18"/>
                <w:szCs w:val="18"/>
                <w:lang w:val="en-GB" w:eastAsia="en-US"/>
              </w:rPr>
            </w:pPr>
          </w:p>
        </w:tc>
      </w:tr>
      <w:tr w:rsidR="00710DC1" w:rsidRPr="00B853C6" w14:paraId="0014C6D1" w14:textId="2FC4D004" w:rsidTr="003D447D">
        <w:tc>
          <w:tcPr>
            <w:tcW w:w="587" w:type="dxa"/>
            <w:shd w:val="clear" w:color="auto" w:fill="EEEEEE"/>
          </w:tcPr>
          <w:p w14:paraId="2336D08C"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14:paraId="08EB4FDF" w14:textId="77777777" w:rsidR="00710DC1" w:rsidRPr="00F0337F" w:rsidRDefault="00710DC1" w:rsidP="00710DC1">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14:paraId="4663DCA7"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20" w:type="dxa"/>
            <w:shd w:val="clear" w:color="auto" w:fill="EEEEEE"/>
          </w:tcPr>
          <w:p w14:paraId="33E2D855" w14:textId="4AC6E6B3" w:rsidR="00710DC1" w:rsidRPr="00380156" w:rsidRDefault="00380156"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9</w:t>
            </w:r>
          </w:p>
        </w:tc>
        <w:tc>
          <w:tcPr>
            <w:tcW w:w="4320" w:type="dxa"/>
            <w:shd w:val="clear" w:color="auto" w:fill="EEEEEE"/>
          </w:tcPr>
          <w:p w14:paraId="2C6CE5FF" w14:textId="1A46DE02" w:rsidR="00710DC1" w:rsidRDefault="00380156" w:rsidP="00710DC1">
            <w:pPr>
              <w:spacing w:beforeLines="40" w:before="96" w:afterLines="40" w:after="96" w:line="24" w:lineRule="atLeast"/>
              <w:rPr>
                <w:rFonts w:eastAsia="Times New Roman"/>
                <w:sz w:val="18"/>
                <w:szCs w:val="18"/>
                <w:lang w:val="en-GB" w:eastAsia="en-GB"/>
              </w:rPr>
            </w:pPr>
            <w:r w:rsidRPr="00380156">
              <w:rPr>
                <w:rFonts w:eastAsia="Times New Roman"/>
                <w:sz w:val="18"/>
                <w:szCs w:val="18"/>
                <w:lang w:eastAsia="en-GB"/>
              </w:rPr>
              <w:t>No specific funding was received for this study.</w:t>
            </w:r>
          </w:p>
        </w:tc>
      </w:tr>
      <w:tr w:rsidR="00710DC1" w:rsidRPr="00B853C6" w14:paraId="1B22CB41" w14:textId="102364C9" w:rsidTr="003D447D">
        <w:tc>
          <w:tcPr>
            <w:tcW w:w="587" w:type="dxa"/>
            <w:shd w:val="clear" w:color="auto" w:fill="auto"/>
          </w:tcPr>
          <w:p w14:paraId="381BF2BA"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shd w:val="clear" w:color="auto" w:fill="auto"/>
          </w:tcPr>
          <w:p w14:paraId="233BA942"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shd w:val="clear" w:color="auto" w:fill="auto"/>
          </w:tcPr>
          <w:p w14:paraId="42D9085E"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720" w:type="dxa"/>
          </w:tcPr>
          <w:p w14:paraId="5725EE6D" w14:textId="7A0D145E" w:rsidR="00710DC1" w:rsidRPr="00380156" w:rsidRDefault="00380156"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9</w:t>
            </w:r>
          </w:p>
        </w:tc>
        <w:tc>
          <w:tcPr>
            <w:tcW w:w="4320" w:type="dxa"/>
          </w:tcPr>
          <w:p w14:paraId="74EB27BD" w14:textId="77777777" w:rsidR="00380156" w:rsidRPr="009F5128" w:rsidRDefault="00380156" w:rsidP="009F5128">
            <w:pPr>
              <w:spacing w:beforeLines="40" w:before="96" w:afterLines="40" w:after="96" w:line="24" w:lineRule="atLeast"/>
              <w:rPr>
                <w:rFonts w:eastAsia="Times New Roman"/>
                <w:sz w:val="18"/>
                <w:szCs w:val="18"/>
                <w:lang w:val="en-GB" w:eastAsia="en-GB"/>
              </w:rPr>
            </w:pPr>
            <w:r w:rsidRPr="009F5128">
              <w:rPr>
                <w:rFonts w:eastAsia="Times New Roman"/>
                <w:sz w:val="18"/>
                <w:szCs w:val="18"/>
                <w:lang w:val="en-GB" w:eastAsia="en-GB"/>
              </w:rPr>
              <w:t>The original contributions presented in the study are included in the article/</w:t>
            </w:r>
            <w:hyperlink r:id="rId11" w:anchor="s12" w:history="1">
              <w:r w:rsidRPr="009F5128">
                <w:rPr>
                  <w:rFonts w:eastAsia="Times New Roman"/>
                  <w:sz w:val="18"/>
                  <w:szCs w:val="18"/>
                  <w:lang w:val="en-GB" w:eastAsia="en-GB"/>
                </w:rPr>
                <w:t> Supplementary Material</w:t>
              </w:r>
            </w:hyperlink>
            <w:r w:rsidRPr="009F5128">
              <w:rPr>
                <w:rFonts w:eastAsia="Times New Roman"/>
                <w:sz w:val="18"/>
                <w:szCs w:val="18"/>
                <w:lang w:val="en-GB" w:eastAsia="en-GB"/>
              </w:rPr>
              <w:t>. Further inquiries can be directed to the corresponding author.</w:t>
            </w:r>
          </w:p>
          <w:p w14:paraId="38DE3AA7" w14:textId="77777777" w:rsidR="00710DC1" w:rsidRDefault="00710DC1" w:rsidP="009F5128">
            <w:pPr>
              <w:spacing w:beforeLines="40" w:before="96" w:afterLines="40" w:after="96" w:line="24" w:lineRule="atLeast"/>
              <w:rPr>
                <w:rFonts w:eastAsia="Times New Roman"/>
                <w:sz w:val="18"/>
                <w:szCs w:val="18"/>
                <w:lang w:val="en-GB" w:eastAsia="en-GB"/>
              </w:rPr>
            </w:pPr>
          </w:p>
        </w:tc>
      </w:tr>
      <w:tr w:rsidR="00710DC1" w:rsidRPr="00B853C6" w14:paraId="1BFE6A86" w14:textId="26747AA0" w:rsidTr="003D447D">
        <w:tc>
          <w:tcPr>
            <w:tcW w:w="587" w:type="dxa"/>
            <w:tcBorders>
              <w:bottom w:val="single" w:sz="6" w:space="0" w:color="7F7F7F"/>
            </w:tcBorders>
            <w:shd w:val="clear" w:color="auto" w:fill="EEEEEE"/>
          </w:tcPr>
          <w:p w14:paraId="20DC2C92" w14:textId="77777777" w:rsidR="00710DC1" w:rsidRPr="00F0337F" w:rsidRDefault="00710DC1" w:rsidP="00710DC1">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22" w:type="dxa"/>
            <w:tcBorders>
              <w:bottom w:val="single" w:sz="6" w:space="0" w:color="7F7F7F"/>
            </w:tcBorders>
            <w:shd w:val="clear" w:color="auto" w:fill="EEEEEE"/>
          </w:tcPr>
          <w:p w14:paraId="39A69A1B"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4772D912" w14:textId="77777777" w:rsidR="00710DC1" w:rsidRPr="00F0337F" w:rsidRDefault="00710DC1" w:rsidP="00710DC1">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720" w:type="dxa"/>
            <w:tcBorders>
              <w:bottom w:val="single" w:sz="6" w:space="0" w:color="7F7F7F"/>
            </w:tcBorders>
            <w:shd w:val="clear" w:color="auto" w:fill="EEEEEE"/>
          </w:tcPr>
          <w:p w14:paraId="1B63BC8B" w14:textId="731FD4F5" w:rsidR="00710DC1" w:rsidRPr="00380156" w:rsidRDefault="00380156" w:rsidP="00710DC1">
            <w:pPr>
              <w:spacing w:beforeLines="40" w:before="96" w:afterLines="40" w:after="96" w:line="24" w:lineRule="atLeast"/>
              <w:rPr>
                <w:rFonts w:eastAsiaTheme="minorEastAsia" w:hint="eastAsia"/>
                <w:sz w:val="18"/>
                <w:szCs w:val="18"/>
                <w:lang w:val="en-GB" w:eastAsia="zh-CN"/>
              </w:rPr>
            </w:pPr>
            <w:r>
              <w:rPr>
                <w:rFonts w:eastAsiaTheme="minorEastAsia" w:hint="eastAsia"/>
                <w:sz w:val="18"/>
                <w:szCs w:val="18"/>
                <w:lang w:val="en-GB" w:eastAsia="zh-CN"/>
              </w:rPr>
              <w:t>10</w:t>
            </w:r>
          </w:p>
        </w:tc>
        <w:tc>
          <w:tcPr>
            <w:tcW w:w="4320" w:type="dxa"/>
            <w:tcBorders>
              <w:bottom w:val="single" w:sz="6" w:space="0" w:color="7F7F7F"/>
            </w:tcBorders>
            <w:shd w:val="clear" w:color="auto" w:fill="EEEEEE"/>
          </w:tcPr>
          <w:p w14:paraId="5D9123A4" w14:textId="11D9B759" w:rsidR="00710DC1" w:rsidRDefault="00380156" w:rsidP="00710DC1">
            <w:pPr>
              <w:spacing w:beforeLines="40" w:before="96" w:afterLines="40" w:after="96" w:line="24" w:lineRule="atLeast"/>
              <w:rPr>
                <w:rFonts w:eastAsia="Times New Roman"/>
                <w:sz w:val="18"/>
                <w:szCs w:val="18"/>
                <w:lang w:val="en-GB" w:eastAsia="en-GB"/>
              </w:rPr>
            </w:pPr>
            <w:r w:rsidRPr="009F5128">
              <w:rPr>
                <w:rFonts w:eastAsia="Times New Roman"/>
                <w:sz w:val="18"/>
                <w:szCs w:val="18"/>
                <w:lang w:val="en-GB" w:eastAsia="en-GB"/>
              </w:rPr>
              <w:t>The authors declare no conflict of interest.</w:t>
            </w:r>
          </w:p>
        </w:tc>
      </w:tr>
    </w:tbl>
    <w:p w14:paraId="386115B2" w14:textId="17D6D8D3" w:rsidR="00000000" w:rsidRPr="009854A9" w:rsidRDefault="00D65199" w:rsidP="005520ED">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w:t>
      </w:r>
      <w:r w:rsidRPr="009854A9">
        <w:rPr>
          <w:noProof/>
          <w:sz w:val="19"/>
          <w:szCs w:val="19"/>
        </w:rPr>
        <w:lastRenderedPageBreak/>
        <w:t xml:space="preserve">Epidemiology using Mendelian Randomisation (STROBE-MR): Explanation and Elaboration. BMJ. 2021;375:n2233. </w:t>
      </w:r>
    </w:p>
    <w:p w14:paraId="25DB435D" w14:textId="164414FA" w:rsidR="00804498" w:rsidRDefault="00804498" w:rsidP="005520ED">
      <w:pPr>
        <w:spacing w:before="240" w:after="240"/>
      </w:pPr>
      <w:r w:rsidRPr="009854A9">
        <w:rPr>
          <w:sz w:val="19"/>
          <w:szCs w:val="19"/>
        </w:rPr>
        <w:fldChar w:fldCharType="end"/>
      </w:r>
    </w:p>
    <w:sectPr w:rsidR="00804498" w:rsidSect="003D447D">
      <w:footerReference w:type="even" r:id="rId12"/>
      <w:footerReference w:type="default" r:id="rId13"/>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73BA" w14:textId="77777777" w:rsidR="000D30A1" w:rsidRDefault="000D30A1">
      <w:pPr>
        <w:spacing w:line="240" w:lineRule="auto"/>
      </w:pPr>
      <w:r>
        <w:separator/>
      </w:r>
    </w:p>
  </w:endnote>
  <w:endnote w:type="continuationSeparator" w:id="0">
    <w:p w14:paraId="0C29C211" w14:textId="77777777" w:rsidR="000D30A1" w:rsidRDefault="000D3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A166" w14:textId="77777777" w:rsidR="00000000" w:rsidRDefault="00000000" w:rsidP="00A365E5">
    <w:pPr>
      <w:pStyle w:val="a3"/>
      <w:framePr w:wrap="none" w:vAnchor="text" w:hAnchor="margin" w:xAlign="right" w:y="1"/>
      <w:rPr>
        <w:rStyle w:val="a5"/>
      </w:rPr>
    </w:pPr>
  </w:p>
  <w:p w14:paraId="40A0897E" w14:textId="77777777" w:rsidR="00000000" w:rsidRDefault="00000000" w:rsidP="00C141F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B5E" w14:textId="0AA16358" w:rsidR="00000000" w:rsidRDefault="003D447D">
    <w:pPr>
      <w:pStyle w:val="a3"/>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000000" w:rsidRDefault="00000000" w:rsidP="00C141F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D4A6" w14:textId="77777777" w:rsidR="000D30A1" w:rsidRDefault="000D30A1">
      <w:pPr>
        <w:spacing w:line="240" w:lineRule="auto"/>
      </w:pPr>
      <w:r>
        <w:separator/>
      </w:r>
    </w:p>
  </w:footnote>
  <w:footnote w:type="continuationSeparator" w:id="0">
    <w:p w14:paraId="38B47D09" w14:textId="77777777" w:rsidR="000D30A1" w:rsidRDefault="000D30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A4CE8"/>
    <w:rsid w:val="000D30A1"/>
    <w:rsid w:val="0010294B"/>
    <w:rsid w:val="002663E6"/>
    <w:rsid w:val="00380156"/>
    <w:rsid w:val="003D447D"/>
    <w:rsid w:val="003D47DD"/>
    <w:rsid w:val="004024F4"/>
    <w:rsid w:val="004B5CBB"/>
    <w:rsid w:val="004D7CAB"/>
    <w:rsid w:val="004E11D4"/>
    <w:rsid w:val="00514462"/>
    <w:rsid w:val="005520ED"/>
    <w:rsid w:val="005A0D0D"/>
    <w:rsid w:val="00685D31"/>
    <w:rsid w:val="006912BF"/>
    <w:rsid w:val="006A41D0"/>
    <w:rsid w:val="006B08D5"/>
    <w:rsid w:val="00710DC1"/>
    <w:rsid w:val="00804498"/>
    <w:rsid w:val="008E6B08"/>
    <w:rsid w:val="00914C56"/>
    <w:rsid w:val="00950729"/>
    <w:rsid w:val="009854A9"/>
    <w:rsid w:val="009E033F"/>
    <w:rsid w:val="009F5128"/>
    <w:rsid w:val="00B30018"/>
    <w:rsid w:val="00B5509C"/>
    <w:rsid w:val="00BB6328"/>
    <w:rsid w:val="00CF5BA3"/>
    <w:rsid w:val="00D65199"/>
    <w:rsid w:val="00D8098C"/>
    <w:rsid w:val="00ED48A3"/>
    <w:rsid w:val="00EF4B94"/>
    <w:rsid w:val="00FD61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14C56"/>
    <w:pPr>
      <w:spacing w:after="0" w:line="276" w:lineRule="auto"/>
    </w:pPr>
    <w:rPr>
      <w:rFonts w:ascii="Arial" w:eastAsia="Arial" w:hAnsi="Arial" w:cs="Arial"/>
      <w:lang w:val="en" w:eastAsia="de-CH"/>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4C56"/>
    <w:pPr>
      <w:tabs>
        <w:tab w:val="center" w:pos="4680"/>
        <w:tab w:val="right" w:pos="9360"/>
      </w:tabs>
      <w:spacing w:line="240" w:lineRule="auto"/>
    </w:pPr>
  </w:style>
  <w:style w:type="character" w:customStyle="1" w:styleId="a4">
    <w:name w:val="页脚 字符"/>
    <w:basedOn w:val="a0"/>
    <w:link w:val="a3"/>
    <w:uiPriority w:val="99"/>
    <w:rsid w:val="00914C56"/>
    <w:rPr>
      <w:rFonts w:ascii="Arial" w:eastAsia="Arial" w:hAnsi="Arial" w:cs="Arial"/>
      <w:lang w:val="en" w:eastAsia="de-CH"/>
    </w:rPr>
  </w:style>
  <w:style w:type="character" w:styleId="a5">
    <w:name w:val="page number"/>
    <w:basedOn w:val="a0"/>
    <w:uiPriority w:val="99"/>
    <w:semiHidden/>
    <w:unhideWhenUsed/>
    <w:rsid w:val="00914C56"/>
  </w:style>
  <w:style w:type="character" w:styleId="a6">
    <w:name w:val="line number"/>
    <w:basedOn w:val="a0"/>
    <w:uiPriority w:val="99"/>
    <w:semiHidden/>
    <w:unhideWhenUsed/>
    <w:rsid w:val="00914C56"/>
  </w:style>
  <w:style w:type="paragraph" w:styleId="a7">
    <w:name w:val="header"/>
    <w:basedOn w:val="a"/>
    <w:link w:val="a8"/>
    <w:uiPriority w:val="99"/>
    <w:unhideWhenUsed/>
    <w:rsid w:val="008E6B08"/>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8E6B08"/>
    <w:rPr>
      <w:rFonts w:ascii="Arial" w:eastAsia="Arial" w:hAnsi="Arial" w:cs="Arial"/>
      <w:sz w:val="18"/>
      <w:szCs w:val="18"/>
      <w:lang w:val="en" w:eastAsia="de-CH"/>
    </w:rPr>
  </w:style>
  <w:style w:type="character" w:styleId="a9">
    <w:name w:val="Hyperlink"/>
    <w:basedOn w:val="a0"/>
    <w:uiPriority w:val="99"/>
    <w:unhideWhenUsed/>
    <w:rsid w:val="008E6B08"/>
    <w:rPr>
      <w:color w:val="0000FF"/>
      <w:u w:val="single"/>
    </w:rPr>
  </w:style>
  <w:style w:type="character" w:styleId="aa">
    <w:name w:val="FollowedHyperlink"/>
    <w:basedOn w:val="a0"/>
    <w:uiPriority w:val="99"/>
    <w:semiHidden/>
    <w:unhideWhenUsed/>
    <w:rsid w:val="008E6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126">
      <w:bodyDiv w:val="1"/>
      <w:marLeft w:val="0"/>
      <w:marRight w:val="0"/>
      <w:marTop w:val="0"/>
      <w:marBottom w:val="0"/>
      <w:divBdr>
        <w:top w:val="none" w:sz="0" w:space="0" w:color="auto"/>
        <w:left w:val="none" w:sz="0" w:space="0" w:color="auto"/>
        <w:bottom w:val="none" w:sz="0" w:space="0" w:color="auto"/>
        <w:right w:val="none" w:sz="0" w:space="0" w:color="auto"/>
      </w:divBdr>
      <w:divsChild>
        <w:div w:id="522017568">
          <w:marLeft w:val="0"/>
          <w:marRight w:val="0"/>
          <w:marTop w:val="0"/>
          <w:marBottom w:val="0"/>
          <w:divBdr>
            <w:top w:val="none" w:sz="0" w:space="0" w:color="auto"/>
            <w:left w:val="none" w:sz="0" w:space="0" w:color="auto"/>
            <w:bottom w:val="none" w:sz="0" w:space="0" w:color="auto"/>
            <w:right w:val="none" w:sz="0" w:space="0" w:color="auto"/>
          </w:divBdr>
        </w:div>
      </w:divsChild>
    </w:div>
    <w:div w:id="155191861">
      <w:bodyDiv w:val="1"/>
      <w:marLeft w:val="0"/>
      <w:marRight w:val="0"/>
      <w:marTop w:val="0"/>
      <w:marBottom w:val="0"/>
      <w:divBdr>
        <w:top w:val="none" w:sz="0" w:space="0" w:color="auto"/>
        <w:left w:val="none" w:sz="0" w:space="0" w:color="auto"/>
        <w:bottom w:val="none" w:sz="0" w:space="0" w:color="auto"/>
        <w:right w:val="none" w:sz="0" w:space="0" w:color="auto"/>
      </w:divBdr>
      <w:divsChild>
        <w:div w:id="54666876">
          <w:marLeft w:val="0"/>
          <w:marRight w:val="0"/>
          <w:marTop w:val="0"/>
          <w:marBottom w:val="0"/>
          <w:divBdr>
            <w:top w:val="none" w:sz="0" w:space="0" w:color="auto"/>
            <w:left w:val="none" w:sz="0" w:space="0" w:color="auto"/>
            <w:bottom w:val="none" w:sz="0" w:space="0" w:color="auto"/>
            <w:right w:val="none" w:sz="0" w:space="0" w:color="auto"/>
          </w:divBdr>
        </w:div>
      </w:divsChild>
    </w:div>
    <w:div w:id="738332420">
      <w:bodyDiv w:val="1"/>
      <w:marLeft w:val="0"/>
      <w:marRight w:val="0"/>
      <w:marTop w:val="0"/>
      <w:marBottom w:val="0"/>
      <w:divBdr>
        <w:top w:val="none" w:sz="0" w:space="0" w:color="auto"/>
        <w:left w:val="none" w:sz="0" w:space="0" w:color="auto"/>
        <w:bottom w:val="none" w:sz="0" w:space="0" w:color="auto"/>
        <w:right w:val="none" w:sz="0" w:space="0" w:color="auto"/>
      </w:divBdr>
      <w:divsChild>
        <w:div w:id="1981496836">
          <w:marLeft w:val="0"/>
          <w:marRight w:val="0"/>
          <w:marTop w:val="0"/>
          <w:marBottom w:val="0"/>
          <w:divBdr>
            <w:top w:val="none" w:sz="0" w:space="0" w:color="auto"/>
            <w:left w:val="none" w:sz="0" w:space="0" w:color="auto"/>
            <w:bottom w:val="none" w:sz="0" w:space="0" w:color="auto"/>
            <w:right w:val="none" w:sz="0" w:space="0" w:color="auto"/>
          </w:divBdr>
        </w:div>
      </w:divsChild>
    </w:div>
    <w:div w:id="766736198">
      <w:bodyDiv w:val="1"/>
      <w:marLeft w:val="0"/>
      <w:marRight w:val="0"/>
      <w:marTop w:val="0"/>
      <w:marBottom w:val="0"/>
      <w:divBdr>
        <w:top w:val="none" w:sz="0" w:space="0" w:color="auto"/>
        <w:left w:val="none" w:sz="0" w:space="0" w:color="auto"/>
        <w:bottom w:val="none" w:sz="0" w:space="0" w:color="auto"/>
        <w:right w:val="none" w:sz="0" w:space="0" w:color="auto"/>
      </w:divBdr>
      <w:divsChild>
        <w:div w:id="1909261403">
          <w:marLeft w:val="0"/>
          <w:marRight w:val="0"/>
          <w:marTop w:val="0"/>
          <w:marBottom w:val="0"/>
          <w:divBdr>
            <w:top w:val="none" w:sz="0" w:space="0" w:color="auto"/>
            <w:left w:val="none" w:sz="0" w:space="0" w:color="auto"/>
            <w:bottom w:val="none" w:sz="0" w:space="0" w:color="auto"/>
            <w:right w:val="none" w:sz="0" w:space="0" w:color="auto"/>
          </w:divBdr>
        </w:div>
      </w:divsChild>
    </w:div>
    <w:div w:id="872229467">
      <w:bodyDiv w:val="1"/>
      <w:marLeft w:val="0"/>
      <w:marRight w:val="0"/>
      <w:marTop w:val="0"/>
      <w:marBottom w:val="0"/>
      <w:divBdr>
        <w:top w:val="none" w:sz="0" w:space="0" w:color="auto"/>
        <w:left w:val="none" w:sz="0" w:space="0" w:color="auto"/>
        <w:bottom w:val="none" w:sz="0" w:space="0" w:color="auto"/>
        <w:right w:val="none" w:sz="0" w:space="0" w:color="auto"/>
      </w:divBdr>
      <w:divsChild>
        <w:div w:id="346836188">
          <w:marLeft w:val="0"/>
          <w:marRight w:val="0"/>
          <w:marTop w:val="0"/>
          <w:marBottom w:val="0"/>
          <w:divBdr>
            <w:top w:val="none" w:sz="0" w:space="0" w:color="auto"/>
            <w:left w:val="none" w:sz="0" w:space="0" w:color="auto"/>
            <w:bottom w:val="none" w:sz="0" w:space="0" w:color="auto"/>
            <w:right w:val="none" w:sz="0" w:space="0" w:color="auto"/>
          </w:divBdr>
        </w:div>
      </w:divsChild>
    </w:div>
    <w:div w:id="930701892">
      <w:bodyDiv w:val="1"/>
      <w:marLeft w:val="0"/>
      <w:marRight w:val="0"/>
      <w:marTop w:val="0"/>
      <w:marBottom w:val="0"/>
      <w:divBdr>
        <w:top w:val="none" w:sz="0" w:space="0" w:color="auto"/>
        <w:left w:val="none" w:sz="0" w:space="0" w:color="auto"/>
        <w:bottom w:val="none" w:sz="0" w:space="0" w:color="auto"/>
        <w:right w:val="none" w:sz="0" w:space="0" w:color="auto"/>
      </w:divBdr>
      <w:divsChild>
        <w:div w:id="1403210779">
          <w:marLeft w:val="0"/>
          <w:marRight w:val="0"/>
          <w:marTop w:val="0"/>
          <w:marBottom w:val="0"/>
          <w:divBdr>
            <w:top w:val="none" w:sz="0" w:space="0" w:color="auto"/>
            <w:left w:val="none" w:sz="0" w:space="0" w:color="auto"/>
            <w:bottom w:val="none" w:sz="0" w:space="0" w:color="auto"/>
            <w:right w:val="none" w:sz="0" w:space="0" w:color="auto"/>
          </w:divBdr>
        </w:div>
      </w:divsChild>
    </w:div>
    <w:div w:id="1091312533">
      <w:bodyDiv w:val="1"/>
      <w:marLeft w:val="0"/>
      <w:marRight w:val="0"/>
      <w:marTop w:val="0"/>
      <w:marBottom w:val="0"/>
      <w:divBdr>
        <w:top w:val="none" w:sz="0" w:space="0" w:color="auto"/>
        <w:left w:val="none" w:sz="0" w:space="0" w:color="auto"/>
        <w:bottom w:val="none" w:sz="0" w:space="0" w:color="auto"/>
        <w:right w:val="none" w:sz="0" w:space="0" w:color="auto"/>
      </w:divBdr>
      <w:divsChild>
        <w:div w:id="1146583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46802">
      <w:bodyDiv w:val="1"/>
      <w:marLeft w:val="0"/>
      <w:marRight w:val="0"/>
      <w:marTop w:val="0"/>
      <w:marBottom w:val="0"/>
      <w:divBdr>
        <w:top w:val="none" w:sz="0" w:space="0" w:color="auto"/>
        <w:left w:val="none" w:sz="0" w:space="0" w:color="auto"/>
        <w:bottom w:val="none" w:sz="0" w:space="0" w:color="auto"/>
        <w:right w:val="none" w:sz="0" w:space="0" w:color="auto"/>
      </w:divBdr>
      <w:divsChild>
        <w:div w:id="1504278628">
          <w:marLeft w:val="0"/>
          <w:marRight w:val="0"/>
          <w:marTop w:val="0"/>
          <w:marBottom w:val="0"/>
          <w:divBdr>
            <w:top w:val="none" w:sz="0" w:space="0" w:color="auto"/>
            <w:left w:val="none" w:sz="0" w:space="0" w:color="auto"/>
            <w:bottom w:val="none" w:sz="0" w:space="0" w:color="auto"/>
            <w:right w:val="none" w:sz="0" w:space="0" w:color="auto"/>
          </w:divBdr>
        </w:div>
      </w:divsChild>
    </w:div>
    <w:div w:id="1202085203">
      <w:bodyDiv w:val="1"/>
      <w:marLeft w:val="0"/>
      <w:marRight w:val="0"/>
      <w:marTop w:val="0"/>
      <w:marBottom w:val="0"/>
      <w:divBdr>
        <w:top w:val="none" w:sz="0" w:space="0" w:color="auto"/>
        <w:left w:val="none" w:sz="0" w:space="0" w:color="auto"/>
        <w:bottom w:val="none" w:sz="0" w:space="0" w:color="auto"/>
        <w:right w:val="none" w:sz="0" w:space="0" w:color="auto"/>
      </w:divBdr>
      <w:divsChild>
        <w:div w:id="974025951">
          <w:marLeft w:val="0"/>
          <w:marRight w:val="0"/>
          <w:marTop w:val="0"/>
          <w:marBottom w:val="0"/>
          <w:divBdr>
            <w:top w:val="none" w:sz="0" w:space="0" w:color="auto"/>
            <w:left w:val="none" w:sz="0" w:space="0" w:color="auto"/>
            <w:bottom w:val="none" w:sz="0" w:space="0" w:color="auto"/>
            <w:right w:val="none" w:sz="0" w:space="0" w:color="auto"/>
          </w:divBdr>
        </w:div>
      </w:divsChild>
    </w:div>
    <w:div w:id="1398089485">
      <w:bodyDiv w:val="1"/>
      <w:marLeft w:val="0"/>
      <w:marRight w:val="0"/>
      <w:marTop w:val="0"/>
      <w:marBottom w:val="0"/>
      <w:divBdr>
        <w:top w:val="none" w:sz="0" w:space="0" w:color="auto"/>
        <w:left w:val="none" w:sz="0" w:space="0" w:color="auto"/>
        <w:bottom w:val="none" w:sz="0" w:space="0" w:color="auto"/>
        <w:right w:val="none" w:sz="0" w:space="0" w:color="auto"/>
      </w:divBdr>
      <w:divsChild>
        <w:div w:id="514803722">
          <w:marLeft w:val="0"/>
          <w:marRight w:val="0"/>
          <w:marTop w:val="0"/>
          <w:marBottom w:val="0"/>
          <w:divBdr>
            <w:top w:val="none" w:sz="0" w:space="0" w:color="auto"/>
            <w:left w:val="none" w:sz="0" w:space="0" w:color="auto"/>
            <w:bottom w:val="none" w:sz="0" w:space="0" w:color="auto"/>
            <w:right w:val="none" w:sz="0" w:space="0" w:color="auto"/>
          </w:divBdr>
        </w:div>
      </w:divsChild>
    </w:div>
    <w:div w:id="1403482487">
      <w:bodyDiv w:val="1"/>
      <w:marLeft w:val="0"/>
      <w:marRight w:val="0"/>
      <w:marTop w:val="0"/>
      <w:marBottom w:val="0"/>
      <w:divBdr>
        <w:top w:val="none" w:sz="0" w:space="0" w:color="auto"/>
        <w:left w:val="none" w:sz="0" w:space="0" w:color="auto"/>
        <w:bottom w:val="none" w:sz="0" w:space="0" w:color="auto"/>
        <w:right w:val="none" w:sz="0" w:space="0" w:color="auto"/>
      </w:divBdr>
      <w:divsChild>
        <w:div w:id="507452073">
          <w:marLeft w:val="0"/>
          <w:marRight w:val="0"/>
          <w:marTop w:val="0"/>
          <w:marBottom w:val="0"/>
          <w:divBdr>
            <w:top w:val="none" w:sz="0" w:space="0" w:color="auto"/>
            <w:left w:val="none" w:sz="0" w:space="0" w:color="auto"/>
            <w:bottom w:val="none" w:sz="0" w:space="0" w:color="auto"/>
            <w:right w:val="none" w:sz="0" w:space="0" w:color="auto"/>
          </w:divBdr>
        </w:div>
      </w:divsChild>
    </w:div>
    <w:div w:id="1454135394">
      <w:bodyDiv w:val="1"/>
      <w:marLeft w:val="0"/>
      <w:marRight w:val="0"/>
      <w:marTop w:val="0"/>
      <w:marBottom w:val="0"/>
      <w:divBdr>
        <w:top w:val="none" w:sz="0" w:space="0" w:color="auto"/>
        <w:left w:val="none" w:sz="0" w:space="0" w:color="auto"/>
        <w:bottom w:val="none" w:sz="0" w:space="0" w:color="auto"/>
        <w:right w:val="none" w:sz="0" w:space="0" w:color="auto"/>
      </w:divBdr>
      <w:divsChild>
        <w:div w:id="1326980537">
          <w:marLeft w:val="0"/>
          <w:marRight w:val="0"/>
          <w:marTop w:val="0"/>
          <w:marBottom w:val="0"/>
          <w:divBdr>
            <w:top w:val="none" w:sz="0" w:space="0" w:color="auto"/>
            <w:left w:val="none" w:sz="0" w:space="0" w:color="auto"/>
            <w:bottom w:val="none" w:sz="0" w:space="0" w:color="auto"/>
            <w:right w:val="none" w:sz="0" w:space="0" w:color="auto"/>
          </w:divBdr>
        </w:div>
      </w:divsChild>
    </w:div>
    <w:div w:id="1590847351">
      <w:bodyDiv w:val="1"/>
      <w:marLeft w:val="0"/>
      <w:marRight w:val="0"/>
      <w:marTop w:val="0"/>
      <w:marBottom w:val="0"/>
      <w:divBdr>
        <w:top w:val="none" w:sz="0" w:space="0" w:color="auto"/>
        <w:left w:val="none" w:sz="0" w:space="0" w:color="auto"/>
        <w:bottom w:val="none" w:sz="0" w:space="0" w:color="auto"/>
        <w:right w:val="none" w:sz="0" w:space="0" w:color="auto"/>
      </w:divBdr>
      <w:divsChild>
        <w:div w:id="1709914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008564">
      <w:bodyDiv w:val="1"/>
      <w:marLeft w:val="0"/>
      <w:marRight w:val="0"/>
      <w:marTop w:val="0"/>
      <w:marBottom w:val="0"/>
      <w:divBdr>
        <w:top w:val="none" w:sz="0" w:space="0" w:color="auto"/>
        <w:left w:val="none" w:sz="0" w:space="0" w:color="auto"/>
        <w:bottom w:val="none" w:sz="0" w:space="0" w:color="auto"/>
        <w:right w:val="none" w:sz="0" w:space="0" w:color="auto"/>
      </w:divBdr>
      <w:divsChild>
        <w:div w:id="1832285662">
          <w:marLeft w:val="0"/>
          <w:marRight w:val="0"/>
          <w:marTop w:val="0"/>
          <w:marBottom w:val="0"/>
          <w:divBdr>
            <w:top w:val="none" w:sz="0" w:space="0" w:color="auto"/>
            <w:left w:val="none" w:sz="0" w:space="0" w:color="auto"/>
            <w:bottom w:val="none" w:sz="0" w:space="0" w:color="auto"/>
            <w:right w:val="none" w:sz="0" w:space="0" w:color="auto"/>
          </w:divBdr>
        </w:div>
      </w:divsChild>
    </w:div>
    <w:div w:id="176904068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5">
          <w:marLeft w:val="0"/>
          <w:marRight w:val="0"/>
          <w:marTop w:val="0"/>
          <w:marBottom w:val="0"/>
          <w:divBdr>
            <w:top w:val="none" w:sz="0" w:space="0" w:color="auto"/>
            <w:left w:val="none" w:sz="0" w:space="0" w:color="auto"/>
            <w:bottom w:val="none" w:sz="0" w:space="0" w:color="auto"/>
            <w:right w:val="none" w:sz="0" w:space="0" w:color="auto"/>
          </w:divBdr>
        </w:div>
      </w:divsChild>
    </w:div>
    <w:div w:id="1986549655">
      <w:bodyDiv w:val="1"/>
      <w:marLeft w:val="0"/>
      <w:marRight w:val="0"/>
      <w:marTop w:val="0"/>
      <w:marBottom w:val="0"/>
      <w:divBdr>
        <w:top w:val="none" w:sz="0" w:space="0" w:color="auto"/>
        <w:left w:val="none" w:sz="0" w:space="0" w:color="auto"/>
        <w:bottom w:val="none" w:sz="0" w:space="0" w:color="auto"/>
        <w:right w:val="none" w:sz="0" w:space="0" w:color="auto"/>
      </w:divBdr>
      <w:divsChild>
        <w:div w:id="1809781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mc/articles/PMC1088304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qtlge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54328D-A746-4148-A8A5-82FB4C62F3CE}">
  <we:reference id="wa200005826" version="1.8.0.0" store="zh-CN"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3.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20111-77FD-4F18-8E31-D73787464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Chengqiang Wang</cp:lastModifiedBy>
  <cp:revision>7</cp:revision>
  <cp:lastPrinted>2021-09-28T07:08:00Z</cp:lastPrinted>
  <dcterms:created xsi:type="dcterms:W3CDTF">2022-04-07T08:09:00Z</dcterms:created>
  <dcterms:modified xsi:type="dcterms:W3CDTF">2025-02-26T21:31:00Z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