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647D" w14:textId="200C470B" w:rsidR="00B76D97" w:rsidRPr="00B76D97" w:rsidRDefault="00B76D97" w:rsidP="00FB4D77">
      <w:pPr>
        <w:jc w:val="center"/>
        <w:rPr>
          <w:b/>
          <w:bCs/>
          <w:sz w:val="40"/>
          <w:szCs w:val="36"/>
        </w:rPr>
      </w:pPr>
      <w:r w:rsidRPr="00B76D97">
        <w:rPr>
          <w:b/>
          <w:bCs/>
          <w:sz w:val="40"/>
          <w:szCs w:val="36"/>
        </w:rPr>
        <w:t>Supplementary Information</w:t>
      </w:r>
    </w:p>
    <w:p w14:paraId="4F5A69BC" w14:textId="312461B2" w:rsidR="00B76D97" w:rsidRPr="00B76D97" w:rsidRDefault="00B76D97" w:rsidP="00FB4D77">
      <w:pPr>
        <w:jc w:val="center"/>
        <w:rPr>
          <w:b/>
          <w:bCs/>
          <w:lang w:eastAsia="zh-CN"/>
        </w:rPr>
      </w:pPr>
      <w:r w:rsidRPr="00B76D97">
        <w:rPr>
          <w:b/>
          <w:bCs/>
          <w:lang w:eastAsia="zh-CN"/>
        </w:rPr>
        <w:t xml:space="preserve">DNA double-strand breaks in and </w:t>
      </w:r>
      <w:r w:rsidRPr="00B76D97">
        <w:rPr>
          <w:b/>
          <w:bCs/>
        </w:rPr>
        <w:t>beyond</w:t>
      </w:r>
      <w:r w:rsidRPr="00B76D97">
        <w:rPr>
          <w:b/>
          <w:bCs/>
          <w:lang w:eastAsia="zh-CN"/>
        </w:rPr>
        <w:t xml:space="preserve"> heavy-ion tracks: the role of Base Excision Repair and DNA-damage complexity</w:t>
      </w:r>
    </w:p>
    <w:p w14:paraId="253CACAB" w14:textId="3C7182D9" w:rsidR="00B76D97" w:rsidRPr="00A1312C" w:rsidRDefault="00B76D97" w:rsidP="00FB4D77">
      <w:pPr>
        <w:pStyle w:val="AuthorList"/>
        <w:spacing w:line="276" w:lineRule="auto"/>
        <w:jc w:val="center"/>
        <w:rPr>
          <w:rFonts w:ascii="Calibri" w:hAnsi="Calibri" w:cs="Calibri"/>
          <w:b w:val="0"/>
          <w:bCs/>
        </w:rPr>
      </w:pPr>
      <w:r w:rsidRPr="00A1312C">
        <w:rPr>
          <w:rFonts w:ascii="Calibri" w:eastAsiaTheme="majorEastAsia" w:hAnsi="Calibri" w:cs="Calibri"/>
          <w:b w:val="0"/>
          <w:bCs/>
          <w:spacing w:val="-10"/>
          <w:kern w:val="28"/>
          <w:lang w:eastAsia="zh-CN"/>
        </w:rPr>
        <w:t>Laura Schwan</w:t>
      </w:r>
      <w:r w:rsidRPr="00A1312C">
        <w:rPr>
          <w:rFonts w:ascii="Calibri" w:eastAsiaTheme="majorEastAsia" w:hAnsi="Calibri" w:cs="Calibri"/>
          <w:b w:val="0"/>
          <w:bCs/>
          <w:spacing w:val="-10"/>
          <w:kern w:val="28"/>
          <w:vertAlign w:val="superscript"/>
          <w:lang w:eastAsia="zh-CN"/>
        </w:rPr>
        <w:t>1,2</w:t>
      </w:r>
      <w:r w:rsidRPr="00A1312C">
        <w:rPr>
          <w:rFonts w:ascii="Calibri" w:eastAsiaTheme="majorEastAsia" w:hAnsi="Calibri" w:cs="Calibri"/>
          <w:b w:val="0"/>
          <w:bCs/>
          <w:spacing w:val="-10"/>
          <w:kern w:val="28"/>
          <w:lang w:eastAsia="zh-CN"/>
        </w:rPr>
        <w:t xml:space="preserve">, </w:t>
      </w:r>
      <w:r w:rsidRPr="00A1312C">
        <w:rPr>
          <w:rFonts w:ascii="Calibri" w:hAnsi="Calibri" w:cs="Calibri"/>
          <w:b w:val="0"/>
          <w:bCs/>
        </w:rPr>
        <w:t>Nicole B. Averbeck</w:t>
      </w:r>
      <w:r w:rsidRPr="00A1312C">
        <w:rPr>
          <w:rFonts w:ascii="Calibri" w:hAnsi="Calibri" w:cs="Calibri"/>
          <w:b w:val="0"/>
          <w:bCs/>
          <w:vertAlign w:val="superscript"/>
        </w:rPr>
        <w:t>1</w:t>
      </w:r>
      <w:r>
        <w:rPr>
          <w:rFonts w:ascii="Calibri" w:hAnsi="Calibri" w:cs="Calibri"/>
          <w:b w:val="0"/>
          <w:bCs/>
          <w:vertAlign w:val="superscript"/>
        </w:rPr>
        <w:t>,*</w:t>
      </w:r>
      <w:r w:rsidRPr="00A1312C">
        <w:rPr>
          <w:rFonts w:ascii="Calibri" w:hAnsi="Calibri" w:cs="Calibri"/>
          <w:b w:val="0"/>
          <w:bCs/>
        </w:rPr>
        <w:t>, Marco Durante</w:t>
      </w:r>
      <w:r w:rsidRPr="00A1312C">
        <w:rPr>
          <w:rFonts w:ascii="Calibri" w:hAnsi="Calibri" w:cs="Calibri"/>
          <w:b w:val="0"/>
          <w:bCs/>
          <w:vertAlign w:val="superscript"/>
        </w:rPr>
        <w:t>1,3</w:t>
      </w:r>
      <w:r w:rsidRPr="00A1312C">
        <w:rPr>
          <w:rFonts w:ascii="Calibri" w:hAnsi="Calibri" w:cs="Calibri"/>
          <w:b w:val="0"/>
          <w:bCs/>
        </w:rPr>
        <w:t>, Burkhard Jakob</w:t>
      </w:r>
      <w:r w:rsidRPr="00A1312C">
        <w:rPr>
          <w:rFonts w:ascii="Calibri" w:hAnsi="Calibri" w:cs="Calibri"/>
          <w:b w:val="0"/>
          <w:bCs/>
          <w:vertAlign w:val="superscript"/>
        </w:rPr>
        <w:t>1,2</w:t>
      </w:r>
    </w:p>
    <w:p w14:paraId="23B8E4F4" w14:textId="77777777" w:rsidR="00B76D97" w:rsidRPr="00B76D97" w:rsidRDefault="00B76D97" w:rsidP="00FB4D77">
      <w:pPr>
        <w:spacing w:after="0" w:line="276" w:lineRule="auto"/>
        <w:rPr>
          <w:rFonts w:cs="Calibri"/>
          <w:sz w:val="20"/>
          <w:szCs w:val="20"/>
          <w:lang w:val="de-DE"/>
        </w:rPr>
      </w:pPr>
      <w:r w:rsidRPr="00B76D97">
        <w:rPr>
          <w:rFonts w:cs="Calibri"/>
          <w:sz w:val="20"/>
          <w:szCs w:val="20"/>
          <w:vertAlign w:val="superscript"/>
          <w:lang w:val="de-DE"/>
        </w:rPr>
        <w:t>1</w:t>
      </w:r>
      <w:r w:rsidRPr="00B76D97">
        <w:rPr>
          <w:rFonts w:cs="Calibri"/>
          <w:sz w:val="20"/>
          <w:szCs w:val="20"/>
          <w:lang w:val="de-DE"/>
        </w:rPr>
        <w:t>Department of Biophysics, GSI Helmholtzzentrum für Schwerionenforschung GmbH, Darmstadt, Germany</w:t>
      </w:r>
    </w:p>
    <w:p w14:paraId="07342D66" w14:textId="77777777" w:rsidR="00B76D97" w:rsidRPr="00B76D97" w:rsidRDefault="00B76D97" w:rsidP="00FB4D77">
      <w:pPr>
        <w:spacing w:after="0" w:line="276" w:lineRule="auto"/>
        <w:rPr>
          <w:rFonts w:cs="Calibri"/>
          <w:sz w:val="20"/>
          <w:szCs w:val="20"/>
        </w:rPr>
      </w:pPr>
      <w:r w:rsidRPr="00B76D97">
        <w:rPr>
          <w:rFonts w:cs="Calibri"/>
          <w:sz w:val="20"/>
          <w:szCs w:val="20"/>
          <w:vertAlign w:val="superscript"/>
        </w:rPr>
        <w:t>2</w:t>
      </w:r>
      <w:r w:rsidRPr="00B76D97">
        <w:rPr>
          <w:rFonts w:cs="Calibri"/>
          <w:sz w:val="20"/>
          <w:szCs w:val="20"/>
        </w:rPr>
        <w:t>Department of Biology, Technische Universität Darmstadt, Darmstadt, Germany</w:t>
      </w:r>
    </w:p>
    <w:p w14:paraId="77BE63D7" w14:textId="69B5A482" w:rsidR="00B76D97" w:rsidRPr="00B76D97" w:rsidRDefault="00B76D97" w:rsidP="00FB4D77">
      <w:pPr>
        <w:spacing w:after="0" w:line="276" w:lineRule="auto"/>
        <w:rPr>
          <w:rFonts w:cs="Calibri"/>
          <w:sz w:val="20"/>
          <w:szCs w:val="20"/>
        </w:rPr>
      </w:pPr>
      <w:r w:rsidRPr="00B76D97">
        <w:rPr>
          <w:rFonts w:cs="Calibri"/>
          <w:sz w:val="20"/>
          <w:szCs w:val="20"/>
          <w:vertAlign w:val="superscript"/>
        </w:rPr>
        <w:t>3</w:t>
      </w:r>
      <w:r w:rsidRPr="00B76D97">
        <w:rPr>
          <w:rFonts w:cs="Calibri"/>
          <w:sz w:val="20"/>
          <w:szCs w:val="20"/>
        </w:rPr>
        <w:t>Department of Condensed Matter Physics, Technische Universität Darmstadt, Darmstadt, Germany</w:t>
      </w:r>
    </w:p>
    <w:p w14:paraId="7874FBB8" w14:textId="72541DE8" w:rsidR="00B76D97" w:rsidRPr="00B76D97" w:rsidRDefault="00B76D97" w:rsidP="00FB4D77">
      <w:pPr>
        <w:spacing w:after="0" w:line="276" w:lineRule="auto"/>
        <w:rPr>
          <w:rFonts w:cs="Calibri"/>
          <w:sz w:val="20"/>
          <w:szCs w:val="20"/>
        </w:rPr>
      </w:pPr>
      <w:r w:rsidRPr="00B76D97">
        <w:rPr>
          <w:rFonts w:cs="Calibri"/>
          <w:sz w:val="20"/>
          <w:szCs w:val="20"/>
        </w:rPr>
        <w:t>*Correspondence or requests should be addressed to N.B.A.: n.averbeck@gsi.de</w:t>
      </w:r>
    </w:p>
    <w:p w14:paraId="5BC4BABC" w14:textId="77777777" w:rsidR="00B76D97" w:rsidRPr="00B76D97" w:rsidRDefault="00B76D97" w:rsidP="00B76D97">
      <w:pPr>
        <w:rPr>
          <w:b/>
          <w:bCs/>
          <w:sz w:val="36"/>
          <w:szCs w:val="32"/>
        </w:rPr>
      </w:pPr>
    </w:p>
    <w:p w14:paraId="4CD50EFA" w14:textId="77777777" w:rsidR="00B76D97" w:rsidRDefault="00B76D97">
      <w:pPr>
        <w:spacing w:before="0" w:after="120"/>
        <w:rPr>
          <w:b/>
          <w:bCs/>
          <w:sz w:val="32"/>
          <w:szCs w:val="28"/>
          <w:lang w:eastAsia="de-DE"/>
        </w:rPr>
      </w:pPr>
      <w:r>
        <w:rPr>
          <w:b/>
          <w:bCs/>
          <w:sz w:val="32"/>
          <w:szCs w:val="28"/>
          <w:lang w:eastAsia="de-DE"/>
        </w:rPr>
        <w:br w:type="page"/>
      </w:r>
    </w:p>
    <w:p w14:paraId="2D05F59D" w14:textId="0B707696" w:rsidR="00B76D97" w:rsidRDefault="00B76D97" w:rsidP="00B76D97">
      <w:pPr>
        <w:spacing w:before="0" w:after="0" w:line="276" w:lineRule="auto"/>
        <w:jc w:val="both"/>
        <w:rPr>
          <w:b/>
          <w:bCs/>
          <w:sz w:val="32"/>
          <w:szCs w:val="28"/>
          <w:lang w:eastAsia="de-DE"/>
        </w:rPr>
      </w:pPr>
      <w:r w:rsidRPr="00EA08B2">
        <w:rPr>
          <w:b/>
          <w:bCs/>
          <w:sz w:val="32"/>
          <w:szCs w:val="28"/>
          <w:lang w:eastAsia="de-DE"/>
        </w:rPr>
        <w:lastRenderedPageBreak/>
        <w:t>Supplementary Figure S1</w:t>
      </w:r>
    </w:p>
    <w:p w14:paraId="74821F99" w14:textId="77777777" w:rsidR="005B2A9F" w:rsidRPr="00EA08B2" w:rsidRDefault="005B2A9F" w:rsidP="00B76D97">
      <w:pPr>
        <w:spacing w:before="0" w:after="0" w:line="276" w:lineRule="auto"/>
        <w:jc w:val="both"/>
        <w:rPr>
          <w:b/>
          <w:bCs/>
          <w:sz w:val="32"/>
          <w:szCs w:val="28"/>
          <w:lang w:eastAsia="de-DE"/>
        </w:rPr>
      </w:pPr>
    </w:p>
    <w:p w14:paraId="58AC5895" w14:textId="0B3A418D" w:rsidR="00B76D97" w:rsidRDefault="00C861E0" w:rsidP="00B76D97">
      <w:pPr>
        <w:spacing w:line="276" w:lineRule="auto"/>
        <w:jc w:val="both"/>
        <w:rPr>
          <w:lang w:eastAsia="de-DE"/>
        </w:rPr>
      </w:pPr>
      <w:r>
        <w:rPr>
          <w:rFonts w:cs="Calibri"/>
          <w:noProof/>
          <w:sz w:val="22"/>
        </w:rPr>
        <w:drawing>
          <wp:inline distT="0" distB="0" distL="0" distR="0" wp14:anchorId="54F17991" wp14:editId="4ED1841F">
            <wp:extent cx="3533241" cy="29183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23252" r="26083" b="40927"/>
                    <a:stretch/>
                  </pic:blipFill>
                  <pic:spPr bwMode="auto">
                    <a:xfrm>
                      <a:off x="0" y="0"/>
                      <a:ext cx="3533849" cy="291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F3015" w14:textId="59159CB5" w:rsidR="00B76D97" w:rsidRDefault="00B76D97" w:rsidP="00B76D97">
      <w:pPr>
        <w:spacing w:line="276" w:lineRule="auto"/>
        <w:jc w:val="both"/>
        <w:rPr>
          <w:rFonts w:cs="Calibri"/>
          <w:sz w:val="22"/>
        </w:rPr>
      </w:pPr>
      <w:r>
        <w:rPr>
          <w:lang w:eastAsia="de-DE"/>
        </w:rPr>
        <w:t xml:space="preserve">Figure S1: </w:t>
      </w:r>
      <w:r w:rsidRPr="00987A2D">
        <w:rPr>
          <w:rFonts w:cs="Calibri"/>
          <w:sz w:val="22"/>
        </w:rPr>
        <w:t xml:space="preserve">Number of </w:t>
      </w:r>
      <w:r w:rsidRPr="00DD5AD0">
        <w:rPr>
          <w:rFonts w:cs="Calibri"/>
          <w:color w:val="000000" w:themeColor="text1"/>
          <w:sz w:val="22"/>
        </w:rPr>
        <w:t>γH2AX</w:t>
      </w:r>
      <w:r w:rsidRPr="00987A2D">
        <w:rPr>
          <w:rFonts w:cs="Calibri"/>
          <w:sz w:val="22"/>
        </w:rPr>
        <w:t xml:space="preserve"> and OGG1 foci in normal human fibroblasts without inhibitor (</w:t>
      </w:r>
      <w:r>
        <w:rPr>
          <w:rFonts w:cs="Calibri"/>
          <w:sz w:val="22"/>
        </w:rPr>
        <w:t>KBrO</w:t>
      </w:r>
      <w:r>
        <w:rPr>
          <w:rFonts w:cs="Calibri"/>
          <w:sz w:val="22"/>
          <w:vertAlign w:val="subscript"/>
        </w:rPr>
        <w:t>3</w:t>
      </w:r>
      <w:r w:rsidRPr="00987A2D">
        <w:rPr>
          <w:rFonts w:cs="Calibri"/>
          <w:sz w:val="22"/>
        </w:rPr>
        <w:t xml:space="preserve">), with </w:t>
      </w:r>
      <w:r>
        <w:rPr>
          <w:rFonts w:cs="Calibri"/>
          <w:sz w:val="22"/>
        </w:rPr>
        <w:t xml:space="preserve">OGG1 inhibitor </w:t>
      </w:r>
      <w:r w:rsidRPr="00987A2D">
        <w:rPr>
          <w:rFonts w:cs="Calibri"/>
          <w:sz w:val="22"/>
        </w:rPr>
        <w:t xml:space="preserve">TH5487 (TH5487 + </w:t>
      </w:r>
      <w:r>
        <w:rPr>
          <w:rFonts w:cs="Calibri"/>
          <w:sz w:val="22"/>
        </w:rPr>
        <w:t>KBrO</w:t>
      </w:r>
      <w:r>
        <w:rPr>
          <w:rFonts w:cs="Calibri"/>
          <w:sz w:val="22"/>
          <w:vertAlign w:val="subscript"/>
        </w:rPr>
        <w:t>3</w:t>
      </w:r>
      <w:r w:rsidRPr="00987A2D">
        <w:rPr>
          <w:rFonts w:cs="Calibri"/>
          <w:sz w:val="22"/>
        </w:rPr>
        <w:t xml:space="preserve">), with </w:t>
      </w:r>
      <w:r>
        <w:rPr>
          <w:rFonts w:cs="Calibri"/>
          <w:sz w:val="22"/>
        </w:rPr>
        <w:t xml:space="preserve">APE1 inhibitor </w:t>
      </w:r>
      <w:r w:rsidRPr="00AB4FF3">
        <w:rPr>
          <w:rFonts w:eastAsia="Times New Roman" w:cs="Calibri"/>
          <w:color w:val="000000"/>
          <w:sz w:val="22"/>
          <w:lang w:eastAsia="de-DE"/>
        </w:rPr>
        <w:t xml:space="preserve">methoxyamine </w:t>
      </w:r>
      <w:r w:rsidRPr="00987A2D">
        <w:rPr>
          <w:rFonts w:cs="Calibri"/>
          <w:sz w:val="22"/>
        </w:rPr>
        <w:t xml:space="preserve">(MX + </w:t>
      </w:r>
      <w:r>
        <w:rPr>
          <w:rFonts w:cs="Calibri"/>
          <w:sz w:val="22"/>
        </w:rPr>
        <w:t>KBrO</w:t>
      </w:r>
      <w:r>
        <w:rPr>
          <w:rFonts w:cs="Calibri"/>
          <w:sz w:val="22"/>
          <w:vertAlign w:val="subscript"/>
        </w:rPr>
        <w:t>3</w:t>
      </w:r>
      <w:r w:rsidRPr="00987A2D">
        <w:rPr>
          <w:rFonts w:cs="Calibri"/>
          <w:sz w:val="22"/>
        </w:rPr>
        <w:t>)</w:t>
      </w:r>
      <w:r>
        <w:rPr>
          <w:rFonts w:cs="Calibri"/>
          <w:sz w:val="22"/>
        </w:rPr>
        <w:t xml:space="preserve">, or </w:t>
      </w:r>
      <w:r w:rsidRPr="00987A2D">
        <w:rPr>
          <w:rFonts w:cs="Calibri"/>
          <w:sz w:val="22"/>
        </w:rPr>
        <w:t xml:space="preserve">with the combination of both (BERi + </w:t>
      </w:r>
      <w:r>
        <w:rPr>
          <w:rFonts w:cs="Calibri"/>
          <w:sz w:val="22"/>
        </w:rPr>
        <w:t>KBrO</w:t>
      </w:r>
      <w:r>
        <w:rPr>
          <w:rFonts w:cs="Calibri"/>
          <w:sz w:val="22"/>
          <w:vertAlign w:val="subscript"/>
        </w:rPr>
        <w:t>3</w:t>
      </w:r>
      <w:r w:rsidRPr="00987A2D">
        <w:rPr>
          <w:rFonts w:cs="Calibri"/>
          <w:sz w:val="22"/>
        </w:rPr>
        <w:t>) 1</w:t>
      </w:r>
      <w:r>
        <w:rPr>
          <w:rFonts w:cs="Calibri"/>
          <w:sz w:val="22"/>
        </w:rPr>
        <w:t xml:space="preserve"> </w:t>
      </w:r>
      <w:r w:rsidRPr="00987A2D">
        <w:rPr>
          <w:rFonts w:cs="Calibri"/>
          <w:sz w:val="22"/>
        </w:rPr>
        <w:t xml:space="preserve">h after </w:t>
      </w:r>
      <w:r>
        <w:rPr>
          <w:rFonts w:cs="Calibri"/>
          <w:sz w:val="22"/>
        </w:rPr>
        <w:t>KBrO</w:t>
      </w:r>
      <w:r>
        <w:rPr>
          <w:rFonts w:cs="Calibri"/>
          <w:sz w:val="22"/>
          <w:vertAlign w:val="subscript"/>
        </w:rPr>
        <w:t>3</w:t>
      </w:r>
      <w:r w:rsidRPr="00987A2D">
        <w:rPr>
          <w:rFonts w:cs="Calibri"/>
          <w:sz w:val="22"/>
        </w:rPr>
        <w:t xml:space="preserve"> incubation. Control samples without inhibitor </w:t>
      </w:r>
      <w:r>
        <w:rPr>
          <w:rFonts w:cs="Calibri"/>
          <w:sz w:val="22"/>
        </w:rPr>
        <w:t>and</w:t>
      </w:r>
      <w:r w:rsidRPr="00987A2D">
        <w:rPr>
          <w:rFonts w:cs="Calibri"/>
          <w:sz w:val="22"/>
        </w:rPr>
        <w:t xml:space="preserve"> </w:t>
      </w:r>
      <w:r>
        <w:rPr>
          <w:rFonts w:cs="Calibri"/>
          <w:sz w:val="22"/>
        </w:rPr>
        <w:t>without KBrO</w:t>
      </w:r>
      <w:r>
        <w:rPr>
          <w:rFonts w:cs="Calibri"/>
          <w:sz w:val="22"/>
          <w:vertAlign w:val="subscript"/>
        </w:rPr>
        <w:t>3</w:t>
      </w:r>
      <w:r w:rsidRPr="00987A2D">
        <w:rPr>
          <w:rFonts w:cs="Calibri"/>
          <w:sz w:val="22"/>
        </w:rPr>
        <w:t xml:space="preserve"> treatment are </w:t>
      </w:r>
      <w:r>
        <w:rPr>
          <w:rFonts w:cs="Calibri"/>
          <w:sz w:val="22"/>
        </w:rPr>
        <w:t xml:space="preserve">on the </w:t>
      </w:r>
      <w:r w:rsidRPr="00987A2D">
        <w:rPr>
          <w:rFonts w:cs="Calibri"/>
          <w:sz w:val="22"/>
        </w:rPr>
        <w:t xml:space="preserve">left </w:t>
      </w:r>
      <w:r>
        <w:rPr>
          <w:rFonts w:cs="Calibri"/>
          <w:sz w:val="22"/>
        </w:rPr>
        <w:t>to</w:t>
      </w:r>
      <w:r w:rsidRPr="00987A2D">
        <w:rPr>
          <w:rFonts w:cs="Calibri"/>
          <w:sz w:val="22"/>
        </w:rPr>
        <w:t xml:space="preserve"> the dashed line. </w:t>
      </w:r>
      <w:bookmarkStart w:id="0" w:name="_Hlk195001941"/>
      <w:r w:rsidRPr="002670DB">
        <w:rPr>
          <w:rFonts w:cs="Calibri"/>
          <w:sz w:val="22"/>
        </w:rPr>
        <w:t>The box ranges from the first to third quartile while the whiskers extend to the 1.5</w:t>
      </w:r>
      <w:r>
        <w:rPr>
          <w:rFonts w:cs="Calibri"/>
          <w:sz w:val="22"/>
        </w:rPr>
        <w:t>x</w:t>
      </w:r>
      <w:r w:rsidRPr="002670DB">
        <w:rPr>
          <w:rFonts w:cs="Calibri"/>
          <w:sz w:val="22"/>
        </w:rPr>
        <w:t xml:space="preserve"> inter quartile range (ICR), with outliers outside of this range represented as circles and the line within the box as median</w:t>
      </w:r>
      <w:r w:rsidRPr="00987A2D">
        <w:rPr>
          <w:rFonts w:cs="Calibri"/>
          <w:sz w:val="22"/>
        </w:rPr>
        <w:t xml:space="preserve">. </w:t>
      </w:r>
      <w:bookmarkEnd w:id="0"/>
      <w:r w:rsidRPr="00987A2D">
        <w:rPr>
          <w:rFonts w:cs="Calibri"/>
          <w:sz w:val="22"/>
        </w:rPr>
        <w:t>With</w:t>
      </w:r>
      <w:r>
        <w:rPr>
          <w:rFonts w:cs="Calibri"/>
          <w:sz w:val="22"/>
        </w:rPr>
        <w:t xml:space="preserve"> n=25-30 cells per treatment per experiment,</w:t>
      </w:r>
      <w:r w:rsidRPr="00987A2D">
        <w:rPr>
          <w:rFonts w:cs="Calibri"/>
          <w:sz w:val="22"/>
        </w:rPr>
        <w:t xml:space="preserve"> N=1</w:t>
      </w:r>
      <w:r>
        <w:rPr>
          <w:rFonts w:cs="Calibri"/>
          <w:sz w:val="22"/>
        </w:rPr>
        <w:t>-2 independent experiments</w:t>
      </w:r>
      <w:r w:rsidRPr="00987A2D">
        <w:rPr>
          <w:rFonts w:cs="Calibri"/>
          <w:sz w:val="22"/>
        </w:rPr>
        <w:t>.</w:t>
      </w:r>
    </w:p>
    <w:p w14:paraId="2D29A4EC" w14:textId="52F80585" w:rsidR="00C861E0" w:rsidRDefault="00C861E0" w:rsidP="00B76D97">
      <w:pPr>
        <w:spacing w:line="276" w:lineRule="auto"/>
        <w:jc w:val="both"/>
        <w:rPr>
          <w:rFonts w:cs="Calibri"/>
          <w:sz w:val="22"/>
        </w:rPr>
      </w:pPr>
    </w:p>
    <w:p w14:paraId="35747B4F" w14:textId="77777777" w:rsidR="00B76D97" w:rsidRDefault="00B76D97" w:rsidP="00B76D97">
      <w:pPr>
        <w:spacing w:before="0" w:after="120" w:line="276" w:lineRule="auto"/>
        <w:rPr>
          <w:b/>
          <w:bCs/>
          <w:sz w:val="40"/>
          <w:szCs w:val="36"/>
          <w:lang w:eastAsia="de-DE"/>
        </w:rPr>
      </w:pPr>
      <w:r>
        <w:rPr>
          <w:b/>
          <w:bCs/>
          <w:sz w:val="40"/>
          <w:szCs w:val="36"/>
          <w:lang w:eastAsia="de-DE"/>
        </w:rPr>
        <w:br w:type="page"/>
      </w:r>
    </w:p>
    <w:p w14:paraId="50AB4BD5" w14:textId="3F0318E2" w:rsidR="00B76D97" w:rsidRDefault="00B76D97" w:rsidP="00B76D97">
      <w:pPr>
        <w:spacing w:before="0" w:after="0" w:line="276" w:lineRule="auto"/>
        <w:jc w:val="both"/>
        <w:rPr>
          <w:b/>
          <w:bCs/>
          <w:sz w:val="32"/>
          <w:szCs w:val="28"/>
          <w:lang w:eastAsia="de-DE"/>
        </w:rPr>
      </w:pPr>
      <w:r w:rsidRPr="00EA08B2">
        <w:rPr>
          <w:b/>
          <w:bCs/>
          <w:sz w:val="32"/>
          <w:szCs w:val="28"/>
          <w:lang w:eastAsia="de-DE"/>
        </w:rPr>
        <w:lastRenderedPageBreak/>
        <w:t>Supplementary Figure S2</w:t>
      </w:r>
    </w:p>
    <w:p w14:paraId="74DE69F2" w14:textId="77777777" w:rsidR="005B2A9F" w:rsidRPr="00EA08B2" w:rsidRDefault="005B2A9F" w:rsidP="00B76D97">
      <w:pPr>
        <w:spacing w:before="0" w:after="0" w:line="276" w:lineRule="auto"/>
        <w:jc w:val="both"/>
        <w:rPr>
          <w:b/>
          <w:bCs/>
          <w:sz w:val="32"/>
          <w:szCs w:val="28"/>
          <w:lang w:eastAsia="de-DE"/>
        </w:rPr>
      </w:pPr>
    </w:p>
    <w:p w14:paraId="568904D1" w14:textId="77777777" w:rsidR="00B76D97" w:rsidRDefault="00B76D97" w:rsidP="00B76D97">
      <w:pPr>
        <w:spacing w:line="276" w:lineRule="auto"/>
        <w:jc w:val="both"/>
        <w:rPr>
          <w:lang w:eastAsia="de-DE"/>
        </w:rPr>
      </w:pPr>
      <w:r>
        <w:rPr>
          <w:noProof/>
          <w:lang w:val="de-DE" w:eastAsia="de-DE"/>
        </w:rPr>
        <w:drawing>
          <wp:inline distT="0" distB="0" distL="0" distR="0" wp14:anchorId="7EEA035D" wp14:editId="72901419">
            <wp:extent cx="4968076" cy="426948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9"/>
                    <a:stretch/>
                  </pic:blipFill>
                  <pic:spPr bwMode="auto">
                    <a:xfrm>
                      <a:off x="0" y="0"/>
                      <a:ext cx="4968240" cy="426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AA8FB" w14:textId="7875541C" w:rsidR="00B76D97" w:rsidRPr="0023067D" w:rsidRDefault="00B76D97" w:rsidP="00B76D97">
      <w:pPr>
        <w:spacing w:line="276" w:lineRule="auto"/>
        <w:jc w:val="both"/>
        <w:rPr>
          <w:lang w:val="en-GB"/>
        </w:rPr>
      </w:pPr>
      <w:r>
        <w:rPr>
          <w:lang w:eastAsia="de-DE"/>
        </w:rPr>
        <w:t xml:space="preserve">Figure S2: </w:t>
      </w:r>
      <w:r w:rsidRPr="00F269AE">
        <w:rPr>
          <w:rFonts w:cs="Calibri"/>
          <w:sz w:val="22"/>
        </w:rPr>
        <w:t>Human</w:t>
      </w:r>
      <w:r>
        <w:rPr>
          <w:rFonts w:cs="Calibri"/>
          <w:sz w:val="22"/>
        </w:rPr>
        <w:t xml:space="preserve"> </w:t>
      </w:r>
      <w:r w:rsidRPr="00F269AE">
        <w:rPr>
          <w:rFonts w:cs="Calibri"/>
          <w:sz w:val="22"/>
        </w:rPr>
        <w:t>osteosarcoma cell</w:t>
      </w:r>
      <w:r>
        <w:rPr>
          <w:rFonts w:cs="Calibri"/>
          <w:sz w:val="22"/>
        </w:rPr>
        <w:t>s</w:t>
      </w:r>
      <w:r w:rsidRPr="00F269AE">
        <w:rPr>
          <w:rFonts w:cs="Calibri"/>
          <w:sz w:val="22"/>
        </w:rPr>
        <w:t xml:space="preserve"> </w:t>
      </w:r>
      <w:r>
        <w:rPr>
          <w:rFonts w:cs="Calibri"/>
          <w:sz w:val="22"/>
        </w:rPr>
        <w:t xml:space="preserve">expressing GFP-tagged NBS1 </w:t>
      </w:r>
      <w:r w:rsidRPr="00F269AE">
        <w:rPr>
          <w:rFonts w:cs="Calibri"/>
          <w:sz w:val="22"/>
        </w:rPr>
        <w:t>were treated with (+ BERi) or without (</w:t>
      </w:r>
      <w:r>
        <w:rPr>
          <w:rFonts w:cs="Calibri"/>
          <w:sz w:val="22"/>
        </w:rPr>
        <w:t>control</w:t>
      </w:r>
      <w:r w:rsidRPr="00F269AE">
        <w:rPr>
          <w:rFonts w:cs="Calibri"/>
          <w:sz w:val="22"/>
        </w:rPr>
        <w:t xml:space="preserve">) BER inhibitors and irradiated with Fe-ions (350 MeV/n, </w:t>
      </w:r>
      <w:r w:rsidRPr="00F269AE">
        <w:rPr>
          <w:rFonts w:cs="Calibri"/>
          <w:color w:val="000000" w:themeColor="text1"/>
          <w:sz w:val="22"/>
        </w:rPr>
        <w:t>3x10</w:t>
      </w:r>
      <w:r w:rsidRPr="00F269AE">
        <w:rPr>
          <w:rFonts w:cs="Calibri"/>
          <w:color w:val="000000" w:themeColor="text1"/>
          <w:sz w:val="22"/>
          <w:vertAlign w:val="superscript"/>
        </w:rPr>
        <w:t xml:space="preserve">6 </w:t>
      </w:r>
      <w:r w:rsidRPr="00F269AE">
        <w:rPr>
          <w:rFonts w:cs="Calibri"/>
          <w:color w:val="000000" w:themeColor="text1"/>
          <w:sz w:val="22"/>
        </w:rPr>
        <w:t>p./cm</w:t>
      </w:r>
      <w:r w:rsidRPr="00F269AE">
        <w:rPr>
          <w:rFonts w:cs="Calibri"/>
          <w:color w:val="000000" w:themeColor="text1"/>
          <w:sz w:val="22"/>
          <w:vertAlign w:val="superscript"/>
        </w:rPr>
        <w:t>2</w:t>
      </w:r>
      <w:r w:rsidRPr="00F269AE">
        <w:rPr>
          <w:rFonts w:cs="Calibri"/>
          <w:color w:val="000000" w:themeColor="text1"/>
          <w:sz w:val="22"/>
        </w:rPr>
        <w:t xml:space="preserve">). </w:t>
      </w:r>
      <w:r>
        <w:rPr>
          <w:rFonts w:cs="Calibri"/>
          <w:color w:val="000000" w:themeColor="text1"/>
          <w:sz w:val="22"/>
        </w:rPr>
        <w:t xml:space="preserve">The cells were observed from 1 min before until 44 min after irradiation. Shown are images before (-1 min) and at different times after irradiation. The entire movie is deposited in Supplementary </w:t>
      </w:r>
      <w:r w:rsidR="00B94226">
        <w:rPr>
          <w:rFonts w:cs="Calibri"/>
          <w:color w:val="000000" w:themeColor="text1"/>
          <w:sz w:val="22"/>
        </w:rPr>
        <w:t>Movie</w:t>
      </w:r>
      <w:r>
        <w:rPr>
          <w:rFonts w:cs="Calibri"/>
          <w:color w:val="000000" w:themeColor="text1"/>
          <w:sz w:val="22"/>
        </w:rPr>
        <w:t xml:space="preserve"> </w:t>
      </w:r>
      <w:r w:rsidR="00B94226">
        <w:rPr>
          <w:rFonts w:cs="Calibri"/>
          <w:color w:val="000000" w:themeColor="text1"/>
          <w:sz w:val="22"/>
        </w:rPr>
        <w:t>S</w:t>
      </w:r>
      <w:r>
        <w:rPr>
          <w:rFonts w:cs="Calibri"/>
          <w:color w:val="000000" w:themeColor="text1"/>
          <w:sz w:val="22"/>
        </w:rPr>
        <w:t>1. The scale bars indicate 10 µm.</w:t>
      </w:r>
    </w:p>
    <w:p w14:paraId="6A7E140A" w14:textId="77777777" w:rsidR="004C3656" w:rsidRPr="00B76D97" w:rsidRDefault="004C3656" w:rsidP="004C3656">
      <w:pPr>
        <w:rPr>
          <w:lang w:val="en-GB"/>
        </w:rPr>
      </w:pPr>
    </w:p>
    <w:sectPr w:rsidR="004C3656" w:rsidRPr="00B76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1FBAD" w14:textId="77777777" w:rsidR="00B94226" w:rsidRDefault="00B94226" w:rsidP="00B94226">
      <w:pPr>
        <w:spacing w:before="0" w:after="0"/>
      </w:pPr>
      <w:r>
        <w:separator/>
      </w:r>
    </w:p>
  </w:endnote>
  <w:endnote w:type="continuationSeparator" w:id="0">
    <w:p w14:paraId="340EE5F9" w14:textId="77777777" w:rsidR="00B94226" w:rsidRDefault="00B94226" w:rsidP="00B942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443DF" w14:textId="77777777" w:rsidR="00B94226" w:rsidRDefault="00B94226" w:rsidP="00B94226">
      <w:pPr>
        <w:spacing w:before="0" w:after="0"/>
      </w:pPr>
      <w:r>
        <w:separator/>
      </w:r>
    </w:p>
  </w:footnote>
  <w:footnote w:type="continuationSeparator" w:id="0">
    <w:p w14:paraId="1F3F5064" w14:textId="77777777" w:rsidR="00B94226" w:rsidRDefault="00B94226" w:rsidP="00B9422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0380B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4EA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29E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FD09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C4AB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C5038FD"/>
    <w:multiLevelType w:val="multilevel"/>
    <w:tmpl w:val="41E44416"/>
    <w:styleLink w:val="ListeAufzaehlung"/>
    <w:lvl w:ilvl="0">
      <w:start w:val="1"/>
      <w:numFmt w:val="bullet"/>
      <w:pStyle w:val="ListBullet"/>
      <w:lvlText w:val=""/>
      <w:lvlJc w:val="left"/>
      <w:pPr>
        <w:ind w:left="567" w:hanging="56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1134" w:hanging="56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pStyle w:val="ListBullet3"/>
      <w:lvlText w:val=""/>
      <w:lvlJc w:val="left"/>
      <w:pPr>
        <w:ind w:left="1701" w:hanging="567"/>
      </w:pPr>
      <w:rPr>
        <w:rFonts w:ascii="Symbol" w:hAnsi="Symbol" w:cs="Times New Roman" w:hint="default"/>
        <w:color w:val="auto"/>
        <w:szCs w:val="28"/>
      </w:rPr>
    </w:lvl>
    <w:lvl w:ilvl="3">
      <w:start w:val="1"/>
      <w:numFmt w:val="bullet"/>
      <w:pStyle w:val="ListBullet4"/>
      <w:lvlText w:val=""/>
      <w:lvlJc w:val="left"/>
      <w:pPr>
        <w:ind w:left="2268" w:hanging="567"/>
      </w:pPr>
      <w:rPr>
        <w:rFonts w:ascii="Symbol" w:hAnsi="Symbol" w:cs="Times New Roman" w:hint="default"/>
        <w:color w:val="auto"/>
      </w:rPr>
    </w:lvl>
    <w:lvl w:ilvl="4">
      <w:start w:val="1"/>
      <w:numFmt w:val="bullet"/>
      <w:pStyle w:val="ListBullet5"/>
      <w:lvlText w:val=""/>
      <w:lvlJc w:val="left"/>
      <w:pPr>
        <w:ind w:left="2835" w:hanging="567"/>
      </w:pPr>
      <w:rPr>
        <w:rFonts w:ascii="Symbol" w:hAnsi="Symbol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6" w15:restartNumberingAfterBreak="0">
    <w:nsid w:val="2C6E3A4B"/>
    <w:multiLevelType w:val="multilevel"/>
    <w:tmpl w:val="0407001D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D616C1F"/>
    <w:multiLevelType w:val="multilevel"/>
    <w:tmpl w:val="8626C62E"/>
    <w:styleLink w:val="ListeUeberschrift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Heading8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D97"/>
    <w:rsid w:val="0002006B"/>
    <w:rsid w:val="000A1BD4"/>
    <w:rsid w:val="00162F00"/>
    <w:rsid w:val="0022283B"/>
    <w:rsid w:val="002261F8"/>
    <w:rsid w:val="0026014E"/>
    <w:rsid w:val="00291169"/>
    <w:rsid w:val="002C48E7"/>
    <w:rsid w:val="0032717B"/>
    <w:rsid w:val="00337901"/>
    <w:rsid w:val="00370A03"/>
    <w:rsid w:val="004C3656"/>
    <w:rsid w:val="004F5913"/>
    <w:rsid w:val="0050204D"/>
    <w:rsid w:val="005B2A9F"/>
    <w:rsid w:val="006C0161"/>
    <w:rsid w:val="00703762"/>
    <w:rsid w:val="007421BA"/>
    <w:rsid w:val="007D6ED1"/>
    <w:rsid w:val="007E0DBB"/>
    <w:rsid w:val="00857EDE"/>
    <w:rsid w:val="008C0955"/>
    <w:rsid w:val="008D49FE"/>
    <w:rsid w:val="00902FEA"/>
    <w:rsid w:val="0090324A"/>
    <w:rsid w:val="00943567"/>
    <w:rsid w:val="009776F4"/>
    <w:rsid w:val="00A872E6"/>
    <w:rsid w:val="00AB0710"/>
    <w:rsid w:val="00B26547"/>
    <w:rsid w:val="00B76D97"/>
    <w:rsid w:val="00B94226"/>
    <w:rsid w:val="00C26A0C"/>
    <w:rsid w:val="00C627BD"/>
    <w:rsid w:val="00C654BB"/>
    <w:rsid w:val="00C861E0"/>
    <w:rsid w:val="00DD485D"/>
    <w:rsid w:val="00DE19FD"/>
    <w:rsid w:val="00DE652F"/>
    <w:rsid w:val="00EF7432"/>
    <w:rsid w:val="00FB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1F360"/>
  <w15:chartTrackingRefBased/>
  <w15:docId w15:val="{3E03B276-2605-4CEB-91AD-4455F374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D97"/>
    <w:pPr>
      <w:spacing w:before="120" w:after="240"/>
    </w:pPr>
    <w:rPr>
      <w:rFonts w:eastAsiaTheme="minorHAnsi" w:cstheme="minorBidi"/>
      <w:sz w:val="24"/>
      <w:lang w:val="en-US"/>
    </w:rPr>
  </w:style>
  <w:style w:type="paragraph" w:styleId="Heading1">
    <w:name w:val="heading 1"/>
    <w:aliases w:val="Erste UeB"/>
    <w:basedOn w:val="Normal"/>
    <w:next w:val="Normal"/>
    <w:link w:val="Heading1Char"/>
    <w:uiPriority w:val="2"/>
    <w:qFormat/>
    <w:rsid w:val="00162F00"/>
    <w:pPr>
      <w:keepNext/>
      <w:keepLines/>
      <w:numPr>
        <w:numId w:val="1"/>
      </w:numPr>
      <w:spacing w:before="48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de-DE"/>
    </w:rPr>
  </w:style>
  <w:style w:type="paragraph" w:styleId="Heading2">
    <w:name w:val="heading 2"/>
    <w:aliases w:val="Zweite UeB"/>
    <w:basedOn w:val="Normal"/>
    <w:next w:val="Normal"/>
    <w:link w:val="Heading2Char"/>
    <w:uiPriority w:val="3"/>
    <w:qFormat/>
    <w:rsid w:val="00162F00"/>
    <w:pPr>
      <w:keepNext/>
      <w:keepLines/>
      <w:numPr>
        <w:ilvl w:val="1"/>
        <w:numId w:val="1"/>
      </w:numPr>
      <w:spacing w:before="200" w:after="120"/>
      <w:contextualSpacing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de-DE"/>
    </w:rPr>
  </w:style>
  <w:style w:type="paragraph" w:styleId="Heading3">
    <w:name w:val="heading 3"/>
    <w:aliases w:val="Dritte UeB"/>
    <w:basedOn w:val="Normal"/>
    <w:next w:val="Normal"/>
    <w:link w:val="Heading3Char"/>
    <w:uiPriority w:val="9"/>
    <w:unhideWhenUsed/>
    <w:qFormat/>
    <w:rsid w:val="00162F00"/>
    <w:pPr>
      <w:keepNext/>
      <w:keepLines/>
      <w:numPr>
        <w:ilvl w:val="2"/>
        <w:numId w:val="1"/>
      </w:numPr>
      <w:spacing w:before="200" w:after="120"/>
      <w:contextualSpacing/>
      <w:outlineLvl w:val="2"/>
    </w:pPr>
    <w:rPr>
      <w:rFonts w:asciiTheme="majorHAnsi" w:eastAsiaTheme="majorEastAsia" w:hAnsiTheme="majorHAnsi" w:cstheme="majorBidi"/>
      <w:b/>
      <w:bCs/>
      <w:sz w:val="22"/>
      <w:lang w:val="de-DE"/>
    </w:rPr>
  </w:style>
  <w:style w:type="paragraph" w:styleId="Heading4">
    <w:name w:val="heading 4"/>
    <w:aliases w:val="Vierte UeB"/>
    <w:basedOn w:val="Normal"/>
    <w:next w:val="Normal"/>
    <w:link w:val="Heading4Char"/>
    <w:uiPriority w:val="9"/>
    <w:unhideWhenUsed/>
    <w:qFormat/>
    <w:rsid w:val="00162F00"/>
    <w:pPr>
      <w:keepNext/>
      <w:keepLines/>
      <w:numPr>
        <w:ilvl w:val="3"/>
        <w:numId w:val="1"/>
      </w:numPr>
      <w:spacing w:before="200" w:after="120"/>
      <w:contextualSpacing/>
      <w:outlineLvl w:val="3"/>
    </w:pPr>
    <w:rPr>
      <w:rFonts w:asciiTheme="majorHAnsi" w:eastAsiaTheme="majorEastAsia" w:hAnsiTheme="majorHAnsi" w:cstheme="majorBidi"/>
      <w:b/>
      <w:bCs/>
      <w:i/>
      <w:iCs/>
      <w:sz w:val="22"/>
      <w:lang w:val="de-DE"/>
    </w:rPr>
  </w:style>
  <w:style w:type="paragraph" w:styleId="Heading5">
    <w:name w:val="heading 5"/>
    <w:aliases w:val="Fuenfte UeB"/>
    <w:basedOn w:val="Normal"/>
    <w:next w:val="Normal"/>
    <w:link w:val="Heading5Char"/>
    <w:uiPriority w:val="9"/>
    <w:semiHidden/>
    <w:unhideWhenUsed/>
    <w:qFormat/>
    <w:rsid w:val="00162F0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sz w:val="22"/>
      <w:lang w:val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de-D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de-D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Heading1Char">
    <w:name w:val="Heading 1 Char"/>
    <w:aliases w:val="Erste UeB Char"/>
    <w:basedOn w:val="DefaultParagraphFont"/>
    <w:link w:val="Heading1"/>
    <w:uiPriority w:val="2"/>
    <w:rsid w:val="00162F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aliases w:val="Zweite UeB Char"/>
    <w:basedOn w:val="DefaultParagraphFont"/>
    <w:link w:val="Heading2"/>
    <w:uiPriority w:val="3"/>
    <w:rsid w:val="00162F0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aliases w:val="Dritte UeB Char"/>
    <w:basedOn w:val="DefaultParagraphFont"/>
    <w:link w:val="Heading3"/>
    <w:uiPriority w:val="9"/>
    <w:rsid w:val="00162F0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aliases w:val="Vierte UeB Char"/>
    <w:basedOn w:val="DefaultParagraphFont"/>
    <w:link w:val="Heading4"/>
    <w:uiPriority w:val="9"/>
    <w:rsid w:val="00162F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aliases w:val="Fuenfte UeB Char"/>
    <w:basedOn w:val="DefaultParagraphFont"/>
    <w:link w:val="Heading5"/>
    <w:uiPriority w:val="9"/>
    <w:semiHidden/>
    <w:rsid w:val="00162F00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Bullet">
    <w:name w:val="List Bullet"/>
    <w:basedOn w:val="Normal"/>
    <w:uiPriority w:val="4"/>
    <w:unhideWhenUsed/>
    <w:qFormat/>
    <w:rsid w:val="0050204D"/>
    <w:pPr>
      <w:numPr>
        <w:numId w:val="2"/>
      </w:numPr>
      <w:spacing w:before="0" w:after="120"/>
      <w:contextualSpacing/>
    </w:pPr>
    <w:rPr>
      <w:rFonts w:eastAsiaTheme="minorEastAsia" w:cs="Calibri"/>
      <w:sz w:val="22"/>
      <w:lang w:val="de-DE"/>
    </w:rPr>
  </w:style>
  <w:style w:type="paragraph" w:styleId="ListBullet2">
    <w:name w:val="List Bullet 2"/>
    <w:basedOn w:val="Normal"/>
    <w:uiPriority w:val="99"/>
    <w:semiHidden/>
    <w:unhideWhenUsed/>
    <w:rsid w:val="0050204D"/>
    <w:pPr>
      <w:numPr>
        <w:ilvl w:val="1"/>
        <w:numId w:val="2"/>
      </w:numPr>
      <w:spacing w:before="0" w:after="120"/>
      <w:contextualSpacing/>
    </w:pPr>
    <w:rPr>
      <w:rFonts w:eastAsiaTheme="minorEastAsia" w:cs="Calibri"/>
      <w:sz w:val="22"/>
      <w:lang w:val="de-DE"/>
    </w:rPr>
  </w:style>
  <w:style w:type="paragraph" w:styleId="ListBullet3">
    <w:name w:val="List Bullet 3"/>
    <w:basedOn w:val="Normal"/>
    <w:uiPriority w:val="99"/>
    <w:semiHidden/>
    <w:unhideWhenUsed/>
    <w:rsid w:val="0050204D"/>
    <w:pPr>
      <w:numPr>
        <w:ilvl w:val="2"/>
        <w:numId w:val="2"/>
      </w:numPr>
      <w:spacing w:before="0" w:after="120"/>
      <w:contextualSpacing/>
    </w:pPr>
    <w:rPr>
      <w:rFonts w:eastAsiaTheme="minorEastAsia" w:cs="Calibri"/>
      <w:sz w:val="22"/>
      <w:lang w:val="de-DE"/>
    </w:rPr>
  </w:style>
  <w:style w:type="paragraph" w:styleId="ListBullet4">
    <w:name w:val="List Bullet 4"/>
    <w:basedOn w:val="Normal"/>
    <w:uiPriority w:val="99"/>
    <w:semiHidden/>
    <w:unhideWhenUsed/>
    <w:rsid w:val="0050204D"/>
    <w:pPr>
      <w:numPr>
        <w:ilvl w:val="3"/>
        <w:numId w:val="2"/>
      </w:numPr>
      <w:spacing w:before="0" w:after="120"/>
      <w:contextualSpacing/>
    </w:pPr>
    <w:rPr>
      <w:rFonts w:eastAsiaTheme="minorEastAsia" w:cs="Calibri"/>
      <w:sz w:val="22"/>
      <w:lang w:val="de-DE"/>
    </w:rPr>
  </w:style>
  <w:style w:type="paragraph" w:styleId="ListBullet5">
    <w:name w:val="List Bullet 5"/>
    <w:basedOn w:val="Normal"/>
    <w:uiPriority w:val="99"/>
    <w:semiHidden/>
    <w:unhideWhenUsed/>
    <w:rsid w:val="0050204D"/>
    <w:pPr>
      <w:numPr>
        <w:ilvl w:val="4"/>
        <w:numId w:val="2"/>
      </w:numPr>
      <w:spacing w:before="0" w:after="120"/>
      <w:contextualSpacing/>
    </w:pPr>
    <w:rPr>
      <w:rFonts w:eastAsiaTheme="minorEastAsia" w:cs="Calibri"/>
      <w:sz w:val="22"/>
      <w:lang w:val="de-DE"/>
    </w:rPr>
  </w:style>
  <w:style w:type="paragraph" w:styleId="Title">
    <w:name w:val="Title"/>
    <w:basedOn w:val="Normal"/>
    <w:next w:val="Normal"/>
    <w:link w:val="TitleChar"/>
    <w:uiPriority w:val="1"/>
    <w:qFormat/>
    <w:rsid w:val="000A1BD4"/>
    <w:pPr>
      <w:spacing w:before="0" w:after="0"/>
      <w:contextualSpacing/>
    </w:pPr>
    <w:rPr>
      <w:rFonts w:eastAsiaTheme="majorEastAsia" w:cstheme="majorBidi"/>
      <w:b/>
      <w:spacing w:val="-10"/>
      <w:kern w:val="28"/>
      <w:sz w:val="28"/>
      <w:szCs w:val="56"/>
      <w:lang w:val="de-DE"/>
    </w:rPr>
  </w:style>
  <w:style w:type="character" w:customStyle="1" w:styleId="TitleChar">
    <w:name w:val="Title Char"/>
    <w:basedOn w:val="DefaultParagraphFont"/>
    <w:link w:val="Title"/>
    <w:uiPriority w:val="1"/>
    <w:rsid w:val="000A1BD4"/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B76D97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B76D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76D97"/>
    <w:rPr>
      <w:rFonts w:asciiTheme="minorHAnsi" w:hAnsiTheme="minorHAnsi" w:cstheme="minorBidi"/>
      <w:color w:val="5A5A5A" w:themeColor="text1" w:themeTint="A5"/>
      <w:spacing w:val="1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4226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94226"/>
    <w:rPr>
      <w:rFonts w:eastAsiaTheme="minorHAnsi" w:cstheme="minorBidi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4226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94226"/>
    <w:rPr>
      <w:rFonts w:eastAsiaTheme="minorHAnsi" w:cstheme="minorBidi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S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Averbeck, Nicole Dr.</dc:creator>
  <cp:keywords/>
  <dc:description/>
  <cp:lastModifiedBy>Averbeck, Nicole Dr.</cp:lastModifiedBy>
  <cp:revision>6</cp:revision>
  <cp:lastPrinted>2025-06-25T12:53:00Z</cp:lastPrinted>
  <dcterms:created xsi:type="dcterms:W3CDTF">2025-06-25T09:47:00Z</dcterms:created>
  <dcterms:modified xsi:type="dcterms:W3CDTF">2025-06-25T13:34:00Z</dcterms:modified>
</cp:coreProperties>
</file>