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93115" w14:textId="77777777" w:rsidR="0030036A" w:rsidRPr="00B034B5" w:rsidRDefault="0030036A" w:rsidP="0030036A">
      <w:pPr>
        <w:spacing w:line="276" w:lineRule="auto"/>
        <w:jc w:val="both"/>
        <w:rPr>
          <w:b/>
          <w:bCs/>
          <w:i/>
          <w:iCs/>
          <w:lang w:val="en-US"/>
        </w:rPr>
      </w:pPr>
      <w:r w:rsidRPr="00B034B5">
        <w:rPr>
          <w:b/>
          <w:bCs/>
          <w:i/>
          <w:iCs/>
          <w:lang w:val="en-US"/>
        </w:rPr>
        <w:t>Supplementary material</w:t>
      </w:r>
    </w:p>
    <w:p w14:paraId="3D1CE079" w14:textId="77777777" w:rsidR="0030036A" w:rsidRPr="00B034B5" w:rsidRDefault="0030036A" w:rsidP="0030036A">
      <w:pPr>
        <w:spacing w:line="276" w:lineRule="auto"/>
        <w:jc w:val="both"/>
        <w:rPr>
          <w:lang w:val="en-US"/>
        </w:rPr>
      </w:pPr>
      <w:r w:rsidRPr="00B034B5">
        <w:rPr>
          <w:b/>
          <w:bCs/>
          <w:lang w:val="en-US"/>
        </w:rPr>
        <w:t xml:space="preserve">Figure </w:t>
      </w:r>
      <w:r>
        <w:rPr>
          <w:b/>
          <w:bCs/>
          <w:lang w:val="en-US"/>
        </w:rPr>
        <w:t>S</w:t>
      </w:r>
      <w:r w:rsidRPr="00B034B5">
        <w:rPr>
          <w:b/>
          <w:bCs/>
          <w:lang w:val="en-US"/>
        </w:rPr>
        <w:t>1.</w:t>
      </w:r>
      <w:r>
        <w:rPr>
          <w:lang w:val="en-US"/>
        </w:rPr>
        <w:t xml:space="preserve"> </w:t>
      </w:r>
      <w:r w:rsidRPr="00B034B5">
        <w:rPr>
          <w:lang w:val="en-US"/>
        </w:rPr>
        <w:t>(A) Flow cytometry gating strategy. (</w:t>
      </w:r>
      <w:r>
        <w:rPr>
          <w:lang w:val="en-US"/>
        </w:rPr>
        <w:t>B-Q</w:t>
      </w:r>
      <w:r w:rsidRPr="00B034B5">
        <w:rPr>
          <w:lang w:val="en-US"/>
        </w:rPr>
        <w:t xml:space="preserve">) Flow cytometry analysis of small intestinal </w:t>
      </w:r>
      <w:r w:rsidRPr="00B034B5">
        <w:rPr>
          <w:i/>
          <w:iCs/>
          <w:lang w:val="en-US"/>
        </w:rPr>
        <w:t xml:space="preserve">lamina propria </w:t>
      </w:r>
      <w:r w:rsidRPr="00B034B5">
        <w:rPr>
          <w:lang w:val="en-US"/>
        </w:rPr>
        <w:t>T-cells</w:t>
      </w:r>
      <w:r>
        <w:rPr>
          <w:lang w:val="en-US"/>
        </w:rPr>
        <w:t xml:space="preserve">. (B-C) </w:t>
      </w:r>
      <w:r w:rsidRPr="00B034B5">
        <w:rPr>
          <w:lang w:val="en-US"/>
        </w:rPr>
        <w:t>FoxP3</w:t>
      </w:r>
      <w:r w:rsidRPr="00B034B5">
        <w:rPr>
          <w:vertAlign w:val="superscript"/>
          <w:lang w:val="en-US"/>
        </w:rPr>
        <w:t>+</w:t>
      </w:r>
      <w:r w:rsidRPr="00B034B5">
        <w:rPr>
          <w:lang w:val="en-US"/>
        </w:rPr>
        <w:t>ROR</w:t>
      </w:r>
      <w:r w:rsidRPr="00B034B5">
        <w:rPr>
          <w:rFonts w:ascii="Cambria Math" w:hAnsi="Cambria Math" w:cs="Cambria Math"/>
          <w:lang w:val="en-US"/>
        </w:rPr>
        <w:t>𝛾</w:t>
      </w:r>
      <w:r w:rsidRPr="00B034B5">
        <w:rPr>
          <w:lang w:val="en-US"/>
        </w:rPr>
        <w:t>t</w:t>
      </w:r>
      <w:r w:rsidRPr="00B034B5">
        <w:rPr>
          <w:vertAlign w:val="superscript"/>
          <w:lang w:val="en-US"/>
        </w:rPr>
        <w:t>+</w:t>
      </w:r>
      <w:r w:rsidRPr="00B034B5">
        <w:rPr>
          <w:lang w:val="en-US"/>
        </w:rPr>
        <w:t xml:space="preserve"> peripherally induced regulatory T-cell (pTreg)</w:t>
      </w:r>
      <w:r>
        <w:rPr>
          <w:lang w:val="en-US"/>
        </w:rPr>
        <w:t xml:space="preserve"> levels, including the proportion of which are also expressing IL-17, in small intestines of mice on a Simple Diet (SD) background (B) and a Complex Humanized Diet (CD) background (C). (D-E) </w:t>
      </w:r>
      <w:r w:rsidRPr="00B034B5">
        <w:rPr>
          <w:lang w:val="en-US"/>
        </w:rPr>
        <w:t>FoxP3</w:t>
      </w:r>
      <w:r w:rsidRPr="00B034B5">
        <w:rPr>
          <w:vertAlign w:val="superscript"/>
          <w:lang w:val="en-US"/>
        </w:rPr>
        <w:t>+</w:t>
      </w:r>
      <w:r w:rsidRPr="00B034B5">
        <w:rPr>
          <w:lang w:val="en-US"/>
        </w:rPr>
        <w:t>ROR</w:t>
      </w:r>
      <w:r w:rsidRPr="00B034B5">
        <w:rPr>
          <w:rFonts w:ascii="Cambria Math" w:hAnsi="Cambria Math" w:cs="Cambria Math"/>
          <w:lang w:val="en-US"/>
        </w:rPr>
        <w:t>𝛾</w:t>
      </w:r>
      <w:r w:rsidRPr="00B034B5">
        <w:rPr>
          <w:lang w:val="en-US"/>
        </w:rPr>
        <w:t>t</w:t>
      </w:r>
      <w:r w:rsidRPr="00B034B5">
        <w:rPr>
          <w:vertAlign w:val="superscript"/>
          <w:lang w:val="en-US"/>
        </w:rPr>
        <w:t>+</w:t>
      </w:r>
      <w:r w:rsidRPr="00B034B5">
        <w:rPr>
          <w:lang w:val="en-US"/>
        </w:rPr>
        <w:t xml:space="preserve"> pTreg</w:t>
      </w:r>
      <w:r>
        <w:rPr>
          <w:lang w:val="en-US"/>
        </w:rPr>
        <w:t xml:space="preserve"> levels, including the IL-17</w:t>
      </w:r>
      <w:r w:rsidRPr="00552047">
        <w:rPr>
          <w:vertAlign w:val="superscript"/>
          <w:lang w:val="en-US"/>
        </w:rPr>
        <w:t>+</w:t>
      </w:r>
      <w:r>
        <w:rPr>
          <w:lang w:val="en-US"/>
        </w:rPr>
        <w:t xml:space="preserve"> proportion, in large intestines of mice fed a SD (D) and CD (E). (F-I) Levels of </w:t>
      </w:r>
      <w:r w:rsidRPr="00B034B5">
        <w:rPr>
          <w:lang w:val="en-US"/>
        </w:rPr>
        <w:t>FoxP3</w:t>
      </w:r>
      <w:r w:rsidRPr="00B034B5">
        <w:rPr>
          <w:vertAlign w:val="superscript"/>
          <w:lang w:val="en-US"/>
        </w:rPr>
        <w:t>-</w:t>
      </w:r>
      <w:r w:rsidRPr="00B034B5">
        <w:rPr>
          <w:lang w:val="en-US"/>
        </w:rPr>
        <w:t>ROR</w:t>
      </w:r>
      <w:r w:rsidRPr="00B034B5">
        <w:rPr>
          <w:rFonts w:ascii="Cambria Math" w:hAnsi="Cambria Math" w:cs="Cambria Math"/>
          <w:lang w:val="en-US"/>
        </w:rPr>
        <w:t>𝛾</w:t>
      </w:r>
      <w:r w:rsidRPr="00B034B5">
        <w:rPr>
          <w:lang w:val="en-US"/>
        </w:rPr>
        <w:t>t</w:t>
      </w:r>
      <w:r w:rsidRPr="00B034B5">
        <w:rPr>
          <w:vertAlign w:val="superscript"/>
          <w:lang w:val="en-US"/>
        </w:rPr>
        <w:t>+</w:t>
      </w:r>
      <w:r w:rsidRPr="00B034B5">
        <w:rPr>
          <w:lang w:val="en-US"/>
        </w:rPr>
        <w:t xml:space="preserve"> T-helper 17 (Th17) cell</w:t>
      </w:r>
      <w:r>
        <w:rPr>
          <w:lang w:val="en-US"/>
        </w:rPr>
        <w:t xml:space="preserve"> in the intestinal </w:t>
      </w:r>
      <w:r>
        <w:rPr>
          <w:i/>
          <w:iCs/>
          <w:lang w:val="en-US"/>
        </w:rPr>
        <w:t>lamina propria</w:t>
      </w:r>
      <w:r>
        <w:rPr>
          <w:lang w:val="en-US"/>
        </w:rPr>
        <w:t xml:space="preserve"> of small intestines of SD-fed mice (F) and CD-fed mice (G), and in the large intestines of SD-fed mice (H) and CD-fed mice (I). The proportions of Th17 cells also expressing IL-10 and IFN</w:t>
      </w:r>
      <w:r w:rsidRPr="00B034B5">
        <w:rPr>
          <w:rFonts w:ascii="Cambria Math" w:hAnsi="Cambria Math" w:cs="Cambria Math"/>
          <w:lang w:val="en-US"/>
        </w:rPr>
        <w:t>𝛾</w:t>
      </w:r>
      <w:r>
        <w:rPr>
          <w:lang w:val="en-US"/>
        </w:rPr>
        <w:t xml:space="preserve"> are also shown. (J-K) Levels of </w:t>
      </w:r>
      <w:r w:rsidRPr="00B034B5">
        <w:rPr>
          <w:lang w:val="en-US"/>
        </w:rPr>
        <w:t>FoxP3</w:t>
      </w:r>
      <w:r w:rsidRPr="00B034B5">
        <w:rPr>
          <w:vertAlign w:val="superscript"/>
          <w:lang w:val="en-US"/>
        </w:rPr>
        <w:t>+</w:t>
      </w:r>
      <w:r w:rsidRPr="00B034B5">
        <w:rPr>
          <w:lang w:val="en-US"/>
        </w:rPr>
        <w:t>ROR</w:t>
      </w:r>
      <w:r w:rsidRPr="00B034B5">
        <w:rPr>
          <w:rFonts w:ascii="Cambria Math" w:hAnsi="Cambria Math" w:cs="Cambria Math"/>
          <w:lang w:val="en-US"/>
        </w:rPr>
        <w:t>𝛾</w:t>
      </w:r>
      <w:r w:rsidRPr="00B034B5">
        <w:rPr>
          <w:lang w:val="en-US"/>
        </w:rPr>
        <w:t>t</w:t>
      </w:r>
      <w:r w:rsidRPr="00B034B5">
        <w:rPr>
          <w:vertAlign w:val="superscript"/>
          <w:lang w:val="en-US"/>
        </w:rPr>
        <w:t>-</w:t>
      </w:r>
      <w:r w:rsidRPr="00B034B5">
        <w:rPr>
          <w:lang w:val="en-US"/>
        </w:rPr>
        <w:t xml:space="preserve"> natural thymic-derived regulatory T-cells (nTregs)</w:t>
      </w:r>
      <w:r>
        <w:rPr>
          <w:lang w:val="en-US"/>
        </w:rPr>
        <w:t xml:space="preserve"> in small intestines of SD-fed mice (J) and CD-fed mice (K). nTreg levels of large intestines of SD-fed mice (L), and CD-fed mice (M). (N-O)</w:t>
      </w:r>
      <w:r w:rsidRPr="002D066D">
        <w:rPr>
          <w:lang w:val="en-US"/>
        </w:rPr>
        <w:t xml:space="preserve"> </w:t>
      </w:r>
      <w:r w:rsidRPr="00B034B5">
        <w:rPr>
          <w:lang w:val="en-US"/>
        </w:rPr>
        <w:t>FoxP3</w:t>
      </w:r>
      <w:r w:rsidRPr="00B034B5">
        <w:rPr>
          <w:vertAlign w:val="superscript"/>
          <w:lang w:val="en-US"/>
        </w:rPr>
        <w:t>-</w:t>
      </w:r>
      <w:r w:rsidRPr="00B034B5">
        <w:rPr>
          <w:lang w:val="en-US"/>
        </w:rPr>
        <w:t>ROR</w:t>
      </w:r>
      <w:r w:rsidRPr="00B034B5">
        <w:rPr>
          <w:rFonts w:ascii="Cambria Math" w:hAnsi="Cambria Math" w:cs="Cambria Math"/>
          <w:lang w:val="en-US"/>
        </w:rPr>
        <w:t>𝛾</w:t>
      </w:r>
      <w:r w:rsidRPr="00B034B5">
        <w:rPr>
          <w:lang w:val="en-US"/>
        </w:rPr>
        <w:t>t</w:t>
      </w:r>
      <w:r w:rsidRPr="00B034B5">
        <w:rPr>
          <w:vertAlign w:val="superscript"/>
          <w:lang w:val="en-US"/>
        </w:rPr>
        <w:t>-</w:t>
      </w:r>
      <w:r w:rsidRPr="00B034B5">
        <w:rPr>
          <w:lang w:val="en-US"/>
        </w:rPr>
        <w:t>IFN</w:t>
      </w:r>
      <w:r w:rsidRPr="00B034B5">
        <w:rPr>
          <w:rFonts w:ascii="Cambria Math" w:hAnsi="Cambria Math" w:cs="Cambria Math"/>
          <w:lang w:val="en-US"/>
        </w:rPr>
        <w:t>𝛾</w:t>
      </w:r>
      <w:r w:rsidRPr="00B034B5">
        <w:rPr>
          <w:vertAlign w:val="superscript"/>
          <w:lang w:val="en-US"/>
        </w:rPr>
        <w:t>+</w:t>
      </w:r>
      <w:r w:rsidRPr="00B034B5">
        <w:rPr>
          <w:lang w:val="en-US"/>
        </w:rPr>
        <w:t xml:space="preserve"> T-helper 1 cells in small intestine </w:t>
      </w:r>
      <w:r>
        <w:rPr>
          <w:lang w:val="en-US"/>
        </w:rPr>
        <w:t xml:space="preserve">of SD- (N) and CD-fed mice (O). (P-Q) Th1 cell levels in large intestines of SD- (P) and CD-fed mice (Q). (R) </w:t>
      </w:r>
      <w:r w:rsidRPr="00B034B5">
        <w:rPr>
          <w:lang w:val="en-US"/>
        </w:rPr>
        <w:t>Bacterial load over time based on 16S rRNA qPCR.</w:t>
      </w:r>
      <w:r>
        <w:rPr>
          <w:lang w:val="en-US"/>
        </w:rPr>
        <w:t xml:space="preserve"> </w:t>
      </w:r>
      <w:r w:rsidRPr="00B034B5">
        <w:rPr>
          <w:lang w:val="en-US"/>
        </w:rPr>
        <w:t>Data are presented as mean ± SEM (n = 3 per group</w:t>
      </w:r>
      <w:r>
        <w:rPr>
          <w:lang w:val="en-US"/>
        </w:rPr>
        <w:t xml:space="preserve"> dietary control group, and 4-6 per McB group</w:t>
      </w:r>
      <w:r w:rsidRPr="00B034B5">
        <w:rPr>
          <w:lang w:val="en-US"/>
        </w:rPr>
        <w:t>) with individual data points</w:t>
      </w:r>
      <w:r>
        <w:rPr>
          <w:lang w:val="en-US"/>
        </w:rPr>
        <w:t xml:space="preserve"> representing each mouse</w:t>
      </w:r>
      <w:r w:rsidRPr="00B034B5">
        <w:rPr>
          <w:lang w:val="en-US"/>
        </w:rPr>
        <w:t>. Statistical significance between two groups was determined by unpaired t-test (P &lt; 0.05).</w:t>
      </w:r>
    </w:p>
    <w:p w14:paraId="17DC66BD" w14:textId="77777777" w:rsidR="0030036A" w:rsidRDefault="0030036A" w:rsidP="0030036A">
      <w:pPr>
        <w:spacing w:line="276" w:lineRule="auto"/>
        <w:jc w:val="both"/>
        <w:rPr>
          <w:b/>
          <w:bCs/>
          <w:lang w:val="en-US"/>
        </w:rPr>
      </w:pPr>
    </w:p>
    <w:p w14:paraId="7D5E1FE5" w14:textId="77777777" w:rsidR="0030036A" w:rsidRDefault="0030036A" w:rsidP="0030036A">
      <w:pPr>
        <w:spacing w:line="276" w:lineRule="auto"/>
        <w:jc w:val="both"/>
        <w:rPr>
          <w:lang w:val="en-US"/>
        </w:rPr>
      </w:pPr>
      <w:r w:rsidRPr="00B034B5">
        <w:rPr>
          <w:b/>
          <w:bCs/>
          <w:lang w:val="en-US"/>
        </w:rPr>
        <w:t>Figure S</w:t>
      </w:r>
      <w:r>
        <w:rPr>
          <w:b/>
          <w:bCs/>
          <w:lang w:val="en-US"/>
        </w:rPr>
        <w:t>2</w:t>
      </w:r>
      <w:r w:rsidRPr="00B034B5">
        <w:rPr>
          <w:b/>
          <w:bCs/>
          <w:lang w:val="en-US"/>
        </w:rPr>
        <w:t xml:space="preserve">. </w:t>
      </w:r>
      <w:r w:rsidRPr="00816A4B">
        <w:rPr>
          <w:lang w:val="en-US"/>
        </w:rPr>
        <w:t>Intestinal</w:t>
      </w:r>
      <w:r>
        <w:rPr>
          <w:b/>
          <w:bCs/>
          <w:lang w:val="en-US"/>
        </w:rPr>
        <w:t xml:space="preserve"> </w:t>
      </w:r>
      <w:r>
        <w:rPr>
          <w:lang w:val="en-US"/>
        </w:rPr>
        <w:t xml:space="preserve">architecture of mice in the </w:t>
      </w:r>
      <w:r w:rsidRPr="00B034B5">
        <w:rPr>
          <w:lang w:val="en-US"/>
        </w:rPr>
        <w:t>5-fluorouracil mucositis model</w:t>
      </w:r>
      <w:r>
        <w:rPr>
          <w:lang w:val="en-US"/>
        </w:rPr>
        <w:t xml:space="preserve"> during the acute and recovery phases. Duodenum crypts during the a</w:t>
      </w:r>
      <w:r w:rsidRPr="00B034B5">
        <w:rPr>
          <w:lang w:val="en-US"/>
        </w:rPr>
        <w:t>cute</w:t>
      </w:r>
      <w:r>
        <w:rPr>
          <w:lang w:val="en-US"/>
        </w:rPr>
        <w:t xml:space="preserve"> (A)</w:t>
      </w:r>
      <w:r w:rsidRPr="00B034B5">
        <w:rPr>
          <w:lang w:val="en-US"/>
        </w:rPr>
        <w:t xml:space="preserve"> and </w:t>
      </w:r>
      <w:r>
        <w:rPr>
          <w:lang w:val="en-US"/>
        </w:rPr>
        <w:t>recovery phase (B)</w:t>
      </w:r>
      <w:r w:rsidRPr="00816A4B">
        <w:rPr>
          <w:lang w:val="en-US"/>
        </w:rPr>
        <w:t xml:space="preserve"> </w:t>
      </w:r>
      <w:r>
        <w:rPr>
          <w:lang w:val="en-US"/>
        </w:rPr>
        <w:t>in µm. Jejunum crypts during the a</w:t>
      </w:r>
      <w:r w:rsidRPr="00B034B5">
        <w:rPr>
          <w:lang w:val="en-US"/>
        </w:rPr>
        <w:t>cute</w:t>
      </w:r>
      <w:r>
        <w:rPr>
          <w:lang w:val="en-US"/>
        </w:rPr>
        <w:t xml:space="preserve"> (C)</w:t>
      </w:r>
      <w:r w:rsidRPr="00B034B5">
        <w:rPr>
          <w:lang w:val="en-US"/>
        </w:rPr>
        <w:t xml:space="preserve"> and </w:t>
      </w:r>
      <w:r>
        <w:rPr>
          <w:lang w:val="en-US"/>
        </w:rPr>
        <w:t>recovery phase (D)</w:t>
      </w:r>
      <w:r w:rsidRPr="00816A4B">
        <w:rPr>
          <w:lang w:val="en-US"/>
        </w:rPr>
        <w:t xml:space="preserve"> </w:t>
      </w:r>
      <w:r>
        <w:rPr>
          <w:lang w:val="en-US"/>
        </w:rPr>
        <w:t>in µm.</w:t>
      </w:r>
      <w:r w:rsidRPr="00816A4B">
        <w:rPr>
          <w:lang w:val="en-US"/>
        </w:rPr>
        <w:t xml:space="preserve"> </w:t>
      </w:r>
      <w:r>
        <w:rPr>
          <w:lang w:val="en-US"/>
        </w:rPr>
        <w:t>Ileum crypts during the a</w:t>
      </w:r>
      <w:r w:rsidRPr="00B034B5">
        <w:rPr>
          <w:lang w:val="en-US"/>
        </w:rPr>
        <w:t>cute</w:t>
      </w:r>
      <w:r>
        <w:rPr>
          <w:lang w:val="en-US"/>
        </w:rPr>
        <w:t xml:space="preserve"> (E)</w:t>
      </w:r>
      <w:r w:rsidRPr="00B034B5">
        <w:rPr>
          <w:lang w:val="en-US"/>
        </w:rPr>
        <w:t xml:space="preserve"> and </w:t>
      </w:r>
      <w:r>
        <w:rPr>
          <w:lang w:val="en-US"/>
        </w:rPr>
        <w:t>recovery phase (F)</w:t>
      </w:r>
      <w:r w:rsidRPr="00816A4B">
        <w:rPr>
          <w:lang w:val="en-US"/>
        </w:rPr>
        <w:t xml:space="preserve"> </w:t>
      </w:r>
      <w:r>
        <w:rPr>
          <w:lang w:val="en-US"/>
        </w:rPr>
        <w:t>in µm. Colonic crypts during the a</w:t>
      </w:r>
      <w:r w:rsidRPr="00B034B5">
        <w:rPr>
          <w:lang w:val="en-US"/>
        </w:rPr>
        <w:t>cute</w:t>
      </w:r>
      <w:r>
        <w:rPr>
          <w:lang w:val="en-US"/>
        </w:rPr>
        <w:t xml:space="preserve"> (G)</w:t>
      </w:r>
      <w:r w:rsidRPr="00B034B5">
        <w:rPr>
          <w:lang w:val="en-US"/>
        </w:rPr>
        <w:t xml:space="preserve"> and </w:t>
      </w:r>
      <w:r>
        <w:rPr>
          <w:lang w:val="en-US"/>
        </w:rPr>
        <w:t>recovery phase (H) in µm. Colon lengths during acute (I) and recovery (J) phase in cm.</w:t>
      </w:r>
      <w:r w:rsidRPr="00816A4B">
        <w:rPr>
          <w:lang w:val="en-US"/>
        </w:rPr>
        <w:t xml:space="preserve"> </w:t>
      </w:r>
      <w:r w:rsidRPr="00B034B5">
        <w:rPr>
          <w:lang w:val="en-US"/>
        </w:rPr>
        <w:t>Data are presented as mean ± SEM (</w:t>
      </w:r>
      <w:r>
        <w:rPr>
          <w:lang w:val="en-US"/>
        </w:rPr>
        <w:t>n = 8-9 per group</w:t>
      </w:r>
      <w:r w:rsidRPr="00B034B5">
        <w:rPr>
          <w:lang w:val="en-US"/>
        </w:rPr>
        <w:t>) with individual data points</w:t>
      </w:r>
      <w:r>
        <w:rPr>
          <w:lang w:val="en-US"/>
        </w:rPr>
        <w:t xml:space="preserve"> representing each mouse</w:t>
      </w:r>
      <w:r w:rsidRPr="00B034B5">
        <w:rPr>
          <w:lang w:val="en-US"/>
        </w:rPr>
        <w:t xml:space="preserve">. Statistical significance was determined by a Two-Way ANOVA followed by </w:t>
      </w:r>
      <w:r>
        <w:rPr>
          <w:lang w:val="en-US"/>
        </w:rPr>
        <w:t>Fisher’s LSD</w:t>
      </w:r>
      <w:r w:rsidRPr="00B034B5">
        <w:rPr>
          <w:lang w:val="en-US"/>
        </w:rPr>
        <w:t xml:space="preserve"> multiple comparisons post hoc test. P &lt; 0.05 was considered statistically significant.</w:t>
      </w:r>
      <w:r w:rsidRPr="00B034B5" w:rsidDel="00816A4B">
        <w:rPr>
          <w:lang w:val="en-US"/>
        </w:rPr>
        <w:t xml:space="preserve"> </w:t>
      </w:r>
    </w:p>
    <w:p w14:paraId="1EFAA016" w14:textId="77777777" w:rsidR="0030036A" w:rsidRPr="00B034B5" w:rsidRDefault="0030036A" w:rsidP="0030036A">
      <w:pPr>
        <w:spacing w:line="276" w:lineRule="auto"/>
        <w:jc w:val="both"/>
        <w:rPr>
          <w:lang w:val="en-US"/>
        </w:rPr>
      </w:pPr>
    </w:p>
    <w:p w14:paraId="0FDC2444" w14:textId="77777777" w:rsidR="0030036A" w:rsidRDefault="0030036A" w:rsidP="0030036A">
      <w:pPr>
        <w:spacing w:line="276" w:lineRule="auto"/>
        <w:jc w:val="both"/>
        <w:rPr>
          <w:lang w:val="en-US"/>
        </w:rPr>
      </w:pPr>
      <w:r w:rsidRPr="00B034B5">
        <w:rPr>
          <w:b/>
          <w:bCs/>
          <w:lang w:val="en-US"/>
        </w:rPr>
        <w:t>Figure S</w:t>
      </w:r>
      <w:r>
        <w:rPr>
          <w:b/>
          <w:bCs/>
          <w:lang w:val="en-US"/>
        </w:rPr>
        <w:t>3</w:t>
      </w:r>
      <w:r w:rsidRPr="00B034B5">
        <w:rPr>
          <w:b/>
          <w:bCs/>
          <w:lang w:val="en-US"/>
        </w:rPr>
        <w:t xml:space="preserve">. </w:t>
      </w:r>
      <w:r w:rsidRPr="00816A4B">
        <w:rPr>
          <w:lang w:val="en-US"/>
        </w:rPr>
        <w:t>Intestinal</w:t>
      </w:r>
      <w:r>
        <w:rPr>
          <w:b/>
          <w:bCs/>
          <w:lang w:val="en-US"/>
        </w:rPr>
        <w:t xml:space="preserve"> </w:t>
      </w:r>
      <w:r>
        <w:rPr>
          <w:lang w:val="en-US"/>
        </w:rPr>
        <w:t xml:space="preserve">architecture of GLP-2R WT (A-F) and KO (G-L) mice in the </w:t>
      </w:r>
      <w:r w:rsidRPr="00B034B5">
        <w:rPr>
          <w:lang w:val="en-US"/>
        </w:rPr>
        <w:t>5-fluorouracil mucositis model</w:t>
      </w:r>
      <w:r>
        <w:rPr>
          <w:lang w:val="en-US"/>
        </w:rPr>
        <w:t>. Duodenum villi length in µm (A) and crypt depth in µm (B) of GLP-2R WT mice. Ileum crypt depth in µm (C) of GLP-2R WT mice.</w:t>
      </w:r>
      <w:r w:rsidRPr="00C27E00">
        <w:rPr>
          <w:lang w:val="en-US"/>
        </w:rPr>
        <w:t xml:space="preserve"> </w:t>
      </w:r>
      <w:r>
        <w:rPr>
          <w:lang w:val="en-US"/>
        </w:rPr>
        <w:t>Jejunum crypt depth in µm (D) of GLP-2R WT mice. Colon crypt depth in µm (E) of GLP-2R WT mice.</w:t>
      </w:r>
      <w:r w:rsidRPr="00C27E00">
        <w:rPr>
          <w:lang w:val="en-US"/>
        </w:rPr>
        <w:t xml:space="preserve"> </w:t>
      </w:r>
      <w:r>
        <w:rPr>
          <w:lang w:val="en-US"/>
        </w:rPr>
        <w:t>Colon lengths in cm (F) of GLP-2R WT mice.</w:t>
      </w:r>
      <w:r w:rsidRPr="00C27E00">
        <w:rPr>
          <w:lang w:val="en-US"/>
        </w:rPr>
        <w:t xml:space="preserve"> </w:t>
      </w:r>
      <w:r>
        <w:rPr>
          <w:lang w:val="en-US"/>
        </w:rPr>
        <w:t>Duodenum villi length in µm (G) and crypt depth in µm (H) of GLP-2R KO mice. Ileum crypt depth in µm (I) of GLP-2R KO mice.</w:t>
      </w:r>
      <w:r w:rsidRPr="00C27E00">
        <w:rPr>
          <w:lang w:val="en-US"/>
        </w:rPr>
        <w:t xml:space="preserve"> </w:t>
      </w:r>
      <w:r>
        <w:rPr>
          <w:lang w:val="en-US"/>
        </w:rPr>
        <w:t>Jejunum crypt depth in µm (J) of GLP-2R KO mice. Colon crypt depth in µm (K) of GLP-2R KO mice.</w:t>
      </w:r>
      <w:r w:rsidRPr="00C27E00">
        <w:rPr>
          <w:lang w:val="en-US"/>
        </w:rPr>
        <w:t xml:space="preserve"> </w:t>
      </w:r>
      <w:r>
        <w:rPr>
          <w:lang w:val="en-US"/>
        </w:rPr>
        <w:t xml:space="preserve">Colon lengths in cm (L) of GLP-2R KO mice. </w:t>
      </w:r>
      <w:r w:rsidRPr="00B034B5">
        <w:rPr>
          <w:lang w:val="en-US"/>
        </w:rPr>
        <w:t>Data are</w:t>
      </w:r>
      <w:r>
        <w:rPr>
          <w:lang w:val="en-US"/>
        </w:rPr>
        <w:t xml:space="preserve"> from four independent experiments and</w:t>
      </w:r>
      <w:r w:rsidRPr="00B034B5">
        <w:rPr>
          <w:lang w:val="en-US"/>
        </w:rPr>
        <w:t xml:space="preserve"> presented as mean ± SEM (</w:t>
      </w:r>
      <w:r>
        <w:rPr>
          <w:lang w:val="en-US"/>
        </w:rPr>
        <w:t>n = 8-9 per group</w:t>
      </w:r>
      <w:r w:rsidRPr="00B034B5">
        <w:rPr>
          <w:lang w:val="en-US"/>
        </w:rPr>
        <w:t>) with individual data points</w:t>
      </w:r>
      <w:r>
        <w:rPr>
          <w:lang w:val="en-US"/>
        </w:rPr>
        <w:t xml:space="preserve"> representing each mouse</w:t>
      </w:r>
      <w:r w:rsidRPr="00B034B5">
        <w:rPr>
          <w:lang w:val="en-US"/>
        </w:rPr>
        <w:t xml:space="preserve">. Statistical significance was determined by a Two-Way ANOVA followed by </w:t>
      </w:r>
      <w:r>
        <w:rPr>
          <w:lang w:val="en-US"/>
        </w:rPr>
        <w:t>Fisher’s LSD</w:t>
      </w:r>
      <w:r w:rsidRPr="00B034B5">
        <w:rPr>
          <w:lang w:val="en-US"/>
        </w:rPr>
        <w:t xml:space="preserve"> multiple comparisons post hoc test. P &lt; 0.05 was considered statistically significant.</w:t>
      </w:r>
      <w:r w:rsidRPr="00B034B5" w:rsidDel="00816A4B">
        <w:rPr>
          <w:lang w:val="en-US"/>
        </w:rPr>
        <w:t xml:space="preserve"> </w:t>
      </w:r>
    </w:p>
    <w:p w14:paraId="0B6807FE" w14:textId="77777777" w:rsidR="0030036A" w:rsidRPr="00B034B5" w:rsidRDefault="0030036A" w:rsidP="0030036A">
      <w:pPr>
        <w:spacing w:line="276" w:lineRule="auto"/>
        <w:jc w:val="both"/>
        <w:rPr>
          <w:lang w:val="en-US"/>
        </w:rPr>
      </w:pPr>
    </w:p>
    <w:p w14:paraId="31075319" w14:textId="77777777" w:rsidR="0030036A" w:rsidRPr="00B034B5" w:rsidRDefault="0030036A" w:rsidP="0030036A">
      <w:pPr>
        <w:spacing w:line="276" w:lineRule="auto"/>
        <w:jc w:val="both"/>
        <w:rPr>
          <w:lang w:val="en-US"/>
        </w:rPr>
      </w:pPr>
      <w:r w:rsidRPr="00B034B5">
        <w:rPr>
          <w:b/>
          <w:bCs/>
          <w:lang w:val="en-US"/>
        </w:rPr>
        <w:lastRenderedPageBreak/>
        <w:t>Figure S</w:t>
      </w:r>
      <w:r>
        <w:rPr>
          <w:b/>
          <w:bCs/>
          <w:lang w:val="en-US"/>
        </w:rPr>
        <w:t>4</w:t>
      </w:r>
      <w:r w:rsidRPr="00B034B5">
        <w:rPr>
          <w:b/>
          <w:bCs/>
          <w:lang w:val="en-US"/>
        </w:rPr>
        <w:t>.</w:t>
      </w:r>
      <w:r w:rsidRPr="00B034B5">
        <w:rPr>
          <w:lang w:val="en-US"/>
        </w:rPr>
        <w:t xml:space="preserve"> (A) Study design of beginning of recovery phase after induction of small intestinal mucositis using the 5-fluorouracil model in whole-body GLP-</w:t>
      </w:r>
      <w:r>
        <w:rPr>
          <w:lang w:val="en-US"/>
        </w:rPr>
        <w:t>1</w:t>
      </w:r>
      <w:r w:rsidRPr="00B034B5">
        <w:rPr>
          <w:lang w:val="en-US"/>
        </w:rPr>
        <w:t>R wildtype (WT) and knockout (KO) mice. Body weight development following small intestinal injury (B), small intestinal wet weights (C), Jejunum (D) and ileum (E) villus lengths</w:t>
      </w:r>
      <w:r>
        <w:rPr>
          <w:lang w:val="en-US"/>
        </w:rPr>
        <w:t xml:space="preserve"> in µm</w:t>
      </w:r>
      <w:r w:rsidRPr="00B034B5">
        <w:rPr>
          <w:lang w:val="en-US"/>
        </w:rPr>
        <w:t>, and jejunum (F) and ileum (G) myeloperoxidase</w:t>
      </w:r>
      <w:r>
        <w:rPr>
          <w:lang w:val="en-US"/>
        </w:rPr>
        <w:t xml:space="preserve"> (MPO)</w:t>
      </w:r>
      <w:r w:rsidRPr="00B034B5">
        <w:rPr>
          <w:lang w:val="en-US"/>
        </w:rPr>
        <w:t xml:space="preserve"> levels corrected for total protein content, in </w:t>
      </w:r>
      <w:r>
        <w:rPr>
          <w:lang w:val="en-US"/>
        </w:rPr>
        <w:t xml:space="preserve">GLP-1R </w:t>
      </w:r>
      <w:r w:rsidRPr="00B034B5">
        <w:rPr>
          <w:lang w:val="en-US"/>
        </w:rPr>
        <w:t>WT mice. Body weight development following small intestinal injury (H), small intestinal wet weights (I), Jejunum (J) and ileum (K) villus lengths</w:t>
      </w:r>
      <w:r>
        <w:rPr>
          <w:lang w:val="en-US"/>
        </w:rPr>
        <w:t xml:space="preserve"> in µm</w:t>
      </w:r>
      <w:r w:rsidRPr="00B034B5">
        <w:rPr>
          <w:lang w:val="en-US"/>
        </w:rPr>
        <w:t xml:space="preserve">, and jejunum (L) and ileum (M) </w:t>
      </w:r>
      <w:r>
        <w:rPr>
          <w:lang w:val="en-US"/>
        </w:rPr>
        <w:t>MPO</w:t>
      </w:r>
      <w:r w:rsidRPr="00B034B5">
        <w:rPr>
          <w:lang w:val="en-US"/>
        </w:rPr>
        <w:t xml:space="preserve"> levels corrected for total protein content, in </w:t>
      </w:r>
      <w:r>
        <w:rPr>
          <w:lang w:val="en-US"/>
        </w:rPr>
        <w:t xml:space="preserve">GLP-1R </w:t>
      </w:r>
      <w:r w:rsidRPr="00B034B5">
        <w:rPr>
          <w:lang w:val="en-US"/>
        </w:rPr>
        <w:t xml:space="preserve">KO mice. (N) </w:t>
      </w:r>
      <w:r>
        <w:rPr>
          <w:lang w:val="en-US"/>
        </w:rPr>
        <w:t>Representative h</w:t>
      </w:r>
      <w:r w:rsidRPr="00B034B5">
        <w:rPr>
          <w:lang w:val="en-US"/>
        </w:rPr>
        <w:t xml:space="preserve">istological </w:t>
      </w:r>
      <w:r>
        <w:rPr>
          <w:lang w:val="en-US"/>
        </w:rPr>
        <w:t xml:space="preserve">HE </w:t>
      </w:r>
      <w:r w:rsidRPr="00B034B5">
        <w:rPr>
          <w:lang w:val="en-US"/>
        </w:rPr>
        <w:t>images of jejunum and ileum sections of</w:t>
      </w:r>
      <w:r>
        <w:rPr>
          <w:lang w:val="en-US"/>
        </w:rPr>
        <w:t xml:space="preserve"> GLP-1R</w:t>
      </w:r>
      <w:r w:rsidRPr="00B034B5">
        <w:rPr>
          <w:lang w:val="en-US"/>
        </w:rPr>
        <w:t xml:space="preserve"> WT and KO mice, representing group medians. Scalebars = 50 µm. Data are</w:t>
      </w:r>
      <w:r>
        <w:rPr>
          <w:lang w:val="en-US"/>
        </w:rPr>
        <w:t xml:space="preserve"> from four independent experiments and</w:t>
      </w:r>
      <w:r w:rsidRPr="00B034B5">
        <w:rPr>
          <w:lang w:val="en-US"/>
        </w:rPr>
        <w:t xml:space="preserve"> presented as mean ± SEM (n = </w:t>
      </w:r>
      <w:r>
        <w:rPr>
          <w:lang w:val="en-US"/>
        </w:rPr>
        <w:t>3-6</w:t>
      </w:r>
      <w:r w:rsidRPr="00B034B5">
        <w:rPr>
          <w:lang w:val="en-US"/>
        </w:rPr>
        <w:t xml:space="preserve"> per group) with individual data points. Statistical significance was determined by a Two-Way ANOVA followed by </w:t>
      </w:r>
      <w:r>
        <w:rPr>
          <w:lang w:val="en-US"/>
        </w:rPr>
        <w:t>Fisher’s LSD</w:t>
      </w:r>
      <w:r w:rsidRPr="00B034B5">
        <w:rPr>
          <w:lang w:val="en-US"/>
        </w:rPr>
        <w:t xml:space="preserve"> multiple comparisons post hoc test. P &lt; 0.05 was considered statistically significant. </w:t>
      </w:r>
    </w:p>
    <w:p w14:paraId="010BA5ED" w14:textId="77777777" w:rsidR="0030036A" w:rsidRPr="00B034B5" w:rsidRDefault="0030036A" w:rsidP="0030036A">
      <w:pPr>
        <w:spacing w:line="276" w:lineRule="auto"/>
        <w:jc w:val="both"/>
        <w:rPr>
          <w:lang w:val="en-US"/>
        </w:rPr>
      </w:pPr>
    </w:p>
    <w:p w14:paraId="36E91F48" w14:textId="77777777" w:rsidR="0030036A" w:rsidRDefault="0030036A" w:rsidP="0030036A">
      <w:pPr>
        <w:spacing w:line="276" w:lineRule="auto"/>
        <w:jc w:val="both"/>
        <w:rPr>
          <w:lang w:val="en-US"/>
        </w:rPr>
      </w:pPr>
      <w:r w:rsidRPr="00B034B5">
        <w:rPr>
          <w:b/>
          <w:bCs/>
          <w:lang w:val="en-US"/>
        </w:rPr>
        <w:t>Figure S</w:t>
      </w:r>
      <w:r>
        <w:rPr>
          <w:b/>
          <w:bCs/>
          <w:lang w:val="en-US"/>
        </w:rPr>
        <w:t>5</w:t>
      </w:r>
      <w:r w:rsidRPr="00B034B5">
        <w:rPr>
          <w:b/>
          <w:bCs/>
          <w:lang w:val="en-US"/>
        </w:rPr>
        <w:t xml:space="preserve">. </w:t>
      </w:r>
      <w:r w:rsidRPr="00B034B5">
        <w:rPr>
          <w:lang w:val="en-US"/>
        </w:rPr>
        <w:t>(A) Study design of large intestinal colitis using the dextran sodium sulphate</w:t>
      </w:r>
      <w:r>
        <w:rPr>
          <w:lang w:val="en-US"/>
        </w:rPr>
        <w:t xml:space="preserve"> (DSS)</w:t>
      </w:r>
      <w:r w:rsidRPr="00B034B5">
        <w:rPr>
          <w:lang w:val="en-US"/>
        </w:rPr>
        <w:t xml:space="preserve"> model in whole-body GLP-</w:t>
      </w:r>
      <w:r>
        <w:rPr>
          <w:lang w:val="en-US"/>
        </w:rPr>
        <w:t>1</w:t>
      </w:r>
      <w:r w:rsidRPr="00B034B5">
        <w:rPr>
          <w:lang w:val="en-US"/>
        </w:rPr>
        <w:t>R wildtype (WT) and knockout (KO) mice.</w:t>
      </w:r>
      <w:r>
        <w:rPr>
          <w:lang w:val="en-US"/>
        </w:rPr>
        <w:t xml:space="preserve"> DSS was administered at a 2.5% concentration in drinking water.</w:t>
      </w:r>
      <w:r w:rsidRPr="00B034B5">
        <w:rPr>
          <w:lang w:val="en-US"/>
        </w:rPr>
        <w:t xml:space="preserve"> </w:t>
      </w:r>
      <w:r>
        <w:rPr>
          <w:lang w:val="en-US"/>
        </w:rPr>
        <w:t xml:space="preserve">(B-G) Disease assessment in GLP-1R WT mice. </w:t>
      </w:r>
      <w:r w:rsidRPr="00B034B5">
        <w:rPr>
          <w:lang w:val="en-US"/>
        </w:rPr>
        <w:t xml:space="preserve">(B) Body weight development </w:t>
      </w:r>
      <w:r>
        <w:rPr>
          <w:lang w:val="en-US"/>
        </w:rPr>
        <w:t>over all 5 study days, relative to initial starting weight. (C) H</w:t>
      </w:r>
      <w:r w:rsidRPr="00B034B5">
        <w:rPr>
          <w:lang w:val="en-US"/>
        </w:rPr>
        <w:t xml:space="preserve">eatmap of disease activity index </w:t>
      </w:r>
      <w:r>
        <w:rPr>
          <w:lang w:val="en-US"/>
        </w:rPr>
        <w:t xml:space="preserve">(DAI) </w:t>
      </w:r>
      <w:r w:rsidRPr="00B034B5">
        <w:rPr>
          <w:lang w:val="en-US"/>
        </w:rPr>
        <w:t xml:space="preserve">over time and at </w:t>
      </w:r>
      <w:r>
        <w:rPr>
          <w:lang w:val="en-US"/>
        </w:rPr>
        <w:t>termination</w:t>
      </w:r>
      <w:r w:rsidRPr="00B034B5">
        <w:rPr>
          <w:lang w:val="en-US"/>
        </w:rPr>
        <w:t xml:space="preserve"> (</w:t>
      </w:r>
      <w:r>
        <w:rPr>
          <w:lang w:val="en-US"/>
        </w:rPr>
        <w:t>D</w:t>
      </w:r>
      <w:r w:rsidRPr="00B034B5">
        <w:rPr>
          <w:lang w:val="en-US"/>
        </w:rPr>
        <w:t>)</w:t>
      </w:r>
      <w:r>
        <w:rPr>
          <w:lang w:val="en-US"/>
        </w:rPr>
        <w:t>. (E)</w:t>
      </w:r>
      <w:r w:rsidRPr="00B034B5">
        <w:rPr>
          <w:lang w:val="en-US"/>
        </w:rPr>
        <w:t xml:space="preserve"> </w:t>
      </w:r>
      <w:r>
        <w:rPr>
          <w:lang w:val="en-US"/>
        </w:rPr>
        <w:t>L</w:t>
      </w:r>
      <w:r w:rsidRPr="00B034B5">
        <w:rPr>
          <w:lang w:val="en-US"/>
        </w:rPr>
        <w:t>arge intestinal length</w:t>
      </w:r>
      <w:r>
        <w:rPr>
          <w:lang w:val="en-US"/>
        </w:rPr>
        <w:t xml:space="preserve"> in cm</w:t>
      </w:r>
      <w:r w:rsidRPr="00B034B5">
        <w:rPr>
          <w:lang w:val="en-US"/>
        </w:rPr>
        <w:t xml:space="preserve"> and weight-to-length inflammation index (</w:t>
      </w:r>
      <w:r>
        <w:rPr>
          <w:lang w:val="en-US"/>
        </w:rPr>
        <w:t>F</w:t>
      </w:r>
      <w:r w:rsidRPr="00B034B5">
        <w:rPr>
          <w:lang w:val="en-US"/>
        </w:rPr>
        <w:t>)</w:t>
      </w:r>
      <w:r>
        <w:rPr>
          <w:lang w:val="en-US"/>
        </w:rPr>
        <w:t xml:space="preserve">. (G) Histopathological scoring of colitis assessed blinded, in GLP-1R WT mice. </w:t>
      </w:r>
      <w:r w:rsidRPr="00B034B5">
        <w:rPr>
          <w:lang w:val="en-US"/>
        </w:rPr>
        <w:t xml:space="preserve">(H-M) </w:t>
      </w:r>
      <w:r>
        <w:rPr>
          <w:lang w:val="en-US"/>
        </w:rPr>
        <w:t xml:space="preserve">Disease assessment in GLP-1R KO mice. (H) </w:t>
      </w:r>
      <w:r w:rsidRPr="00B034B5">
        <w:rPr>
          <w:lang w:val="en-US"/>
        </w:rPr>
        <w:t xml:space="preserve">Body weight development </w:t>
      </w:r>
      <w:r>
        <w:rPr>
          <w:lang w:val="en-US"/>
        </w:rPr>
        <w:t>over all 5 study days, relative to initial starting weight. (I) H</w:t>
      </w:r>
      <w:r w:rsidRPr="00B034B5">
        <w:rPr>
          <w:lang w:val="en-US"/>
        </w:rPr>
        <w:t xml:space="preserve">eatmap of </w:t>
      </w:r>
      <w:r>
        <w:rPr>
          <w:lang w:val="en-US"/>
        </w:rPr>
        <w:t xml:space="preserve">DAI </w:t>
      </w:r>
      <w:r w:rsidRPr="00B034B5">
        <w:rPr>
          <w:lang w:val="en-US"/>
        </w:rPr>
        <w:t xml:space="preserve">over time and at </w:t>
      </w:r>
      <w:r>
        <w:rPr>
          <w:lang w:val="en-US"/>
        </w:rPr>
        <w:t>termination</w:t>
      </w:r>
      <w:r w:rsidRPr="00B034B5">
        <w:rPr>
          <w:lang w:val="en-US"/>
        </w:rPr>
        <w:t xml:space="preserve"> (</w:t>
      </w:r>
      <w:r>
        <w:rPr>
          <w:lang w:val="en-US"/>
        </w:rPr>
        <w:t>J</w:t>
      </w:r>
      <w:r w:rsidRPr="00B034B5">
        <w:rPr>
          <w:lang w:val="en-US"/>
        </w:rPr>
        <w:t>)</w:t>
      </w:r>
      <w:r>
        <w:rPr>
          <w:lang w:val="en-US"/>
        </w:rPr>
        <w:t>. L</w:t>
      </w:r>
      <w:r w:rsidRPr="00B034B5">
        <w:rPr>
          <w:lang w:val="en-US"/>
        </w:rPr>
        <w:t>arge intestinal length</w:t>
      </w:r>
      <w:r>
        <w:rPr>
          <w:lang w:val="en-US"/>
        </w:rPr>
        <w:t xml:space="preserve"> in cm (K)</w:t>
      </w:r>
      <w:r w:rsidRPr="00B034B5">
        <w:rPr>
          <w:lang w:val="en-US"/>
        </w:rPr>
        <w:t xml:space="preserve"> and weight-to-length inflammation index (</w:t>
      </w:r>
      <w:r>
        <w:rPr>
          <w:lang w:val="en-US"/>
        </w:rPr>
        <w:t>L</w:t>
      </w:r>
      <w:r w:rsidRPr="00B034B5">
        <w:rPr>
          <w:lang w:val="en-US"/>
        </w:rPr>
        <w:t>)</w:t>
      </w:r>
      <w:r>
        <w:rPr>
          <w:lang w:val="en-US"/>
        </w:rPr>
        <w:t>. Histopathological scoring of colitis assessed blinded, in GLP-1R WT KO mice (M). (N) Representative h</w:t>
      </w:r>
      <w:r w:rsidRPr="00B034B5">
        <w:rPr>
          <w:lang w:val="en-US"/>
        </w:rPr>
        <w:t xml:space="preserve">istological images of colon swissroll sections of </w:t>
      </w:r>
      <w:r>
        <w:rPr>
          <w:lang w:val="en-US"/>
        </w:rPr>
        <w:t xml:space="preserve">GLP-1R </w:t>
      </w:r>
      <w:r w:rsidRPr="00B034B5">
        <w:rPr>
          <w:lang w:val="en-US"/>
        </w:rPr>
        <w:t>WT and KO mice, representing group medians. Scalebars = 200 µm. Data are</w:t>
      </w:r>
      <w:r>
        <w:rPr>
          <w:lang w:val="en-US"/>
        </w:rPr>
        <w:t xml:space="preserve"> from four independent experiments and</w:t>
      </w:r>
      <w:r w:rsidRPr="00B034B5">
        <w:rPr>
          <w:lang w:val="en-US"/>
        </w:rPr>
        <w:t xml:space="preserve"> presented as mean ± SEM (n = </w:t>
      </w:r>
      <w:r>
        <w:rPr>
          <w:lang w:val="en-US"/>
        </w:rPr>
        <w:t>3-9</w:t>
      </w:r>
      <w:r w:rsidRPr="00B034B5">
        <w:rPr>
          <w:lang w:val="en-US"/>
        </w:rPr>
        <w:t xml:space="preserve"> per group) with individual data points. Statistical significance was determined by a Two-Way ANOVA followed by </w:t>
      </w:r>
      <w:r>
        <w:rPr>
          <w:lang w:val="en-US"/>
        </w:rPr>
        <w:t>Fisher’s LSD</w:t>
      </w:r>
      <w:r w:rsidRPr="00B034B5">
        <w:rPr>
          <w:lang w:val="en-US"/>
        </w:rPr>
        <w:t xml:space="preserve"> multiple comparisons post hoc test. P &lt; 0.05 was considered statistically significant.</w:t>
      </w:r>
    </w:p>
    <w:p w14:paraId="2861F11D" w14:textId="77777777" w:rsidR="0030036A" w:rsidRPr="00B034B5" w:rsidRDefault="0030036A" w:rsidP="0030036A">
      <w:pPr>
        <w:spacing w:line="276" w:lineRule="auto"/>
        <w:jc w:val="both"/>
        <w:rPr>
          <w:lang w:val="en-US"/>
        </w:rPr>
      </w:pPr>
    </w:p>
    <w:p w14:paraId="506BB050" w14:textId="77777777" w:rsidR="0030036A" w:rsidRPr="00995F7D" w:rsidRDefault="0030036A" w:rsidP="0030036A">
      <w:pPr>
        <w:spacing w:line="276" w:lineRule="auto"/>
        <w:jc w:val="both"/>
        <w:rPr>
          <w:lang w:val="en-US"/>
        </w:rPr>
      </w:pPr>
      <w:r w:rsidRPr="00B034B5">
        <w:rPr>
          <w:b/>
          <w:bCs/>
          <w:lang w:val="en-US"/>
        </w:rPr>
        <w:t>Figure S</w:t>
      </w:r>
      <w:r>
        <w:rPr>
          <w:b/>
          <w:bCs/>
          <w:lang w:val="en-US"/>
        </w:rPr>
        <w:t>6</w:t>
      </w:r>
      <w:r w:rsidRPr="00B034B5">
        <w:rPr>
          <w:b/>
          <w:bCs/>
          <w:lang w:val="en-US"/>
        </w:rPr>
        <w:t xml:space="preserve">. </w:t>
      </w:r>
      <w:r w:rsidRPr="001D348A">
        <w:rPr>
          <w:lang w:val="en-US"/>
        </w:rPr>
        <w:t xml:space="preserve">(A) </w:t>
      </w:r>
      <w:r w:rsidRPr="00995F7D">
        <w:rPr>
          <w:lang w:val="en-US"/>
        </w:rPr>
        <w:t>Schematic of the perfused rat intestine model, with venous effluent collected every minute from the portal vein. (B) GLP-1 levels in venous effluent during 90 minutes perfusion, with shaded areas indicating periods of stimulation.</w:t>
      </w:r>
      <w:r>
        <w:rPr>
          <w:lang w:val="en-US"/>
        </w:rPr>
        <w:t xml:space="preserve"> GLP-1 was used as a proxy for GLP-2 given they are co-released.</w:t>
      </w:r>
      <w:r w:rsidRPr="00995F7D">
        <w:rPr>
          <w:lang w:val="en-US"/>
        </w:rPr>
        <w:t xml:space="preserve"> (C) Levels of absorbed amino acids in vascular effluent across 80 minutes with shaded areas indicating periods of stimulation. </w:t>
      </w:r>
      <w:r>
        <w:rPr>
          <w:lang w:val="en-US"/>
        </w:rPr>
        <w:t xml:space="preserve">(D) Schematic of mouse gavage study. </w:t>
      </w:r>
      <w:r w:rsidRPr="00995F7D">
        <w:rPr>
          <w:lang w:val="en-US"/>
        </w:rPr>
        <w:t>(</w:t>
      </w:r>
      <w:r>
        <w:rPr>
          <w:lang w:val="en-US"/>
        </w:rPr>
        <w:t>E</w:t>
      </w:r>
      <w:r w:rsidRPr="00995F7D">
        <w:rPr>
          <w:lang w:val="en-US"/>
        </w:rPr>
        <w:t>) Plasma levels of GLP-</w:t>
      </w:r>
      <w:r>
        <w:rPr>
          <w:lang w:val="en-US"/>
        </w:rPr>
        <w:t>2</w:t>
      </w:r>
      <w:r w:rsidRPr="00995F7D">
        <w:rPr>
          <w:lang w:val="en-US"/>
        </w:rPr>
        <w:t xml:space="preserve"> following oral gavage of McB</w:t>
      </w:r>
      <w:r>
        <w:rPr>
          <w:lang w:val="en-US"/>
        </w:rPr>
        <w:t>, reference, or a control glucose</w:t>
      </w:r>
      <w:r w:rsidRPr="00995F7D">
        <w:rPr>
          <w:lang w:val="en-US"/>
        </w:rPr>
        <w:t xml:space="preserve"> solution at </w:t>
      </w:r>
      <w:r>
        <w:rPr>
          <w:lang w:val="en-US"/>
        </w:rPr>
        <w:t>20</w:t>
      </w:r>
      <w:r w:rsidRPr="00995F7D">
        <w:rPr>
          <w:lang w:val="en-US"/>
        </w:rPr>
        <w:t xml:space="preserve">0 mg/mL in PBS. </w:t>
      </w:r>
      <w:r>
        <w:rPr>
          <w:lang w:val="en-US"/>
        </w:rPr>
        <w:t xml:space="preserve">Mice and rats were given </w:t>
      </w:r>
      <w:r w:rsidRPr="00B034B5">
        <w:rPr>
          <w:lang w:val="en-US"/>
        </w:rPr>
        <w:t>a</w:t>
      </w:r>
      <w:r>
        <w:rPr>
          <w:lang w:val="en-US"/>
        </w:rPr>
        <w:t xml:space="preserve">n inhibitor cocktail </w:t>
      </w:r>
      <w:r w:rsidRPr="00D4451B">
        <w:rPr>
          <w:lang w:val="en-US"/>
        </w:rPr>
        <w:t>consisting of sacubitril (neprilysin</w:t>
      </w:r>
      <w:r>
        <w:rPr>
          <w:lang w:val="en-US"/>
        </w:rPr>
        <w:t xml:space="preserve"> </w:t>
      </w:r>
      <w:r w:rsidRPr="00D4451B">
        <w:rPr>
          <w:lang w:val="en-US"/>
        </w:rPr>
        <w:t>inhibitor, 0.3 mg/kg, 5 uL/g) and sitagliptin (dipeptidyl peptidase</w:t>
      </w:r>
      <w:r>
        <w:rPr>
          <w:lang w:val="en-US"/>
        </w:rPr>
        <w:t>-</w:t>
      </w:r>
      <w:r w:rsidRPr="00D4451B">
        <w:rPr>
          <w:lang w:val="en-US"/>
        </w:rPr>
        <w:t>4 inhibitor</w:t>
      </w:r>
      <w:r>
        <w:rPr>
          <w:lang w:val="en-US"/>
        </w:rPr>
        <w:t>,</w:t>
      </w:r>
      <w:r w:rsidRPr="00D4451B">
        <w:rPr>
          <w:lang w:val="en-US"/>
        </w:rPr>
        <w:t xml:space="preserve"> 10 mg/kg, 5 uL/g) </w:t>
      </w:r>
      <w:r>
        <w:rPr>
          <w:lang w:val="en-US"/>
        </w:rPr>
        <w:t xml:space="preserve">30 minutes before oral delivery of solutions. </w:t>
      </w:r>
      <w:r w:rsidRPr="00995F7D">
        <w:rPr>
          <w:lang w:val="en-US"/>
        </w:rPr>
        <w:t>n = 4 Sprague Dawley rats</w:t>
      </w:r>
      <w:r>
        <w:rPr>
          <w:lang w:val="en-US"/>
        </w:rPr>
        <w:t xml:space="preserve"> </w:t>
      </w:r>
      <w:r w:rsidRPr="00995F7D">
        <w:rPr>
          <w:lang w:val="en-US"/>
        </w:rPr>
        <w:t>per group</w:t>
      </w:r>
      <w:r>
        <w:rPr>
          <w:lang w:val="en-US"/>
        </w:rPr>
        <w:t>, and n = 3-6 mice per group, as indicated</w:t>
      </w:r>
      <w:r w:rsidRPr="00995F7D">
        <w:rPr>
          <w:lang w:val="en-US"/>
        </w:rPr>
        <w:t>.</w:t>
      </w:r>
    </w:p>
    <w:p w14:paraId="4E57D18A" w14:textId="77777777" w:rsidR="0030036A" w:rsidRPr="00B034B5" w:rsidRDefault="0030036A" w:rsidP="0030036A">
      <w:pPr>
        <w:spacing w:line="276" w:lineRule="auto"/>
        <w:jc w:val="both"/>
        <w:rPr>
          <w:lang w:val="en-US"/>
        </w:rPr>
      </w:pPr>
    </w:p>
    <w:p w14:paraId="1A0E8B3A" w14:textId="77777777" w:rsidR="0030036A" w:rsidRPr="00B034B5" w:rsidRDefault="0030036A" w:rsidP="0030036A">
      <w:pPr>
        <w:spacing w:line="276" w:lineRule="auto"/>
        <w:jc w:val="both"/>
        <w:rPr>
          <w:b/>
          <w:bCs/>
          <w:sz w:val="28"/>
          <w:szCs w:val="28"/>
          <w:u w:val="single"/>
          <w:lang w:val="en-US"/>
        </w:rPr>
      </w:pPr>
      <w:r w:rsidRPr="00B034B5">
        <w:rPr>
          <w:b/>
          <w:bCs/>
          <w:lang w:val="en-US"/>
        </w:rPr>
        <w:t xml:space="preserve">Supplementary </w:t>
      </w:r>
      <w:r>
        <w:rPr>
          <w:b/>
          <w:bCs/>
          <w:lang w:val="en-US"/>
        </w:rPr>
        <w:t xml:space="preserve">Material 1-14. </w:t>
      </w:r>
      <w:r>
        <w:rPr>
          <w:lang w:val="en-US"/>
        </w:rPr>
        <w:t>Disease Activity Index, Colitis Histopathology Scheme, Dietary Compositions, In Vivo data used for Figures 1-6 and Extended Data Figure S1-S6</w:t>
      </w:r>
      <w:r w:rsidRPr="00B034B5">
        <w:rPr>
          <w:b/>
          <w:bCs/>
          <w:sz w:val="28"/>
          <w:szCs w:val="28"/>
          <w:u w:val="single"/>
          <w:lang w:val="en-US"/>
        </w:rPr>
        <w:br w:type="page"/>
      </w:r>
    </w:p>
    <w:p w14:paraId="4CD87BF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36A"/>
    <w:rsid w:val="00145C1D"/>
    <w:rsid w:val="002E281E"/>
    <w:rsid w:val="0030036A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15873"/>
  <w15:chartTrackingRefBased/>
  <w15:docId w15:val="{26029BD0-0BE1-496C-B96F-1F104EBF0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36A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036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036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036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036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036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036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036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036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036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03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03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03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03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03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03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03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03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03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03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003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036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003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036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003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036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003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03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03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03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1005</Words>
  <Characters>5735</Characters>
  <Application>Microsoft Office Word</Application>
  <DocSecurity>0</DocSecurity>
  <Lines>47</Lines>
  <Paragraphs>13</Paragraphs>
  <ScaleCrop>false</ScaleCrop>
  <Company>Springer Nature</Company>
  <LinksUpToDate>false</LinksUpToDate>
  <CharactersWithSpaces>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2025-07-09T10:47:00Z</dcterms:created>
  <dcterms:modified xsi:type="dcterms:W3CDTF">2025-07-09T10:47:00Z</dcterms:modified>
</cp:coreProperties>
</file>