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42BD" w:rsidRPr="00E32F3C" w:rsidRDefault="004542BD" w:rsidP="004542BD">
      <w:pPr>
        <w:rPr>
          <w:b/>
          <w:bCs/>
        </w:rPr>
      </w:pPr>
      <w:r w:rsidRPr="00E32F3C">
        <w:rPr>
          <w:b/>
          <w:bCs/>
        </w:rPr>
        <w:t>Appendix</w:t>
      </w:r>
    </w:p>
    <w:p w:rsidR="004542BD" w:rsidRDefault="004542BD" w:rsidP="004542BD"/>
    <w:p w:rsidR="004542BD" w:rsidRDefault="004542BD" w:rsidP="004542BD">
      <w:pPr>
        <w:pStyle w:val="Caption"/>
        <w:keepNext/>
      </w:pPr>
      <w:r>
        <w:t>Table A</w:t>
      </w:r>
      <w:r>
        <w:fldChar w:fldCharType="begin"/>
      </w:r>
      <w:r>
        <w:instrText xml:space="preserve"> SEQ Table \* ARABIC </w:instrText>
      </w:r>
      <w:r>
        <w:fldChar w:fldCharType="separate"/>
      </w:r>
      <w:r>
        <w:rPr>
          <w:noProof/>
        </w:rPr>
        <w:t>1</w:t>
      </w:r>
      <w:r>
        <w:rPr>
          <w:noProof/>
        </w:rPr>
        <w:fldChar w:fldCharType="end"/>
      </w:r>
      <w:r>
        <w:t>: Information for the CMIP6 models used in this study.</w:t>
      </w:r>
    </w:p>
    <w:tbl>
      <w:tblPr>
        <w:tblStyle w:val="TableGrid"/>
        <w:tblW w:w="0" w:type="auto"/>
        <w:tblLook w:val="04A0" w:firstRow="1" w:lastRow="0" w:firstColumn="1" w:lastColumn="0" w:noHBand="0" w:noVBand="1"/>
      </w:tblPr>
      <w:tblGrid>
        <w:gridCol w:w="1871"/>
        <w:gridCol w:w="1994"/>
        <w:gridCol w:w="1350"/>
        <w:gridCol w:w="1080"/>
        <w:gridCol w:w="2790"/>
      </w:tblGrid>
      <w:tr w:rsidR="004542BD" w:rsidTr="00062413">
        <w:tc>
          <w:tcPr>
            <w:tcW w:w="1871" w:type="dxa"/>
          </w:tcPr>
          <w:p w:rsidR="004542BD" w:rsidRDefault="004542BD" w:rsidP="00062413">
            <w:pPr>
              <w:spacing w:line="360" w:lineRule="auto"/>
              <w:rPr>
                <w:rFonts w:cstheme="minorHAnsi"/>
                <w:sz w:val="24"/>
                <w:szCs w:val="24"/>
              </w:rPr>
            </w:pPr>
            <w:r>
              <w:rPr>
                <w:rFonts w:cstheme="minorHAnsi"/>
                <w:sz w:val="24"/>
                <w:szCs w:val="24"/>
              </w:rPr>
              <w:t>Model</w:t>
            </w:r>
          </w:p>
        </w:tc>
        <w:tc>
          <w:tcPr>
            <w:tcW w:w="1994" w:type="dxa"/>
          </w:tcPr>
          <w:p w:rsidR="004542BD" w:rsidRDefault="004542BD" w:rsidP="00062413">
            <w:pPr>
              <w:spacing w:line="360" w:lineRule="auto"/>
              <w:rPr>
                <w:rFonts w:cstheme="minorHAnsi"/>
                <w:sz w:val="24"/>
                <w:szCs w:val="24"/>
              </w:rPr>
            </w:pPr>
            <w:r>
              <w:rPr>
                <w:rFonts w:cstheme="minorHAnsi"/>
                <w:sz w:val="24"/>
                <w:szCs w:val="24"/>
              </w:rPr>
              <w:t>Native Resolution</w:t>
            </w:r>
          </w:p>
        </w:tc>
        <w:tc>
          <w:tcPr>
            <w:tcW w:w="1350" w:type="dxa"/>
          </w:tcPr>
          <w:p w:rsidR="004542BD" w:rsidRDefault="004542BD" w:rsidP="00062413">
            <w:pPr>
              <w:spacing w:line="360" w:lineRule="auto"/>
              <w:rPr>
                <w:rFonts w:cstheme="minorHAnsi"/>
                <w:sz w:val="24"/>
                <w:szCs w:val="24"/>
              </w:rPr>
            </w:pPr>
            <w:r>
              <w:rPr>
                <w:rFonts w:cstheme="minorHAnsi"/>
                <w:sz w:val="24"/>
                <w:szCs w:val="24"/>
              </w:rPr>
              <w:t>Country</w:t>
            </w:r>
          </w:p>
        </w:tc>
        <w:tc>
          <w:tcPr>
            <w:tcW w:w="1080" w:type="dxa"/>
          </w:tcPr>
          <w:p w:rsidR="004542BD" w:rsidRDefault="004542BD" w:rsidP="00062413">
            <w:pPr>
              <w:spacing w:line="360" w:lineRule="auto"/>
              <w:rPr>
                <w:rFonts w:cstheme="minorHAnsi"/>
                <w:sz w:val="24"/>
                <w:szCs w:val="24"/>
              </w:rPr>
            </w:pPr>
            <w:r>
              <w:rPr>
                <w:rFonts w:cstheme="minorHAnsi"/>
                <w:sz w:val="24"/>
                <w:szCs w:val="24"/>
              </w:rPr>
              <w:t>Variant</w:t>
            </w:r>
          </w:p>
        </w:tc>
        <w:tc>
          <w:tcPr>
            <w:tcW w:w="2790" w:type="dxa"/>
          </w:tcPr>
          <w:p w:rsidR="004542BD" w:rsidRDefault="004542BD" w:rsidP="00062413">
            <w:pPr>
              <w:spacing w:line="360" w:lineRule="auto"/>
              <w:rPr>
                <w:rFonts w:cstheme="minorHAnsi"/>
                <w:sz w:val="24"/>
                <w:szCs w:val="24"/>
              </w:rPr>
            </w:pPr>
            <w:r>
              <w:rPr>
                <w:rFonts w:cstheme="minorHAnsi"/>
                <w:sz w:val="24"/>
                <w:szCs w:val="24"/>
              </w:rPr>
              <w:t>Reference</w:t>
            </w:r>
          </w:p>
        </w:tc>
      </w:tr>
      <w:tr w:rsidR="004542BD" w:rsidTr="00062413">
        <w:tc>
          <w:tcPr>
            <w:tcW w:w="1871" w:type="dxa"/>
          </w:tcPr>
          <w:p w:rsidR="004542BD" w:rsidRDefault="004542BD" w:rsidP="00062413">
            <w:pPr>
              <w:spacing w:line="360" w:lineRule="auto"/>
              <w:rPr>
                <w:rFonts w:cstheme="minorHAnsi"/>
                <w:sz w:val="24"/>
                <w:szCs w:val="24"/>
              </w:rPr>
            </w:pPr>
            <w:r>
              <w:rPr>
                <w:rFonts w:cstheme="minorHAnsi"/>
                <w:sz w:val="24"/>
                <w:szCs w:val="24"/>
              </w:rPr>
              <w:t>CESM2</w:t>
            </w:r>
          </w:p>
        </w:tc>
        <w:tc>
          <w:tcPr>
            <w:tcW w:w="1994" w:type="dxa"/>
          </w:tcPr>
          <w:p w:rsidR="004542BD" w:rsidRPr="00B81C2E" w:rsidRDefault="004542BD" w:rsidP="00062413">
            <w:pPr>
              <w:spacing w:line="360" w:lineRule="auto"/>
              <w:rPr>
                <w:rFonts w:cstheme="minorHAnsi"/>
                <w:sz w:val="24"/>
                <w:szCs w:val="24"/>
              </w:rPr>
            </w:pPr>
            <w:r w:rsidRPr="005C7607">
              <w:rPr>
                <w:rFonts w:cstheme="minorHAnsi"/>
                <w:sz w:val="24"/>
                <w:szCs w:val="24"/>
              </w:rPr>
              <w:t>1.3° × 0.9°</w:t>
            </w:r>
          </w:p>
        </w:tc>
        <w:tc>
          <w:tcPr>
            <w:tcW w:w="1350" w:type="dxa"/>
          </w:tcPr>
          <w:p w:rsidR="004542BD" w:rsidRDefault="004542BD" w:rsidP="00062413">
            <w:pPr>
              <w:spacing w:line="360" w:lineRule="auto"/>
              <w:rPr>
                <w:rFonts w:cstheme="minorHAnsi"/>
                <w:sz w:val="24"/>
                <w:szCs w:val="24"/>
              </w:rPr>
            </w:pPr>
            <w:r>
              <w:rPr>
                <w:rFonts w:cstheme="minorHAnsi"/>
                <w:sz w:val="24"/>
                <w:szCs w:val="24"/>
              </w:rPr>
              <w:t>USA</w:t>
            </w:r>
          </w:p>
        </w:tc>
        <w:tc>
          <w:tcPr>
            <w:tcW w:w="1080" w:type="dxa"/>
          </w:tcPr>
          <w:p w:rsidR="004542BD" w:rsidRDefault="004542BD" w:rsidP="00062413">
            <w:pPr>
              <w:spacing w:line="360" w:lineRule="auto"/>
              <w:rPr>
                <w:rFonts w:cstheme="minorHAnsi"/>
                <w:sz w:val="24"/>
                <w:szCs w:val="24"/>
              </w:rPr>
            </w:pPr>
            <w:r w:rsidRPr="00B81C2E">
              <w:rPr>
                <w:rFonts w:cstheme="minorHAnsi"/>
                <w:sz w:val="24"/>
                <w:szCs w:val="24"/>
              </w:rPr>
              <w:t>r1i1p1f1</w:t>
            </w:r>
          </w:p>
        </w:tc>
        <w:tc>
          <w:tcPr>
            <w:tcW w:w="2790" w:type="dxa"/>
          </w:tcPr>
          <w:p w:rsidR="004542BD" w:rsidRDefault="004542BD" w:rsidP="00062413">
            <w:pPr>
              <w:spacing w:line="360" w:lineRule="auto"/>
              <w:rPr>
                <w:rFonts w:cstheme="minorHAnsi"/>
                <w:sz w:val="24"/>
                <w:szCs w:val="24"/>
              </w:rPr>
            </w:pPr>
            <w:r>
              <w:rPr>
                <w:rFonts w:cstheme="minorHAnsi"/>
                <w:sz w:val="24"/>
                <w:szCs w:val="24"/>
              </w:rPr>
              <w:fldChar w:fldCharType="begin"/>
            </w:r>
            <w:r>
              <w:rPr>
                <w:rFonts w:cstheme="minorHAnsi"/>
                <w:sz w:val="24"/>
                <w:szCs w:val="24"/>
              </w:rPr>
              <w:instrText xml:space="preserve"> ADDIN ZOTERO_ITEM CSL_CITATION {"citationID":"Sw7iF7qW","properties":{"formattedCitation":"(Danabasoglu et al., 2020, p. 2)","plainCitation":"(Danabasoglu et al., 2020, p. 2)","dontUpdate":true,"noteIndex":0},"citationItems":[{"id":862,"uris":["http://zotero.org/users/4937097/items/X8B9PNWQ"],"uri":["http://zotero.org/users/4937097/items/X8B9PNWQ"],"itemData":{"id":862,"type":"article-journal","abstract":"An overview of the Community Earth System Model Version 2 (CESM2) is provided, including a discussion of the challenges encountered during its development and how they were addressed. In addition, an evaluation of a pair of CESM2 long preindustrial control and historical ensemble simulations is presented. These simulations were performed using the nominal 1° horizontal resolution configuration of the coupled model with both the “low-top” (40 km, with limited chemistry) and “high-top” (130 km, with comprehensive chemistry) versions of the atmospheric component. CESM2 contains many substantial science and infrastructure improvements and new capabilities since its previous major release, CESM1, resulting in improved historical simulations in comparison to CESM1 and available observations. These include major reductions in low-latitude precipitation and shortwave cloud forcing biases; better representation of the Madden-Julian Oscillation; better El Niño-Southern Oscillation-related teleconnections; and a global land carbon accumulation trend that agrees well with observationally based estimates. Most tropospheric and surface features of the low- and high-top simulations are very similar to each other, so these improvements are present in both configurations. CESM2 has an equilibrium climate sensitivity of 5.1–5.3 °C, larger than in CESM1, primarily due to a combination of relatively small changes to cloud microphysics and boundary layer parameters. In contrast, CESM2's transient climate response of 1.9–2.0 °C is comparable to that of CESM1. The model outputs from these and many other simulations are available to the research community, and they represent CESM2's contributions to the Coupled Model Intercomparison Project Phase 6.","container-title":"Journal of Advances in Modeling Earth Systems","DOI":"https://doi.org/10.1029/2019MS001916","ISSN":"1942-2466","issue":"2","language":"en","note":"_eprint: https://agupubs.onlinelibrary.wiley.com/doi/pdf/10.1029/2019MS001916","page":"e2019MS001916","source":"Wiley Online Library","title":"The Community Earth System Model Version 2 (CESM2)","volume":"12","author":[{"family":"Danabasoglu","given":"G."},{"family":"Lamarque","given":"J.-F."},{"family":"Bacmeister","given":"J."},{"family":"Bailey","given":"D. A."},{"family":"DuVivier","given":"A. K."},{"family":"Edwards","given":"J."},{"family":"Emmons","given":"L. K."},{"family":"Fasullo","given":"J."},{"family":"Garcia","given":"R."},{"family":"Gettelman","given":"A."},{"family":"Hannay","given":"C."},{"family":"Holland","given":"M. M."},{"family":"Large","given":"W. G."},{"family":"Lauritzen","given":"P. H."},{"family":"Lawrence","given":"D. M."},{"family":"Lenaerts","given":"J. T. M."},{"family":"Lindsay","given":"K."},{"family":"Lipscomb","given":"W. H."},{"family":"Mills","given":"M. J."},{"family":"Neale","given":"R."},{"family":"Oleson","given":"K. W."},{"family":"Otto‐Bliesner","given":"B."},{"family":"Phillips","given":"A. S."},{"family":"Sacks","given":"W."},{"family":"Tilmes","given":"S."},{"family":"Kampenhout","given":"L.","dropping-particle":"van"},{"family":"Vertenstein","given":"M."},{"family":"Bertini","given":"A."},{"family":"Dennis","given":"J."},{"family":"Deser","given":"C."},{"family":"Fischer","given":"C."},{"family":"Fox‐Kemper","given":"B."},{"family":"Kay","given":"J. E."},{"family":"Kinnison","given":"D."},{"family":"Kushner","given":"P. J."},{"family":"Larson","given":"V. E."},{"family":"Long","given":"M. C."},{"family":"Mickelson","given":"S."},{"family":"Moore","given":"J. K."},{"family":"Nienhouse","given":"E."},{"family":"Polvani","given":"L."},{"family":"Rasch","given":"P. J."},{"family":"Strand","given":"W. G."}],"issued":{"date-parts":[["2020"]]}},"locator":"2"}],"schema":"https://github.com/citation-style-language/schema/raw/master/csl-citation.json"} </w:instrText>
            </w:r>
            <w:r>
              <w:rPr>
                <w:rFonts w:cstheme="minorHAnsi"/>
                <w:sz w:val="24"/>
                <w:szCs w:val="24"/>
              </w:rPr>
              <w:fldChar w:fldCharType="separate"/>
            </w:r>
            <w:r w:rsidRPr="00B81C2E">
              <w:rPr>
                <w:rFonts w:ascii="Calibri" w:hAnsi="Calibri" w:cs="Calibri"/>
                <w:sz w:val="24"/>
              </w:rPr>
              <w:t xml:space="preserve">Danabasoglu et al. </w:t>
            </w:r>
            <w:r>
              <w:rPr>
                <w:rFonts w:ascii="Calibri" w:hAnsi="Calibri" w:cs="Calibri"/>
                <w:sz w:val="24"/>
              </w:rPr>
              <w:t>(</w:t>
            </w:r>
            <w:r w:rsidRPr="00B81C2E">
              <w:rPr>
                <w:rFonts w:ascii="Calibri" w:hAnsi="Calibri" w:cs="Calibri"/>
                <w:sz w:val="24"/>
              </w:rPr>
              <w:t>2020)</w:t>
            </w:r>
            <w:r>
              <w:rPr>
                <w:rFonts w:cstheme="minorHAnsi"/>
                <w:sz w:val="24"/>
                <w:szCs w:val="24"/>
              </w:rPr>
              <w:fldChar w:fldCharType="end"/>
            </w:r>
          </w:p>
        </w:tc>
      </w:tr>
      <w:tr w:rsidR="004542BD" w:rsidTr="00062413">
        <w:tc>
          <w:tcPr>
            <w:tcW w:w="1871" w:type="dxa"/>
          </w:tcPr>
          <w:p w:rsidR="004542BD" w:rsidRDefault="004542BD" w:rsidP="00062413">
            <w:pPr>
              <w:spacing w:line="360" w:lineRule="auto"/>
              <w:rPr>
                <w:rFonts w:cstheme="minorHAnsi"/>
                <w:sz w:val="24"/>
                <w:szCs w:val="24"/>
              </w:rPr>
            </w:pPr>
            <w:r>
              <w:rPr>
                <w:rFonts w:cstheme="minorHAnsi"/>
                <w:sz w:val="24"/>
                <w:szCs w:val="24"/>
              </w:rPr>
              <w:t>CESM2-WACCM</w:t>
            </w:r>
          </w:p>
        </w:tc>
        <w:tc>
          <w:tcPr>
            <w:tcW w:w="1994" w:type="dxa"/>
          </w:tcPr>
          <w:p w:rsidR="004542BD" w:rsidRPr="00B81C2E" w:rsidRDefault="004542BD" w:rsidP="00062413">
            <w:pPr>
              <w:spacing w:line="360" w:lineRule="auto"/>
              <w:rPr>
                <w:rFonts w:cstheme="minorHAnsi"/>
                <w:sz w:val="24"/>
                <w:szCs w:val="24"/>
              </w:rPr>
            </w:pPr>
            <w:r w:rsidRPr="005C7607">
              <w:rPr>
                <w:rFonts w:cstheme="minorHAnsi"/>
                <w:sz w:val="24"/>
                <w:szCs w:val="24"/>
              </w:rPr>
              <w:t>1.3° × 0.9°</w:t>
            </w:r>
          </w:p>
        </w:tc>
        <w:tc>
          <w:tcPr>
            <w:tcW w:w="1350" w:type="dxa"/>
          </w:tcPr>
          <w:p w:rsidR="004542BD" w:rsidRDefault="004542BD" w:rsidP="00062413">
            <w:pPr>
              <w:spacing w:line="360" w:lineRule="auto"/>
              <w:rPr>
                <w:rFonts w:cstheme="minorHAnsi"/>
                <w:sz w:val="24"/>
                <w:szCs w:val="24"/>
              </w:rPr>
            </w:pPr>
            <w:r>
              <w:rPr>
                <w:rFonts w:cstheme="minorHAnsi"/>
                <w:sz w:val="24"/>
                <w:szCs w:val="24"/>
              </w:rPr>
              <w:t>USA</w:t>
            </w:r>
          </w:p>
        </w:tc>
        <w:tc>
          <w:tcPr>
            <w:tcW w:w="1080" w:type="dxa"/>
          </w:tcPr>
          <w:p w:rsidR="004542BD" w:rsidRDefault="004542BD" w:rsidP="00062413">
            <w:pPr>
              <w:spacing w:line="360" w:lineRule="auto"/>
              <w:rPr>
                <w:rFonts w:cstheme="minorHAnsi"/>
                <w:sz w:val="24"/>
                <w:szCs w:val="24"/>
              </w:rPr>
            </w:pPr>
            <w:r w:rsidRPr="00B81C2E">
              <w:rPr>
                <w:rFonts w:cstheme="minorHAnsi"/>
                <w:sz w:val="24"/>
                <w:szCs w:val="24"/>
              </w:rPr>
              <w:t>r1i1p1f1</w:t>
            </w:r>
          </w:p>
        </w:tc>
        <w:tc>
          <w:tcPr>
            <w:tcW w:w="2790" w:type="dxa"/>
          </w:tcPr>
          <w:p w:rsidR="004542BD" w:rsidRDefault="004542BD" w:rsidP="00062413">
            <w:pPr>
              <w:spacing w:line="360" w:lineRule="auto"/>
              <w:rPr>
                <w:rFonts w:cstheme="minorHAnsi"/>
                <w:sz w:val="24"/>
                <w:szCs w:val="24"/>
              </w:rPr>
            </w:pPr>
            <w:r>
              <w:rPr>
                <w:rFonts w:cstheme="minorHAnsi"/>
                <w:sz w:val="24"/>
                <w:szCs w:val="24"/>
              </w:rPr>
              <w:fldChar w:fldCharType="begin"/>
            </w:r>
            <w:r>
              <w:rPr>
                <w:rFonts w:cstheme="minorHAnsi"/>
                <w:sz w:val="24"/>
                <w:szCs w:val="24"/>
              </w:rPr>
              <w:instrText xml:space="preserve"> ADDIN ZOTERO_ITEM CSL_CITATION {"citationID":"v3SndOog","properties":{"formattedCitation":"(Danabasoglu et al., 2020, p. 2)","plainCitation":"(Danabasoglu et al., 2020, p. 2)","dontUpdate":true,"noteIndex":0},"citationItems":[{"id":862,"uris":["http://zotero.org/users/4937097/items/X8B9PNWQ"],"uri":["http://zotero.org/users/4937097/items/X8B9PNWQ"],"itemData":{"id":862,"type":"article-journal","abstract":"An overview of the Community Earth System Model Version 2 (CESM2) is provided, including a discussion of the challenges encountered during its development and how they were addressed. In addition, an evaluation of a pair of CESM2 long preindustrial control and historical ensemble simulations is presented. These simulations were performed using the nominal 1° horizontal resolution configuration of the coupled model with both the “low-top” (40 km, with limited chemistry) and “high-top” (130 km, with comprehensive chemistry) versions of the atmospheric component. CESM2 contains many substantial science and infrastructure improvements and new capabilities since its previous major release, CESM1, resulting in improved historical simulations in comparison to CESM1 and available observations. These include major reductions in low-latitude precipitation and shortwave cloud forcing biases; better representation of the Madden-Julian Oscillation; better El Niño-Southern Oscillation-related teleconnections; and a global land carbon accumulation trend that agrees well with observationally based estimates. Most tropospheric and surface features of the low- and high-top simulations are very similar to each other, so these improvements are present in both configurations. CESM2 has an equilibrium climate sensitivity of 5.1–5.3 °C, larger than in CESM1, primarily due to a combination of relatively small changes to cloud microphysics and boundary layer parameters. In contrast, CESM2's transient climate response of 1.9–2.0 °C is comparable to that of CESM1. The model outputs from these and many other simulations are available to the research community, and they represent CESM2's contributions to the Coupled Model Intercomparison Project Phase 6.","container-title":"Journal of Advances in Modeling Earth Systems","DOI":"https://doi.org/10.1029/2019MS001916","ISSN":"1942-2466","issue":"2","language":"en","note":"_eprint: https://agupubs.onlinelibrary.wiley.com/doi/pdf/10.1029/2019MS001916","page":"e2019MS001916","source":"Wiley Online Library","title":"The Community Earth System Model Version 2 (CESM2)","volume":"12","author":[{"family":"Danabasoglu","given":"G."},{"family":"Lamarque","given":"J.-F."},{"family":"Bacmeister","given":"J."},{"family":"Bailey","given":"D. A."},{"family":"DuVivier","given":"A. K."},{"family":"Edwards","given":"J."},{"family":"Emmons","given":"L. K."},{"family":"Fasullo","given":"J."},{"family":"Garcia","given":"R."},{"family":"Gettelman","given":"A."},{"family":"Hannay","given":"C."},{"family":"Holland","given":"M. M."},{"family":"Large","given":"W. G."},{"family":"Lauritzen","given":"P. H."},{"family":"Lawrence","given":"D. M."},{"family":"Lenaerts","given":"J. T. M."},{"family":"Lindsay","given":"K."},{"family":"Lipscomb","given":"W. H."},{"family":"Mills","given":"M. J."},{"family":"Neale","given":"R."},{"family":"Oleson","given":"K. W."},{"family":"Otto‐Bliesner","given":"B."},{"family":"Phillips","given":"A. S."},{"family":"Sacks","given":"W."},{"family":"Tilmes","given":"S."},{"family":"Kampenhout","given":"L.","dropping-particle":"van"},{"family":"Vertenstein","given":"M."},{"family":"Bertini","given":"A."},{"family":"Dennis","given":"J."},{"family":"Deser","given":"C."},{"family":"Fischer","given":"C."},{"family":"Fox‐Kemper","given":"B."},{"family":"Kay","given":"J. E."},{"family":"Kinnison","given":"D."},{"family":"Kushner","given":"P. J."},{"family":"Larson","given":"V. E."},{"family":"Long","given":"M. C."},{"family":"Mickelson","given":"S."},{"family":"Moore","given":"J. K."},{"family":"Nienhouse","given":"E."},{"family":"Polvani","given":"L."},{"family":"Rasch","given":"P. J."},{"family":"Strand","given":"W. G."}],"issued":{"date-parts":[["2020"]]}},"locator":"2"}],"schema":"https://github.com/citation-style-language/schema/raw/master/csl-citation.json"} </w:instrText>
            </w:r>
            <w:r>
              <w:rPr>
                <w:rFonts w:cstheme="minorHAnsi"/>
                <w:sz w:val="24"/>
                <w:szCs w:val="24"/>
              </w:rPr>
              <w:fldChar w:fldCharType="separate"/>
            </w:r>
            <w:r w:rsidRPr="00B81C2E">
              <w:rPr>
                <w:rFonts w:ascii="Calibri" w:hAnsi="Calibri" w:cs="Calibri"/>
                <w:sz w:val="24"/>
              </w:rPr>
              <w:t xml:space="preserve">Danabasoglu et al. </w:t>
            </w:r>
            <w:r>
              <w:rPr>
                <w:rFonts w:ascii="Calibri" w:hAnsi="Calibri" w:cs="Calibri"/>
                <w:sz w:val="24"/>
              </w:rPr>
              <w:t>(</w:t>
            </w:r>
            <w:r w:rsidRPr="00B81C2E">
              <w:rPr>
                <w:rFonts w:ascii="Calibri" w:hAnsi="Calibri" w:cs="Calibri"/>
                <w:sz w:val="24"/>
              </w:rPr>
              <w:t>2020)</w:t>
            </w:r>
            <w:r>
              <w:rPr>
                <w:rFonts w:cstheme="minorHAnsi"/>
                <w:sz w:val="24"/>
                <w:szCs w:val="24"/>
              </w:rPr>
              <w:fldChar w:fldCharType="end"/>
            </w:r>
          </w:p>
        </w:tc>
      </w:tr>
      <w:tr w:rsidR="004542BD" w:rsidTr="00062413">
        <w:tc>
          <w:tcPr>
            <w:tcW w:w="1871" w:type="dxa"/>
          </w:tcPr>
          <w:p w:rsidR="004542BD" w:rsidRDefault="004542BD" w:rsidP="00062413">
            <w:pPr>
              <w:spacing w:line="360" w:lineRule="auto"/>
              <w:rPr>
                <w:rFonts w:cstheme="minorHAnsi"/>
                <w:sz w:val="24"/>
                <w:szCs w:val="24"/>
              </w:rPr>
            </w:pPr>
            <w:r>
              <w:rPr>
                <w:rFonts w:ascii="Segoe UI" w:hAnsi="Segoe UI" w:cs="Segoe UI"/>
                <w:color w:val="333333"/>
                <w:shd w:val="clear" w:color="auto" w:fill="FCFCFC"/>
              </w:rPr>
              <w:t>MPI-ESM1-2-HR</w:t>
            </w:r>
          </w:p>
        </w:tc>
        <w:tc>
          <w:tcPr>
            <w:tcW w:w="1994" w:type="dxa"/>
          </w:tcPr>
          <w:p w:rsidR="004542BD" w:rsidRPr="005C7607" w:rsidRDefault="004542BD" w:rsidP="00062413">
            <w:pPr>
              <w:spacing w:line="360" w:lineRule="auto"/>
              <w:rPr>
                <w:rFonts w:cstheme="minorHAnsi"/>
                <w:sz w:val="24"/>
                <w:szCs w:val="24"/>
              </w:rPr>
            </w:pPr>
            <w:r w:rsidRPr="00F02973">
              <w:rPr>
                <w:rFonts w:cstheme="minorHAnsi"/>
                <w:sz w:val="24"/>
                <w:szCs w:val="24"/>
              </w:rPr>
              <w:t>0.9° × 0.9°</w:t>
            </w:r>
          </w:p>
        </w:tc>
        <w:tc>
          <w:tcPr>
            <w:tcW w:w="1350" w:type="dxa"/>
          </w:tcPr>
          <w:p w:rsidR="004542BD" w:rsidRDefault="004542BD" w:rsidP="00062413">
            <w:pPr>
              <w:spacing w:line="360" w:lineRule="auto"/>
              <w:rPr>
                <w:rFonts w:cstheme="minorHAnsi"/>
                <w:sz w:val="24"/>
                <w:szCs w:val="24"/>
              </w:rPr>
            </w:pPr>
            <w:r>
              <w:rPr>
                <w:rFonts w:cstheme="minorHAnsi"/>
                <w:sz w:val="24"/>
                <w:szCs w:val="24"/>
              </w:rPr>
              <w:t>Germany</w:t>
            </w:r>
          </w:p>
        </w:tc>
        <w:tc>
          <w:tcPr>
            <w:tcW w:w="1080" w:type="dxa"/>
          </w:tcPr>
          <w:p w:rsidR="004542BD" w:rsidRPr="00B81C2E" w:rsidRDefault="004542BD" w:rsidP="00062413">
            <w:pPr>
              <w:spacing w:line="360" w:lineRule="auto"/>
              <w:rPr>
                <w:rFonts w:cstheme="minorHAnsi"/>
                <w:sz w:val="24"/>
                <w:szCs w:val="24"/>
              </w:rPr>
            </w:pPr>
            <w:r w:rsidRPr="00B81C2E">
              <w:rPr>
                <w:rFonts w:cstheme="minorHAnsi"/>
                <w:sz w:val="24"/>
                <w:szCs w:val="24"/>
              </w:rPr>
              <w:t>r1i1p1f1</w:t>
            </w:r>
          </w:p>
        </w:tc>
        <w:tc>
          <w:tcPr>
            <w:tcW w:w="2790" w:type="dxa"/>
          </w:tcPr>
          <w:p w:rsidR="004542BD" w:rsidRDefault="004542BD" w:rsidP="00062413">
            <w:pPr>
              <w:spacing w:line="360" w:lineRule="auto"/>
              <w:rPr>
                <w:rFonts w:cstheme="minorHAnsi"/>
                <w:sz w:val="24"/>
                <w:szCs w:val="24"/>
              </w:rPr>
            </w:pPr>
            <w:r>
              <w:rPr>
                <w:rFonts w:cstheme="minorHAnsi"/>
                <w:sz w:val="24"/>
                <w:szCs w:val="24"/>
              </w:rPr>
              <w:fldChar w:fldCharType="begin"/>
            </w:r>
            <w:r>
              <w:rPr>
                <w:rFonts w:cstheme="minorHAnsi"/>
                <w:sz w:val="24"/>
                <w:szCs w:val="24"/>
              </w:rPr>
              <w:instrText xml:space="preserve"> ADDIN ZOTERO_ITEM CSL_CITATION {"citationID":"NF7xlnjs","properties":{"formattedCitation":"(Gutjahr et al., 2019)","plainCitation":"(Gutjahr et al., 2019)","dontUpdate":true,"noteIndex":0},"citationItems":[{"id":914,"uris":["http://zotero.org/users/4937097/items/R8P5QJCT"],"uri":["http://zotero.org/users/4937097/items/R8P5QJCT"],"itemData":{"id":914,"type":"article-journal","abstract":"&lt;p&gt;&lt;strong&gt;Abstract.&lt;/strong&gt; As a contribution towards improving the climate mean state of the atmosphere and the ocean in Earth system models (ESMs), we compare several coupled simulations conducted with the Max Planck Institute for Meteorology Earth System Model (MPI-ESM1.2) following the HighResMIP protocol. Our simulations allow to analyse the separate effects of increasing the horizontal resolution of the ocean (0.4 to 0.1&lt;span class=\"inline-formula\"&gt;&lt;sup&gt;</w:instrText>
            </w:r>
            <w:r>
              <w:rPr>
                <w:rFonts w:ascii="Cambria Math" w:hAnsi="Cambria Math" w:cs="Cambria Math"/>
                <w:sz w:val="24"/>
                <w:szCs w:val="24"/>
              </w:rPr>
              <w:instrText>∘</w:instrText>
            </w:r>
            <w:r>
              <w:rPr>
                <w:rFonts w:cstheme="minorHAnsi"/>
                <w:sz w:val="24"/>
                <w:szCs w:val="24"/>
              </w:rPr>
              <w:instrText xml:space="preserve">&lt;/sup&gt;&lt;/span&gt;) and atmosphere (T127 to T255) submodels, and the effects of substituting the Pacanowski and Philander (PP) vertical ocean mixing scheme with the K-profile parameterization (KPP).&lt;/p&gt; &lt;p&gt;The results show clearly distinguishable effects from all three factors. The high resolution in the ocean removes biases in the ocean interior and in the atmosphere. This leads to the important conclusion that a high-resolution ocean has a major impact on the mean state of the ocean and the atmosphere. The T255 atmosphere reduces the surface wind stress and improves ocean mixed layer depths in both hemispheres. The reduced wind forcing, in turn, slows the Antarctic Circumpolar Current (ACC), reducing it to observed values. In the North Atlantic, however, the reduced surface wind causes a weakening of the subpolar gyre and thus a slowing down of the Atlantic meridional overturning circulation (AMOC), when the PP scheme is used. The KPP scheme, on the other hand, causes stronger open-ocean convection which spins up the subpolar gyres, ultimately leading to a stronger and stable AMOC, even when coupled to the T255 atmosphere, thus retaining all the positive effects of a higher-resolved atmosphere.&lt;/p&gt;","container-title":"Geoscientific Model Development","DOI":"https://doi.org/10.5194/gmd-12-3241-2019","ISSN":"1991-959X","issue":"7","language":"English","note":"publisher: Copernicus GmbH","page":"3241-3281","source":"gmd.copernicus.org","title":"Max Planck Institute Earth System Model (MPI-ESM1.2) for the High-Resolution Model Intercomparison Project (HighResMIP)","volume":"12","author":[{"family":"Gutjahr","given":"Oliver"},{"family":"Putrasahan","given":"Dian"},{"family":"Lohmann","given":"Katja"},{"family":"Jungclaus","given":"Johann H."},{"family":"Storch","given":"Jin-Song","non-dropping-particle":"von"},{"family":"Brüggemann","given":"Nils"},{"family":"Haak","given":"Helmuth"},{"family":"Stössel","given":"Achim"}],"issued":{"date-parts":[["2019",7,25]]}}}],"schema":"https://github.com/citation-style-language/schema/raw/master/csl-citation.json"} </w:instrText>
            </w:r>
            <w:r>
              <w:rPr>
                <w:rFonts w:cstheme="minorHAnsi"/>
                <w:sz w:val="24"/>
                <w:szCs w:val="24"/>
              </w:rPr>
              <w:fldChar w:fldCharType="separate"/>
            </w:r>
            <w:r w:rsidRPr="00F02973">
              <w:rPr>
                <w:rFonts w:ascii="Calibri" w:hAnsi="Calibri" w:cs="Calibri"/>
                <w:sz w:val="24"/>
              </w:rPr>
              <w:t xml:space="preserve">Gutjahr et al. </w:t>
            </w:r>
            <w:r>
              <w:rPr>
                <w:rFonts w:ascii="Calibri" w:hAnsi="Calibri" w:cs="Calibri"/>
                <w:sz w:val="24"/>
              </w:rPr>
              <w:t>(</w:t>
            </w:r>
            <w:r w:rsidRPr="00F02973">
              <w:rPr>
                <w:rFonts w:ascii="Calibri" w:hAnsi="Calibri" w:cs="Calibri"/>
                <w:sz w:val="24"/>
              </w:rPr>
              <w:t>2019)</w:t>
            </w:r>
            <w:r>
              <w:rPr>
                <w:rFonts w:cstheme="minorHAnsi"/>
                <w:sz w:val="24"/>
                <w:szCs w:val="24"/>
              </w:rPr>
              <w:fldChar w:fldCharType="end"/>
            </w:r>
          </w:p>
        </w:tc>
      </w:tr>
      <w:tr w:rsidR="004542BD" w:rsidTr="00062413">
        <w:trPr>
          <w:trHeight w:val="64"/>
        </w:trPr>
        <w:tc>
          <w:tcPr>
            <w:tcW w:w="1871" w:type="dxa"/>
          </w:tcPr>
          <w:p w:rsidR="004542BD" w:rsidRDefault="004542BD" w:rsidP="00062413">
            <w:pPr>
              <w:spacing w:line="360" w:lineRule="auto"/>
              <w:rPr>
                <w:rFonts w:ascii="Segoe UI" w:hAnsi="Segoe UI" w:cs="Segoe UI"/>
                <w:color w:val="333333"/>
                <w:shd w:val="clear" w:color="auto" w:fill="FCFCFC"/>
              </w:rPr>
            </w:pPr>
            <w:r w:rsidRPr="00F02973">
              <w:rPr>
                <w:rFonts w:ascii="Segoe UI" w:hAnsi="Segoe UI" w:cs="Segoe UI"/>
                <w:color w:val="333333"/>
                <w:shd w:val="clear" w:color="auto" w:fill="FCFCFC"/>
              </w:rPr>
              <w:t>MRI-ESM2-0</w:t>
            </w:r>
          </w:p>
        </w:tc>
        <w:tc>
          <w:tcPr>
            <w:tcW w:w="1994" w:type="dxa"/>
          </w:tcPr>
          <w:p w:rsidR="004542BD" w:rsidRPr="005C7607" w:rsidRDefault="004542BD" w:rsidP="00062413">
            <w:pPr>
              <w:spacing w:line="360" w:lineRule="auto"/>
              <w:rPr>
                <w:rFonts w:cstheme="minorHAnsi"/>
                <w:sz w:val="24"/>
                <w:szCs w:val="24"/>
              </w:rPr>
            </w:pPr>
            <w:r w:rsidRPr="00F02973">
              <w:rPr>
                <w:rFonts w:cstheme="minorHAnsi"/>
                <w:sz w:val="24"/>
                <w:szCs w:val="24"/>
              </w:rPr>
              <w:t>1.1° × 1.1°</w:t>
            </w:r>
          </w:p>
        </w:tc>
        <w:tc>
          <w:tcPr>
            <w:tcW w:w="1350" w:type="dxa"/>
          </w:tcPr>
          <w:p w:rsidR="004542BD" w:rsidRDefault="004542BD" w:rsidP="00062413">
            <w:pPr>
              <w:spacing w:line="360" w:lineRule="auto"/>
              <w:rPr>
                <w:rFonts w:cstheme="minorHAnsi"/>
                <w:sz w:val="24"/>
                <w:szCs w:val="24"/>
              </w:rPr>
            </w:pPr>
            <w:r>
              <w:rPr>
                <w:rFonts w:cstheme="minorHAnsi"/>
                <w:sz w:val="24"/>
                <w:szCs w:val="24"/>
              </w:rPr>
              <w:t>Japan</w:t>
            </w:r>
          </w:p>
        </w:tc>
        <w:tc>
          <w:tcPr>
            <w:tcW w:w="1080" w:type="dxa"/>
          </w:tcPr>
          <w:p w:rsidR="004542BD" w:rsidRPr="00B81C2E" w:rsidRDefault="004542BD" w:rsidP="00062413">
            <w:pPr>
              <w:spacing w:line="360" w:lineRule="auto"/>
              <w:rPr>
                <w:rFonts w:cstheme="minorHAnsi"/>
                <w:sz w:val="24"/>
                <w:szCs w:val="24"/>
              </w:rPr>
            </w:pPr>
            <w:r w:rsidRPr="00B81C2E">
              <w:rPr>
                <w:rFonts w:cstheme="minorHAnsi"/>
                <w:sz w:val="24"/>
                <w:szCs w:val="24"/>
              </w:rPr>
              <w:t>r1i1p1f1</w:t>
            </w:r>
          </w:p>
        </w:tc>
        <w:tc>
          <w:tcPr>
            <w:tcW w:w="2790" w:type="dxa"/>
          </w:tcPr>
          <w:p w:rsidR="004542BD" w:rsidRDefault="004542BD" w:rsidP="00062413">
            <w:pPr>
              <w:spacing w:line="360" w:lineRule="auto"/>
              <w:rPr>
                <w:rFonts w:cstheme="minorHAnsi"/>
                <w:sz w:val="24"/>
                <w:szCs w:val="24"/>
              </w:rPr>
            </w:pPr>
            <w:r>
              <w:rPr>
                <w:rFonts w:cstheme="minorHAnsi"/>
                <w:sz w:val="24"/>
                <w:szCs w:val="24"/>
              </w:rPr>
              <w:fldChar w:fldCharType="begin"/>
            </w:r>
            <w:r>
              <w:rPr>
                <w:rFonts w:cstheme="minorHAnsi"/>
                <w:sz w:val="24"/>
                <w:szCs w:val="24"/>
              </w:rPr>
              <w:instrText xml:space="preserve"> ADDIN ZOTERO_ITEM CSL_CITATION {"citationID":"y2MF8Eb0","properties":{"formattedCitation":"(Yukimoto et al., 2019)","plainCitation":"(Yukimoto et al., 2019)","dontUpdate":true,"noteIndex":0},"citationItems":[{"id":926,"uris":["http://zotero.org/users/4937097/items/NQ22JS6U"],"uri":["http://zotero.org/users/4937097/items/NQ22JS6U"],"itemData":{"id":926,"type":"article-journal","container-title":"Journal of the Meteorological Society of Japan. Ser. II","DOI":"10.2151/jmsj.2019-051","ISSN":"0026-1165, 2186-9057","issue":"5","journalAbbreviation":"Journal of the Meteorological Society of Japan","language":"en","page":"931-965","source":"DOI.org (Crossref)","title":"The Meteorological Research Institute Earth System Model Version 2.0, MRI-ESM2.0: Description and Basic Evaluation of the Physical Component","title-short":"The Meteorological Research Institute Earth System Model Version 2.0, MRI-ESM2.0","volume":"97","author":[{"family":"Yukimoto","given":"Seiji"},{"family":"Kawai","given":"Hideaki"},{"family":"Koshiro","given":"Tsuyoshi"},{"family":"Oshima","given":"Naga"},{"family":"Yoshida","given":"Kohei"},{"family":"Urakawa","given":"Shogo"},{"family":"Tsujino","given":"Hiroyuki"},{"family":"Deushi","given":"Makoto"},{"family":"Tanaka","given":"Taichu"},{"family":"Hosaka","given":"Masahiro"},{"family":"Yabu","given":"Shokichi"},{"family":"Yoshimura","given":"Hiromasa"},{"family":"Shindo","given":"Eiki"},{"family":"Mizuta","given":"Ryo"},{"family":"Obata","given":"Atsushi"},{"family":"Adachi","given":"Yukimasa"},{"family":"Ishii","given":"Masayoshi"}],"issued":{"date-parts":[["2019"]]}}}],"schema":"https://github.com/citation-style-language/schema/raw/master/csl-citation.json"} </w:instrText>
            </w:r>
            <w:r>
              <w:rPr>
                <w:rFonts w:cstheme="minorHAnsi"/>
                <w:sz w:val="24"/>
                <w:szCs w:val="24"/>
              </w:rPr>
              <w:fldChar w:fldCharType="separate"/>
            </w:r>
            <w:r w:rsidRPr="00F02973">
              <w:rPr>
                <w:rFonts w:ascii="Calibri" w:hAnsi="Calibri" w:cs="Calibri"/>
                <w:sz w:val="24"/>
              </w:rPr>
              <w:t xml:space="preserve">Yukimoto et al. </w:t>
            </w:r>
            <w:r>
              <w:rPr>
                <w:rFonts w:ascii="Calibri" w:hAnsi="Calibri" w:cs="Calibri"/>
                <w:sz w:val="24"/>
              </w:rPr>
              <w:t>(</w:t>
            </w:r>
            <w:r w:rsidRPr="00F02973">
              <w:rPr>
                <w:rFonts w:ascii="Calibri" w:hAnsi="Calibri" w:cs="Calibri"/>
                <w:sz w:val="24"/>
              </w:rPr>
              <w:t>2019)</w:t>
            </w:r>
            <w:r>
              <w:rPr>
                <w:rFonts w:cstheme="minorHAnsi"/>
                <w:sz w:val="24"/>
                <w:szCs w:val="24"/>
              </w:rPr>
              <w:fldChar w:fldCharType="end"/>
            </w:r>
          </w:p>
        </w:tc>
      </w:tr>
      <w:tr w:rsidR="004542BD" w:rsidTr="00062413">
        <w:tc>
          <w:tcPr>
            <w:tcW w:w="1871" w:type="dxa"/>
          </w:tcPr>
          <w:p w:rsidR="004542BD" w:rsidRDefault="004542BD" w:rsidP="00062413">
            <w:pPr>
              <w:spacing w:line="360" w:lineRule="auto"/>
              <w:rPr>
                <w:rFonts w:ascii="Segoe UI" w:hAnsi="Segoe UI" w:cs="Segoe UI"/>
                <w:color w:val="333333"/>
                <w:shd w:val="clear" w:color="auto" w:fill="FCFCFC"/>
              </w:rPr>
            </w:pPr>
            <w:r>
              <w:rPr>
                <w:rFonts w:ascii="Segoe UI" w:hAnsi="Segoe UI" w:cs="Segoe UI"/>
                <w:color w:val="333333"/>
                <w:shd w:val="clear" w:color="auto" w:fill="FCFCFC"/>
              </w:rPr>
              <w:t>CanESM5</w:t>
            </w:r>
          </w:p>
        </w:tc>
        <w:tc>
          <w:tcPr>
            <w:tcW w:w="1994" w:type="dxa"/>
          </w:tcPr>
          <w:p w:rsidR="004542BD" w:rsidRPr="005C7607" w:rsidRDefault="004542BD" w:rsidP="00062413">
            <w:pPr>
              <w:spacing w:line="360" w:lineRule="auto"/>
              <w:rPr>
                <w:rFonts w:cstheme="minorHAnsi"/>
                <w:sz w:val="24"/>
                <w:szCs w:val="24"/>
              </w:rPr>
            </w:pPr>
            <w:r w:rsidRPr="00F02973">
              <w:rPr>
                <w:rFonts w:cstheme="minorHAnsi"/>
                <w:sz w:val="24"/>
                <w:szCs w:val="24"/>
              </w:rPr>
              <w:t>2.8° × 2.8°</w:t>
            </w:r>
          </w:p>
        </w:tc>
        <w:tc>
          <w:tcPr>
            <w:tcW w:w="1350" w:type="dxa"/>
          </w:tcPr>
          <w:p w:rsidR="004542BD" w:rsidRDefault="004542BD" w:rsidP="00062413">
            <w:pPr>
              <w:spacing w:line="360" w:lineRule="auto"/>
              <w:rPr>
                <w:rFonts w:cstheme="minorHAnsi"/>
                <w:sz w:val="24"/>
                <w:szCs w:val="24"/>
              </w:rPr>
            </w:pPr>
            <w:r>
              <w:rPr>
                <w:rFonts w:cstheme="minorHAnsi"/>
                <w:sz w:val="24"/>
                <w:szCs w:val="24"/>
              </w:rPr>
              <w:t>Canada</w:t>
            </w:r>
          </w:p>
        </w:tc>
        <w:tc>
          <w:tcPr>
            <w:tcW w:w="1080" w:type="dxa"/>
          </w:tcPr>
          <w:p w:rsidR="004542BD" w:rsidRPr="00B81C2E" w:rsidRDefault="004542BD" w:rsidP="00062413">
            <w:pPr>
              <w:spacing w:line="360" w:lineRule="auto"/>
              <w:rPr>
                <w:rFonts w:cstheme="minorHAnsi"/>
                <w:sz w:val="24"/>
                <w:szCs w:val="24"/>
              </w:rPr>
            </w:pPr>
            <w:r w:rsidRPr="00B81C2E">
              <w:rPr>
                <w:rFonts w:cstheme="minorHAnsi"/>
                <w:sz w:val="24"/>
                <w:szCs w:val="24"/>
              </w:rPr>
              <w:t>r1i1p1f1</w:t>
            </w:r>
          </w:p>
        </w:tc>
        <w:tc>
          <w:tcPr>
            <w:tcW w:w="2790" w:type="dxa"/>
          </w:tcPr>
          <w:p w:rsidR="004542BD" w:rsidRDefault="004542BD" w:rsidP="00062413">
            <w:pPr>
              <w:spacing w:line="360" w:lineRule="auto"/>
              <w:rPr>
                <w:rFonts w:cstheme="minorHAnsi"/>
                <w:sz w:val="24"/>
                <w:szCs w:val="24"/>
              </w:rPr>
            </w:pPr>
            <w:r>
              <w:rPr>
                <w:rFonts w:cstheme="minorHAnsi"/>
                <w:sz w:val="24"/>
                <w:szCs w:val="24"/>
              </w:rPr>
              <w:fldChar w:fldCharType="begin"/>
            </w:r>
            <w:r>
              <w:rPr>
                <w:rFonts w:cstheme="minorHAnsi"/>
                <w:sz w:val="24"/>
                <w:szCs w:val="24"/>
              </w:rPr>
              <w:instrText xml:space="preserve"> ADDIN ZOTERO_ITEM CSL_CITATION {"citationID":"2S3JrI9G","properties":{"formattedCitation":"(Swart et al., 2019)","plainCitation":"(Swart et al., 2019)","dontUpdate":true,"noteIndex":0},"citationItems":[{"id":918,"uris":["http://zotero.org/users/4937097/items/GUJ9YR79"],"uri":["http://zotero.org/users/4937097/items/GUJ9YR79"],"itemData":{"id":918,"type":"article-journal","abstract":"&lt;p&gt;&lt;strong&gt;Abstract.&lt;/strong&gt; The Canadian Earth System Model version 5 (CanESM5) is a global model developed to simulate historical climate change and variability, to make centennial-scale projections of future climate, and to produce initialized seasonal and decadal predictions. This paper describes the model components and their coupling, as well as various aspects of model development, including tuning, optimization, and a reproducibility strategy. We also document the stability of the model using a long control simulation, quantify the model's ability to reproduce large-scale features of the historical climate, and evaluate the response of the model to external forcing. CanESM5 is comprised of three-dimensional atmosphere (T63 spectral resolution equivalent roughly to 2.8&lt;span class=\"inline-formula\"&gt;&lt;sup&gt;</w:instrText>
            </w:r>
            <w:r>
              <w:rPr>
                <w:rFonts w:ascii="Cambria Math" w:hAnsi="Cambria Math" w:cs="Cambria Math"/>
                <w:sz w:val="24"/>
                <w:szCs w:val="24"/>
              </w:rPr>
              <w:instrText>∘</w:instrText>
            </w:r>
            <w:r>
              <w:rPr>
                <w:rFonts w:cstheme="minorHAnsi"/>
                <w:sz w:val="24"/>
                <w:szCs w:val="24"/>
              </w:rPr>
              <w:instrText>&lt;/sup&gt;&lt;/span&gt;) and ocean (nominally 1&lt;span class=\"inline-formula\"&gt;&lt;sup&gt;</w:instrText>
            </w:r>
            <w:r>
              <w:rPr>
                <w:rFonts w:ascii="Cambria Math" w:hAnsi="Cambria Math" w:cs="Cambria Math"/>
                <w:sz w:val="24"/>
                <w:szCs w:val="24"/>
              </w:rPr>
              <w:instrText>∘</w:instrText>
            </w:r>
            <w:r>
              <w:rPr>
                <w:rFonts w:cstheme="minorHAnsi"/>
                <w:sz w:val="24"/>
                <w:szCs w:val="24"/>
              </w:rPr>
              <w:instrText xml:space="preserve">&lt;/sup&gt;&lt;/span&gt;) general circulation models, a sea-ice model, a land surface scheme, and explicit land and ocean carbon cycle models. The model features relatively coarse resolution and high throughput, which facilitates the production of large ensembles. CanESM5 has a notably higher equilibrium climate sensitivity (5.6&amp;thinsp;K) than its predecessor, CanESM2 (3.7&amp;thinsp;K), which we briefly discuss, along with simulated changes over the historical period. CanESM5 simulations contribute to the Coupled Model Intercomparison Project phase 6 (CMIP6) and will be employed for climate science and service applications in Canada.&lt;/p&gt;","container-title":"Geoscientific Model Development","DOI":"https://doi.org/10.5194/gmd-12-4823-2019","ISSN":"1991-959X","issue":"11","language":"English","note":"publisher: Copernicus GmbH","page":"4823-4873","source":"gmd.copernicus.org","title":"The Canadian Earth System Model version 5 (CanESM5.0.3)","volume":"12","author":[{"family":"Swart","given":"Neil C."},{"family":"Cole","given":"Jason N. S."},{"family":"Kharin","given":"Viatcheslav V."},{"family":"Lazare","given":"Mike"},{"family":"Scinocca","given":"John F."},{"family":"Gillett","given":"Nathan P."},{"family":"Anstey","given":"James"},{"family":"Arora","given":"Vivek"},{"family":"Christian","given":"James R."},{"family":"Hanna","given":"Sarah"},{"family":"Jiao","given":"Yanjun"},{"family":"Lee","given":"Warren G."},{"family":"Majaess","given":"Fouad"},{"family":"Saenko","given":"Oleg A."},{"family":"Seiler","given":"Christian"},{"family":"Seinen","given":"Clint"},{"family":"Shao","given":"Andrew"},{"family":"Sigmond","given":"Michael"},{"family":"Solheim","given":"Larry"},{"family":"Salzen","given":"Knut","non-dropping-particle":"von"},{"family":"Yang","given":"Duo"},{"family":"Winter","given":"Barbara"}],"issued":{"date-parts":[["2019",11,25]]}}}],"schema":"https://github.com/citation-style-language/schema/raw/master/csl-citation.json"} </w:instrText>
            </w:r>
            <w:r>
              <w:rPr>
                <w:rFonts w:cstheme="minorHAnsi"/>
                <w:sz w:val="24"/>
                <w:szCs w:val="24"/>
              </w:rPr>
              <w:fldChar w:fldCharType="separate"/>
            </w:r>
            <w:r w:rsidRPr="00F02973">
              <w:rPr>
                <w:rFonts w:ascii="Calibri" w:hAnsi="Calibri" w:cs="Calibri"/>
                <w:sz w:val="24"/>
              </w:rPr>
              <w:t xml:space="preserve">Swart et al. </w:t>
            </w:r>
            <w:r>
              <w:rPr>
                <w:rFonts w:ascii="Calibri" w:hAnsi="Calibri" w:cs="Calibri"/>
                <w:sz w:val="24"/>
              </w:rPr>
              <w:t>(</w:t>
            </w:r>
            <w:r w:rsidRPr="00F02973">
              <w:rPr>
                <w:rFonts w:ascii="Calibri" w:hAnsi="Calibri" w:cs="Calibri"/>
                <w:sz w:val="24"/>
              </w:rPr>
              <w:t>2019)</w:t>
            </w:r>
            <w:r>
              <w:rPr>
                <w:rFonts w:cstheme="minorHAnsi"/>
                <w:sz w:val="24"/>
                <w:szCs w:val="24"/>
              </w:rPr>
              <w:fldChar w:fldCharType="end"/>
            </w:r>
          </w:p>
        </w:tc>
      </w:tr>
    </w:tbl>
    <w:p w:rsidR="004542BD" w:rsidRDefault="004542BD" w:rsidP="004542BD"/>
    <w:p w:rsidR="004542BD" w:rsidRDefault="004542BD" w:rsidP="004542BD">
      <w:pPr>
        <w:keepNext/>
      </w:pPr>
      <w:r>
        <w:rPr>
          <w:b/>
          <w:bCs/>
          <w:noProof/>
          <w:sz w:val="24"/>
          <w:szCs w:val="24"/>
        </w:rPr>
        <w:lastRenderedPageBreak/>
        <w:drawing>
          <wp:inline distT="0" distB="0" distL="0" distR="0" wp14:anchorId="05DB28FA" wp14:editId="43BFB764">
            <wp:extent cx="5943600" cy="5036185"/>
            <wp:effectExtent l="0" t="0" r="0" b="0"/>
            <wp:docPr id="9" name="Picture 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egional_counts_by_year_numbered.tif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5036185"/>
                    </a:xfrm>
                    <a:prstGeom prst="rect">
                      <a:avLst/>
                    </a:prstGeom>
                  </pic:spPr>
                </pic:pic>
              </a:graphicData>
            </a:graphic>
          </wp:inline>
        </w:drawing>
      </w:r>
    </w:p>
    <w:p w:rsidR="004542BD" w:rsidRDefault="004542BD" w:rsidP="004542BD">
      <w:pPr>
        <w:pStyle w:val="Caption"/>
      </w:pPr>
      <w:r>
        <w:t xml:space="preserve">Figure A1: Annual number of CAO days (y-axis) simulated by each climate model (solid lines), observed with ERA5 (red dashed line), and the climate model mean (black dashed line) from 1979 – 2015 (x-axis). Regions are denoted by the numbers in the top right corner. Lines are smoothed using a 5-year centered moving average. </w:t>
      </w:r>
    </w:p>
    <w:p w:rsidR="004542BD" w:rsidRDefault="004542BD" w:rsidP="004542BD"/>
    <w:p w:rsidR="004542BD" w:rsidRDefault="004542BD" w:rsidP="004542BD">
      <w:r>
        <w:rPr>
          <w:noProof/>
        </w:rPr>
        <w:lastRenderedPageBreak/>
        <w:drawing>
          <wp:inline distT="0" distB="0" distL="0" distR="0" wp14:anchorId="2CEB567D" wp14:editId="5B61C71C">
            <wp:extent cx="5943600" cy="5401310"/>
            <wp:effectExtent l="0" t="0" r="0" b="8890"/>
            <wp:docPr id="4" name="Picture 4" descr="Diagram,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SP_all_final2.tif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401310"/>
                    </a:xfrm>
                    <a:prstGeom prst="rect">
                      <a:avLst/>
                    </a:prstGeom>
                  </pic:spPr>
                </pic:pic>
              </a:graphicData>
            </a:graphic>
          </wp:inline>
        </w:drawing>
      </w:r>
    </w:p>
    <w:p w:rsidR="004542BD" w:rsidRDefault="004542BD" w:rsidP="004542BD">
      <w:pPr>
        <w:pStyle w:val="Caption"/>
      </w:pPr>
      <w:r>
        <w:t xml:space="preserve">Figure A2: Simulated annual CAO days from 2015 – 2054 for three future scenarios: SSP126, SSP245 and SSP585 for each of the five climate models.  </w:t>
      </w:r>
    </w:p>
    <w:p w:rsidR="004542BD" w:rsidRPr="00FF76EF" w:rsidRDefault="004542BD" w:rsidP="004542BD">
      <w:pPr>
        <w:rPr>
          <w:b/>
          <w:bCs/>
          <w:sz w:val="24"/>
          <w:szCs w:val="24"/>
        </w:rPr>
      </w:pPr>
    </w:p>
    <w:p w:rsidR="00390883" w:rsidRDefault="004542BD">
      <w:bookmarkStart w:id="0" w:name="_GoBack"/>
      <w:bookmarkEnd w:id="0"/>
    </w:p>
    <w:sectPr w:rsidR="00390883" w:rsidSect="005552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2BD"/>
    <w:rsid w:val="004542BD"/>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57E3C0-35C5-47B7-A4DE-AA77A5FD2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42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42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542B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2588</Words>
  <Characters>14753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2021-07-27T06:26:00Z</dcterms:created>
  <dcterms:modified xsi:type="dcterms:W3CDTF">2021-07-27T06:26:00Z</dcterms:modified>
</cp:coreProperties>
</file>