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1D5944" w14:textId="220B0E20" w:rsidR="0457A2FA" w:rsidRDefault="00311822" w:rsidP="0457A2F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Extended Data</w:t>
      </w:r>
    </w:p>
    <w:p w14:paraId="17A5E656" w14:textId="77777777" w:rsidR="00CA22BA" w:rsidRDefault="00CA22BA" w:rsidP="0457A2FA">
      <w:pPr>
        <w:rPr>
          <w:rFonts w:ascii="Calibri" w:hAnsi="Calibri" w:cs="Calibri"/>
          <w:b/>
          <w:bCs/>
        </w:rPr>
      </w:pPr>
    </w:p>
    <w:p w14:paraId="0F17BBDF" w14:textId="363711E2" w:rsidR="00CA22BA" w:rsidRDefault="00BC019A" w:rsidP="00BC019A">
      <w:pPr>
        <w:jc w:val="center"/>
        <w:rPr>
          <w:rFonts w:ascii="Calibri" w:hAnsi="Calibri" w:cs="Calibri"/>
          <w:b/>
          <w:bCs/>
        </w:rPr>
      </w:pPr>
      <w:bookmarkStart w:id="0" w:name="_GoBack"/>
      <w:r>
        <w:rPr>
          <w:rFonts w:ascii="Calibri" w:hAnsi="Calibri" w:cs="Calibri"/>
          <w:b/>
          <w:bCs/>
          <w:noProof/>
        </w:rPr>
        <w:drawing>
          <wp:inline distT="0" distB="0" distL="0" distR="0" wp14:anchorId="79B5DEDE" wp14:editId="493C3ECC">
            <wp:extent cx="5554225" cy="5332887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_fit_sup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4" cy="53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886924" w14:textId="25F89A3C" w:rsidR="00CA22BA" w:rsidRDefault="00CA22BA" w:rsidP="0457A2FA">
      <w:pPr>
        <w:rPr>
          <w:rFonts w:ascii="Calibri" w:hAnsi="Calibri" w:cs="Calibri"/>
          <w:b/>
          <w:bCs/>
        </w:rPr>
      </w:pPr>
      <w:r w:rsidRPr="00573D55">
        <w:rPr>
          <w:rFonts w:ascii="Calibri" w:hAnsi="Calibri" w:cs="Calibri"/>
          <w:b/>
          <w:bCs/>
        </w:rPr>
        <w:t xml:space="preserve">Fig. </w:t>
      </w:r>
      <w:r w:rsidR="001B2400">
        <w:rPr>
          <w:rFonts w:ascii="Calibri" w:hAnsi="Calibri" w:cs="Calibri"/>
          <w:b/>
          <w:bCs/>
        </w:rPr>
        <w:t>E</w:t>
      </w:r>
      <w:r w:rsidRPr="00573D55">
        <w:rPr>
          <w:rFonts w:ascii="Calibri" w:hAnsi="Calibri" w:cs="Calibri"/>
          <w:b/>
          <w:bCs/>
        </w:rPr>
        <w:t>1.</w:t>
      </w:r>
      <w:r w:rsidRPr="40274405">
        <w:rPr>
          <w:rFonts w:ascii="Calibri" w:hAnsi="Calibri" w:cs="Calibri"/>
        </w:rPr>
        <w:t xml:space="preserve"> </w:t>
      </w:r>
      <w:r w:rsidR="005D1080">
        <w:rPr>
          <w:rFonts w:ascii="Calibri" w:hAnsi="Calibri" w:cs="Calibri"/>
        </w:rPr>
        <w:t>Historical t</w:t>
      </w:r>
      <w:r w:rsidRPr="40274405">
        <w:rPr>
          <w:rFonts w:ascii="Calibri" w:hAnsi="Calibri" w:cs="Calibri"/>
        </w:rPr>
        <w:t xml:space="preserve">ime series of annual flow maxima (a), </w:t>
      </w:r>
      <w:r w:rsidR="005D1080">
        <w:rPr>
          <w:rFonts w:ascii="Calibri" w:hAnsi="Calibri" w:cs="Calibri"/>
        </w:rPr>
        <w:t>developed</w:t>
      </w:r>
      <w:r w:rsidRPr="40274405">
        <w:rPr>
          <w:rFonts w:ascii="Calibri" w:hAnsi="Calibri" w:cs="Calibri"/>
        </w:rPr>
        <w:t xml:space="preserve"> by </w:t>
      </w:r>
      <w:r w:rsidR="005D1080">
        <w:rPr>
          <w:rFonts w:ascii="Calibri" w:hAnsi="Calibri" w:cs="Calibri"/>
        </w:rPr>
        <w:t>taking</w:t>
      </w:r>
      <w:r w:rsidRPr="40274405">
        <w:rPr>
          <w:rFonts w:ascii="Calibri" w:hAnsi="Calibri" w:cs="Calibri"/>
        </w:rPr>
        <w:t xml:space="preserve"> the larger value </w:t>
      </w:r>
      <w:r w:rsidR="005D1080">
        <w:rPr>
          <w:rFonts w:ascii="Calibri" w:hAnsi="Calibri" w:cs="Calibri"/>
        </w:rPr>
        <w:t>between</w:t>
      </w:r>
      <w:r w:rsidRPr="40274405">
        <w:rPr>
          <w:rFonts w:ascii="Calibri" w:hAnsi="Calibri" w:cs="Calibri"/>
        </w:rPr>
        <w:t xml:space="preserve"> Aswan and Dongola gauges. Annual maxima were used to fit a normal distribution (b), shown in red against observed values</w:t>
      </w:r>
      <w:r w:rsidR="005D1080">
        <w:rPr>
          <w:rFonts w:ascii="Calibri" w:hAnsi="Calibri" w:cs="Calibri"/>
        </w:rPr>
        <w:t>, shown as a grey histogram. Q</w:t>
      </w:r>
      <w:r w:rsidRPr="40274405">
        <w:rPr>
          <w:rFonts w:ascii="Calibri" w:hAnsi="Calibri" w:cs="Calibri"/>
        </w:rPr>
        <w:t>uantile-quantile plot</w:t>
      </w:r>
      <w:r w:rsidR="005D1080">
        <w:rPr>
          <w:rFonts w:ascii="Calibri" w:hAnsi="Calibri" w:cs="Calibri"/>
        </w:rPr>
        <w:t>s (c) confirm that t</w:t>
      </w:r>
      <w:r w:rsidRPr="40274405">
        <w:rPr>
          <w:rFonts w:ascii="Calibri" w:hAnsi="Calibri" w:cs="Calibri"/>
        </w:rPr>
        <w:t>he normal distribution provides a good fit.</w:t>
      </w:r>
    </w:p>
    <w:p w14:paraId="68A47789" w14:textId="77777777" w:rsidR="00CA22BA" w:rsidRDefault="00CA22BA" w:rsidP="0457A2FA">
      <w:pPr>
        <w:rPr>
          <w:rFonts w:ascii="Calibri" w:hAnsi="Calibri" w:cs="Calibri"/>
          <w:b/>
          <w:bCs/>
        </w:rPr>
      </w:pPr>
    </w:p>
    <w:p w14:paraId="6F96BCFB" w14:textId="25DA7540" w:rsidR="00CA22BA" w:rsidRDefault="0009040E" w:rsidP="0457A2F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48D0EBDF" wp14:editId="220F4711">
            <wp:extent cx="5486411" cy="3657607"/>
            <wp:effectExtent l="0" t="0" r="0" b="0"/>
            <wp:docPr id="864223633" name="Picture 1" descr="A graph of a number of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23633" name="Picture 1" descr="A graph of a number of colored lin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5EA6" w14:textId="6D3522AA" w:rsidR="00CA22BA" w:rsidRDefault="00CA22BA" w:rsidP="0457A2FA">
      <w:pPr>
        <w:rPr>
          <w:rFonts w:ascii="Calibri" w:hAnsi="Calibri" w:cs="Calibri"/>
          <w:b/>
          <w:bCs/>
        </w:rPr>
      </w:pPr>
      <w:r w:rsidRPr="1ED9B3E5">
        <w:rPr>
          <w:b/>
          <w:bCs/>
        </w:rPr>
        <w:t xml:space="preserve">Fig. </w:t>
      </w:r>
      <w:r w:rsidR="001B2400">
        <w:rPr>
          <w:b/>
          <w:bCs/>
        </w:rPr>
        <w:t>E</w:t>
      </w:r>
      <w:r w:rsidRPr="1ED9B3E5">
        <w:rPr>
          <w:b/>
          <w:bCs/>
        </w:rPr>
        <w:t xml:space="preserve">2. </w:t>
      </w:r>
      <w:r>
        <w:t>Synthetic flood events used for simulation</w:t>
      </w:r>
      <w:r w:rsidR="00573D55">
        <w:t>, with annual maxima ranging from 5,000 m</w:t>
      </w:r>
      <w:r w:rsidR="00573D55" w:rsidRPr="00573D55">
        <w:rPr>
          <w:vertAlign w:val="superscript"/>
        </w:rPr>
        <w:t>3</w:t>
      </w:r>
      <w:r w:rsidR="00573D55">
        <w:t>/s to 13,000 m</w:t>
      </w:r>
      <w:r w:rsidR="00573D55" w:rsidRPr="00573D55">
        <w:rPr>
          <w:vertAlign w:val="superscript"/>
        </w:rPr>
        <w:t>3</w:t>
      </w:r>
      <w:r w:rsidR="00573D55">
        <w:t>/s, represented by colors</w:t>
      </w:r>
      <w:r>
        <w:t xml:space="preserve">. </w:t>
      </w:r>
      <w:r w:rsidR="00573D55">
        <w:t>A constant 1,000 m</w:t>
      </w:r>
      <w:r w:rsidR="00573D55" w:rsidRPr="00573D55">
        <w:rPr>
          <w:vertAlign w:val="superscript"/>
        </w:rPr>
        <w:t>3</w:t>
      </w:r>
      <w:r w:rsidR="00573D55">
        <w:t>/s w</w:t>
      </w:r>
      <w:r>
        <w:t xml:space="preserve">arm up period </w:t>
      </w:r>
      <w:r w:rsidR="00573D55">
        <w:t>was used to initialize the model year</w:t>
      </w:r>
      <w:r>
        <w:t>.</w:t>
      </w:r>
    </w:p>
    <w:p w14:paraId="27884872" w14:textId="77777777" w:rsidR="00CA22BA" w:rsidRDefault="00CA22BA" w:rsidP="0457A2FA">
      <w:pPr>
        <w:rPr>
          <w:rFonts w:ascii="Calibri" w:hAnsi="Calibri" w:cs="Calibri"/>
          <w:b/>
          <w:bCs/>
        </w:rPr>
      </w:pPr>
    </w:p>
    <w:p w14:paraId="4AD3083F" w14:textId="77777777" w:rsidR="00866B2E" w:rsidRDefault="00866B2E" w:rsidP="00573D55">
      <w:pPr>
        <w:rPr>
          <w:rFonts w:ascii="Calibri" w:hAnsi="Calibri" w:cs="Calibri"/>
          <w:b/>
          <w:bCs/>
        </w:rPr>
      </w:pPr>
    </w:p>
    <w:p w14:paraId="4448CE46" w14:textId="2BB4922C" w:rsidR="004B6F8C" w:rsidRDefault="00B31C41" w:rsidP="004B6F8C">
      <w:pPr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49586D96" wp14:editId="6070F7E5">
            <wp:extent cx="5276850" cy="5276850"/>
            <wp:effectExtent l="0" t="0" r="0" b="0"/>
            <wp:docPr id="562594417" name="Picture 56259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72D9" w14:textId="3F786686" w:rsidR="00B31C41" w:rsidRDefault="00B31C41" w:rsidP="00B31C41">
      <w:r w:rsidRPr="1ED9B3E5">
        <w:rPr>
          <w:b/>
          <w:bCs/>
        </w:rPr>
        <w:t xml:space="preserve">Fig. </w:t>
      </w:r>
      <w:r w:rsidR="00844255">
        <w:rPr>
          <w:b/>
          <w:bCs/>
        </w:rPr>
        <w:t>E3</w:t>
      </w:r>
      <w:r w:rsidRPr="1ED9B3E5">
        <w:rPr>
          <w:b/>
          <w:bCs/>
        </w:rPr>
        <w:t xml:space="preserve">. </w:t>
      </w:r>
      <w:r>
        <w:t xml:space="preserve">Similar to Fig. 2, but showing a </w:t>
      </w:r>
      <w:r w:rsidR="00B324D8">
        <w:t>new</w:t>
      </w:r>
      <w:r>
        <w:t xml:space="preserve"> </w:t>
      </w:r>
      <w:r w:rsidR="00602813">
        <w:t>location in Middle Egypt</w:t>
      </w:r>
      <w:r>
        <w:t>. Blue regions show the maximum flood extent associated with the simulated 9,000 m</w:t>
      </w:r>
      <w:r w:rsidRPr="00573D55">
        <w:rPr>
          <w:vertAlign w:val="superscript"/>
        </w:rPr>
        <w:t>3</w:t>
      </w:r>
      <w:r>
        <w:t>/s seasonal peak, representing a typical year’s pre-modern flood. Most Ptolemaic-era villages, towns, and cities, shown as labeled dots, remain outside a typical flood extent.</w:t>
      </w:r>
    </w:p>
    <w:p w14:paraId="696EB637" w14:textId="77777777" w:rsidR="004B6F8C" w:rsidRDefault="004B6F8C" w:rsidP="0457A2FA">
      <w:pPr>
        <w:rPr>
          <w:rFonts w:ascii="Calibri" w:hAnsi="Calibri" w:cs="Calibri"/>
          <w:b/>
          <w:bCs/>
        </w:rPr>
      </w:pPr>
    </w:p>
    <w:p w14:paraId="1BEA57FB" w14:textId="77777777" w:rsidR="00CA22BA" w:rsidRDefault="00CA22BA" w:rsidP="0457A2FA">
      <w:pPr>
        <w:rPr>
          <w:rFonts w:ascii="Calibri" w:hAnsi="Calibri" w:cs="Calibri"/>
          <w:b/>
          <w:bCs/>
        </w:rPr>
      </w:pPr>
    </w:p>
    <w:p w14:paraId="1AA7514D" w14:textId="77777777" w:rsidR="004B6F8C" w:rsidRDefault="004B6F8C" w:rsidP="0457A2FA">
      <w:pPr>
        <w:rPr>
          <w:rFonts w:ascii="Calibri" w:hAnsi="Calibri" w:cs="Calibri"/>
          <w:b/>
          <w:bCs/>
        </w:rPr>
      </w:pPr>
    </w:p>
    <w:p w14:paraId="00C8AE8D" w14:textId="77777777" w:rsidR="004B6F8C" w:rsidRDefault="004B6F8C" w:rsidP="004B6F8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29ABAAA1" wp14:editId="0BC90F4A">
            <wp:extent cx="5943600" cy="2367915"/>
            <wp:effectExtent l="0" t="0" r="0" b="0"/>
            <wp:docPr id="1830679726" name="Picture 6" descr="A collage of images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79726" name="Picture 6" descr="A collage of images of a riv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F9C4" w14:textId="2956B33B" w:rsidR="004B6F8C" w:rsidRDefault="004B6F8C" w:rsidP="004B6F8C">
      <w:pPr>
        <w:rPr>
          <w:rFonts w:ascii="Calibri" w:hAnsi="Calibri" w:cs="Calibri"/>
          <w:b/>
          <w:bCs/>
        </w:rPr>
      </w:pPr>
      <w:r w:rsidRPr="002D2F02">
        <w:rPr>
          <w:b/>
          <w:bCs/>
        </w:rPr>
        <w:t xml:space="preserve">Fig. </w:t>
      </w:r>
      <w:r w:rsidR="00844255">
        <w:rPr>
          <w:b/>
          <w:bCs/>
        </w:rPr>
        <w:t>E4</w:t>
      </w:r>
      <w:r w:rsidRPr="002D2F02">
        <w:rPr>
          <w:b/>
          <w:bCs/>
        </w:rPr>
        <w:t xml:space="preserve">. </w:t>
      </w:r>
      <w:r w:rsidR="00A877C6">
        <w:t xml:space="preserve">Similar to Fig. 3, showing the northernmost region around </w:t>
      </w:r>
      <w:r>
        <w:t>Memphis</w:t>
      </w:r>
      <w:r w:rsidR="00A877C6">
        <w:t>.</w:t>
      </w:r>
    </w:p>
    <w:p w14:paraId="1166A3EE" w14:textId="77777777" w:rsidR="004B6F8C" w:rsidRDefault="004B6F8C" w:rsidP="004B6F8C">
      <w:pPr>
        <w:rPr>
          <w:rFonts w:ascii="Calibri" w:hAnsi="Calibri" w:cs="Calibri"/>
        </w:rPr>
      </w:pPr>
    </w:p>
    <w:p w14:paraId="07AA321B" w14:textId="77777777" w:rsidR="004B6F8C" w:rsidRDefault="004B6F8C" w:rsidP="004B6F8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5915CBDE" wp14:editId="67F06113">
            <wp:extent cx="5943600" cy="2367915"/>
            <wp:effectExtent l="0" t="0" r="0" b="0"/>
            <wp:docPr id="1601053057" name="Picture 4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53057" name="Picture 4" descr="A close-up of a map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F31A" w14:textId="57D756BD" w:rsidR="004B6F8C" w:rsidRDefault="00844255" w:rsidP="004B6F8C">
      <w:pPr>
        <w:rPr>
          <w:rFonts w:ascii="Calibri" w:hAnsi="Calibri" w:cs="Calibri"/>
          <w:b/>
          <w:bCs/>
        </w:rPr>
      </w:pPr>
      <w:r>
        <w:rPr>
          <w:b/>
          <w:bCs/>
        </w:rPr>
        <w:t>Fig. E5</w:t>
      </w:r>
      <w:r w:rsidR="00A877C6" w:rsidRPr="002D2F02">
        <w:rPr>
          <w:b/>
          <w:bCs/>
        </w:rPr>
        <w:t xml:space="preserve">. </w:t>
      </w:r>
      <w:r w:rsidR="00A877C6">
        <w:t xml:space="preserve">Similar to Fig. 3, showing the region around </w:t>
      </w:r>
      <w:proofErr w:type="spellStart"/>
      <w:r w:rsidR="004B6F8C">
        <w:t>Herakleouspolis</w:t>
      </w:r>
      <w:proofErr w:type="spellEnd"/>
      <w:r w:rsidR="004B6F8C">
        <w:t xml:space="preserve"> </w:t>
      </w:r>
      <w:proofErr w:type="spellStart"/>
      <w:r w:rsidR="004B6F8C">
        <w:t>Megale</w:t>
      </w:r>
      <w:proofErr w:type="spellEnd"/>
      <w:r w:rsidR="00A877C6">
        <w:t>, near the mouth of the Fayum. Bahr Yussef is shown to the west as a blue line.</w:t>
      </w:r>
    </w:p>
    <w:p w14:paraId="678AF63F" w14:textId="77777777" w:rsidR="004B6F8C" w:rsidRDefault="004B6F8C" w:rsidP="004B6F8C">
      <w:pPr>
        <w:rPr>
          <w:rFonts w:ascii="Calibri" w:hAnsi="Calibri" w:cs="Calibri"/>
        </w:rPr>
      </w:pPr>
    </w:p>
    <w:p w14:paraId="0BE1D096" w14:textId="77777777" w:rsidR="004B6F8C" w:rsidRDefault="004B6F8C" w:rsidP="004B6F8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61C678CD" wp14:editId="1E10072F">
            <wp:extent cx="5943600" cy="2367915"/>
            <wp:effectExtent l="0" t="0" r="0" b="0"/>
            <wp:docPr id="1577366946" name="Picture 5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66946" name="Picture 5" descr="A close-up of a map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C277" w14:textId="51C919F8" w:rsidR="004B6F8C" w:rsidRDefault="00A877C6" w:rsidP="00A877C6">
      <w:pPr>
        <w:rPr>
          <w:rFonts w:ascii="Calibri" w:hAnsi="Calibri" w:cs="Calibri"/>
          <w:b/>
          <w:bCs/>
        </w:rPr>
      </w:pPr>
      <w:r w:rsidRPr="002D2F02">
        <w:rPr>
          <w:b/>
          <w:bCs/>
        </w:rPr>
        <w:t xml:space="preserve">Fig. </w:t>
      </w:r>
      <w:r w:rsidR="00844255">
        <w:rPr>
          <w:b/>
          <w:bCs/>
        </w:rPr>
        <w:t>E6</w:t>
      </w:r>
      <w:r w:rsidRPr="002D2F02">
        <w:rPr>
          <w:b/>
          <w:bCs/>
        </w:rPr>
        <w:t xml:space="preserve">. </w:t>
      </w:r>
      <w:r>
        <w:t xml:space="preserve">Similar to Fig. 3, showing the region around </w:t>
      </w:r>
      <w:proofErr w:type="spellStart"/>
      <w:r>
        <w:t>Hermoupolis</w:t>
      </w:r>
      <w:proofErr w:type="spellEnd"/>
      <w:r>
        <w:t xml:space="preserve"> </w:t>
      </w:r>
      <w:proofErr w:type="spellStart"/>
      <w:r>
        <w:t>Megale</w:t>
      </w:r>
      <w:proofErr w:type="spellEnd"/>
      <w:r>
        <w:t>, near the connection between the Bahr Yussef and the Nile.</w:t>
      </w:r>
    </w:p>
    <w:p w14:paraId="6B3033FF" w14:textId="77777777" w:rsidR="004B6F8C" w:rsidRDefault="004B6F8C" w:rsidP="004B6F8C">
      <w:pPr>
        <w:rPr>
          <w:rFonts w:ascii="Calibri" w:hAnsi="Calibri" w:cs="Calibri"/>
        </w:rPr>
      </w:pPr>
    </w:p>
    <w:p w14:paraId="17BA5CC1" w14:textId="77777777" w:rsidR="004B6F8C" w:rsidRDefault="004B6F8C" w:rsidP="004B6F8C">
      <w:pPr>
        <w:rPr>
          <w:rFonts w:ascii="Calibri" w:hAnsi="Calibri" w:cs="Calibri"/>
          <w:b/>
          <w:bCs/>
        </w:rPr>
      </w:pPr>
      <w:r>
        <w:t xml:space="preserve"> </w:t>
      </w:r>
      <w:r>
        <w:rPr>
          <w:rFonts w:ascii="Calibri" w:hAnsi="Calibri" w:cs="Calibri"/>
          <w:b/>
          <w:bCs/>
          <w:noProof/>
        </w:rPr>
        <w:drawing>
          <wp:inline distT="0" distB="0" distL="0" distR="0" wp14:anchorId="077F2728" wp14:editId="48F29A23">
            <wp:extent cx="5943600" cy="2367915"/>
            <wp:effectExtent l="0" t="0" r="0" b="0"/>
            <wp:docPr id="744814342" name="Picture 2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14342" name="Picture 2" descr="A close-up of a map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26C9" w14:textId="6B4D4EE2" w:rsidR="004B6F8C" w:rsidRDefault="00A877C6" w:rsidP="00A877C6">
      <w:r w:rsidRPr="002D2F02">
        <w:rPr>
          <w:b/>
          <w:bCs/>
        </w:rPr>
        <w:t xml:space="preserve">Fig. </w:t>
      </w:r>
      <w:r w:rsidR="00844255">
        <w:rPr>
          <w:b/>
          <w:bCs/>
        </w:rPr>
        <w:t>E7</w:t>
      </w:r>
      <w:r w:rsidRPr="002D2F02">
        <w:rPr>
          <w:b/>
          <w:bCs/>
        </w:rPr>
        <w:t xml:space="preserve">. </w:t>
      </w:r>
      <w:r>
        <w:t xml:space="preserve">Similar to Fig. 3, showing the region around </w:t>
      </w:r>
      <w:proofErr w:type="spellStart"/>
      <w:r>
        <w:t>Lykonpolis</w:t>
      </w:r>
      <w:proofErr w:type="spellEnd"/>
      <w:r>
        <w:t xml:space="preserve">, modern day </w:t>
      </w:r>
      <w:r w:rsidR="002E4A19">
        <w:t>Asyut</w:t>
      </w:r>
      <w:r>
        <w:t xml:space="preserve">. </w:t>
      </w:r>
    </w:p>
    <w:p w14:paraId="062DE296" w14:textId="77777777" w:rsidR="004B6F8C" w:rsidRDefault="004B6F8C" w:rsidP="004B6F8C"/>
    <w:p w14:paraId="34902747" w14:textId="77777777" w:rsidR="004B6F8C" w:rsidRDefault="004B6F8C" w:rsidP="004B6F8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577F3B22" wp14:editId="352AE07B">
            <wp:extent cx="5943600" cy="2367915"/>
            <wp:effectExtent l="0" t="0" r="0" b="0"/>
            <wp:docPr id="915873698" name="Picture 7" descr="A collage of different colored m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73698" name="Picture 7" descr="A collage of different colored map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4097" w14:textId="23629FB9" w:rsidR="00A877C6" w:rsidRDefault="00A877C6" w:rsidP="00A877C6">
      <w:r w:rsidRPr="002D2F02">
        <w:rPr>
          <w:b/>
          <w:bCs/>
        </w:rPr>
        <w:t xml:space="preserve">Fig. </w:t>
      </w:r>
      <w:r w:rsidR="00844255">
        <w:rPr>
          <w:b/>
          <w:bCs/>
        </w:rPr>
        <w:t>E8</w:t>
      </w:r>
      <w:r w:rsidRPr="002D2F02">
        <w:rPr>
          <w:b/>
          <w:bCs/>
        </w:rPr>
        <w:t xml:space="preserve">. </w:t>
      </w:r>
      <w:r>
        <w:t xml:space="preserve">Similar to Fig. 3, showing the region around Ptolemais </w:t>
      </w:r>
      <w:proofErr w:type="spellStart"/>
      <w:r>
        <w:t>Hermeiou</w:t>
      </w:r>
      <w:proofErr w:type="spellEnd"/>
      <w:r>
        <w:t xml:space="preserve">, administrative capital of the Thebaid. </w:t>
      </w:r>
    </w:p>
    <w:p w14:paraId="3604F0C3" w14:textId="77777777" w:rsidR="004B6F8C" w:rsidRDefault="004B6F8C" w:rsidP="004B6F8C">
      <w:pPr>
        <w:rPr>
          <w:rFonts w:ascii="Calibri" w:hAnsi="Calibri" w:cs="Calibri"/>
        </w:rPr>
      </w:pPr>
    </w:p>
    <w:p w14:paraId="769544D9" w14:textId="77777777" w:rsidR="004B6F8C" w:rsidRDefault="004B6F8C" w:rsidP="004B6F8C"/>
    <w:p w14:paraId="33F11975" w14:textId="77777777" w:rsidR="004B6F8C" w:rsidRDefault="004B6F8C" w:rsidP="004B6F8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6706A3AB" wp14:editId="0602D17A">
            <wp:extent cx="5943600" cy="2367915"/>
            <wp:effectExtent l="0" t="0" r="0" b="0"/>
            <wp:docPr id="1093777567" name="Picture 8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77567" name="Picture 8" descr="A close-up of a map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F58E" w14:textId="6D56C9CA" w:rsidR="004B6F8C" w:rsidRPr="007734F1" w:rsidRDefault="00A877C6" w:rsidP="0457A2FA">
      <w:r w:rsidRPr="002D2F02">
        <w:rPr>
          <w:b/>
          <w:bCs/>
        </w:rPr>
        <w:t xml:space="preserve">Fig. </w:t>
      </w:r>
      <w:r w:rsidR="00844255">
        <w:rPr>
          <w:b/>
          <w:bCs/>
        </w:rPr>
        <w:t>E9</w:t>
      </w:r>
      <w:r w:rsidRPr="002D2F02">
        <w:rPr>
          <w:b/>
          <w:bCs/>
        </w:rPr>
        <w:t xml:space="preserve">. </w:t>
      </w:r>
      <w:r>
        <w:t xml:space="preserve">Similar to Fig. 3, showing the region around </w:t>
      </w:r>
      <w:proofErr w:type="spellStart"/>
      <w:r w:rsidR="007734F1" w:rsidRPr="007734F1">
        <w:t>Diospolis</w:t>
      </w:r>
      <w:proofErr w:type="spellEnd"/>
      <w:r w:rsidR="007734F1" w:rsidRPr="007734F1">
        <w:t xml:space="preserve"> </w:t>
      </w:r>
      <w:proofErr w:type="spellStart"/>
      <w:r w:rsidR="007734F1" w:rsidRPr="007734F1">
        <w:t>Megale</w:t>
      </w:r>
      <w:proofErr w:type="spellEnd"/>
      <w:r w:rsidR="007734F1" w:rsidRPr="007734F1">
        <w:t>, modern Thebes</w:t>
      </w:r>
      <w:r>
        <w:t xml:space="preserve">. </w:t>
      </w:r>
      <w:r w:rsidR="007734F1">
        <w:br/>
      </w:r>
    </w:p>
    <w:p w14:paraId="571278CE" w14:textId="49EF8FAA" w:rsidR="004B6F8C" w:rsidRDefault="00451D0E" w:rsidP="004B6F8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6673CC9" wp14:editId="5323E907">
            <wp:extent cx="5943600" cy="2367915"/>
            <wp:effectExtent l="0" t="0" r="0" b="0"/>
            <wp:docPr id="226854817" name="Picture 1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4817" name="Picture 1" descr="A close-up of a map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656D" w14:textId="28AF16B5" w:rsidR="004B6F8C" w:rsidRDefault="007734F1" w:rsidP="007734F1">
      <w:pPr>
        <w:rPr>
          <w:rFonts w:ascii="Calibri" w:hAnsi="Calibri" w:cs="Calibri"/>
          <w:b/>
          <w:bCs/>
        </w:rPr>
      </w:pPr>
      <w:r w:rsidRPr="002D2F02">
        <w:rPr>
          <w:b/>
          <w:bCs/>
        </w:rPr>
        <w:t xml:space="preserve">Fig. </w:t>
      </w:r>
      <w:r w:rsidR="00844255">
        <w:rPr>
          <w:b/>
          <w:bCs/>
        </w:rPr>
        <w:t>E10</w:t>
      </w:r>
      <w:r w:rsidRPr="002D2F02">
        <w:rPr>
          <w:b/>
          <w:bCs/>
        </w:rPr>
        <w:t xml:space="preserve">. </w:t>
      </w:r>
      <w:r>
        <w:t xml:space="preserve">Similar to Fig. 3, showing the region around </w:t>
      </w:r>
      <w:proofErr w:type="spellStart"/>
      <w:r w:rsidRPr="007734F1">
        <w:t>Apollon</w:t>
      </w:r>
      <w:r>
        <w:t>o</w:t>
      </w:r>
      <w:r w:rsidRPr="007734F1">
        <w:t>polis</w:t>
      </w:r>
      <w:proofErr w:type="spellEnd"/>
      <w:r w:rsidRPr="007734F1">
        <w:t xml:space="preserve"> </w:t>
      </w:r>
      <w:proofErr w:type="spellStart"/>
      <w:r w:rsidRPr="007734F1">
        <w:t>Megale</w:t>
      </w:r>
      <w:proofErr w:type="spellEnd"/>
      <w:r w:rsidRPr="007734F1">
        <w:t xml:space="preserve">, modern </w:t>
      </w:r>
      <w:proofErr w:type="spellStart"/>
      <w:r>
        <w:t>Edfu</w:t>
      </w:r>
      <w:proofErr w:type="spellEnd"/>
      <w:r>
        <w:t>.</w:t>
      </w:r>
    </w:p>
    <w:p w14:paraId="2A137046" w14:textId="6248CA28" w:rsidR="1ECF35E5" w:rsidRDefault="1ECF35E5" w:rsidP="1ECF35E5">
      <w:pPr>
        <w:rPr>
          <w:rFonts w:ascii="Calibri" w:hAnsi="Calibri" w:cs="Calibri"/>
        </w:rPr>
      </w:pPr>
    </w:p>
    <w:p w14:paraId="50FE6B87" w14:textId="3A81B221" w:rsidR="008B3403" w:rsidRDefault="008B3403" w:rsidP="00CC15B2"/>
    <w:sectPr w:rsidR="008B34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9D2D"/>
    <w:multiLevelType w:val="multilevel"/>
    <w:tmpl w:val="79CAB2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7B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82775B"/>
    <w:multiLevelType w:val="multilevel"/>
    <w:tmpl w:val="D97E58E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F65B40"/>
    <w:multiLevelType w:val="hybridMultilevel"/>
    <w:tmpl w:val="F8961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630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2E27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B351E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B5D10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CF631A"/>
    <w:multiLevelType w:val="hybridMultilevel"/>
    <w:tmpl w:val="6C9E5668"/>
    <w:lvl w:ilvl="0" w:tplc="2680498A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1" w:tplc="91948862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2" w:tplc="B7E8C7A6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3" w:tplc="A1387CD4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4" w:tplc="72B4C5B4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5" w:tplc="41E4314A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6" w:tplc="30C67AD6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7" w:tplc="F72AB094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  <w:lvl w:ilvl="8" w:tplc="9F62D948">
      <w:start w:val="1"/>
      <w:numFmt w:val="bullet"/>
      <w:lvlText w:val=""/>
      <w:lvlJc w:val="left"/>
      <w:pPr>
        <w:ind w:left="1100" w:hanging="360"/>
      </w:pPr>
      <w:rPr>
        <w:rFonts w:ascii="Symbol" w:hAnsi="Symbol"/>
      </w:rPr>
    </w:lvl>
  </w:abstractNum>
  <w:abstractNum w:abstractNumId="9" w15:restartNumberingAfterBreak="0">
    <w:nsid w:val="745648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4C8"/>
    <w:rsid w:val="00006948"/>
    <w:rsid w:val="00034B34"/>
    <w:rsid w:val="000377FF"/>
    <w:rsid w:val="000543E7"/>
    <w:rsid w:val="00083F20"/>
    <w:rsid w:val="0009040E"/>
    <w:rsid w:val="0009042D"/>
    <w:rsid w:val="000909BB"/>
    <w:rsid w:val="00091E6C"/>
    <w:rsid w:val="000A48E4"/>
    <w:rsid w:val="000B5373"/>
    <w:rsid w:val="000C1C97"/>
    <w:rsid w:val="000C3EB2"/>
    <w:rsid w:val="000C40A2"/>
    <w:rsid w:val="00101419"/>
    <w:rsid w:val="00101901"/>
    <w:rsid w:val="00101FC1"/>
    <w:rsid w:val="00107710"/>
    <w:rsid w:val="00107E21"/>
    <w:rsid w:val="00183691"/>
    <w:rsid w:val="00184AD1"/>
    <w:rsid w:val="001929B8"/>
    <w:rsid w:val="001A5117"/>
    <w:rsid w:val="001A66BF"/>
    <w:rsid w:val="001B2400"/>
    <w:rsid w:val="001B77F5"/>
    <w:rsid w:val="001C7027"/>
    <w:rsid w:val="001D68B0"/>
    <w:rsid w:val="001E1369"/>
    <w:rsid w:val="001E3AEC"/>
    <w:rsid w:val="00220AB5"/>
    <w:rsid w:val="0022317B"/>
    <w:rsid w:val="00242C6D"/>
    <w:rsid w:val="0025133B"/>
    <w:rsid w:val="00274229"/>
    <w:rsid w:val="002757F1"/>
    <w:rsid w:val="00283025"/>
    <w:rsid w:val="002C0A3B"/>
    <w:rsid w:val="002D19BE"/>
    <w:rsid w:val="002D2F02"/>
    <w:rsid w:val="002E4A19"/>
    <w:rsid w:val="002F3FF8"/>
    <w:rsid w:val="003044AF"/>
    <w:rsid w:val="00307F58"/>
    <w:rsid w:val="00311822"/>
    <w:rsid w:val="00326FAC"/>
    <w:rsid w:val="00332C40"/>
    <w:rsid w:val="00355CEF"/>
    <w:rsid w:val="0039364F"/>
    <w:rsid w:val="003A2D69"/>
    <w:rsid w:val="003F2347"/>
    <w:rsid w:val="00405CC9"/>
    <w:rsid w:val="00417D4F"/>
    <w:rsid w:val="00423005"/>
    <w:rsid w:val="00451D0E"/>
    <w:rsid w:val="00485ED8"/>
    <w:rsid w:val="00486022"/>
    <w:rsid w:val="00486C1E"/>
    <w:rsid w:val="00492654"/>
    <w:rsid w:val="004A47D9"/>
    <w:rsid w:val="004B0C79"/>
    <w:rsid w:val="004B6F8C"/>
    <w:rsid w:val="004C028A"/>
    <w:rsid w:val="004E2ACE"/>
    <w:rsid w:val="0051797A"/>
    <w:rsid w:val="00526C97"/>
    <w:rsid w:val="005313E0"/>
    <w:rsid w:val="00570AC2"/>
    <w:rsid w:val="0057201E"/>
    <w:rsid w:val="00573D55"/>
    <w:rsid w:val="00580D6D"/>
    <w:rsid w:val="0058356D"/>
    <w:rsid w:val="005A5D2D"/>
    <w:rsid w:val="005D1080"/>
    <w:rsid w:val="005D68B7"/>
    <w:rsid w:val="005E6B71"/>
    <w:rsid w:val="005F1CD7"/>
    <w:rsid w:val="00602813"/>
    <w:rsid w:val="00610466"/>
    <w:rsid w:val="006367BA"/>
    <w:rsid w:val="00654882"/>
    <w:rsid w:val="00666726"/>
    <w:rsid w:val="00667832"/>
    <w:rsid w:val="006776E1"/>
    <w:rsid w:val="00692282"/>
    <w:rsid w:val="006C5132"/>
    <w:rsid w:val="006D7E94"/>
    <w:rsid w:val="006E5957"/>
    <w:rsid w:val="00712BD4"/>
    <w:rsid w:val="00712EF8"/>
    <w:rsid w:val="00722A22"/>
    <w:rsid w:val="00724477"/>
    <w:rsid w:val="00750812"/>
    <w:rsid w:val="007734F1"/>
    <w:rsid w:val="00782B2D"/>
    <w:rsid w:val="0078495F"/>
    <w:rsid w:val="007A1A97"/>
    <w:rsid w:val="008205A5"/>
    <w:rsid w:val="008267D0"/>
    <w:rsid w:val="00843051"/>
    <w:rsid w:val="00844255"/>
    <w:rsid w:val="00866B2E"/>
    <w:rsid w:val="008740DB"/>
    <w:rsid w:val="008764C2"/>
    <w:rsid w:val="008767D0"/>
    <w:rsid w:val="00881523"/>
    <w:rsid w:val="008947E2"/>
    <w:rsid w:val="008B3403"/>
    <w:rsid w:val="009177A7"/>
    <w:rsid w:val="00926A00"/>
    <w:rsid w:val="009528CE"/>
    <w:rsid w:val="009631DF"/>
    <w:rsid w:val="00971CD8"/>
    <w:rsid w:val="00993054"/>
    <w:rsid w:val="009A0E53"/>
    <w:rsid w:val="009B5A7B"/>
    <w:rsid w:val="009C5C63"/>
    <w:rsid w:val="009E0437"/>
    <w:rsid w:val="009E7249"/>
    <w:rsid w:val="00A33581"/>
    <w:rsid w:val="00A3603D"/>
    <w:rsid w:val="00A824B1"/>
    <w:rsid w:val="00A82FC5"/>
    <w:rsid w:val="00A877C6"/>
    <w:rsid w:val="00A92DE0"/>
    <w:rsid w:val="00AC0AED"/>
    <w:rsid w:val="00AE1961"/>
    <w:rsid w:val="00B06DF3"/>
    <w:rsid w:val="00B07A94"/>
    <w:rsid w:val="00B1030D"/>
    <w:rsid w:val="00B10347"/>
    <w:rsid w:val="00B12C7F"/>
    <w:rsid w:val="00B264EF"/>
    <w:rsid w:val="00B31C41"/>
    <w:rsid w:val="00B324D8"/>
    <w:rsid w:val="00B44325"/>
    <w:rsid w:val="00B46186"/>
    <w:rsid w:val="00B6498B"/>
    <w:rsid w:val="00B76C93"/>
    <w:rsid w:val="00B90ACF"/>
    <w:rsid w:val="00BB1F4F"/>
    <w:rsid w:val="00BB6DFF"/>
    <w:rsid w:val="00BB7089"/>
    <w:rsid w:val="00BC019A"/>
    <w:rsid w:val="00BC1388"/>
    <w:rsid w:val="00BE152B"/>
    <w:rsid w:val="00BF4F80"/>
    <w:rsid w:val="00C11BF0"/>
    <w:rsid w:val="00C13B8D"/>
    <w:rsid w:val="00C4068B"/>
    <w:rsid w:val="00C53284"/>
    <w:rsid w:val="00C714A3"/>
    <w:rsid w:val="00CA22BA"/>
    <w:rsid w:val="00CA3235"/>
    <w:rsid w:val="00CB101B"/>
    <w:rsid w:val="00CB2F77"/>
    <w:rsid w:val="00CB6D64"/>
    <w:rsid w:val="00CC15B2"/>
    <w:rsid w:val="00CD7BFF"/>
    <w:rsid w:val="00CE1E50"/>
    <w:rsid w:val="00D43992"/>
    <w:rsid w:val="00D74A86"/>
    <w:rsid w:val="00D840C2"/>
    <w:rsid w:val="00D94ABC"/>
    <w:rsid w:val="00D9763E"/>
    <w:rsid w:val="00D97776"/>
    <w:rsid w:val="00DB0578"/>
    <w:rsid w:val="00DB2676"/>
    <w:rsid w:val="00DD3996"/>
    <w:rsid w:val="00DE4EE1"/>
    <w:rsid w:val="00DE7062"/>
    <w:rsid w:val="00E61E7F"/>
    <w:rsid w:val="00EA2203"/>
    <w:rsid w:val="00EE7535"/>
    <w:rsid w:val="00F16908"/>
    <w:rsid w:val="00F74DC9"/>
    <w:rsid w:val="00F86CE2"/>
    <w:rsid w:val="00F96BB1"/>
    <w:rsid w:val="00FA51C9"/>
    <w:rsid w:val="00FB0C08"/>
    <w:rsid w:val="00FB34C8"/>
    <w:rsid w:val="00FB579C"/>
    <w:rsid w:val="00FC5611"/>
    <w:rsid w:val="00FD3542"/>
    <w:rsid w:val="00FE746C"/>
    <w:rsid w:val="02B9A284"/>
    <w:rsid w:val="033628CD"/>
    <w:rsid w:val="04566F60"/>
    <w:rsid w:val="0457A2FA"/>
    <w:rsid w:val="0509CE41"/>
    <w:rsid w:val="062AD14B"/>
    <w:rsid w:val="06870EB2"/>
    <w:rsid w:val="0A3D5FF0"/>
    <w:rsid w:val="0A599DC4"/>
    <w:rsid w:val="0A6F7BEE"/>
    <w:rsid w:val="0D4E9A64"/>
    <w:rsid w:val="10637456"/>
    <w:rsid w:val="15F4B48E"/>
    <w:rsid w:val="1806ECBA"/>
    <w:rsid w:val="18DDF2B7"/>
    <w:rsid w:val="191F6349"/>
    <w:rsid w:val="192F2BD6"/>
    <w:rsid w:val="1A25B19C"/>
    <w:rsid w:val="1C1B0BE0"/>
    <w:rsid w:val="1D59C2C1"/>
    <w:rsid w:val="1D72749A"/>
    <w:rsid w:val="1ECF35E5"/>
    <w:rsid w:val="1ED9B3E5"/>
    <w:rsid w:val="24C1E3C2"/>
    <w:rsid w:val="2913DEFC"/>
    <w:rsid w:val="2BC0DB4A"/>
    <w:rsid w:val="2BDB0660"/>
    <w:rsid w:val="2CB6A626"/>
    <w:rsid w:val="2F289D64"/>
    <w:rsid w:val="2F4145E1"/>
    <w:rsid w:val="370C0946"/>
    <w:rsid w:val="3CD495B6"/>
    <w:rsid w:val="3DDDBBCA"/>
    <w:rsid w:val="3E09E469"/>
    <w:rsid w:val="3EC272EE"/>
    <w:rsid w:val="40274405"/>
    <w:rsid w:val="43315C42"/>
    <w:rsid w:val="43FABE8B"/>
    <w:rsid w:val="456F66C6"/>
    <w:rsid w:val="4DA27757"/>
    <w:rsid w:val="5269EC10"/>
    <w:rsid w:val="5801E840"/>
    <w:rsid w:val="5BACBB28"/>
    <w:rsid w:val="5D6B2CC1"/>
    <w:rsid w:val="5DB838A0"/>
    <w:rsid w:val="631A0314"/>
    <w:rsid w:val="64C2FDAF"/>
    <w:rsid w:val="66A37021"/>
    <w:rsid w:val="68949BDE"/>
    <w:rsid w:val="6BAA8468"/>
    <w:rsid w:val="6FE732D8"/>
    <w:rsid w:val="7298234B"/>
    <w:rsid w:val="73DD5061"/>
    <w:rsid w:val="75882D91"/>
    <w:rsid w:val="75F6B311"/>
    <w:rsid w:val="769A6F5B"/>
    <w:rsid w:val="7B64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2A120"/>
  <w15:chartTrackingRefBased/>
  <w15:docId w15:val="{B48C4BC9-D886-4DE8-A3E4-E974914E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7E21"/>
    <w:pPr>
      <w:keepNext/>
      <w:keepLines/>
      <w:numPr>
        <w:numId w:val="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7E21"/>
    <w:pPr>
      <w:keepNext/>
      <w:keepLines/>
      <w:numPr>
        <w:ilvl w:val="1"/>
        <w:numId w:val="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7E21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7E21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E21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E21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E21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7E21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7E21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E6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B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B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B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B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B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101B"/>
    <w:pPr>
      <w:ind w:left="720"/>
      <w:contextualSpacing/>
    </w:pPr>
  </w:style>
  <w:style w:type="table" w:styleId="TableGrid">
    <w:name w:val="Table Grid"/>
    <w:basedOn w:val="TableNormal"/>
    <w:uiPriority w:val="39"/>
    <w:rsid w:val="006E5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6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B3403"/>
    <w:pPr>
      <w:spacing w:after="0" w:line="240" w:lineRule="auto"/>
      <w:ind w:left="720" w:hanging="720"/>
    </w:pPr>
  </w:style>
  <w:style w:type="character" w:styleId="Hyperlink">
    <w:name w:val="Hyperlink"/>
    <w:basedOn w:val="DefaultParagraphFont"/>
    <w:uiPriority w:val="99"/>
    <w:unhideWhenUsed/>
    <w:rsid w:val="00CB6D6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07E21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07E21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07E21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107E21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E21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E21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E2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7E2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7E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1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Ohio State University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Stagge, Jim</dc:creator>
  <cp:keywords/>
  <dc:description/>
  <cp:lastModifiedBy>Stagge, Jim</cp:lastModifiedBy>
  <cp:revision>4</cp:revision>
  <dcterms:created xsi:type="dcterms:W3CDTF">2025-06-24T17:17:00Z</dcterms:created>
  <dcterms:modified xsi:type="dcterms:W3CDTF">2025-06-24T19:13:00Z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id="cygf8pBO"/&gt;&lt;style id="http://www.zotero.org/styles/journal-of-hydrology" hasBibliography="1" bibliographyStyleHasBeenSet="1"/&gt;&lt;prefs&gt;&lt;pref name="fieldType" value="Field"/&gt;&lt;/prefs&gt;&lt;/data&gt;</vt:lpwstr>
  </property>
</Properties>
</file>