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16F48" w14:textId="09B82086" w:rsidR="00660847" w:rsidRPr="00660847" w:rsidRDefault="00DC2B89" w:rsidP="0066084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Additional File 1 - </w:t>
      </w:r>
      <w:r w:rsidR="00660847" w:rsidRPr="00660847">
        <w:rPr>
          <w:rFonts w:ascii="Times New Roman" w:hAnsi="Times New Roman" w:cs="Times New Roman"/>
          <w:b/>
          <w:sz w:val="24"/>
          <w:szCs w:val="24"/>
        </w:rPr>
        <w:t>Supplementary Information</w:t>
      </w:r>
    </w:p>
    <w:p w14:paraId="1700ED71" w14:textId="77777777" w:rsidR="00660847" w:rsidRDefault="00660847" w:rsidP="00660847">
      <w:pPr>
        <w:spacing w:after="0" w:line="480" w:lineRule="auto"/>
        <w:jc w:val="center"/>
        <w:rPr>
          <w:rFonts w:ascii="Times New Roman" w:eastAsia="Times New Roman" w:hAnsi="Times New Roman" w:cs="Times New Roman"/>
          <w:b/>
          <w:sz w:val="24"/>
          <w:szCs w:val="24"/>
        </w:rPr>
      </w:pPr>
      <w:r w:rsidRPr="00C77660">
        <w:rPr>
          <w:rFonts w:ascii="Times New Roman" w:eastAsia="Times New Roman" w:hAnsi="Times New Roman" w:cs="Times New Roman"/>
          <w:b/>
          <w:sz w:val="24"/>
          <w:szCs w:val="24"/>
        </w:rPr>
        <w:t>14-3-3γ Knockdown Promotes Matrix Mineralization in human Mesenchymal Stromal Cells</w:t>
      </w:r>
    </w:p>
    <w:p w14:paraId="19A1CD10" w14:textId="77777777" w:rsidR="00660847" w:rsidRPr="00C77660" w:rsidRDefault="00660847" w:rsidP="00660847">
      <w:pPr>
        <w:spacing w:after="0" w:line="480" w:lineRule="auto"/>
        <w:jc w:val="center"/>
        <w:rPr>
          <w:rFonts w:ascii="Times New Roman" w:eastAsia="Times New Roman" w:hAnsi="Times New Roman" w:cs="Times New Roman"/>
          <w:sz w:val="24"/>
          <w:szCs w:val="24"/>
        </w:rPr>
      </w:pPr>
      <w:r w:rsidRPr="00C77660">
        <w:rPr>
          <w:rFonts w:ascii="Times New Roman" w:eastAsia="Times New Roman" w:hAnsi="Times New Roman" w:cs="Times New Roman"/>
          <w:sz w:val="24"/>
          <w:szCs w:val="24"/>
        </w:rPr>
        <w:t>Lautaro Rivera</w:t>
      </w:r>
      <w:r w:rsidRPr="00C77660">
        <w:rPr>
          <w:rFonts w:ascii="Times New Roman" w:eastAsia="Times New Roman" w:hAnsi="Times New Roman" w:cs="Times New Roman"/>
          <w:sz w:val="24"/>
          <w:szCs w:val="24"/>
          <w:vertAlign w:val="superscript"/>
        </w:rPr>
        <w:t>1</w:t>
      </w:r>
      <w:r w:rsidRPr="00C77660">
        <w:rPr>
          <w:rFonts w:ascii="Times New Roman" w:eastAsia="Times New Roman" w:hAnsi="Times New Roman" w:cs="Times New Roman"/>
          <w:sz w:val="24"/>
          <w:szCs w:val="24"/>
        </w:rPr>
        <w:t>, Sergio Müller</w:t>
      </w:r>
      <w:r w:rsidRPr="00C77660">
        <w:rPr>
          <w:rFonts w:ascii="Times New Roman" w:eastAsia="Times New Roman" w:hAnsi="Times New Roman" w:cs="Times New Roman"/>
          <w:sz w:val="24"/>
          <w:szCs w:val="24"/>
          <w:vertAlign w:val="superscript"/>
        </w:rPr>
        <w:t>1</w:t>
      </w:r>
      <w:r w:rsidRPr="00C77660">
        <w:rPr>
          <w:rFonts w:ascii="Times New Roman" w:eastAsia="Times New Roman" w:hAnsi="Times New Roman" w:cs="Times New Roman"/>
          <w:sz w:val="24"/>
          <w:szCs w:val="24"/>
        </w:rPr>
        <w:t xml:space="preserve">, Marina </w:t>
      </w:r>
      <w:proofErr w:type="spellStart"/>
      <w:r w:rsidRPr="00C77660">
        <w:rPr>
          <w:rFonts w:ascii="Times New Roman" w:eastAsia="Times New Roman" w:hAnsi="Times New Roman" w:cs="Times New Roman"/>
          <w:sz w:val="24"/>
          <w:szCs w:val="24"/>
        </w:rPr>
        <w:t>Uhart</w:t>
      </w:r>
      <w:proofErr w:type="spellEnd"/>
      <w:r>
        <w:rPr>
          <w:rFonts w:ascii="Times New Roman" w:eastAsia="Times New Roman" w:hAnsi="Times New Roman" w:cs="Times New Roman"/>
          <w:sz w:val="24"/>
          <w:szCs w:val="24"/>
          <w:vertAlign w:val="superscript"/>
        </w:rPr>
        <w:t>*</w:t>
      </w:r>
      <w:r w:rsidRPr="00C77660">
        <w:rPr>
          <w:rFonts w:ascii="Times New Roman" w:eastAsia="Times New Roman" w:hAnsi="Times New Roman" w:cs="Times New Roman"/>
          <w:sz w:val="24"/>
          <w:szCs w:val="24"/>
          <w:vertAlign w:val="superscript"/>
        </w:rPr>
        <w:t>1</w:t>
      </w:r>
      <w:r w:rsidRPr="00C77660">
        <w:rPr>
          <w:rFonts w:ascii="Times New Roman" w:eastAsia="Times New Roman" w:hAnsi="Times New Roman" w:cs="Times New Roman"/>
          <w:sz w:val="24"/>
          <w:szCs w:val="24"/>
        </w:rPr>
        <w:t>, and Diego Martin Bu</w:t>
      </w:r>
      <w:r>
        <w:rPr>
          <w:rFonts w:ascii="Times New Roman" w:eastAsia="Times New Roman" w:hAnsi="Times New Roman" w:cs="Times New Roman"/>
          <w:sz w:val="24"/>
          <w:szCs w:val="24"/>
        </w:rPr>
        <w:t>stos</w:t>
      </w:r>
      <w:r>
        <w:rPr>
          <w:rFonts w:ascii="Times New Roman" w:eastAsia="Times New Roman" w:hAnsi="Times New Roman" w:cs="Times New Roman"/>
          <w:sz w:val="24"/>
          <w:szCs w:val="24"/>
          <w:vertAlign w:val="superscript"/>
        </w:rPr>
        <w:t>*</w:t>
      </w:r>
      <w:r w:rsidRPr="00C77660">
        <w:rPr>
          <w:rFonts w:ascii="Times New Roman" w:eastAsia="Times New Roman" w:hAnsi="Times New Roman" w:cs="Times New Roman"/>
          <w:sz w:val="24"/>
          <w:szCs w:val="24"/>
          <w:vertAlign w:val="superscript"/>
        </w:rPr>
        <w:t>1</w:t>
      </w:r>
      <w:r w:rsidRPr="00C77660">
        <w:rPr>
          <w:rFonts w:ascii="Times New Roman" w:eastAsia="Times New Roman" w:hAnsi="Times New Roman" w:cs="Times New Roman"/>
          <w:sz w:val="24"/>
          <w:szCs w:val="24"/>
        </w:rPr>
        <w:t>.</w:t>
      </w:r>
    </w:p>
    <w:p w14:paraId="6F449D73" w14:textId="77777777" w:rsidR="00660847" w:rsidRPr="00C77660" w:rsidRDefault="00660847" w:rsidP="00660847">
      <w:pPr>
        <w:spacing w:after="0" w:line="480" w:lineRule="auto"/>
        <w:rPr>
          <w:rFonts w:ascii="Times New Roman" w:eastAsia="Times New Roman" w:hAnsi="Times New Roman" w:cs="Times New Roman"/>
          <w:sz w:val="24"/>
          <w:szCs w:val="24"/>
        </w:rPr>
      </w:pPr>
      <w:r w:rsidRPr="00C77660">
        <w:rPr>
          <w:rFonts w:ascii="Times New Roman" w:eastAsia="Times New Roman" w:hAnsi="Times New Roman" w:cs="Times New Roman"/>
          <w:sz w:val="24"/>
          <w:szCs w:val="24"/>
        </w:rPr>
        <w:t>* Corresponding authors with equal contribution.</w:t>
      </w:r>
    </w:p>
    <w:p w14:paraId="36593F49" w14:textId="77777777" w:rsidR="00660847" w:rsidRDefault="00660847" w:rsidP="00660847">
      <w:pPr>
        <w:spacing w:after="0" w:line="480" w:lineRule="auto"/>
        <w:rPr>
          <w:rFonts w:ascii="Times New Roman" w:eastAsia="Times New Roman" w:hAnsi="Times New Roman" w:cs="Times New Roman"/>
          <w:sz w:val="24"/>
          <w:szCs w:val="24"/>
          <w:lang w:val="es-AR"/>
        </w:rPr>
      </w:pPr>
      <w:r w:rsidRPr="00C77660">
        <w:rPr>
          <w:rFonts w:ascii="Times New Roman" w:eastAsia="Times New Roman" w:hAnsi="Times New Roman" w:cs="Times New Roman"/>
          <w:sz w:val="24"/>
          <w:szCs w:val="24"/>
          <w:lang w:val="es-AR"/>
        </w:rPr>
        <w:t xml:space="preserve">1. Instituto de Histología y Embriología de Mendoza (IHEM, Universidad Nacional de Cuyo, CONICET), Mendoza, Argentina </w:t>
      </w:r>
    </w:p>
    <w:p w14:paraId="364F46FC" w14:textId="060C9DC8" w:rsidR="00660847" w:rsidRDefault="00660847" w:rsidP="00660847">
      <w:pPr>
        <w:spacing w:after="0" w:line="480" w:lineRule="auto"/>
        <w:rPr>
          <w:rFonts w:ascii="Times New Roman" w:eastAsia="Times New Roman" w:hAnsi="Times New Roman" w:cs="Times New Roman"/>
          <w:sz w:val="24"/>
          <w:szCs w:val="24"/>
          <w:lang w:val="es-AR"/>
        </w:rPr>
      </w:pPr>
      <w:r w:rsidRPr="00C77660">
        <w:rPr>
          <w:rFonts w:ascii="Times New Roman" w:eastAsia="Times New Roman" w:hAnsi="Times New Roman" w:cs="Times New Roman"/>
          <w:sz w:val="24"/>
          <w:szCs w:val="24"/>
          <w:lang w:val="es-AR"/>
        </w:rPr>
        <w:t xml:space="preserve">2. Facultad de Ciencias Exactas y Naturales, Universidad Nacional de Cuyo, Mendoza, Argentina. </w:t>
      </w:r>
    </w:p>
    <w:p w14:paraId="2D0DAF10" w14:textId="77777777" w:rsidR="00660847" w:rsidRDefault="00660847" w:rsidP="00660847">
      <w:pPr>
        <w:spacing w:after="0" w:line="480" w:lineRule="auto"/>
        <w:rPr>
          <w:rFonts w:ascii="Times New Roman" w:eastAsia="Times New Roman" w:hAnsi="Times New Roman" w:cs="Times New Roman"/>
          <w:sz w:val="24"/>
          <w:szCs w:val="24"/>
          <w:lang w:val="es-AR"/>
        </w:rPr>
      </w:pPr>
    </w:p>
    <w:p w14:paraId="11730ED4" w14:textId="12EF76A0" w:rsidR="00660847" w:rsidRPr="002938DA" w:rsidRDefault="00660847" w:rsidP="00660847">
      <w:pPr>
        <w:spacing w:line="360" w:lineRule="auto"/>
        <w:rPr>
          <w:rFonts w:ascii="Times New Roman" w:hAnsi="Times New Roman" w:cs="Times New Roman"/>
          <w:b/>
          <w:sz w:val="24"/>
          <w:szCs w:val="24"/>
          <w:lang w:val="en-US"/>
        </w:rPr>
      </w:pPr>
      <w:r w:rsidRPr="002938DA">
        <w:rPr>
          <w:rFonts w:ascii="Times New Roman" w:hAnsi="Times New Roman" w:cs="Times New Roman"/>
          <w:b/>
          <w:sz w:val="24"/>
          <w:szCs w:val="24"/>
          <w:lang w:val="en-US"/>
        </w:rPr>
        <w:t xml:space="preserve">This </w:t>
      </w:r>
      <w:r w:rsidR="00C61773">
        <w:rPr>
          <w:rFonts w:ascii="Times New Roman" w:hAnsi="Times New Roman" w:cs="Times New Roman"/>
          <w:b/>
          <w:sz w:val="24"/>
          <w:szCs w:val="24"/>
          <w:lang w:val="en-US"/>
        </w:rPr>
        <w:t>f</w:t>
      </w:r>
      <w:r w:rsidRPr="002938DA">
        <w:rPr>
          <w:rFonts w:ascii="Times New Roman" w:hAnsi="Times New Roman" w:cs="Times New Roman"/>
          <w:b/>
          <w:sz w:val="24"/>
          <w:szCs w:val="24"/>
          <w:lang w:val="en-US"/>
        </w:rPr>
        <w:t>ile includes:</w:t>
      </w:r>
    </w:p>
    <w:p w14:paraId="3E685D6D" w14:textId="47CD6E05" w:rsidR="00660847" w:rsidRDefault="00660847" w:rsidP="00660847">
      <w:pPr>
        <w:pStyle w:val="TAMainText"/>
        <w:spacing w:after="0" w:line="360" w:lineRule="auto"/>
        <w:ind w:firstLine="0"/>
        <w:rPr>
          <w:rFonts w:ascii="Times New Roman" w:hAnsi="Times New Roman"/>
          <w:sz w:val="24"/>
          <w:szCs w:val="24"/>
        </w:rPr>
      </w:pPr>
      <w:r w:rsidRPr="002938DA">
        <w:rPr>
          <w:rFonts w:ascii="Times New Roman" w:hAnsi="Times New Roman"/>
          <w:sz w:val="24"/>
          <w:szCs w:val="24"/>
        </w:rPr>
        <w:t>Supplementary figures S1 to S</w:t>
      </w:r>
      <w:r>
        <w:rPr>
          <w:rFonts w:ascii="Times New Roman" w:hAnsi="Times New Roman"/>
          <w:sz w:val="24"/>
          <w:szCs w:val="24"/>
        </w:rPr>
        <w:t>3</w:t>
      </w:r>
    </w:p>
    <w:p w14:paraId="2F0293B4" w14:textId="4B3A788A" w:rsidR="00660847" w:rsidRDefault="00660847" w:rsidP="00660847">
      <w:pPr>
        <w:pStyle w:val="TAMainText"/>
        <w:spacing w:after="0" w:line="360" w:lineRule="auto"/>
        <w:ind w:firstLine="0"/>
        <w:rPr>
          <w:rFonts w:ascii="Times New Roman" w:hAnsi="Times New Roman"/>
          <w:sz w:val="24"/>
          <w:szCs w:val="24"/>
        </w:rPr>
      </w:pPr>
      <w:r w:rsidRPr="002938DA">
        <w:rPr>
          <w:rFonts w:ascii="Times New Roman" w:hAnsi="Times New Roman"/>
          <w:sz w:val="24"/>
          <w:szCs w:val="24"/>
        </w:rPr>
        <w:t>Supplementary table</w:t>
      </w:r>
      <w:r>
        <w:rPr>
          <w:rFonts w:ascii="Times New Roman" w:hAnsi="Times New Roman"/>
          <w:sz w:val="24"/>
          <w:szCs w:val="24"/>
        </w:rPr>
        <w:t xml:space="preserve"> 1</w:t>
      </w:r>
      <w:r w:rsidR="00C6689A">
        <w:rPr>
          <w:rFonts w:ascii="Times New Roman" w:hAnsi="Times New Roman"/>
          <w:sz w:val="24"/>
          <w:szCs w:val="24"/>
        </w:rPr>
        <w:t xml:space="preserve"> (Table S1)</w:t>
      </w:r>
    </w:p>
    <w:p w14:paraId="5ED6ED74" w14:textId="7660592C" w:rsidR="00660847" w:rsidRDefault="00660847" w:rsidP="00660847">
      <w:pPr>
        <w:pStyle w:val="TAMainText"/>
        <w:spacing w:after="0" w:line="360" w:lineRule="auto"/>
        <w:ind w:firstLine="0"/>
        <w:rPr>
          <w:rFonts w:ascii="Times New Roman" w:hAnsi="Times New Roman"/>
          <w:sz w:val="24"/>
          <w:szCs w:val="24"/>
        </w:rPr>
      </w:pPr>
    </w:p>
    <w:p w14:paraId="6949EB9C" w14:textId="53E0BEF9" w:rsidR="00660847" w:rsidRDefault="00660847" w:rsidP="00660847">
      <w:pPr>
        <w:pStyle w:val="TAMainText"/>
        <w:spacing w:after="0" w:line="360" w:lineRule="auto"/>
        <w:ind w:firstLine="0"/>
        <w:rPr>
          <w:rFonts w:ascii="Times New Roman" w:hAnsi="Times New Roman"/>
          <w:sz w:val="24"/>
          <w:szCs w:val="24"/>
        </w:rPr>
      </w:pPr>
    </w:p>
    <w:p w14:paraId="700B4799" w14:textId="7BC69D0F" w:rsidR="00660847" w:rsidRDefault="00660847" w:rsidP="00660847">
      <w:pPr>
        <w:pStyle w:val="TAMainText"/>
        <w:spacing w:after="0" w:line="360" w:lineRule="auto"/>
        <w:ind w:firstLine="0"/>
        <w:rPr>
          <w:rFonts w:ascii="Times New Roman" w:hAnsi="Times New Roman"/>
          <w:sz w:val="24"/>
          <w:szCs w:val="24"/>
        </w:rPr>
      </w:pPr>
    </w:p>
    <w:p w14:paraId="0D84389F" w14:textId="247CDC18" w:rsidR="00660847" w:rsidRDefault="00660847" w:rsidP="00660847">
      <w:pPr>
        <w:pStyle w:val="TAMainText"/>
        <w:spacing w:after="0" w:line="360" w:lineRule="auto"/>
        <w:ind w:firstLine="0"/>
        <w:rPr>
          <w:rFonts w:ascii="Times New Roman" w:hAnsi="Times New Roman"/>
          <w:sz w:val="24"/>
          <w:szCs w:val="24"/>
        </w:rPr>
      </w:pPr>
    </w:p>
    <w:p w14:paraId="65143E43" w14:textId="54A57D5C" w:rsidR="00660847" w:rsidRDefault="00660847" w:rsidP="00660847">
      <w:pPr>
        <w:pStyle w:val="TAMainText"/>
        <w:spacing w:after="0" w:line="360" w:lineRule="auto"/>
        <w:ind w:firstLine="0"/>
        <w:rPr>
          <w:rFonts w:ascii="Times New Roman" w:hAnsi="Times New Roman"/>
          <w:sz w:val="24"/>
          <w:szCs w:val="24"/>
        </w:rPr>
      </w:pPr>
    </w:p>
    <w:p w14:paraId="6BC71746" w14:textId="4FD4C500" w:rsidR="00660847" w:rsidRDefault="00660847" w:rsidP="00660847">
      <w:pPr>
        <w:pStyle w:val="TAMainText"/>
        <w:spacing w:after="0" w:line="360" w:lineRule="auto"/>
        <w:ind w:firstLine="0"/>
        <w:rPr>
          <w:rFonts w:ascii="Times New Roman" w:hAnsi="Times New Roman"/>
          <w:sz w:val="24"/>
          <w:szCs w:val="24"/>
        </w:rPr>
      </w:pPr>
    </w:p>
    <w:p w14:paraId="3096727C" w14:textId="16B2BE97" w:rsidR="00660847" w:rsidRDefault="00660847" w:rsidP="00660847">
      <w:pPr>
        <w:pStyle w:val="TAMainText"/>
        <w:spacing w:after="0" w:line="360" w:lineRule="auto"/>
        <w:ind w:firstLine="0"/>
        <w:rPr>
          <w:rFonts w:ascii="Times New Roman" w:hAnsi="Times New Roman"/>
          <w:sz w:val="24"/>
          <w:szCs w:val="24"/>
        </w:rPr>
      </w:pPr>
    </w:p>
    <w:p w14:paraId="62465B87" w14:textId="40323E7B" w:rsidR="00660847" w:rsidRDefault="00660847" w:rsidP="00660847">
      <w:pPr>
        <w:pStyle w:val="TAMainText"/>
        <w:spacing w:after="0" w:line="360" w:lineRule="auto"/>
        <w:ind w:firstLine="0"/>
        <w:rPr>
          <w:rFonts w:ascii="Times New Roman" w:hAnsi="Times New Roman"/>
          <w:sz w:val="24"/>
          <w:szCs w:val="24"/>
        </w:rPr>
      </w:pPr>
    </w:p>
    <w:p w14:paraId="6293D8DC" w14:textId="5CF36A81" w:rsidR="00660847" w:rsidRDefault="00660847" w:rsidP="00660847">
      <w:pPr>
        <w:pStyle w:val="TAMainText"/>
        <w:spacing w:after="0" w:line="360" w:lineRule="auto"/>
        <w:ind w:firstLine="0"/>
        <w:rPr>
          <w:rFonts w:ascii="Times New Roman" w:hAnsi="Times New Roman"/>
          <w:sz w:val="24"/>
          <w:szCs w:val="24"/>
        </w:rPr>
      </w:pPr>
    </w:p>
    <w:p w14:paraId="0149B700" w14:textId="03FE3034" w:rsidR="00660847" w:rsidRDefault="00660847" w:rsidP="00660847">
      <w:pPr>
        <w:pStyle w:val="TAMainText"/>
        <w:spacing w:after="0" w:line="360" w:lineRule="auto"/>
        <w:ind w:firstLine="0"/>
        <w:rPr>
          <w:rFonts w:ascii="Times New Roman" w:hAnsi="Times New Roman"/>
          <w:sz w:val="24"/>
          <w:szCs w:val="24"/>
        </w:rPr>
      </w:pPr>
    </w:p>
    <w:p w14:paraId="498BED05" w14:textId="1810ABA6" w:rsidR="00660847" w:rsidRDefault="00660847" w:rsidP="00660847">
      <w:pPr>
        <w:pStyle w:val="TAMainText"/>
        <w:spacing w:after="0" w:line="360" w:lineRule="auto"/>
        <w:ind w:firstLine="0"/>
        <w:rPr>
          <w:rFonts w:ascii="Times New Roman" w:hAnsi="Times New Roman"/>
          <w:sz w:val="24"/>
          <w:szCs w:val="24"/>
        </w:rPr>
      </w:pPr>
    </w:p>
    <w:p w14:paraId="5295B6D3" w14:textId="5493AD58" w:rsidR="00660847" w:rsidRDefault="00660847" w:rsidP="00660847">
      <w:pPr>
        <w:pStyle w:val="TAMainText"/>
        <w:spacing w:after="0" w:line="360" w:lineRule="auto"/>
        <w:ind w:firstLine="0"/>
        <w:rPr>
          <w:rFonts w:ascii="Times New Roman" w:hAnsi="Times New Roman"/>
          <w:sz w:val="24"/>
          <w:szCs w:val="24"/>
        </w:rPr>
      </w:pPr>
    </w:p>
    <w:p w14:paraId="406DEA00" w14:textId="53B6E474" w:rsidR="00660847" w:rsidRDefault="00660847" w:rsidP="00660847">
      <w:pPr>
        <w:pStyle w:val="TAMainText"/>
        <w:spacing w:after="0" w:line="360" w:lineRule="auto"/>
        <w:ind w:firstLine="0"/>
        <w:rPr>
          <w:rFonts w:ascii="Times New Roman" w:hAnsi="Times New Roman"/>
          <w:sz w:val="24"/>
          <w:szCs w:val="24"/>
        </w:rPr>
      </w:pPr>
    </w:p>
    <w:p w14:paraId="2A6729E8" w14:textId="52BF751C" w:rsidR="00660847" w:rsidRDefault="00660847" w:rsidP="00660847">
      <w:pPr>
        <w:pStyle w:val="TAMainText"/>
        <w:spacing w:after="0" w:line="360" w:lineRule="auto"/>
        <w:ind w:firstLine="0"/>
        <w:rPr>
          <w:rFonts w:ascii="Times New Roman" w:hAnsi="Times New Roman"/>
          <w:sz w:val="24"/>
          <w:szCs w:val="24"/>
        </w:rPr>
      </w:pPr>
    </w:p>
    <w:p w14:paraId="49213AFB" w14:textId="21446936" w:rsidR="00660847" w:rsidRDefault="00660847" w:rsidP="00660847">
      <w:pPr>
        <w:spacing w:line="360" w:lineRule="auto"/>
        <w:jc w:val="both"/>
        <w:rPr>
          <w:rFonts w:ascii="Times New Roman" w:eastAsia="Times New Roman" w:hAnsi="Times New Roman" w:cs="Times New Roman"/>
          <w:b/>
          <w:bCs/>
          <w:sz w:val="24"/>
          <w:szCs w:val="24"/>
          <w:lang w:val="en-US"/>
        </w:rPr>
      </w:pPr>
      <w:r w:rsidRPr="002938DA">
        <w:rPr>
          <w:rFonts w:ascii="Times New Roman" w:eastAsia="Times New Roman" w:hAnsi="Times New Roman" w:cs="Times New Roman"/>
          <w:b/>
          <w:bCs/>
          <w:sz w:val="24"/>
          <w:szCs w:val="24"/>
          <w:lang w:val="en-US"/>
        </w:rPr>
        <w:lastRenderedPageBreak/>
        <w:t>Supplementary figures</w:t>
      </w:r>
    </w:p>
    <w:p w14:paraId="58850C0A" w14:textId="032BCA28" w:rsidR="00660847" w:rsidRPr="002938DA" w:rsidRDefault="00660847" w:rsidP="00660847">
      <w:pPr>
        <w:spacing w:line="276" w:lineRule="auto"/>
        <w:jc w:val="both"/>
        <w:rPr>
          <w:rFonts w:ascii="Times New Roman" w:eastAsia="Times New Roman" w:hAnsi="Times New Roman" w:cs="Times New Roman"/>
          <w:b/>
          <w:bCs/>
          <w:sz w:val="24"/>
          <w:szCs w:val="24"/>
          <w:lang w:val="en-US"/>
        </w:rPr>
      </w:pPr>
      <w:r w:rsidRPr="002938DA">
        <w:rPr>
          <w:rFonts w:ascii="Times New Roman" w:hAnsi="Times New Roman"/>
          <w:b/>
          <w:bCs/>
          <w:sz w:val="24"/>
          <w:szCs w:val="24"/>
        </w:rPr>
        <w:t>Figure S1</w:t>
      </w:r>
    </w:p>
    <w:p w14:paraId="15FC861F" w14:textId="37EB68FF" w:rsidR="00660847" w:rsidRDefault="00660847" w:rsidP="00660847">
      <w:pPr>
        <w:pStyle w:val="TAMainText"/>
        <w:spacing w:after="0" w:line="360" w:lineRule="auto"/>
        <w:ind w:firstLine="0"/>
        <w:rPr>
          <w:rFonts w:ascii="Times New Roman" w:hAnsi="Times New Roman"/>
          <w:noProof/>
          <w:sz w:val="24"/>
          <w:szCs w:val="24"/>
        </w:rPr>
      </w:pPr>
      <w:r>
        <w:rPr>
          <w:rFonts w:ascii="Times New Roman" w:hAnsi="Times New Roman"/>
          <w:noProof/>
          <w:sz w:val="24"/>
          <w:szCs w:val="24"/>
        </w:rPr>
        <w:drawing>
          <wp:inline distT="0" distB="0" distL="0" distR="0" wp14:anchorId="7729E909" wp14:editId="46483FBC">
            <wp:extent cx="5882640" cy="5097780"/>
            <wp:effectExtent l="0" t="0" r="381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82640" cy="5097780"/>
                    </a:xfrm>
                    <a:prstGeom prst="rect">
                      <a:avLst/>
                    </a:prstGeom>
                    <a:noFill/>
                    <a:ln>
                      <a:noFill/>
                    </a:ln>
                  </pic:spPr>
                </pic:pic>
              </a:graphicData>
            </a:graphic>
          </wp:inline>
        </w:drawing>
      </w:r>
    </w:p>
    <w:p w14:paraId="5AADDD15" w14:textId="1A6F0122" w:rsidR="00660847" w:rsidRDefault="00660847" w:rsidP="00660847">
      <w:pPr>
        <w:pStyle w:val="NormalWeb"/>
        <w:spacing w:before="240" w:beforeAutospacing="0" w:after="240" w:afterAutospacing="0"/>
        <w:jc w:val="both"/>
      </w:pPr>
      <w:r w:rsidRPr="002938DA">
        <w:rPr>
          <w:b/>
          <w:bCs/>
        </w:rPr>
        <w:t>Figure S1.</w:t>
      </w:r>
      <w:r>
        <w:rPr>
          <w:b/>
          <w:bCs/>
        </w:rPr>
        <w:t xml:space="preserve"> </w:t>
      </w:r>
      <w:r w:rsidRPr="00660847">
        <w:rPr>
          <w:b/>
          <w:bCs/>
          <w:color w:val="000000"/>
        </w:rPr>
        <w:t>Characterization of human adipose-derived mesenchymal stromal cells (hASCs).</w:t>
      </w:r>
      <w:r w:rsidRPr="00660847">
        <w:rPr>
          <w:color w:val="000000"/>
        </w:rPr>
        <w:t xml:space="preserve"> A) Representative flow cytometry histograms showing the expression of positive MSC surface markers (CD73, CD90, CD105) and negative markers (negative cocktail) in Relative Fluorescence Units. Red solid lines represent antibody-stained samples; black dashed lines indicate isotype controls for each fluorochrome-conjugated antibody. B) Representative bright-field images of </w:t>
      </w:r>
      <w:proofErr w:type="spellStart"/>
      <w:r w:rsidRPr="00660847">
        <w:rPr>
          <w:color w:val="000000"/>
        </w:rPr>
        <w:t>hASC</w:t>
      </w:r>
      <w:proofErr w:type="spellEnd"/>
      <w:r w:rsidRPr="00660847">
        <w:rPr>
          <w:color w:val="000000"/>
        </w:rPr>
        <w:t xml:space="preserve"> differentiation toward </w:t>
      </w:r>
      <w:proofErr w:type="spellStart"/>
      <w:r w:rsidRPr="00660847">
        <w:rPr>
          <w:color w:val="000000"/>
        </w:rPr>
        <w:t>adipogenic</w:t>
      </w:r>
      <w:proofErr w:type="spellEnd"/>
      <w:r w:rsidRPr="00660847">
        <w:rPr>
          <w:color w:val="000000"/>
        </w:rPr>
        <w:t xml:space="preserve">, chondrogenic, and osteogenic lineages. Left: Oil Red O staining of intracellular lipid droplets at day 10 of </w:t>
      </w:r>
      <w:proofErr w:type="spellStart"/>
      <w:r w:rsidRPr="00660847">
        <w:rPr>
          <w:color w:val="000000"/>
        </w:rPr>
        <w:t>adipogenic</w:t>
      </w:r>
      <w:proofErr w:type="spellEnd"/>
      <w:r w:rsidRPr="00660847">
        <w:rPr>
          <w:color w:val="000000"/>
        </w:rPr>
        <w:t xml:space="preserve"> differentiation. Middle: </w:t>
      </w:r>
      <w:proofErr w:type="spellStart"/>
      <w:r w:rsidRPr="00660847">
        <w:rPr>
          <w:color w:val="000000"/>
        </w:rPr>
        <w:t>Alcian</w:t>
      </w:r>
      <w:proofErr w:type="spellEnd"/>
      <w:r w:rsidRPr="00660847">
        <w:rPr>
          <w:color w:val="000000"/>
        </w:rPr>
        <w:t xml:space="preserve"> Blue staining of extracellular proteoglycans at day 21 of chondrogenic differentiation. Nuclei were stained with Nuclear Fast Red (red). Right: Alizarin Red staining of calcium phosphate deposits at day 21 of osteogenic differentiation. Scale bars: 50 </w:t>
      </w:r>
      <w:proofErr w:type="spellStart"/>
      <w:r w:rsidRPr="00660847">
        <w:rPr>
          <w:color w:val="000000"/>
        </w:rPr>
        <w:t>μm</w:t>
      </w:r>
      <w:proofErr w:type="spellEnd"/>
      <w:r w:rsidRPr="00660847">
        <w:rPr>
          <w:color w:val="000000"/>
        </w:rPr>
        <w:t>. Images shown are representative of a single donor</w:t>
      </w:r>
      <w:r w:rsidRPr="00660847">
        <w:rPr>
          <w:b/>
          <w:bCs/>
          <w:color w:val="000000"/>
        </w:rPr>
        <w:t>.</w:t>
      </w:r>
    </w:p>
    <w:p w14:paraId="77E3697D" w14:textId="1CF40924" w:rsidR="00DC2B89" w:rsidRDefault="00DC2B89" w:rsidP="00DC2B89">
      <w:pPr>
        <w:spacing w:line="276" w:lineRule="auto"/>
        <w:jc w:val="both"/>
        <w:rPr>
          <w:rFonts w:ascii="Times New Roman" w:hAnsi="Times New Roman"/>
          <w:b/>
          <w:bCs/>
          <w:sz w:val="24"/>
          <w:szCs w:val="24"/>
        </w:rPr>
      </w:pPr>
      <w:r w:rsidRPr="002938DA">
        <w:rPr>
          <w:rFonts w:ascii="Times New Roman" w:hAnsi="Times New Roman"/>
          <w:b/>
          <w:bCs/>
          <w:sz w:val="24"/>
          <w:szCs w:val="24"/>
        </w:rPr>
        <w:lastRenderedPageBreak/>
        <w:t>Figure S</w:t>
      </w:r>
      <w:r>
        <w:rPr>
          <w:rFonts w:ascii="Times New Roman" w:hAnsi="Times New Roman"/>
          <w:b/>
          <w:bCs/>
          <w:sz w:val="24"/>
          <w:szCs w:val="24"/>
        </w:rPr>
        <w:t>2</w:t>
      </w:r>
    </w:p>
    <w:p w14:paraId="590F66FE" w14:textId="73C9A2D9" w:rsidR="00DC2B89" w:rsidRPr="002938DA" w:rsidRDefault="00DC2B89" w:rsidP="00DC2B89">
      <w:pPr>
        <w:spacing w:line="276" w:lineRule="auto"/>
        <w:jc w:val="both"/>
        <w:rPr>
          <w:rFonts w:ascii="Times New Roman" w:eastAsia="Times New Roman" w:hAnsi="Times New Roman" w:cs="Times New Roman"/>
          <w:b/>
          <w:bCs/>
          <w:sz w:val="24"/>
          <w:szCs w:val="24"/>
          <w:lang w:val="en-US"/>
        </w:rPr>
      </w:pPr>
      <w:r>
        <w:rPr>
          <w:rFonts w:ascii="Times New Roman" w:hAnsi="Times New Roman"/>
          <w:b/>
          <w:bCs/>
          <w:noProof/>
          <w:sz w:val="24"/>
          <w:szCs w:val="24"/>
        </w:rPr>
        <w:drawing>
          <wp:inline distT="0" distB="0" distL="0" distR="0" wp14:anchorId="106DD246" wp14:editId="11E40612">
            <wp:extent cx="5935980" cy="5836920"/>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5980" cy="5836920"/>
                    </a:xfrm>
                    <a:prstGeom prst="rect">
                      <a:avLst/>
                    </a:prstGeom>
                    <a:noFill/>
                    <a:ln>
                      <a:noFill/>
                    </a:ln>
                  </pic:spPr>
                </pic:pic>
              </a:graphicData>
            </a:graphic>
          </wp:inline>
        </w:drawing>
      </w:r>
    </w:p>
    <w:p w14:paraId="5D27CE36" w14:textId="092474E0" w:rsidR="00660847" w:rsidRDefault="00DC2B89" w:rsidP="00DC2B89">
      <w:pPr>
        <w:jc w:val="both"/>
        <w:rPr>
          <w:rFonts w:ascii="Times New Roman" w:hAnsi="Times New Roman" w:cs="Times New Roman"/>
          <w:color w:val="000000"/>
          <w:sz w:val="24"/>
          <w:szCs w:val="24"/>
        </w:rPr>
      </w:pPr>
      <w:r w:rsidRPr="00DC2B89">
        <w:rPr>
          <w:rFonts w:ascii="Times New Roman" w:hAnsi="Times New Roman" w:cs="Times New Roman"/>
          <w:b/>
          <w:bCs/>
          <w:sz w:val="24"/>
          <w:szCs w:val="24"/>
        </w:rPr>
        <w:t xml:space="preserve">Figure S2. </w:t>
      </w:r>
      <w:r w:rsidRPr="00DC2B89">
        <w:rPr>
          <w:rFonts w:ascii="Times New Roman" w:hAnsi="Times New Roman" w:cs="Times New Roman"/>
          <w:b/>
          <w:bCs/>
          <w:color w:val="000000"/>
          <w:sz w:val="24"/>
          <w:szCs w:val="24"/>
        </w:rPr>
        <w:t xml:space="preserve">Proteomic data quality analysis following 14-3-3γ knockdown in hASCs. </w:t>
      </w:r>
      <w:r w:rsidRPr="00DC2B89">
        <w:rPr>
          <w:rFonts w:ascii="Times New Roman" w:hAnsi="Times New Roman" w:cs="Times New Roman"/>
          <w:color w:val="000000"/>
          <w:sz w:val="24"/>
          <w:szCs w:val="24"/>
        </w:rPr>
        <w:t>A) Box-plot showing the distribution of log₂-transformed label-free quantification (LFQ) intensities for the 2147 proteins identified across all samples. The analysis was performed using the Perseus software v1.6.15.0 (</w:t>
      </w:r>
      <w:proofErr w:type="spellStart"/>
      <w:r w:rsidRPr="00DC2B89">
        <w:rPr>
          <w:rFonts w:ascii="Times New Roman" w:hAnsi="Times New Roman" w:cs="Times New Roman"/>
          <w:color w:val="000000"/>
          <w:sz w:val="24"/>
          <w:szCs w:val="24"/>
        </w:rPr>
        <w:t>MaxQuant</w:t>
      </w:r>
      <w:proofErr w:type="spellEnd"/>
      <w:r w:rsidRPr="00DC2B89">
        <w:rPr>
          <w:rFonts w:ascii="Times New Roman" w:hAnsi="Times New Roman" w:cs="Times New Roman"/>
          <w:color w:val="000000"/>
          <w:sz w:val="24"/>
          <w:szCs w:val="24"/>
        </w:rPr>
        <w:t>). B)</w:t>
      </w:r>
      <w:r>
        <w:rPr>
          <w:rFonts w:ascii="Times New Roman" w:hAnsi="Times New Roman" w:cs="Times New Roman"/>
          <w:color w:val="000000"/>
          <w:sz w:val="24"/>
          <w:szCs w:val="24"/>
        </w:rPr>
        <w:t xml:space="preserve"> </w:t>
      </w:r>
      <w:r w:rsidRPr="00DC2B89">
        <w:rPr>
          <w:rFonts w:ascii="Times New Roman" w:hAnsi="Times New Roman" w:cs="Times New Roman"/>
          <w:color w:val="000000"/>
          <w:sz w:val="24"/>
          <w:szCs w:val="24"/>
        </w:rPr>
        <w:t xml:space="preserve">Hierarchical clustering heatmap based on Pearson correlation coefficients between all samples from Ad-GFP– and Ad-shG–infected hASCs. The </w:t>
      </w:r>
      <w:proofErr w:type="spellStart"/>
      <w:r w:rsidRPr="00DC2B89">
        <w:rPr>
          <w:rFonts w:ascii="Times New Roman" w:hAnsi="Times New Roman" w:cs="Times New Roman"/>
          <w:color w:val="000000"/>
          <w:sz w:val="24"/>
          <w:szCs w:val="24"/>
        </w:rPr>
        <w:t>color</w:t>
      </w:r>
      <w:proofErr w:type="spellEnd"/>
      <w:r w:rsidRPr="00DC2B89">
        <w:rPr>
          <w:rFonts w:ascii="Times New Roman" w:hAnsi="Times New Roman" w:cs="Times New Roman"/>
          <w:color w:val="000000"/>
          <w:sz w:val="24"/>
          <w:szCs w:val="24"/>
        </w:rPr>
        <w:t xml:space="preserve"> scale ranges from a minimum correlation of 0.8 to a maximum of 1. The analysis was performed using the Perseus software v1.6.15.0 (</w:t>
      </w:r>
      <w:proofErr w:type="spellStart"/>
      <w:r w:rsidRPr="00DC2B89">
        <w:rPr>
          <w:rFonts w:ascii="Times New Roman" w:hAnsi="Times New Roman" w:cs="Times New Roman"/>
          <w:color w:val="000000"/>
          <w:sz w:val="24"/>
          <w:szCs w:val="24"/>
        </w:rPr>
        <w:t>MaxQuant</w:t>
      </w:r>
      <w:proofErr w:type="spellEnd"/>
      <w:r w:rsidRPr="00DC2B89">
        <w:rPr>
          <w:rFonts w:ascii="Times New Roman" w:hAnsi="Times New Roman" w:cs="Times New Roman"/>
          <w:color w:val="000000"/>
          <w:sz w:val="24"/>
          <w:szCs w:val="24"/>
        </w:rPr>
        <w:t>). C) Principal component analysis (PCA) showing variance between Ad-shG (purple dots) and Ad-GFP (green dots) sample groups. PCA was performed in</w:t>
      </w:r>
      <w:r w:rsidRPr="00DC2B89">
        <w:rPr>
          <w:rFonts w:ascii="Times New Roman" w:hAnsi="Times New Roman" w:cs="Times New Roman"/>
          <w:b/>
          <w:bCs/>
          <w:color w:val="000000"/>
          <w:sz w:val="24"/>
          <w:szCs w:val="24"/>
        </w:rPr>
        <w:t xml:space="preserve"> </w:t>
      </w:r>
      <w:r w:rsidRPr="00DC2B89">
        <w:rPr>
          <w:rFonts w:ascii="Times New Roman" w:hAnsi="Times New Roman" w:cs="Times New Roman"/>
          <w:color w:val="000000"/>
          <w:sz w:val="24"/>
          <w:szCs w:val="24"/>
        </w:rPr>
        <w:t>Perseus software v1.6.15.0 (</w:t>
      </w:r>
      <w:proofErr w:type="spellStart"/>
      <w:r w:rsidRPr="00DC2B89">
        <w:rPr>
          <w:rFonts w:ascii="Times New Roman" w:hAnsi="Times New Roman" w:cs="Times New Roman"/>
          <w:color w:val="000000"/>
          <w:sz w:val="24"/>
          <w:szCs w:val="24"/>
        </w:rPr>
        <w:t>MaxQuant</w:t>
      </w:r>
      <w:proofErr w:type="spellEnd"/>
      <w:r w:rsidRPr="00DC2B89">
        <w:rPr>
          <w:rFonts w:ascii="Times New Roman" w:hAnsi="Times New Roman" w:cs="Times New Roman"/>
          <w:color w:val="000000"/>
          <w:sz w:val="24"/>
          <w:szCs w:val="24"/>
        </w:rPr>
        <w:t>).</w:t>
      </w:r>
    </w:p>
    <w:p w14:paraId="0F1B7A9B" w14:textId="7253A56B" w:rsidR="00DC2B89" w:rsidRDefault="00DC2B89" w:rsidP="00DC2B89">
      <w:pPr>
        <w:spacing w:line="276" w:lineRule="auto"/>
        <w:jc w:val="both"/>
        <w:rPr>
          <w:rFonts w:ascii="Times New Roman" w:hAnsi="Times New Roman"/>
          <w:b/>
          <w:bCs/>
          <w:sz w:val="24"/>
          <w:szCs w:val="24"/>
        </w:rPr>
      </w:pPr>
      <w:r w:rsidRPr="002938DA">
        <w:rPr>
          <w:rFonts w:ascii="Times New Roman" w:hAnsi="Times New Roman"/>
          <w:b/>
          <w:bCs/>
          <w:sz w:val="24"/>
          <w:szCs w:val="24"/>
        </w:rPr>
        <w:lastRenderedPageBreak/>
        <w:t>Figure S</w:t>
      </w:r>
      <w:r>
        <w:rPr>
          <w:rFonts w:ascii="Times New Roman" w:hAnsi="Times New Roman"/>
          <w:b/>
          <w:bCs/>
          <w:sz w:val="24"/>
          <w:szCs w:val="24"/>
        </w:rPr>
        <w:t>3</w:t>
      </w:r>
    </w:p>
    <w:p w14:paraId="0DFDE5EC" w14:textId="2BE930C4" w:rsidR="00DC2B89" w:rsidRDefault="00DC2B89" w:rsidP="00DC2B89">
      <w:pPr>
        <w:spacing w:line="276" w:lineRule="auto"/>
        <w:jc w:val="both"/>
        <w:rPr>
          <w:rFonts w:ascii="Times New Roman" w:hAnsi="Times New Roman"/>
          <w:b/>
          <w:bCs/>
          <w:sz w:val="24"/>
          <w:szCs w:val="24"/>
        </w:rPr>
      </w:pPr>
      <w:r>
        <w:rPr>
          <w:rFonts w:ascii="Times New Roman" w:hAnsi="Times New Roman"/>
          <w:b/>
          <w:bCs/>
          <w:noProof/>
          <w:sz w:val="24"/>
          <w:szCs w:val="24"/>
        </w:rPr>
        <w:drawing>
          <wp:inline distT="0" distB="0" distL="0" distR="0" wp14:anchorId="5FC16F5B" wp14:editId="5539F7ED">
            <wp:extent cx="5935980" cy="6484620"/>
            <wp:effectExtent l="0" t="0" r="762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5980" cy="6484620"/>
                    </a:xfrm>
                    <a:prstGeom prst="rect">
                      <a:avLst/>
                    </a:prstGeom>
                    <a:noFill/>
                    <a:ln>
                      <a:noFill/>
                    </a:ln>
                  </pic:spPr>
                </pic:pic>
              </a:graphicData>
            </a:graphic>
          </wp:inline>
        </w:drawing>
      </w:r>
    </w:p>
    <w:p w14:paraId="57B51AC9" w14:textId="77777777" w:rsidR="00DC2B89" w:rsidRDefault="00DC2B89" w:rsidP="00DC2B89">
      <w:pPr>
        <w:pStyle w:val="NormalWeb"/>
        <w:spacing w:before="240" w:beforeAutospacing="0" w:after="240" w:afterAutospacing="0"/>
        <w:jc w:val="both"/>
      </w:pPr>
      <w:r w:rsidRPr="00DC2B89">
        <w:rPr>
          <w:b/>
          <w:bCs/>
        </w:rPr>
        <w:t>Figure S</w:t>
      </w:r>
      <w:r>
        <w:rPr>
          <w:b/>
          <w:bCs/>
        </w:rPr>
        <w:t>3</w:t>
      </w:r>
      <w:r w:rsidRPr="00DC2B89">
        <w:rPr>
          <w:b/>
          <w:bCs/>
        </w:rPr>
        <w:t>.</w:t>
      </w:r>
      <w:r>
        <w:rPr>
          <w:b/>
          <w:bCs/>
        </w:rPr>
        <w:t xml:space="preserve"> </w:t>
      </w:r>
      <w:r w:rsidRPr="00DC2B89">
        <w:rPr>
          <w:b/>
          <w:bCs/>
          <w:color w:val="000000"/>
        </w:rPr>
        <w:t>Subcellular enrichment analysis following 14-3-3γ knockdown in hASCs</w:t>
      </w:r>
      <w:r>
        <w:rPr>
          <w:rFonts w:ascii="Arial" w:hAnsi="Arial" w:cs="Arial"/>
          <w:b/>
          <w:bCs/>
          <w:color w:val="000000"/>
        </w:rPr>
        <w:t xml:space="preserve">. </w:t>
      </w:r>
      <w:r w:rsidRPr="00DC2B89">
        <w:rPr>
          <w:color w:val="000000"/>
        </w:rPr>
        <w:t xml:space="preserve">Subcellular compartment enrichment analysis of downregulated (top) and upregulated (bottom) proteins in Ad-shG </w:t>
      </w:r>
      <w:r w:rsidRPr="00DC2B89">
        <w:rPr>
          <w:i/>
          <w:iCs/>
          <w:color w:val="000000"/>
        </w:rPr>
        <w:t>versus</w:t>
      </w:r>
      <w:r w:rsidRPr="00DC2B89">
        <w:rPr>
          <w:color w:val="000000"/>
        </w:rPr>
        <w:t xml:space="preserve"> Ad-GFP samples. </w:t>
      </w:r>
      <w:proofErr w:type="spellStart"/>
      <w:r w:rsidRPr="00DC2B89">
        <w:rPr>
          <w:color w:val="000000"/>
        </w:rPr>
        <w:t>Barplots</w:t>
      </w:r>
      <w:proofErr w:type="spellEnd"/>
      <w:r w:rsidRPr="00DC2B89">
        <w:rPr>
          <w:color w:val="000000"/>
        </w:rPr>
        <w:t xml:space="preserve"> indicate intersection sizes across annotated subcellular localizations, highlighting organelles enriched among differentially regulated proteins. The analysis was performed using the </w:t>
      </w:r>
      <w:proofErr w:type="spellStart"/>
      <w:r w:rsidRPr="00DC2B89">
        <w:rPr>
          <w:color w:val="000000"/>
        </w:rPr>
        <w:t>SubcellulaRVis</w:t>
      </w:r>
      <w:proofErr w:type="spellEnd"/>
      <w:r w:rsidRPr="00DC2B89">
        <w:rPr>
          <w:color w:val="000000"/>
        </w:rPr>
        <w:t xml:space="preserve"> web tool, which integrates Gene Ontology Cellular Component (GOCC) annotations.</w:t>
      </w:r>
    </w:p>
    <w:p w14:paraId="4A6347F5" w14:textId="588C2A9C" w:rsidR="00C6689A" w:rsidRPr="00C6689A" w:rsidRDefault="00DC2B89" w:rsidP="00DC2B89">
      <w:pPr>
        <w:jc w:val="both"/>
        <w:rPr>
          <w:rFonts w:ascii="Times New Roman" w:eastAsia="Times New Roman" w:hAnsi="Times New Roman" w:cs="Times New Roman"/>
          <w:b/>
          <w:noProof/>
          <w:kern w:val="21"/>
          <w:sz w:val="24"/>
          <w:szCs w:val="24"/>
          <w:lang w:val="en-US"/>
        </w:rPr>
      </w:pPr>
      <w:r w:rsidRPr="00C6689A">
        <w:rPr>
          <w:rFonts w:ascii="Arial" w:hAnsi="Arial" w:cs="Arial"/>
          <w:b/>
          <w:color w:val="000000"/>
        </w:rPr>
        <w:lastRenderedPageBreak/>
        <w:t xml:space="preserve"> </w:t>
      </w:r>
      <w:r w:rsidR="00C6689A" w:rsidRPr="00C6689A">
        <w:rPr>
          <w:rFonts w:ascii="Times New Roman" w:eastAsia="Times New Roman" w:hAnsi="Times New Roman" w:cs="Times New Roman"/>
          <w:b/>
          <w:sz w:val="24"/>
          <w:szCs w:val="24"/>
        </w:rPr>
        <w:t>Table S1</w:t>
      </w:r>
    </w:p>
    <w:tbl>
      <w:tblPr>
        <w:tblStyle w:val="Tablaconcuadrcula1clara-nfasis5"/>
        <w:tblW w:w="10260" w:type="dxa"/>
        <w:tblInd w:w="-185" w:type="dxa"/>
        <w:tblLayout w:type="fixed"/>
        <w:tblLook w:val="04A0" w:firstRow="1" w:lastRow="0" w:firstColumn="1" w:lastColumn="0" w:noHBand="0" w:noVBand="1"/>
      </w:tblPr>
      <w:tblGrid>
        <w:gridCol w:w="1080"/>
        <w:gridCol w:w="1440"/>
        <w:gridCol w:w="5040"/>
        <w:gridCol w:w="1080"/>
        <w:gridCol w:w="1620"/>
      </w:tblGrid>
      <w:tr w:rsidR="00C6689A" w:rsidRPr="00112610" w14:paraId="1058A9BD" w14:textId="77777777" w:rsidTr="001126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shd w:val="clear" w:color="auto" w:fill="F7CAAC" w:themeFill="accent2" w:themeFillTint="66"/>
            <w:vAlign w:val="center"/>
          </w:tcPr>
          <w:p w14:paraId="5DCC6FEC" w14:textId="77777777" w:rsidR="00C6689A" w:rsidRPr="00112610" w:rsidRDefault="00C6689A" w:rsidP="007F150D">
            <w:pPr>
              <w:spacing w:line="360" w:lineRule="auto"/>
              <w:jc w:val="center"/>
              <w:rPr>
                <w:rFonts w:ascii="Times New Roman" w:hAnsi="Times New Roman" w:cs="Times New Roman"/>
              </w:rPr>
            </w:pPr>
            <w:bookmarkStart w:id="0" w:name="_Hlk170099569"/>
            <w:r w:rsidRPr="00112610">
              <w:rPr>
                <w:rFonts w:ascii="Times New Roman" w:hAnsi="Times New Roman" w:cs="Times New Roman"/>
              </w:rPr>
              <w:t>GENE</w:t>
            </w:r>
          </w:p>
        </w:tc>
        <w:tc>
          <w:tcPr>
            <w:tcW w:w="1440" w:type="dxa"/>
            <w:shd w:val="clear" w:color="auto" w:fill="F7CAAC" w:themeFill="accent2" w:themeFillTint="66"/>
            <w:vAlign w:val="center"/>
          </w:tcPr>
          <w:p w14:paraId="06EE9C7C" w14:textId="77777777" w:rsidR="00C6689A" w:rsidRPr="00112610" w:rsidRDefault="00C6689A" w:rsidP="007F150D">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t>PROTEIN</w:t>
            </w:r>
          </w:p>
        </w:tc>
        <w:tc>
          <w:tcPr>
            <w:tcW w:w="5040" w:type="dxa"/>
            <w:shd w:val="clear" w:color="auto" w:fill="F7CAAC" w:themeFill="accent2" w:themeFillTint="66"/>
            <w:vAlign w:val="center"/>
          </w:tcPr>
          <w:p w14:paraId="0AF5FC2B" w14:textId="77777777" w:rsidR="00C6689A" w:rsidRPr="00112610" w:rsidRDefault="00C6689A" w:rsidP="007F150D">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t>MOLECULAR FUNCTION</w:t>
            </w:r>
          </w:p>
        </w:tc>
        <w:tc>
          <w:tcPr>
            <w:tcW w:w="1080" w:type="dxa"/>
            <w:shd w:val="clear" w:color="auto" w:fill="F7CAAC" w:themeFill="accent2" w:themeFillTint="66"/>
            <w:vAlign w:val="center"/>
          </w:tcPr>
          <w:p w14:paraId="3E047F9F" w14:textId="77777777" w:rsidR="00112610" w:rsidRPr="00112610" w:rsidRDefault="00C6689A" w:rsidP="007F150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vertAlign w:val="subscript"/>
              </w:rPr>
            </w:pPr>
            <w:r w:rsidRPr="00112610">
              <w:rPr>
                <w:rFonts w:ascii="Times New Roman" w:hAnsi="Times New Roman" w:cs="Times New Roman"/>
              </w:rPr>
              <w:t>Log</w:t>
            </w:r>
            <w:r w:rsidRPr="00112610">
              <w:rPr>
                <w:rFonts w:ascii="Times New Roman" w:hAnsi="Times New Roman" w:cs="Times New Roman"/>
                <w:vertAlign w:val="subscript"/>
              </w:rPr>
              <w:t>2</w:t>
            </w:r>
          </w:p>
          <w:p w14:paraId="19D7BD2A" w14:textId="52270555" w:rsidR="00C6689A" w:rsidRPr="00112610" w:rsidRDefault="00C6689A" w:rsidP="007F150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112610">
              <w:rPr>
                <w:rFonts w:ascii="Times New Roman" w:hAnsi="Times New Roman" w:cs="Times New Roman"/>
              </w:rPr>
              <w:t>Fold</w:t>
            </w:r>
          </w:p>
          <w:p w14:paraId="0480A8F0" w14:textId="77777777" w:rsidR="00C6689A" w:rsidRPr="00112610" w:rsidRDefault="00C6689A" w:rsidP="007F150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t>Change</w:t>
            </w:r>
          </w:p>
        </w:tc>
        <w:tc>
          <w:tcPr>
            <w:tcW w:w="1620" w:type="dxa"/>
            <w:shd w:val="clear" w:color="auto" w:fill="F7CAAC" w:themeFill="accent2" w:themeFillTint="66"/>
            <w:vAlign w:val="center"/>
          </w:tcPr>
          <w:p w14:paraId="56DDA6E6" w14:textId="77777777" w:rsidR="00C6689A" w:rsidRPr="00112610" w:rsidRDefault="00C6689A" w:rsidP="007F150D">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t>REFERENCE</w:t>
            </w:r>
          </w:p>
        </w:tc>
      </w:tr>
      <w:tr w:rsidR="00C6689A" w:rsidRPr="00112610" w14:paraId="50B6C9C8" w14:textId="77777777" w:rsidTr="00112610">
        <w:tc>
          <w:tcPr>
            <w:cnfStyle w:val="001000000000" w:firstRow="0" w:lastRow="0" w:firstColumn="1" w:lastColumn="0" w:oddVBand="0" w:evenVBand="0" w:oddHBand="0" w:evenHBand="0" w:firstRowFirstColumn="0" w:firstRowLastColumn="0" w:lastRowFirstColumn="0" w:lastRowLastColumn="0"/>
            <w:tcW w:w="1080" w:type="dxa"/>
            <w:vAlign w:val="center"/>
          </w:tcPr>
          <w:p w14:paraId="34746584" w14:textId="77777777" w:rsidR="00C6689A" w:rsidRPr="00112610" w:rsidRDefault="00C6689A" w:rsidP="007F150D">
            <w:pPr>
              <w:jc w:val="center"/>
              <w:rPr>
                <w:rFonts w:ascii="Times New Roman" w:hAnsi="Times New Roman" w:cs="Times New Roman"/>
                <w:i/>
                <w:iCs/>
              </w:rPr>
            </w:pPr>
            <w:r w:rsidRPr="00112610">
              <w:rPr>
                <w:rFonts w:ascii="Times New Roman" w:hAnsi="Times New Roman" w:cs="Times New Roman"/>
                <w:i/>
                <w:iCs/>
              </w:rPr>
              <w:t>AKR1C1</w:t>
            </w:r>
          </w:p>
        </w:tc>
        <w:tc>
          <w:tcPr>
            <w:tcW w:w="1440" w:type="dxa"/>
            <w:vAlign w:val="center"/>
          </w:tcPr>
          <w:p w14:paraId="70675915"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xml:space="preserve">Aldo-Keto Reductase Family 1 Member C1 </w:t>
            </w:r>
          </w:p>
        </w:tc>
        <w:tc>
          <w:tcPr>
            <w:tcW w:w="5040" w:type="dxa"/>
          </w:tcPr>
          <w:p w14:paraId="730280FF" w14:textId="77777777" w:rsidR="00112610" w:rsidRPr="00112610" w:rsidRDefault="00112610" w:rsidP="0011261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Protein involved in the metabolism of aldehydes and ketones. It plays an essential role in the metabolism of steroid hormones such as progesterone and androsterone.</w:t>
            </w:r>
          </w:p>
          <w:p w14:paraId="421BB4D1" w14:textId="77777777" w:rsidR="00112610" w:rsidRPr="005A5301" w:rsidRDefault="00112610" w:rsidP="0011261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i/>
                <w:iCs/>
                <w:lang w:val="en-US"/>
              </w:rPr>
              <w:t xml:space="preserve"> </w:t>
            </w:r>
            <w:r w:rsidRPr="005A5301">
              <w:rPr>
                <w:rFonts w:ascii="Times New Roman" w:hAnsi="Times New Roman" w:cs="Times New Roman"/>
                <w:lang w:val="en-US"/>
              </w:rPr>
              <w:t>○ It is upregulated during the early stages of osteogenesis, with expression levels decreasing as differentiation progresses.</w:t>
            </w:r>
          </w:p>
          <w:p w14:paraId="3BF48B45" w14:textId="07CE6E0A" w:rsidR="00112610" w:rsidRPr="005A5301" w:rsidRDefault="00112610" w:rsidP="0011261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5A5301">
              <w:rPr>
                <w:rFonts w:ascii="Times New Roman" w:hAnsi="Times New Roman" w:cs="Times New Roman"/>
                <w:lang w:val="en-US"/>
              </w:rPr>
              <w:t xml:space="preserve"> ○ AKR1C1 acts as a negative regulator of osteogenesis in hASCs through modulation of the progesterone receptor.</w:t>
            </w:r>
          </w:p>
          <w:p w14:paraId="17418257" w14:textId="2F8FABA3" w:rsidR="00C6689A" w:rsidRPr="00112610" w:rsidRDefault="00112610" w:rsidP="0011261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5A5301">
              <w:rPr>
                <w:rFonts w:ascii="Times New Roman" w:hAnsi="Times New Roman" w:cs="Times New Roman"/>
                <w:lang w:val="en-US"/>
              </w:rPr>
              <w:t>○ AKR1C1 knockdown enhances osteogenic differentiation, as evidenced by increased TNAP activity, elevated RUNX2 levels, and greater mineralization.</w:t>
            </w:r>
          </w:p>
        </w:tc>
        <w:tc>
          <w:tcPr>
            <w:tcW w:w="1080" w:type="dxa"/>
            <w:vAlign w:val="center"/>
          </w:tcPr>
          <w:p w14:paraId="47321235"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4472C4" w:themeColor="accent1"/>
              </w:rPr>
            </w:pPr>
            <w:r w:rsidRPr="00112610">
              <w:rPr>
                <w:rFonts w:ascii="Times New Roman" w:hAnsi="Times New Roman" w:cs="Times New Roman"/>
                <w:b/>
                <w:bCs/>
                <w:color w:val="4472C4" w:themeColor="accent1"/>
              </w:rPr>
              <w:t>-0,82</w:t>
            </w:r>
          </w:p>
        </w:tc>
        <w:tc>
          <w:tcPr>
            <w:tcW w:w="1620" w:type="dxa"/>
            <w:vAlign w:val="center"/>
          </w:tcPr>
          <w:p w14:paraId="66F1437C" w14:textId="5F8D9A1D" w:rsidR="00C6689A" w:rsidRPr="00112610" w:rsidRDefault="00112610"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10.1186/s13287-021-02425-3","ISSN":"1757-6512","author":[{"dropping-particle":"","family":"Liu","given":"Xuenan","non-dropping-particle":"","parse-names":false,"suffix":""},{"dropping-particle":"","family":"Lian","given":"Xiaomin","non-dropping-particle":"","parse-names":false,"suffix":""},{"dropping-particle":"","family":"Liu","given":"Xuejiao","non-dropping-particle":"","parse-names":false,"suffix":""},{"dropping-particle":"","family":"Du","given":"Yangge","non-dropping-particle":"","parse-names":false,"suffix":""},{"dropping-particle":"","family":"Zhu","given":"Yuan","non-dropping-particle":"","parse-names":false,"suffix":""},{"dropping-particle":"","family":"Hu","given":"Menglong","non-dropping-particle":"","parse-names":false,"suffix":""},{"dropping-particle":"","family":"Zhang","given":"Ping","non-dropping-particle":"","parse-names":false,"suffix":""},{"dropping-particle":"","family":"Liu","given":"Yunsong","non-dropping-particle":"","parse-names":false,"suffix":""},{"dropping-particle":"","family":"Zhou","given":"Yongsheng","non-dropping-particle":"","parse-names":false,"suffix":""}],"container-title":"Stem Cell Research &amp; Therapy","id":"ITEM-1","issue":"1","issued":{"date-parts":[["2021","12","7"]]},"page":"383","title":"Aldo-keto reductase family 1 member C1 regulates the osteogenic differentiation of human ASCs by targeting the progesterone receptor","type":"article-journal","volume":"12"},"uris":["http://www.mendeley.com/documents/?uuid=04e4d5cf-46f3-467c-b047-10d688b013a9"]}],"mendeley":{"formattedCitation":"[1]","plainTextFormattedCitation":"[1]","previouslyFormattedCitation":"[1]"},"properties":{"noteIndex":0},"schema":"https://github.com/citation-style-language/schema/raw/master/csl-citation.json"}</w:instrText>
            </w:r>
            <w:r>
              <w:rPr>
                <w:rFonts w:ascii="Times New Roman" w:hAnsi="Times New Roman" w:cs="Times New Roman"/>
              </w:rPr>
              <w:fldChar w:fldCharType="separate"/>
            </w:r>
            <w:r w:rsidRPr="00112610">
              <w:rPr>
                <w:rFonts w:ascii="Times New Roman" w:hAnsi="Times New Roman" w:cs="Times New Roman"/>
                <w:noProof/>
              </w:rPr>
              <w:t>[1]</w:t>
            </w:r>
            <w:r>
              <w:rPr>
                <w:rFonts w:ascii="Times New Roman" w:hAnsi="Times New Roman" w:cs="Times New Roman"/>
              </w:rPr>
              <w:fldChar w:fldCharType="end"/>
            </w:r>
          </w:p>
        </w:tc>
      </w:tr>
      <w:tr w:rsidR="00C6689A" w:rsidRPr="00112610" w14:paraId="5B824550" w14:textId="77777777" w:rsidTr="00112610">
        <w:tc>
          <w:tcPr>
            <w:cnfStyle w:val="001000000000" w:firstRow="0" w:lastRow="0" w:firstColumn="1" w:lastColumn="0" w:oddVBand="0" w:evenVBand="0" w:oddHBand="0" w:evenHBand="0" w:firstRowFirstColumn="0" w:firstRowLastColumn="0" w:lastRowFirstColumn="0" w:lastRowLastColumn="0"/>
            <w:tcW w:w="1080" w:type="dxa"/>
            <w:vAlign w:val="center"/>
          </w:tcPr>
          <w:p w14:paraId="0F67E06A" w14:textId="77777777" w:rsidR="00C6689A" w:rsidRPr="00112610" w:rsidRDefault="00C6689A" w:rsidP="007F150D">
            <w:pPr>
              <w:spacing w:line="360" w:lineRule="auto"/>
              <w:jc w:val="center"/>
              <w:rPr>
                <w:rFonts w:ascii="Times New Roman" w:hAnsi="Times New Roman" w:cs="Times New Roman"/>
                <w:i/>
                <w:iCs/>
              </w:rPr>
            </w:pPr>
            <w:r w:rsidRPr="00112610">
              <w:rPr>
                <w:rFonts w:ascii="Times New Roman" w:hAnsi="Times New Roman" w:cs="Times New Roman"/>
                <w:i/>
                <w:iCs/>
              </w:rPr>
              <w:t>CAV1</w:t>
            </w:r>
          </w:p>
        </w:tc>
        <w:tc>
          <w:tcPr>
            <w:tcW w:w="1440" w:type="dxa"/>
            <w:vAlign w:val="center"/>
          </w:tcPr>
          <w:p w14:paraId="1F19056C"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lang w:val="en-US"/>
              </w:rPr>
              <w:t>Caveolin 1</w:t>
            </w:r>
          </w:p>
        </w:tc>
        <w:tc>
          <w:tcPr>
            <w:tcW w:w="5040" w:type="dxa"/>
            <w:vAlign w:val="center"/>
          </w:tcPr>
          <w:p w14:paraId="4CDF6CD6" w14:textId="77777777" w:rsidR="00112610" w:rsidRPr="00112610" w:rsidRDefault="00112610" w:rsidP="0011261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Scaffolding protein of cholesterol-rich caveolae lipid rafts in the plasma membrane</w:t>
            </w:r>
          </w:p>
          <w:p w14:paraId="325F1F57" w14:textId="7356BBE2" w:rsidR="00112610" w:rsidRPr="005A5301" w:rsidRDefault="00112610" w:rsidP="00824C5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i/>
                <w:iCs/>
                <w:lang w:val="en-US"/>
              </w:rPr>
              <w:t xml:space="preserve">○ </w:t>
            </w:r>
            <w:r w:rsidRPr="005A5301">
              <w:rPr>
                <w:rFonts w:ascii="Times New Roman" w:hAnsi="Times New Roman" w:cs="Times New Roman"/>
                <w:lang w:val="en-US"/>
              </w:rPr>
              <w:t xml:space="preserve">CAV1 knockdown enhances TNAP activity and mineralization (as assessed by Alizarin Red S staining) in bone marrow-derived mesenchymal stem cells </w:t>
            </w:r>
          </w:p>
          <w:p w14:paraId="06421F08" w14:textId="77777777" w:rsidR="00112610" w:rsidRPr="005A5301" w:rsidRDefault="00112610" w:rsidP="00824C5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5A5301">
              <w:rPr>
                <w:rFonts w:ascii="Times New Roman" w:hAnsi="Times New Roman" w:cs="Times New Roman"/>
                <w:lang w:val="en-US"/>
              </w:rPr>
              <w:t>○ Caveolin-1 expression increases progressively during osteogenesis.</w:t>
            </w:r>
          </w:p>
          <w:p w14:paraId="27F3734B" w14:textId="31AD21E4" w:rsidR="00C6689A" w:rsidRPr="00112610" w:rsidRDefault="00112610" w:rsidP="00824C5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5A5301">
              <w:rPr>
                <w:rFonts w:ascii="Times New Roman" w:hAnsi="Times New Roman" w:cs="Times New Roman"/>
                <w:lang w:val="en-US"/>
              </w:rPr>
              <w:t xml:space="preserve"> ○ Caveolin-1 knockout mice display increased bone volume during postnatal growth.</w:t>
            </w:r>
          </w:p>
        </w:tc>
        <w:tc>
          <w:tcPr>
            <w:tcW w:w="1080" w:type="dxa"/>
            <w:vAlign w:val="center"/>
          </w:tcPr>
          <w:p w14:paraId="419AD372"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4472C4" w:themeColor="accent1"/>
              </w:rPr>
            </w:pPr>
            <w:r w:rsidRPr="00112610">
              <w:rPr>
                <w:rFonts w:ascii="Times New Roman" w:hAnsi="Times New Roman" w:cs="Times New Roman"/>
                <w:b/>
                <w:bCs/>
                <w:color w:val="4472C4" w:themeColor="accent1"/>
              </w:rPr>
              <w:t>-0,42</w:t>
            </w:r>
          </w:p>
        </w:tc>
        <w:tc>
          <w:tcPr>
            <w:tcW w:w="1620" w:type="dxa"/>
            <w:vAlign w:val="center"/>
          </w:tcPr>
          <w:p w14:paraId="23BE6DAD" w14:textId="4125457E" w:rsidR="00C6689A" w:rsidRPr="00112610" w:rsidRDefault="00112610"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fldChar w:fldCharType="begin" w:fldLock="1"/>
            </w:r>
            <w:r w:rsidR="005A5301">
              <w:rPr>
                <w:rFonts w:ascii="Times New Roman" w:hAnsi="Times New Roman" w:cs="Times New Roman"/>
                <w:lang w:val="en-US"/>
              </w:rPr>
              <w:instrText xml:space="preserve">ADDIN CSL_CITATION {"citationItems":[{"id":"ITEM-1","itemData":{"DOI":"10.1002/jcb.24252","ISSN":"0730-2312","abstract":"Caveolin‐1 is a scaffolding protein of cholesterol‐rich caveolae lipid rafts in the plasma membrane. In addition to regulating cholesterol transport, caveolin‐1 has the ability to bind a diverse array of cell signaling molecules and regulate cell signal transduction in caveolae. Currently, there is little known about the role of caveolin‐1 in stem cells. It has been reported that the caveolin‐1 null mouse has an expanded population of cells expressing stem cell markers in the gut, mammary gland, and brain, suggestive of a role for caveolin‐1 in stem cell regulation. The caveolin‐1 null mouse also has increased bone mass and an increased bone formation rate, and its bone marrow‐derived mesenchymal stem cells (MSCs) have enhanced osteogenic potential. However, the role of caveolin‐1 in human MSC osteogenic differentiation remains unexplored. In this study, we have characterized the expression of caveolin‐1 in human bone marrow derived MSCs. We show that caveolin‐1 protein is enriched in density gradient‐fractionated MSC plasma membrane, consisting of </w:instrText>
            </w:r>
            <w:r w:rsidR="005A5301">
              <w:rPr>
                <w:rFonts w:ascii="Cambria Math" w:hAnsi="Cambria Math" w:cs="Cambria Math"/>
                <w:lang w:val="en-US"/>
              </w:rPr>
              <w:instrText>∼</w:instrText>
            </w:r>
            <w:r w:rsidR="005A5301">
              <w:rPr>
                <w:rFonts w:ascii="Times New Roman" w:hAnsi="Times New Roman" w:cs="Times New Roman"/>
                <w:lang w:val="en-US"/>
              </w:rPr>
              <w:instrText>100 nm diameter membrane‐bound vesicles, and is distributed in a punctate pattern by immunofluoresence localization. Expression of caveolin‐1 increases in MSCs induced to undergo osteogenic differentiation, and siRNA‐mediated knockdown of caveolin‐1 expression enhances MSC proliferation and osteogenic differentiation. Taken together, these findings suggest that caveolin‐1 normally acts to regulate the differentiation and renewal of MSCs, and increased caveolin‐1 expression during MSC osteogenesis likely acts as a negative feedback to stabilize the cell phenotype. J. Cell. Biochem. 113: 3773–3787, 2012. © 2012 Wiley Periodicals, Inc.","author":[{"dropping-particle":"","family":"Baker","given":"Natasha","non-dropping-particle":"","parse-names":false,"suffix":""},{"dropping-particle":"","family":"Zhang","given":"Guofeng","non-dropping-particle":"","parse-names":false,"suffix":""},{"dropping-particle":"","family":"You","given":"Yang","non-dropping-particle":"","parse-names":false,"suffix":""},{"dropping-particle":"","family":"Tuan","given":"Rocky S.","non-dropping-particle":"","parse-names":false,"suffix":""}],"container-title":"Journal of Cellular Biochemistry","id":"ITEM-1","issue":"12","issued":{"date-parts":[["2012","12","9"]]},"page":"3773-3787","title":"Caveolin‐1 regulates proliferation and osteogenic differentiation of human mesenchymal stem cells","type":"article-journal","volume":"113"},"uris":["http://www.mendeley.com/documents/?uuid=4e1fd0f7-bcb1-450f-bf4e-98a70d537603"]},{"id":"ITEM-2","itemData":{"DOI":"10.1359/jbmr.070601","ISSN":"0884-0431","abstract":"The skeletal phenotype of the cav-1−/− mouse, which lacks caveolae, was examined. μCT and histology showed increased trabecular and cortical bone caused by the gene deletion. Structural changes were accompanied by increased mechanical properties. Cell studies showed that cav-1 deficiency leads to increased osteoblast differentiation. These results suggest that cav-1 helps to maintain osteoblast progenitors in a less differentiated state.","author":[{"dropping-particle":"","family":"Rubin","given":"Janet","non-dropping-particle":"","parse-names":false,"suffix":""},{"dropping-particle":"","family":"Schwartz","given":"Zvi","non-dropping-particle":"","parse-names":false,"suffix":""},{"dropping-particle":"","family":"Boyan","given":"Barbara D","non-dropping-particle":"","parse-names":false,"suffix":""},{"dropping-particle":"","family":"Fan","given":"Xian","non-dropping-particle":"","parse-names":false,"suffix":""},{"dropping-particle":"","family":"Case","given":"Natasha","non-dropping-particle":"","parse-names":false,"suffix":""},{"dropping-particle":"","family":"Sen","given":"Buer","non-dropping-particle":"","parse-names":false,"suffix":""},{"dropping-particle":"","family":"Drab","given":"Marcus","non-dropping-particle":"","parse-names":false,"suffix":""},{"dropping-particle":"","family":"Smith","given":"Deborah","non-dropping-particle":"","parse-names":false,"suffix":""},{"dropping-particle":"","family":"Aleman","given":"Maria","non-dropping-particle":"","parse-names":false,"suffix":""},{"dropping-particle":"","family":"Wong","given":"Kevin L","non-dropping-particle":"","parse-names":false,"suffix":""},{"dropping-particle":"","family":"Yao","given":"Hai","non-dropping-particle":"","parse-names":false,"suffix":""},{"dropping-particle":"","family":"Jo","given":"Hanjoong","non-dropping-particle":"","parse-names":false,"suffix":""},{"dropping-particle":"","family":"Gross","given":"Ted S","non-dropping-particle":"","parse-names":false,"suffix":""}],"container-title":"Journal of Bone and Mineral Research","id":"ITEM-2","issue":"9","issued":{"date-parts":[["2007","9","1"]]},"page":"1408-1418","title":"Caveolin-1 Knockout Mice Have Increased Bone Size and Stiffness","type":"article-journal","volume":"22"},"uris":["http://www.mendeley.com/documents/?uuid=82739320-529d-45ba-a04f-4e82fc8e094a"]},{"id":"ITEM-3","itemData":{"DOI":"10.1186/s13287-015-0225-8","ISSN":"1757-6512","PMID":"26626726","abstract":"INTRODUCTION Stem cells are considered an important resource for tissue repair and regeneration. Their utilization in regenerative medicine will be aided by mechanistic insight into their responsiveness to external stimuli. It is likely that, similar to all other cells, an initial determinant of stem cell responsiveness to external stimuli is the organization of signaling molecules in cell membrane rafts. The clustering of signaling molecules in these cholesterol-rich membrane microdomains can affect the activity, specificity, cross-talk and amplification of cell signaling. Membrane rafts fall into two broad categories, non-caveolar and caveolar, based on the absence or presence, respectively, of caveolin scaffolding proteins. We have recently demonstrated that caveolin-1 (Cav-1) expression increases during, and knockdown of Cav-1 expression enhances, osteogenic differentiation of human bone marrow derived mesenchymal stem cells (MSCs). The increase in Cav-1 expression observed during osteogenesis is likely a negative feedback mechanism. We hypothesize that focal adhesion signaling pathways such as PI3K/Akt signaling may be negatively regulated by Cav-1 during human MSC osteogenesis. METHODS Human bone marrow MSCs were isolated from femoral heads obtained after total hip arthroplasty. MSCs were incubated in standard growth medium alone or induced to osteogenically differentiate by the addition of supplements (β-glycerophosphate, ascorbic acid, dexamethasone, and 1,25-dihydroxyvitamin D3). The activation of and requirement for PI3K/Akt signaling in MSC osteogenesis were assessed by immunoblotting for phosphorylated Akt, and treatment with the PI3K inhibitor LY294002 and Akt siRNA, respectively. The influences of Cav-1 and cholesterol membrane rafts on PI3K/Akt signaling were investigated by treatment with Cav-1 siRNA, methyl-β-cyclodextrin, or cholesterol oxidase, followed by cellular sub-fractionation and/or immunoblotting for phosphorylated Akt. RESULTS LY294002 and Akt siRNA inhibited MSC osteogenesis. Methyl-β-cyclodextrin, which disrupts all membrane rafts, inhibited osteogenesis. Conversely, Cav-1 siRNA and cholesterol oxidase, which displaces Cav-1 from caveolae, enhanced Akt signaling induced by osteogenic supplements. In control cells, phosphorylated Akt began to accumulate in caveolae after 10 days of osteogenic differentiation. CONCLUSIONS PI3K/Akt signaling is a key pathway required for human MSC osteogenesis, and it is likely that localizati…","author":[{"dropping-particle":"","family":"Baker","given":"Natasha","non-dropping-particle":"","parse-names":false,"suffix":""},{"dropping-particle":"","family":"Sohn","given":"Jihee","non-dropping-particle":"","parse-names":false,"suffix":""},{"dropping-particle":"","family":"Tuan","given":"Rocky S","non-dropping-particle":"","parse-names":false,"suffix":""}],"container-title":"Stem cell research &amp; therapy","id":"ITEM-3","issued":{"date-parts":[["2015","12","1"]]},"page":"238","title":"Promotion of human mesenchymal stem cell osteogenesis by PI3-kinase/Akt signaling, and the influence of caveolin-1/cholesterol homeostasis.","type":"article-journal","volume":"6"},"uris":["http://www.mendeley.com/documents/?uuid=0a4a70f0-fe79-4a1e-9237-b3fae23cf98b"]}],"mendeley":{"formattedCitation":"[2–4]","plainTextFormattedCitation":"[2–4]","previouslyFormattedCitation":"[2–4]"},"properties":{"noteIndex":0},"schema":"https://github.com/citation-style-language/schema/raw/master/csl-citation.json"}</w:instrText>
            </w:r>
            <w:r>
              <w:rPr>
                <w:rFonts w:ascii="Times New Roman" w:hAnsi="Times New Roman" w:cs="Times New Roman"/>
                <w:lang w:val="en-US"/>
              </w:rPr>
              <w:fldChar w:fldCharType="separate"/>
            </w:r>
            <w:r w:rsidRPr="00112610">
              <w:rPr>
                <w:rFonts w:ascii="Times New Roman" w:hAnsi="Times New Roman" w:cs="Times New Roman"/>
                <w:noProof/>
                <w:lang w:val="en-US"/>
              </w:rPr>
              <w:t>[2–4]</w:t>
            </w:r>
            <w:r>
              <w:rPr>
                <w:rFonts w:ascii="Times New Roman" w:hAnsi="Times New Roman" w:cs="Times New Roman"/>
                <w:lang w:val="en-US"/>
              </w:rPr>
              <w:fldChar w:fldCharType="end"/>
            </w:r>
          </w:p>
        </w:tc>
      </w:tr>
      <w:tr w:rsidR="00C6689A" w:rsidRPr="00112610" w14:paraId="6CC65B71" w14:textId="77777777" w:rsidTr="00112610">
        <w:tc>
          <w:tcPr>
            <w:cnfStyle w:val="001000000000" w:firstRow="0" w:lastRow="0" w:firstColumn="1" w:lastColumn="0" w:oddVBand="0" w:evenVBand="0" w:oddHBand="0" w:evenHBand="0" w:firstRowFirstColumn="0" w:firstRowLastColumn="0" w:lastRowFirstColumn="0" w:lastRowLastColumn="0"/>
            <w:tcW w:w="1080" w:type="dxa"/>
            <w:vAlign w:val="center"/>
          </w:tcPr>
          <w:p w14:paraId="2FA9E222" w14:textId="77777777" w:rsidR="00C6689A" w:rsidRPr="00112610" w:rsidRDefault="00C6689A" w:rsidP="007F150D">
            <w:pPr>
              <w:spacing w:line="360" w:lineRule="auto"/>
              <w:jc w:val="center"/>
              <w:rPr>
                <w:rFonts w:ascii="Times New Roman" w:hAnsi="Times New Roman" w:cs="Times New Roman"/>
                <w:i/>
                <w:iCs/>
                <w:lang w:val="en-US"/>
              </w:rPr>
            </w:pPr>
            <w:r w:rsidRPr="00112610">
              <w:rPr>
                <w:rFonts w:ascii="Times New Roman" w:hAnsi="Times New Roman" w:cs="Times New Roman"/>
                <w:i/>
                <w:iCs/>
                <w:lang w:val="en-US"/>
              </w:rPr>
              <w:t>CNN1</w:t>
            </w:r>
          </w:p>
        </w:tc>
        <w:tc>
          <w:tcPr>
            <w:tcW w:w="1440" w:type="dxa"/>
            <w:vAlign w:val="center"/>
          </w:tcPr>
          <w:p w14:paraId="2355048D"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Calponin 1</w:t>
            </w:r>
          </w:p>
        </w:tc>
        <w:tc>
          <w:tcPr>
            <w:tcW w:w="5040" w:type="dxa"/>
            <w:vAlign w:val="center"/>
          </w:tcPr>
          <w:p w14:paraId="6846885C" w14:textId="77777777" w:rsidR="005A5301" w:rsidRPr="005A5301" w:rsidRDefault="005A5301" w:rsidP="005A53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5A5301">
              <w:rPr>
                <w:rFonts w:ascii="Times New Roman" w:hAnsi="Times New Roman" w:cs="Times New Roman"/>
                <w:i/>
                <w:iCs/>
                <w:lang w:val="en-US"/>
              </w:rPr>
              <w:t>Protein associated to actin filaments</w:t>
            </w:r>
          </w:p>
          <w:p w14:paraId="74EA129A" w14:textId="77777777" w:rsidR="005A5301" w:rsidRPr="005A5301" w:rsidRDefault="005A5301" w:rsidP="00824C5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5A5301">
              <w:rPr>
                <w:rFonts w:ascii="Times New Roman" w:hAnsi="Times New Roman" w:cs="Times New Roman"/>
                <w:lang w:val="en-US"/>
              </w:rPr>
              <w:t>○ Calponin-1 knockout mice exhibit increased bone formation.</w:t>
            </w:r>
          </w:p>
          <w:p w14:paraId="0057CBE1" w14:textId="52D88E56" w:rsidR="00C6689A" w:rsidRPr="00112610" w:rsidRDefault="005A5301" w:rsidP="00824C5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5A5301">
              <w:rPr>
                <w:rFonts w:ascii="Times New Roman" w:hAnsi="Times New Roman" w:cs="Times New Roman"/>
                <w:lang w:val="en-US"/>
              </w:rPr>
              <w:t xml:space="preserve">○ Calponin-1 overexpression inhibits late-stage osteogenic differentiation and mineralization of osteoblasts in </w:t>
            </w:r>
            <w:r w:rsidRPr="0073482D">
              <w:rPr>
                <w:rFonts w:ascii="Times New Roman" w:hAnsi="Times New Roman" w:cs="Times New Roman"/>
                <w:i/>
                <w:iCs/>
                <w:lang w:val="en-US"/>
              </w:rPr>
              <w:t>in vitro</w:t>
            </w:r>
            <w:r w:rsidRPr="005A5301">
              <w:rPr>
                <w:rFonts w:ascii="Times New Roman" w:hAnsi="Times New Roman" w:cs="Times New Roman"/>
                <w:lang w:val="en-US"/>
              </w:rPr>
              <w:t xml:space="preserve"> cultures.</w:t>
            </w:r>
          </w:p>
        </w:tc>
        <w:tc>
          <w:tcPr>
            <w:tcW w:w="1080" w:type="dxa"/>
            <w:vAlign w:val="center"/>
          </w:tcPr>
          <w:p w14:paraId="43352A37"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4472C4" w:themeColor="accent1"/>
                <w:lang w:val="en-US"/>
              </w:rPr>
            </w:pPr>
            <w:r w:rsidRPr="00112610">
              <w:rPr>
                <w:rFonts w:ascii="Times New Roman" w:hAnsi="Times New Roman" w:cs="Times New Roman"/>
                <w:b/>
                <w:bCs/>
                <w:color w:val="4472C4" w:themeColor="accent1"/>
                <w:lang w:val="en-US"/>
              </w:rPr>
              <w:t>-1,11</w:t>
            </w:r>
          </w:p>
        </w:tc>
        <w:tc>
          <w:tcPr>
            <w:tcW w:w="1620" w:type="dxa"/>
            <w:vAlign w:val="center"/>
          </w:tcPr>
          <w:p w14:paraId="69A151A7" w14:textId="71660E8C" w:rsidR="00C6689A" w:rsidRPr="00112610" w:rsidRDefault="005A5301"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fldChar w:fldCharType="begin" w:fldLock="1"/>
            </w:r>
            <w:r w:rsidR="005E0216">
              <w:rPr>
                <w:rFonts w:ascii="Times New Roman" w:hAnsi="Times New Roman" w:cs="Times New Roman"/>
                <w:lang w:val="en-US"/>
              </w:rPr>
              <w:instrText>ADDIN CSL_CITATION {"citationItems":[{"id":"ITEM-1","itemData":{"DOI":"10.1002/jbmr.1778","ISSN":"0884-0431","abstract":"H1 calponin (CNN1) is known as a smooth muscle-specific, actin-binding protein which regulates smooth muscle contractive activity. Although previous studies have shown that CNN1 has effect on bone, the mechanism is not well defined. To investigate the role of CNN1 in maintaining bone homeostasis, we generated transgenic mice overexpressing Cnn1 under the control of the osteoblast-specific 3.6-kb Col1a1 promoter. Col1a1-Cnn1 transgenic mice showed delayed bone formation at embryonic stage and decreased bone mass at adult stage. Morphology analyses showed reduced trabecular number, thickness and defects in bone formation. The proliferation and migration of osteoblasts were decreased in Col1a1-Cnn1 mice due to alterations in cytoskeleton. The early osteoblast differentiation of Col1a1-Cnn1 mice was increased, but the late stage differentiation and mineralization of osteoblasts derived from Col1a1-Cnn1 mice were significantly decreased. In addition to impaired bone formation, the decreased bone mass was also associated with enhanced osteoclastogenesis. Tartrate-resistant acid phosphatase (TRAP) staining revealed increased osteoclast numbers in tibias of 2-month-old Col1a1-Cnn1 mice, and increased numbers of osteoclasts co-cultured with Col1a1-Cnn1 osteoblasts. The ratio of RANKL to OPG was significantly increased in Col1a1-Cnn1 osteoblasts. These findings reveal a novel function of CNN1 in maintaining bone homeostasis by coupling bone formation to bone resorption. © 2013 American Society for Bone and Mineral Research.","author":[{"dropping-particle":"","family":"Su","given":"Nan","non-dropping-particle":"","parse-names":false,"suffix":""},{"dropping-particle":"","family":"Chen","given":"Maomao","non-dropping-particle":"","parse-names":false,"suffix":""},{"dropping-particle":"","family":"Chen","given":"Siyu","non-dropping-particle":"","parse-names":false,"suffix":""},{"dropping-particle":"","family":"Li","given":"Can","non-dropping-particle":"","parse-names":false,"suffix":""},{"dropping-particle":"","family":"Xie","given":"Yangli","non-dropping-particle":"","parse-names":false,"suffix":""},{"dropping-particle":"","family":"Zhu","given":"Ying","non-dropping-particle":"","parse-names":false,"suffix":""},{"dropping-particle":"","family":"Zhang","given":"Yaozong","non-dropping-particle":"","parse-names":false,"suffix":""},{"dropping-particle":"","family":"Zhao","given":"Ling","non-dropping-particle":"","parse-names":false,"suffix":""},{"dropping-particle":"","family":"He","given":"Qifen","non-dropping-particle":"","parse-names":false,"suffix":""},{"dropping-particle":"","family":"Du","given":"Xiaolan","non-dropping-particle":"","parse-names":false,"suffix":""},{"dropping-particle":"","family":"Chen","given":"Di","non-dropping-particle":"","parse-names":false,"suffix":""},{"dropping-particle":"","family":"Chen","given":"Lin","non-dropping-particle":"","parse-names":false,"suffix":""}],"container-title":"Journal of Bone and Mineral Research","id":"ITEM-1","issue":"3","issued":{"date-parts":[["2013","3","1"]]},"page":"660-671","title":"Overexpression of H1 calponin in osteoblast lineage cells leads to a decrease in bone mass by disrupting osteoblast function and promoting osteoclast formation","type":"article-journal","volume":"28"},"uris":["http://www.mendeley.com/documents/?uuid=16d1173c-d715-4e95-b16a-d12353c5b322"]},{"id":"ITEM-2","itemData":{"DOI":"10.1046/j.1365-2443.1998.00214.x","ISSN":"1356-9597","author":[{"dropping-particle":"","family":"Yoshikawa","given":"Hideki","non-dropping-particle":"","parse-names":false,"suffix":""},{"dropping-particle":"","family":"Taniguchi","given":"Shun‐ichiro","non-dropping-particle":"","parse-names":false,"suffix":""},{"dropping-particle":"","family":"Yamamura","given":"Hisako","non-dropping-particle":"","parse-names":false,"suffix":""},{"dropping-particle":"","family":"Mori","given":"Shigeki","non-dropping-particle":"","parse-names":false,"suffix":""},{"dropping-particle":"","family":"Sugimoto","given":"Mizuo","non-dropping-particle":"","parse-names":false,"suffix":""},{"dropping-particle":"","family":"Miyado","given":"Kenji","non-dropping-particle":"","parse-names":false,"suffix":""},{"dropping-particle":"","family":"Nakamura","given":"Kenji","non-dropping-particle":"","parse-names":false,"suffix":""},{"dropping-particle":"","family":"Nakao","given":"Kazuki","non-dropping-particle":"","parse-names":false,"suffix":""},{"dropping-particle":"","family":"Katsuki","given":"Motoya","non-dropping-particle":"","parse-names":false,"suffix":""},{"dropping-particle":"","family":"Shibata","given":"Nobuhiko","non-dropping-particle":"","parse-names":false,"suffix":""},{"dropping-particle":"","family":"Takahashi","given":"Katsuhito","non-dropping-particle":"","parse-names":false,"suffix":""}],"container-title":"Genes to Cells","id":"ITEM-2","issue":"10","issued":{"date-parts":[["1998","10","25"]]},"page":"685-695","title":"Mice lacking smooth muscle calponin display increased bone formation that is associated with enhancement of bone morphogenetic protein responses","type":"article-journal","volume":"3"},"uris":["http://www.mendeley.com/documents/?uuid=89fbb2ba-3c84-40fd-91bf-7ed8e916e2a4"]}],"mendeley":{"formattedCitation":"[5, 6]","plainTextFormattedCitation":"[5, 6]","previouslyFormattedCitation":"[5, 6]"},"properties":{"noteIndex":0},"schema":"https://github.com/citation-style-language/schema/raw/master/csl-citation.json"}</w:instrText>
            </w:r>
            <w:r>
              <w:rPr>
                <w:rFonts w:ascii="Times New Roman" w:hAnsi="Times New Roman" w:cs="Times New Roman"/>
                <w:lang w:val="en-US"/>
              </w:rPr>
              <w:fldChar w:fldCharType="separate"/>
            </w:r>
            <w:r w:rsidRPr="005A5301">
              <w:rPr>
                <w:rFonts w:ascii="Times New Roman" w:hAnsi="Times New Roman" w:cs="Times New Roman"/>
                <w:noProof/>
                <w:lang w:val="en-US"/>
              </w:rPr>
              <w:t>[5, 6]</w:t>
            </w:r>
            <w:r>
              <w:rPr>
                <w:rFonts w:ascii="Times New Roman" w:hAnsi="Times New Roman" w:cs="Times New Roman"/>
                <w:lang w:val="en-US"/>
              </w:rPr>
              <w:fldChar w:fldCharType="end"/>
            </w:r>
          </w:p>
        </w:tc>
      </w:tr>
      <w:tr w:rsidR="00C6689A" w:rsidRPr="00112610" w14:paraId="6D065778" w14:textId="77777777" w:rsidTr="00112610">
        <w:tc>
          <w:tcPr>
            <w:cnfStyle w:val="001000000000" w:firstRow="0" w:lastRow="0" w:firstColumn="1" w:lastColumn="0" w:oddVBand="0" w:evenVBand="0" w:oddHBand="0" w:evenHBand="0" w:firstRowFirstColumn="0" w:firstRowLastColumn="0" w:lastRowFirstColumn="0" w:lastRowLastColumn="0"/>
            <w:tcW w:w="1080" w:type="dxa"/>
            <w:vAlign w:val="center"/>
          </w:tcPr>
          <w:p w14:paraId="10AEEDD9" w14:textId="77777777" w:rsidR="00C6689A" w:rsidRPr="00112610" w:rsidRDefault="00C6689A" w:rsidP="007F150D">
            <w:pPr>
              <w:spacing w:line="360" w:lineRule="auto"/>
              <w:jc w:val="center"/>
              <w:rPr>
                <w:rFonts w:ascii="Times New Roman" w:hAnsi="Times New Roman" w:cs="Times New Roman"/>
                <w:i/>
                <w:iCs/>
                <w:lang w:val="en-US"/>
              </w:rPr>
            </w:pPr>
            <w:r w:rsidRPr="00112610">
              <w:rPr>
                <w:rFonts w:ascii="Times New Roman" w:hAnsi="Times New Roman" w:cs="Times New Roman"/>
                <w:i/>
                <w:iCs/>
                <w:lang w:val="en-US"/>
              </w:rPr>
              <w:t>PTX3</w:t>
            </w:r>
          </w:p>
        </w:tc>
        <w:tc>
          <w:tcPr>
            <w:tcW w:w="1440" w:type="dxa"/>
            <w:vAlign w:val="center"/>
          </w:tcPr>
          <w:p w14:paraId="21E7519C"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bookmarkStart w:id="1" w:name="_Hlk172292642"/>
            <w:r w:rsidRPr="00112610">
              <w:rPr>
                <w:rFonts w:ascii="Times New Roman" w:hAnsi="Times New Roman" w:cs="Times New Roman"/>
                <w:lang w:val="en-US"/>
              </w:rPr>
              <w:t>Pentraxin 3</w:t>
            </w:r>
            <w:bookmarkEnd w:id="1"/>
          </w:p>
        </w:tc>
        <w:tc>
          <w:tcPr>
            <w:tcW w:w="5040" w:type="dxa"/>
            <w:vAlign w:val="center"/>
          </w:tcPr>
          <w:p w14:paraId="12609074" w14:textId="77777777" w:rsidR="00824C5B" w:rsidRPr="00824C5B" w:rsidRDefault="00824C5B" w:rsidP="00824C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824C5B">
              <w:rPr>
                <w:rFonts w:ascii="Times New Roman" w:hAnsi="Times New Roman" w:cs="Times New Roman"/>
                <w:i/>
                <w:iCs/>
                <w:lang w:val="en-US"/>
              </w:rPr>
              <w:t>Secreted glycoprotein induced in response to inflammation</w:t>
            </w:r>
          </w:p>
          <w:p w14:paraId="1D926BFD" w14:textId="77777777" w:rsidR="00824C5B" w:rsidRPr="00824C5B" w:rsidRDefault="00824C5B" w:rsidP="00824C5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824C5B">
              <w:rPr>
                <w:rFonts w:ascii="Times New Roman" w:hAnsi="Times New Roman" w:cs="Times New Roman"/>
                <w:lang w:val="en-US"/>
              </w:rPr>
              <w:t>○ Primary mouse osteoblasts express low levels of PTX3 under non-inflammatory conditions, and its absence does not affect collagen deposition or hydroxyapatite crystal formation.</w:t>
            </w:r>
          </w:p>
          <w:p w14:paraId="15458515" w14:textId="49F30C5C" w:rsidR="00824C5B" w:rsidRPr="00824C5B" w:rsidRDefault="00824C5B" w:rsidP="00824C5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824C5B">
              <w:rPr>
                <w:rFonts w:ascii="Times New Roman" w:hAnsi="Times New Roman" w:cs="Times New Roman"/>
                <w:lang w:val="en-US"/>
              </w:rPr>
              <w:t xml:space="preserve">○ Under inflammatory conditions, </w:t>
            </w:r>
            <w:r w:rsidR="005E0216">
              <w:rPr>
                <w:rFonts w:ascii="Times New Roman" w:hAnsi="Times New Roman" w:cs="Times New Roman"/>
                <w:lang w:val="en-US"/>
              </w:rPr>
              <w:t>P</w:t>
            </w:r>
            <w:r w:rsidRPr="00824C5B">
              <w:rPr>
                <w:rFonts w:ascii="Times New Roman" w:hAnsi="Times New Roman" w:cs="Times New Roman"/>
                <w:lang w:val="en-US"/>
              </w:rPr>
              <w:t>entraxin 3 promotes osteogenesis in both primary osteoblasts and MC3T3-E1 pre-osteoblasts.</w:t>
            </w:r>
          </w:p>
          <w:p w14:paraId="33C7D6AC" w14:textId="270F24A3" w:rsidR="00C6689A" w:rsidRPr="00112610" w:rsidRDefault="00824C5B" w:rsidP="00824C5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824C5B">
              <w:rPr>
                <w:rFonts w:ascii="Times New Roman" w:hAnsi="Times New Roman" w:cs="Times New Roman"/>
                <w:lang w:val="en-US"/>
              </w:rPr>
              <w:t xml:space="preserve">○ It is upregulated during early osteogenesis (day 3), as shown by </w:t>
            </w:r>
            <w:proofErr w:type="spellStart"/>
            <w:r w:rsidRPr="00824C5B">
              <w:rPr>
                <w:rFonts w:ascii="Times New Roman" w:hAnsi="Times New Roman" w:cs="Times New Roman"/>
                <w:lang w:val="en-US"/>
              </w:rPr>
              <w:t>secretome</w:t>
            </w:r>
            <w:proofErr w:type="spellEnd"/>
            <w:r w:rsidRPr="00824C5B">
              <w:rPr>
                <w:rFonts w:ascii="Times New Roman" w:hAnsi="Times New Roman" w:cs="Times New Roman"/>
                <w:lang w:val="en-US"/>
              </w:rPr>
              <w:t xml:space="preserve"> analysis of hASCs.</w:t>
            </w:r>
          </w:p>
        </w:tc>
        <w:tc>
          <w:tcPr>
            <w:tcW w:w="1080" w:type="dxa"/>
            <w:vAlign w:val="center"/>
          </w:tcPr>
          <w:p w14:paraId="14834AD8"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b/>
                <w:bCs/>
                <w:color w:val="4472C4" w:themeColor="accent1"/>
                <w:lang w:val="en-US"/>
              </w:rPr>
              <w:t>-0,58</w:t>
            </w:r>
          </w:p>
        </w:tc>
        <w:tc>
          <w:tcPr>
            <w:tcW w:w="1620" w:type="dxa"/>
            <w:vAlign w:val="center"/>
          </w:tcPr>
          <w:p w14:paraId="0BDB0974" w14:textId="522986B3"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fldChar w:fldCharType="begin" w:fldLock="1"/>
            </w:r>
            <w:r w:rsidR="005A5301">
              <w:rPr>
                <w:rFonts w:ascii="Times New Roman" w:hAnsi="Times New Roman" w:cs="Times New Roman"/>
                <w:lang w:val="en-US"/>
              </w:rPr>
              <w:instrText>ADDIN CSL_CITATION {"citationItems":[{"id":"ITEM-1","itemData":{"DOI":"10.3389/fimmu.2019.02628","ISSN":"1664-3224","author":[{"dropping-particle":"","family":"Parente","given":"Raffaella","non-dropping-particle":"","parse-names":false,"suffix":""},{"dropping-particle":"","family":"Sobacchi","given":"Cristina","non-dropping-particle":"","parse-names":false,"suffix":""},{"dropping-particle":"","family":"Bottazzi","given":"Barbara","non-dropping-particle":"","parse-names":false,"suffix":""},{"dropping-particle":"","family":"Mantovani","given":"Alberto","non-dropping-particle":"","parse-names":false,"suffix":""},{"dropping-particle":"","family":"Grčevic","given":"Danka","non-dropping-particle":"","parse-names":false,"suffix":""},{"dropping-particle":"","family":"Inforzato","given":"Antonio","non-dropping-particle":"","parse-names":false,"suffix":""}],"container-title":"Frontiers in Immunology","id":"ITEM-1","issued":{"date-parts":[["2019","11","8"]]},"title":"The Long Pentraxin PTX3 in Bone Homeostasis and Pathology","type":"article-journal","volume":"10"},"uris":["http://www.mendeley.com/documents/?uuid=4cdbbca1-5a15-41fe-b1c0-452f2783a4ef"]}],"mendeley":{"formattedCitation":"[7]","plainTextFormattedCitation":"[7]","previouslyFormattedCitation":"[7]"},"properties":{"noteIndex":0},"schema":"https://github.com/citation-style-language/schema/raw/master/csl-citation.json"}</w:instrText>
            </w:r>
            <w:r w:rsidRPr="00112610">
              <w:rPr>
                <w:rFonts w:ascii="Times New Roman" w:hAnsi="Times New Roman" w:cs="Times New Roman"/>
              </w:rPr>
              <w:fldChar w:fldCharType="separate"/>
            </w:r>
            <w:r w:rsidR="005E0216" w:rsidRPr="005E0216">
              <w:rPr>
                <w:rFonts w:ascii="Times New Roman" w:hAnsi="Times New Roman" w:cs="Times New Roman"/>
                <w:noProof/>
              </w:rPr>
              <w:t>[7]</w:t>
            </w:r>
            <w:r w:rsidRPr="00112610">
              <w:rPr>
                <w:rFonts w:ascii="Times New Roman" w:hAnsi="Times New Roman" w:cs="Times New Roman"/>
              </w:rPr>
              <w:fldChar w:fldCharType="end"/>
            </w:r>
          </w:p>
        </w:tc>
      </w:tr>
      <w:tr w:rsidR="00C6689A" w:rsidRPr="00112610" w14:paraId="659999CC" w14:textId="77777777" w:rsidTr="00112610">
        <w:trPr>
          <w:trHeight w:val="2661"/>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27567681" w14:textId="77777777" w:rsidR="00C6689A" w:rsidRPr="00112610" w:rsidRDefault="00C6689A" w:rsidP="007F150D">
            <w:pPr>
              <w:spacing w:line="360" w:lineRule="auto"/>
              <w:jc w:val="center"/>
              <w:rPr>
                <w:rFonts w:ascii="Times New Roman" w:hAnsi="Times New Roman" w:cs="Times New Roman"/>
                <w:i/>
                <w:iCs/>
              </w:rPr>
            </w:pPr>
            <w:r w:rsidRPr="00112610">
              <w:rPr>
                <w:rFonts w:ascii="Times New Roman" w:hAnsi="Times New Roman" w:cs="Times New Roman"/>
                <w:i/>
                <w:iCs/>
              </w:rPr>
              <w:lastRenderedPageBreak/>
              <w:t>MAPK3</w:t>
            </w:r>
          </w:p>
          <w:p w14:paraId="3B0CF985" w14:textId="77777777" w:rsidR="00C6689A" w:rsidRPr="00112610" w:rsidRDefault="00C6689A" w:rsidP="007F150D">
            <w:pPr>
              <w:spacing w:line="360" w:lineRule="auto"/>
              <w:rPr>
                <w:rFonts w:ascii="Times New Roman" w:hAnsi="Times New Roman" w:cs="Times New Roman"/>
                <w:b w:val="0"/>
                <w:bCs w:val="0"/>
              </w:rPr>
            </w:pPr>
          </w:p>
        </w:tc>
        <w:tc>
          <w:tcPr>
            <w:tcW w:w="1440" w:type="dxa"/>
            <w:vAlign w:val="center"/>
          </w:tcPr>
          <w:p w14:paraId="7BCD482B"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t xml:space="preserve">ERK1 </w:t>
            </w:r>
          </w:p>
          <w:p w14:paraId="0D568632" w14:textId="77777777" w:rsidR="00C6689A" w:rsidRPr="00112610" w:rsidRDefault="00C6689A" w:rsidP="007F150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040" w:type="dxa"/>
            <w:vAlign w:val="center"/>
          </w:tcPr>
          <w:p w14:paraId="12FCE350" w14:textId="77777777" w:rsidR="0073482D" w:rsidRPr="0073482D" w:rsidRDefault="0073482D" w:rsidP="0073482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73482D">
              <w:rPr>
                <w:rFonts w:ascii="Times New Roman" w:hAnsi="Times New Roman" w:cs="Times New Roman"/>
                <w:i/>
                <w:iCs/>
                <w:lang w:val="en-US"/>
              </w:rPr>
              <w:t>Member of the MAP kinase family</w:t>
            </w:r>
          </w:p>
          <w:p w14:paraId="0AA93B8C" w14:textId="31B4776F" w:rsidR="0073482D" w:rsidRPr="0073482D" w:rsidRDefault="0073482D" w:rsidP="0073482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73482D">
              <w:rPr>
                <w:rFonts w:ascii="Times New Roman" w:hAnsi="Times New Roman" w:cs="Times New Roman"/>
                <w:lang w:val="en-US"/>
              </w:rPr>
              <w:t>○ Osteogenic differentiation of MSCs involves ERK activation during the early stage, followed by inactivation during intermediate and late stages. Sustained ERK activation, induced by TRIB3 knockdown, inhibits osteogenic differentiation.</w:t>
            </w:r>
          </w:p>
          <w:p w14:paraId="7C20697C" w14:textId="4C3BEB08" w:rsidR="00C6689A" w:rsidRPr="00112610" w:rsidRDefault="0073482D" w:rsidP="0073482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73482D">
              <w:rPr>
                <w:rFonts w:ascii="Times New Roman" w:hAnsi="Times New Roman" w:cs="Times New Roman"/>
                <w:lang w:val="en-US"/>
              </w:rPr>
              <w:t>○ ERK inhibitors assays indicate that the MAPK pathway plays a positive regulatory role during early osteogenesis but acts as a negative regulator during the later stages of differentiation.</w:t>
            </w:r>
          </w:p>
        </w:tc>
        <w:tc>
          <w:tcPr>
            <w:tcW w:w="1080" w:type="dxa"/>
            <w:vAlign w:val="center"/>
          </w:tcPr>
          <w:p w14:paraId="027BAE7D"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b/>
                <w:bCs/>
                <w:color w:val="4472C4" w:themeColor="accent1"/>
              </w:rPr>
              <w:t>-0,26</w:t>
            </w:r>
          </w:p>
          <w:p w14:paraId="5DE1AF60"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0" w:type="dxa"/>
            <w:vAlign w:val="center"/>
          </w:tcPr>
          <w:p w14:paraId="3611D809" w14:textId="2BA8633B"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rPr>
              <w:fldChar w:fldCharType="begin" w:fldLock="1"/>
            </w:r>
            <w:r w:rsidR="005A5301">
              <w:rPr>
                <w:rFonts w:ascii="Times New Roman" w:hAnsi="Times New Roman" w:cs="Times New Roman"/>
              </w:rPr>
              <w:instrText>ADDIN CSL_CITATION {"citationItems":[{"id":"ITEM-1","itemData":{"DOI":"10.1038/s41598-017-10601-w","ISSN":"2045-2322","abstract":"Osteogenic differentiation in human bone marrow-derived mesenchymal stem cells (hBMSCs) is regulated by various factors, including bone morphogenetic proteins (BMPs), Notch, growth hormones and mitogen-activated protein kinases (MAPKs). Tribbles homolog 3 (TRIB3), a pseudokinase, plays an important role in cancer cells and adipocytes. However, TRIB3 function in osteogenic differentiation is unknown, although it is involved in regulating signaling pathways associated with osteogenic differentiation. Here, we found that TRIB3 was highly expressed during osteogenic differentiation in hBMSCs. Inhibition of focal adhesion kinase (FAK) or phosphatidylinositol 3-kinase (PI3K) resulted in a significant decrease in TRIB3 expression, and expression of TRIB3 was restored by increasing insulin-like growth factor-1 (IGF-1) via activating phosphatidylinositol 3-kinase/protein kinase B (PI3K/AKT) signaling. TRIB3 knock-down enhanced proliferation and decreased osteogenic differentiation at the middle stage of differentiation, and these effects were reversed by inhibiting the activation of extracellular signal-regulated kinase (ERK)-1/2. In conclusion, TRIB3 plays an important role in proliferation and osteogenic differentiation by regulating ERK1/2 activity at the middle stage of differentiation, and expression of TRIB3 is regulated by FAK in a PI3K/AKT-dependent manner.","author":[{"dropping-particle":"","family":"Zhang","given":"Cui","non-dropping-particle":"","parse-names":false,"suffix":""},{"dropping-particle":"","family":"Hong","given":"Fan-Fan","non-dropping-particle":"","parse-names":false,"suffix":""},{"dropping-particle":"","family":"Wang","given":"Cui-Cui","non-dropping-particle":"","parse-names":false,"suffix":""},{"dropping-particle":"","family":"Li","given":"Liang","non-dropping-particle":"","parse-names":false,"suffix":""},{"dropping-particle":"","family":"Chen","given":"Jian-Ling","non-dropping-particle":"","parse-names":false,"suffix":""},{"dropping-particle":"","family":"Liu","given":"Fei","non-dropping-particle":"","parse-names":false,"suffix":""},{"dropping-particle":"","family":"Quan","given":"Ren-Fu","non-dropping-particle":"","parse-names":false,"suffix":""},{"dropping-particle":"","family":"Wang","given":"Jin-Fu","non-dropping-particle":"","parse-names":false,"suffix":""}],"container-title":"Scientific Reports","id":"ITEM-1","issue":"1","issued":{"date-parts":[["2017","9","4"]]},"page":"10342","title":"TRIB3 inhibits proliferation and promotes osteogenesis in hBMSCs by regulating the ERK1/2 signaling pathway","type":"article-journal","volume":"7"},"uris":["http://www.mendeley.com/documents/?uuid=90a670d8-331e-4694-98d4-dca7bb5e8d2f"]},{"id":"ITEM-2","itemData":{"DOI":"10.7554/eLife.78069","ISSN":"2050-084X","abstract":"Emerging evidence supports that osteogenic differentiation of skeletal progenitors is a key determinant of overall bone formation and bone mass. Despite extensive studies showing the function of mitogen-activated protein kinases (MAPKs) in osteoblast differentiation, none of these studies show in vivo evidence of a role for MAPKs in osteoblast maturation subsequent to lineage commitment. Here, we describe how the extracellular signal-regulated kinase (ERK) pathway in osteoblasts controls bone formation by suppressing the mechanistic target of rapamycin (mTOR) pathway. We also show that, while ERK inhibition blocks the differentiation of osteogenic precursors when initiated at an early stage, ERK inhibition surprisingly promotes the later stages of osteoblast differentiation. Accordingly, inhibition of the ERK pathway using a small compound inhibitor or conditional deletion of the MAP2Ks Map2k1 (MEK1) and Map2k2 (MEK2), in mature osteoblasts and osteocytes, markedly increased bone formation due to augmented osteoblast differentiation. Mice with inducible deletion of the ERK pathway in mature osteoblasts also displayed similar phenotypes, demonstrating that this phenotype reflects continuous postnatal inhibition of late-stage osteoblast maturation. Mechanistically, ERK inhibition increases mitochondrial function and SGK1 phosphorylation via mTOR2 activation, which leads to osteoblast differentiation and production of angiogenic and osteogenic factors to promote bone formation. This phenotype was partially reversed by inhibiting mTOR. Our study uncovers a surprising dichotomy of ERK pathway functions in osteoblasts, whereby ERK activation promotes the early differentiation of osteoblast precursors, but inhibits the subsequent differentiation of committed osteoblasts via mTOR-mediated regulation of mitochondrial function and SGK1.","author":[{"dropping-particle":"","family":"Kim","given":"Jung-Min","non-dropping-particle":"","parse-names":false,"suffix":""},{"dropping-particle":"","family":"Yang","given":"Yeon-Suk","non-dropping-particle":"","parse-names":false,"suffix":""},{"dropping-particle":"","family":"Hong","given":"Jaehyoung","non-dropping-particle":"","parse-names":false,"suffix":""},{"dropping-particle":"","family":"Chaugule","given":"Sachin","non-dropping-particle":"","parse-names":false,"suffix":""},{"dropping-particle":"","family":"Chun","given":"Hyonho","non-dropping-particle":"","parse-names":false,"suffix":""},{"dropping-particle":"","family":"Meulen","given":"Marjolein CH","non-dropping-particle":"van der","parse-names":false,"suffix":""},{"dropping-particle":"","family":"Xu","given":"Ren","non-dropping-particle":"","parse-names":false,"suffix":""},{"dropping-particle":"","family":"Greenblatt","given":"Matthew B","non-dropping-particle":"","parse-names":false,"suffix":""},{"dropping-particle":"","family":"Shim","given":"Jae-hyuck","non-dropping-particle":"","parse-names":false,"suffix":""}],"container-title":"eLife","id":"ITEM-2","issued":{"date-parts":[["2022","8","17"]]},"title":"Biphasic regulation of osteoblast development via the ERK MAPK–mTOR pathway","type":"article-journal","volume":"11"},"uris":["http://www.mendeley.com/documents/?uuid=35246987-a963-4291-8b78-c08697a1b3df"]},{"id":"ITEM-3","itemData":{"DOI":"10.1359/jbmr.060603","ISSN":"0884-0431","author":[{"dropping-particle":"","family":"Schindeler","given":"Aaron","non-dropping-particle":"","parse-names":false,"suffix":""},{"dropping-particle":"","family":"Little","given":"David G","non-dropping-particle":"","parse-names":false,"suffix":""}],"container-title":"Journal of Bone and Mineral Research","id":"ITEM-3","issue":"9","issued":{"date-parts":[["2006","9","1"]]},"page":"1331-1338","title":"Ras-MAPK Signaling in Osteogenic Differentiation: Friend or Foe?","type":"article-journal","volume":"21"},"uris":["http://www.mendeley.com/documents/?uuid=d0c13d19-29cd-410b-b45f-8db424c5fdef"]}],"mendeley":{"formattedCitation":"[8–10]","plainTextFormattedCitation":"[8–10]","previouslyFormattedCitation":"[8–10]"},"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lang w:val="en-US"/>
              </w:rPr>
              <w:t>[8–10]</w:t>
            </w:r>
            <w:r w:rsidRPr="00112610">
              <w:rPr>
                <w:rFonts w:ascii="Times New Roman" w:hAnsi="Times New Roman" w:cs="Times New Roman"/>
              </w:rPr>
              <w:fldChar w:fldCharType="end"/>
            </w:r>
          </w:p>
        </w:tc>
      </w:tr>
      <w:tr w:rsidR="00C6689A" w:rsidRPr="00112610" w14:paraId="2A019446" w14:textId="77777777" w:rsidTr="00112610">
        <w:trPr>
          <w:trHeight w:val="1522"/>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50AE20B8" w14:textId="77777777" w:rsidR="00C6689A" w:rsidRPr="00112610" w:rsidRDefault="00C6689A" w:rsidP="007F150D">
            <w:pPr>
              <w:spacing w:line="360" w:lineRule="auto"/>
              <w:jc w:val="center"/>
              <w:rPr>
                <w:rFonts w:ascii="Times New Roman" w:hAnsi="Times New Roman" w:cs="Times New Roman"/>
                <w:i/>
                <w:iCs/>
                <w:lang w:val="en-US"/>
              </w:rPr>
            </w:pPr>
            <w:r w:rsidRPr="00112610">
              <w:rPr>
                <w:rFonts w:ascii="Times New Roman" w:hAnsi="Times New Roman" w:cs="Times New Roman"/>
                <w:i/>
                <w:iCs/>
                <w:lang w:val="en-US"/>
              </w:rPr>
              <w:t>SLC2A1</w:t>
            </w:r>
          </w:p>
        </w:tc>
        <w:tc>
          <w:tcPr>
            <w:tcW w:w="1440" w:type="dxa"/>
            <w:vAlign w:val="center"/>
          </w:tcPr>
          <w:p w14:paraId="432A051D"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GLUT1</w:t>
            </w:r>
          </w:p>
        </w:tc>
        <w:tc>
          <w:tcPr>
            <w:tcW w:w="5040" w:type="dxa"/>
          </w:tcPr>
          <w:p w14:paraId="3E13144F"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Major glucose transporter in bone</w:t>
            </w:r>
          </w:p>
          <w:p w14:paraId="7CFEEE51"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Relative GLUT1 levels decrease during osteogenesis of mesenchymal stem cells derived from bone marrow and dental pulp.</w:t>
            </w:r>
          </w:p>
          <w:p w14:paraId="5B098E8A"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GLUT1 is essential for the induction of type I collagen synthesis, preceding the upregulation of RUNX2.</w:t>
            </w:r>
          </w:p>
          <w:p w14:paraId="18AE1A61"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GLUT1 inhibits RUNX2 ubiquitination.</w:t>
            </w:r>
          </w:p>
          <w:p w14:paraId="6A36B156"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GLUT1 inhibition by phloretin enhances the expression of osteogenic genes.</w:t>
            </w:r>
          </w:p>
        </w:tc>
        <w:tc>
          <w:tcPr>
            <w:tcW w:w="1080" w:type="dxa"/>
            <w:vAlign w:val="center"/>
          </w:tcPr>
          <w:p w14:paraId="4F3E0FA0"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b/>
                <w:bCs/>
                <w:color w:val="4472C4" w:themeColor="accent1"/>
                <w:lang w:val="en-US"/>
              </w:rPr>
              <w:t>-0,68</w:t>
            </w:r>
          </w:p>
        </w:tc>
        <w:tc>
          <w:tcPr>
            <w:tcW w:w="1620" w:type="dxa"/>
            <w:vAlign w:val="center"/>
          </w:tcPr>
          <w:p w14:paraId="1AEA4FBC" w14:textId="64D3772E"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rPr>
              <w:fldChar w:fldCharType="begin" w:fldLock="1"/>
            </w:r>
            <w:r w:rsidR="005A5301">
              <w:rPr>
                <w:rFonts w:ascii="Times New Roman" w:hAnsi="Times New Roman" w:cs="Times New Roman"/>
                <w:lang w:val="en-US"/>
              </w:rPr>
              <w:instrText>ADDIN CSL_CITATION {"citationItems":[{"id":"ITEM-1","itemData":{"DOI":"10.3389/fphys.2022.1035516","ISSN":"1664-042X","abstract":"Bone is an active tissue that undergoes constant remodeling. Bone formation requires energy and one of the energy sources of bone-forming osteoblasts is glucose, which is transported inside the cells via glucose transporters. However, the role of class I glucose transporters in the differentiation and metabolism of osteoblasts and their precursors, bone marrow mesenchymal stromal cells (BMSCs) remains inconclusive. Our aim was to characterize the expression and contribution of main class I glucose transporters, GLUT1, GLUT3, and GLUT4, during osteoblast proliferation and differentiation. To investigate the role of each GLUT, we downregulated GLUTs with siRNA technology in primary rat BMSCs. Live-cell imaging and RNA-seq analysis was used to evaluate downstream pathways in silenced osteoblasts. Glucose transporters GLUT1, GLUT3, and GLUT4 had distinct expression patterns in osteoblasts. GLUT1 was abundant in BMSCs, but rapidly and significantly downregulated during osteoblast differentiation by up to 80% ( p &lt; 0.001). Similar downregulation was observed for GLUT4 ( p &lt; 0.001). In contrast , expression levels of GLUT3 remained stable during differentiation. Osteoblasts lacked GLUT2. Silencing of GLUT4 resulted in a significant decrease in proliferation and differentiation of preosteoblasts ( p &lt; 0.001) and several pathways related to carbohydrate metabolism and cell signaling were suppressed. However, silencing of GLUT3 resulted in increased proliferation ( p &lt; 0.001), despite suppression of several pathways involved in cellular metabolism, biosynthesis and actin organization. Silencing of GLUT1 had no effect on proliferation and less changes in the transcriptome. RNA-seq dataset further revealed that osteoblasts express also class II and III glucose transporters, except for GLUT7. In conclusion, GLUT1, -3 and -4 may all contribute to glucose uptake in differentiating osteoblasts. GLUT4 expression was clearly required for osteoblast proliferation and differentiation. GLUT1 appears to be abundant in early precursors, but stable expression of GLUT3 suggest also a role for GLUT3 in osteoblasts. Presence of other GLUT members may further contribute to fine-tuning of glucose uptake. Together, glucose uptake in osteoblast lineage appears to rely on several glucose transporters to ensure sufficient energy for new bone formation.","author":[{"dropping-particle":"","family":"Arponen","given":"Milja","non-dropping-particle":"","parse-names":false,"suffix":""},{"dropping-particle":"","family":"Jalava","given":"Niki","non-dropping-particle":"","parse-names":false,"suffix":""},{"dropping-particle":"","family":"Widjaja","given":"Nicko","non-dropping-particle":"","parse-names":false,"suffix":""},{"dropping-particle":"","family":"Ivaska","given":"Kaisa K.","non-dropping-particle":"","parse-names":false,"suffix":""}],"container-title":"Frontiers in Physiology","id":"ITEM-1","issued":{"date-parts":[["2022","11","29"]]},"title":"Glucose transporters GLUT1, GLUT3, and GLUT4 have different effects on osteoblast proliferation and metabolism","type":"article-journal","volume":"13"},"uris":["http://www.mendeley.com/documents/?uuid=741b9b93-2c97-4753-b077-d0478bdc941c"]},{"id":"ITEM-2","itemData":{"DOI":"10.1016/j.tice.2022.101766","ISSN":"00408166","author":[{"dropping-particle":"","family":"Liu","given":"Li","non-dropping-particle":"","parse-names":false,"suffix":""},{"dropping-particle":"","family":"Xie","given":"Han","non-dropping-particle":"","parse-names":false,"suffix":""},{"dropping-particle":"","family":"Zhao","given":"Shouliang","non-dropping-particle":"","parse-names":false,"suffix":""},{"dropping-particle":"","family":"Huang","given":"Xiaofeng","non-dropping-particle":"","parse-names":false,"suffix":""}],"container-title":"Tissue and Cell","id":"ITEM-2","issued":{"date-parts":[["2022","6"]]},"page":"101766","title":"The GLUT1–mTORC1 axis affects odontogenic differentiation of human dental pulp stem cells","type":"article-journal","volume":"76"},"uris":["http://www.mendeley.com/documents/?uuid=a71a4f0c-8905-400d-b062-e8a9d2e63ae1"]},{"id":"ITEM-3","itemData":{"DOI":"10.1016/j.cell.2015.05.029","ISSN":"00928674","author":[{"dropping-particle":"","family":"Wei","given":"Jianwen","non-dropping-particle":"","parse-names":false,"suffix":""},{"dropping-particle":"","family":"Shimazu","given":"Junko","non-dropping-particle":"","parse-names":false,"suffix":""},{"dropping-particle":"","family":"Makinistoglu","given":"Munevver P.","non-dropping-particle":"","parse-names":false,"suffix":""},{"dropping-particle":"","family":"Maurizi","given":"Antonio","non-dropping-particle":"","parse-names":false,"suffix":""},{"dropping-particle":"","family":"Kajimura","given":"Daisuke","non-dropping-particle":"","parse-names":false,"suffix":""},{"dropping-particle":"","family":"Zong","given":"Haihong","non-dropping-particle":"","parse-names":false,"suffix":""},{"dropping-particle":"","family":"Takarada","given":"Takeshi","non-dropping-particle":"","parse-names":false,"suffix":""},{"dropping-particle":"","family":"Iezaki","given":"Takashi","non-dropping-particle":"","parse-names":false,"suffix":""},{"dropping-particle":"","family":"Pessin","given":"Jeffrey E.","non-dropping-particle":"","parse-names":false,"suffix":""},{"dropping-particle":"","family":"Hinoi","given":"Eiichi","non-dropping-particle":"","parse-names":false,"suffix":""},{"dropping-particle":"","family":"Karsenty","given":"Gerard","non-dropping-particle":"","parse-names":false,"suffix":""}],"container-title":"Cell","id":"ITEM-3","issue":"7","issued":{"date-parts":[["2015","6"]]},"page":"1576-1591","title":"Glucose Uptake and Runx2 Synergize to Orchestrate Osteoblast Differentiation and Bone Formation","type":"article-journal","volume":"161"},"uris":["http://www.mendeley.com/documents/?uuid=21e09924-df12-4d27-bbc3-4a309adf00ba"]}],"mendeley":{"formattedCitation":"[11–13]","plainTextFormattedCitation":"[11–13]","previouslyFormattedCitation":"[11–13]"},"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lang w:val="en-US"/>
              </w:rPr>
              <w:t>[11–13]</w:t>
            </w:r>
            <w:r w:rsidRPr="00112610">
              <w:rPr>
                <w:rFonts w:ascii="Times New Roman" w:hAnsi="Times New Roman" w:cs="Times New Roman"/>
              </w:rPr>
              <w:fldChar w:fldCharType="end"/>
            </w:r>
          </w:p>
        </w:tc>
      </w:tr>
      <w:tr w:rsidR="00C6689A" w:rsidRPr="00112610" w14:paraId="3E95D41C" w14:textId="77777777" w:rsidTr="00112610">
        <w:trPr>
          <w:trHeight w:val="1075"/>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19A20505" w14:textId="77777777" w:rsidR="00C6689A" w:rsidRPr="00112610" w:rsidRDefault="00C6689A" w:rsidP="007F150D">
            <w:pPr>
              <w:spacing w:line="360" w:lineRule="auto"/>
              <w:jc w:val="center"/>
              <w:rPr>
                <w:rFonts w:ascii="Times New Roman" w:hAnsi="Times New Roman" w:cs="Times New Roman"/>
                <w:i/>
                <w:iCs/>
                <w:lang w:val="en-US"/>
              </w:rPr>
            </w:pPr>
            <w:r w:rsidRPr="00112610">
              <w:rPr>
                <w:rFonts w:ascii="Times New Roman" w:hAnsi="Times New Roman" w:cs="Times New Roman"/>
                <w:i/>
                <w:iCs/>
                <w:lang w:val="en-US"/>
              </w:rPr>
              <w:t>SORBS3</w:t>
            </w:r>
          </w:p>
        </w:tc>
        <w:tc>
          <w:tcPr>
            <w:tcW w:w="1440" w:type="dxa"/>
            <w:vAlign w:val="center"/>
          </w:tcPr>
          <w:p w14:paraId="77A73E25"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roofErr w:type="spellStart"/>
            <w:r w:rsidRPr="00112610">
              <w:rPr>
                <w:rFonts w:ascii="Times New Roman" w:hAnsi="Times New Roman" w:cs="Times New Roman"/>
                <w:lang w:val="en-US"/>
              </w:rPr>
              <w:t>Vinexin</w:t>
            </w:r>
            <w:proofErr w:type="spellEnd"/>
          </w:p>
        </w:tc>
        <w:tc>
          <w:tcPr>
            <w:tcW w:w="5040" w:type="dxa"/>
          </w:tcPr>
          <w:p w14:paraId="66080D85"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Plasma membrane-associated protein involved in the formation of focal adhesions</w:t>
            </w:r>
          </w:p>
          <w:p w14:paraId="5DFB9FBA" w14:textId="02265E39"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xml:space="preserve">○ </w:t>
            </w:r>
            <w:proofErr w:type="spellStart"/>
            <w:r w:rsidRPr="00112610">
              <w:rPr>
                <w:rFonts w:ascii="Times New Roman" w:hAnsi="Times New Roman" w:cs="Times New Roman"/>
                <w:lang w:val="en-US"/>
              </w:rPr>
              <w:t>Vinexin</w:t>
            </w:r>
            <w:proofErr w:type="spellEnd"/>
            <w:r w:rsidRPr="00112610">
              <w:rPr>
                <w:rFonts w:ascii="Times New Roman" w:hAnsi="Times New Roman" w:cs="Times New Roman"/>
                <w:lang w:val="en-US"/>
              </w:rPr>
              <w:t xml:space="preserve"> depletion increases TNAP expression and enhances calcification, as evidenced by Alizarin Red S staining</w:t>
            </w:r>
            <w:r w:rsidR="0073482D">
              <w:rPr>
                <w:rFonts w:ascii="Times New Roman" w:hAnsi="Times New Roman" w:cs="Times New Roman"/>
                <w:lang w:val="en-US"/>
              </w:rPr>
              <w:t xml:space="preserve"> in MSCs.</w:t>
            </w:r>
          </w:p>
        </w:tc>
        <w:tc>
          <w:tcPr>
            <w:tcW w:w="1080" w:type="dxa"/>
            <w:vAlign w:val="center"/>
          </w:tcPr>
          <w:p w14:paraId="192B7871"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4472C4" w:themeColor="accent1"/>
                <w:lang w:val="en-US"/>
              </w:rPr>
            </w:pPr>
            <w:r w:rsidRPr="00112610">
              <w:rPr>
                <w:rFonts w:ascii="Times New Roman" w:hAnsi="Times New Roman" w:cs="Times New Roman"/>
                <w:b/>
                <w:bCs/>
                <w:color w:val="4472C4" w:themeColor="accent1"/>
                <w:lang w:val="en-US"/>
              </w:rPr>
              <w:t>-0,25</w:t>
            </w:r>
          </w:p>
        </w:tc>
        <w:tc>
          <w:tcPr>
            <w:tcW w:w="1620" w:type="dxa"/>
            <w:vAlign w:val="center"/>
          </w:tcPr>
          <w:p w14:paraId="33B840AC" w14:textId="6240193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fldChar w:fldCharType="begin" w:fldLock="1"/>
            </w:r>
            <w:r w:rsidR="005A5301">
              <w:rPr>
                <w:rFonts w:ascii="Times New Roman" w:hAnsi="Times New Roman" w:cs="Times New Roman"/>
                <w:lang w:val="en-US"/>
              </w:rPr>
              <w:instrText>ADDIN CSL_CITATION {"citationItems":[{"id":"ITEM-1","itemData":{"DOI":"10.1038/s41598-018-29700-3","ISSN":"2045-2322","abstract":"The stiffness of extracellular matrix (ECM) directs the differentiation of mesenchymal stem cells (MSCs) through the transcriptional co-activators Yes-associated protein (YAP) and transcriptional coactivator with a PDZ-binding motif (TAZ). Although a recent study revealed the involvement of vinexin α and CAP (c-Cbl-associated proteins), two of vinexin (SORBS) family proteins that bind to vinculin, in mechanosensing, it is still unclear whether these proteins regulate mechanotransduction and differentiation of MSCs. In the present study, we show that both vinexin α and CAP are necessary for the association of vinculin with the cytoskeleton and the promotion of YAP/TAZ nuclear localization in MSCs grown on rigid substrates. Furthermore, CAP is involved in the MSC differentiation in a stiffness-dependent manner, whereas vinexin depletion suppresses adipocyte differentiation independently of YAP/TAZ. These observations reveal a critical role of vinexin α and CAP in mechanotransduction and MSC differentiation.","author":[{"dropping-particle":"","family":"Kuroda","given":"Mito","non-dropping-particle":"","parse-names":false,"suffix":""},{"dropping-particle":"","family":"Ueda","given":"Kazumitsu","non-dropping-particle":"","parse-names":false,"suffix":""},{"dropping-particle":"","family":"Kioka","given":"Noriyuki","non-dropping-particle":"","parse-names":false,"suffix":""}],"container-title":"Scientific Reports","id":"ITEM-1","issue":"1","issued":{"date-parts":[["2018","8","1"]]},"page":"11581","title":"Vinexin family (SORBS) proteins regulate mechanotransduction in mesenchymal stem cells","type":"article-journal","volume":"8"},"uris":["http://www.mendeley.com/documents/?uuid=b5e1b57c-3ede-4c12-af13-292b4739f122"]}],"mendeley":{"formattedCitation":"[14]","plainTextFormattedCitation":"[14]","previouslyFormattedCitation":"[14]"},"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rPr>
              <w:t>[14]</w:t>
            </w:r>
            <w:r w:rsidRPr="00112610">
              <w:rPr>
                <w:rFonts w:ascii="Times New Roman" w:hAnsi="Times New Roman" w:cs="Times New Roman"/>
              </w:rPr>
              <w:fldChar w:fldCharType="end"/>
            </w:r>
          </w:p>
        </w:tc>
      </w:tr>
      <w:tr w:rsidR="00C6689A" w:rsidRPr="00112610" w14:paraId="425BF3B6" w14:textId="77777777" w:rsidTr="00112610">
        <w:trPr>
          <w:trHeight w:val="1075"/>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14F716E8" w14:textId="77777777" w:rsidR="00C6689A" w:rsidRPr="00112610" w:rsidRDefault="00C6689A" w:rsidP="007F150D">
            <w:pPr>
              <w:spacing w:line="360" w:lineRule="auto"/>
              <w:jc w:val="center"/>
              <w:rPr>
                <w:rFonts w:ascii="Times New Roman" w:hAnsi="Times New Roman" w:cs="Times New Roman"/>
                <w:i/>
                <w:iCs/>
              </w:rPr>
            </w:pPr>
            <w:r w:rsidRPr="00112610">
              <w:rPr>
                <w:rFonts w:ascii="Times New Roman" w:hAnsi="Times New Roman" w:cs="Times New Roman"/>
                <w:i/>
                <w:iCs/>
              </w:rPr>
              <w:t>SOD2</w:t>
            </w:r>
          </w:p>
        </w:tc>
        <w:tc>
          <w:tcPr>
            <w:tcW w:w="1440" w:type="dxa"/>
            <w:vAlign w:val="center"/>
          </w:tcPr>
          <w:p w14:paraId="663688DD"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t>Superoxide Dismutase 2</w:t>
            </w:r>
          </w:p>
        </w:tc>
        <w:tc>
          <w:tcPr>
            <w:tcW w:w="5040" w:type="dxa"/>
          </w:tcPr>
          <w:p w14:paraId="552D642B"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Catalyzes the dismutation of superoxide radicals into hydrogen peroxide and oxygen within mitochondria.</w:t>
            </w:r>
          </w:p>
          <w:p w14:paraId="4968B650"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SOD2 expression is upregulated during osteogenesis to reduce excessive production of reactive oxygen species (ROS).</w:t>
            </w:r>
          </w:p>
          <w:p w14:paraId="5FA2072C" w14:textId="685C4289" w:rsidR="00C6689A" w:rsidRPr="002137E8"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SOD2 knockdown leads to mitochondrial ROS accumulation and impairs osteogenesis, as indicated by TNAP and Alizarin Red S staining.</w:t>
            </w:r>
          </w:p>
        </w:tc>
        <w:tc>
          <w:tcPr>
            <w:tcW w:w="1080" w:type="dxa"/>
            <w:vAlign w:val="center"/>
          </w:tcPr>
          <w:p w14:paraId="65FA16BF"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4472C4" w:themeColor="accent1"/>
              </w:rPr>
            </w:pPr>
            <w:r w:rsidRPr="00112610">
              <w:rPr>
                <w:rFonts w:ascii="Times New Roman" w:hAnsi="Times New Roman" w:cs="Times New Roman"/>
                <w:b/>
                <w:bCs/>
                <w:color w:val="4472C4" w:themeColor="accent1"/>
              </w:rPr>
              <w:t>-0,8</w:t>
            </w:r>
          </w:p>
        </w:tc>
        <w:tc>
          <w:tcPr>
            <w:tcW w:w="1620" w:type="dxa"/>
            <w:vAlign w:val="center"/>
          </w:tcPr>
          <w:p w14:paraId="46478F94" w14:textId="4C20700B"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rPr>
              <w:fldChar w:fldCharType="begin" w:fldLock="1"/>
            </w:r>
            <w:r w:rsidR="005A5301">
              <w:rPr>
                <w:rFonts w:ascii="Times New Roman" w:hAnsi="Times New Roman" w:cs="Times New Roman"/>
              </w:rPr>
              <w:instrText>ADDIN CSL_CITATION {"citationItems":[{"id":"ITEM-1","itemData":{"DOI":"10.1186/s13287-020-02123-6","ISSN":"17576512","PMID":"33536073","abstract":"Background: Human periodontal ligament stem cells (hPDLSCs) are ideal seed cells for periodontal regeneration. A greater understanding of the dynamic protein profiles during osteogenic differentiation contributed to the improvement of periodontal regeneration tissue engineering. Methods: Tandem Mass Tag quantitative proteomics was utilized to reveal the temporal protein expression pattern during osteogenic differentiation of hPDLSCs on days 0, 3, 7 and 14. Differentially expressed proteins (DEPs) were clustered and functional annotated by Gene Ontology (GO) terms. Pathway enrichment analysis was performed based on the Kyoto Encyclopedia of Genes and Genomes database, followed by the predicted activation using Ingenuity Pathway Analysis software. Interaction networks of redox-sensitive signalling pathways and oxidative phosphorylation (OXPHOS) were conducted and the hub protein SOD2 was validated with western blotting. Results: A total of 1024 DEPs were identified and clustered in 5 distinctive clusters representing dynamic tendencies. The GO enrichment results indicated that proteins with different tendencies show different functions. Pathway enrichment analysis found that OXPHOS was significantly involved, which further predicted continuous activation. Redox-sensitive signalling pathways with dynamic activation status showed associations with OXPHOS to various degrees, especially the sirtuin signalling pathway. SOD2, an important component of the sirtuin pathway, displays a persistent increase during osteogenesis. Data are available via ProteomeXchange with identifier PXD020908. Conclusion: This is the first in-depth dynamic proteomic analysis of osteogenic differentiation of hPDLSCs. It demonstrated a dynamic regulatory mechanism of hPDLSC osteogenesis and might provide a new perspective for research on periodontal regeneration. Graphical abstract: [Figure not available: see fulltext.]","author":[{"dropping-particle":"","family":"Li","given":"Jianjia","non-dropping-particle":"","parse-names":false,"suffix":""},{"dropping-particle":"","family":"Wang","given":"Zhifa","non-dropping-particle":"","parse-names":false,"suffix":""},{"dropping-particle":"","family":"Huang","given":"Xiangyu","non-dropping-particle":"","parse-names":false,"suffix":""},{"dropping-particle":"","family":"Wang","given":"Zhaodan","non-dropping-particle":"","parse-names":false,"suffix":""},{"dropping-particle":"","family":"Chen","given":"Zehao","non-dropping-particle":"","parse-names":false,"suffix":""},{"dropping-particle":"","family":"Wang","given":"Runting","non-dropping-particle":"","parse-names":false,"suffix":""},{"dropping-particle":"","family":"Chen","given":"Zhao","non-dropping-particle":"","parse-names":false,"suffix":""},{"dropping-particle":"","family":"Liu","given":"Wei","non-dropping-particle":"","parse-names":false,"suffix":""},{"dropping-particle":"","family":"Wu","given":"Buling","non-dropping-particle":"","parse-names":false,"suffix":""},{"dropping-particle":"","family":"Fang","given":"Fuchun","non-dropping-particle":"","parse-names":false,"suffix":""},{"dropping-particle":"","family":"Qiu","given":"Wei","non-dropping-particle":"","parse-names":false,"suffix":""}],"container-title":"Stem Cell Research and Therapy","id":"ITEM-1","issue":"1","issued":{"date-parts":[["2021"]]},"page":"1-16","publisher":"Stem Cell Research &amp; Therapy","title":"Dynamic proteomic profiling of human periodontal ligament stem cells during osteogenic differentiation","type":"article-journal","volume":"12"},"uris":["http://www.mendeley.com/documents/?uuid=1786ef98-f71e-4a62-a654-8a2d5da0c88d"]},{"id":"ITEM-2","itemData":{"DOI":"10.1002/JPER.23-0469","ISSN":"0022-3492","author":[{"dropping-particle":"","family":"Qiu","given":"Wei","non-dropping-particle":"","parse-names":false,"suffix":""},{"dropping-particle":"","family":"Sun","given":"Qian","non-dropping-particle":"","parse-names":false,"suffix":""},{"dropping-particle":"","family":"Li","given":"Na","non-dropping-particle":"","parse-names":false,"suffix":""},{"dropping-particle":"","family":"Chen","given":"Zehao","non-dropping-particle":"","parse-names":false,"suffix":""},{"dropping-particle":"","family":"Wu","given":"Hongle","non-dropping-particle":"","parse-names":false,"suffix":""},{"dropping-particle":"","family":"Chen","given":"Zhao","non-dropping-particle":"","parse-names":false,"suffix":""},{"dropping-particle":"","family":"Guo","given":"Xiaolan","non-dropping-particle":"","parse-names":false,"suffix":""},{"dropping-particle":"","family":"Fang","given":"Fuchun","non-dropping-particle":"","parse-names":false,"suffix":""}],"container-title":"Journal of Periodontology","id":"ITEM-2","issued":{"date-parts":[["2023","11","3"]]},"title":"Superoxide dismutase 2 scavenges ROS to promote osteogenic differentiation of human periodontal ligament stem cells by regulating Smad3 in alveolar bone‐defective rats","type":"article-journal"},"uris":["http://www.mendeley.com/documents/?uuid=52ffaa7b-c912-4814-87af-85a49f65bdb1"]},{"id":"ITEM-3","itemData":{"DOI":"10.1038/cdd.2017.144","ISSN":"1350-9047","author":[{"dropping-particle":"","family":"Gao","given":"Jing","non-dropping-particle":"","parse-names":false,"suffix":""},{"dropping-particle":"","family":"Feng","given":"Zhihui","non-dropping-particle":"","parse-names":false,"suffix":""},{"dropping-particle":"","family":"Wang","given":"Xueqiang","non-dropping-particle":"","parse-names":false,"suffix":""},{"dropping-particle":"","family":"Zeng","given":"Mengqi","non-dropping-particle":"","parse-names":false,"suffix":""},{"dropping-particle":"","family":"Liu","given":"Jing","non-dropping-particle":"","parse-names":false,"suffix":""},{"dropping-particle":"","family":"Han","given":"Shujun","non-dropping-particle":"","parse-names":false,"suffix":""},{"dropping-particle":"","family":"Xu","given":"Jie","non-dropping-particle":"","parse-names":false,"suffix":""},{"dropping-particle":"","family":"Chen","given":"Lei","non-dropping-particle":"","parse-names":false,"suffix":""},{"dropping-particle":"","family":"Cao","given":"Ke","non-dropping-particle":"","parse-names":false,"suffix":""},{"dropping-particle":"","family":"Long","given":"Jiangang","non-dropping-particle":"","parse-names":false,"suffix":""},{"dropping-particle":"","family":"Li","given":"Zongfang","non-dropping-particle":"","parse-names":false,"suffix":""},{"dropping-particle":"","family":"Shen","given":"Weili","non-dropping-particle":"","parse-names":false,"suffix":""},{"dropping-particle":"","family":"Liu","given":"Jiankang","non-dropping-particle":"","parse-names":false,"suffix":""}],"container-title":"Cell Death &amp; Differentiation","id":"ITEM-3","issue":"2","issued":{"date-parts":[["2018","2","15"]]},"page":"229-240","title":"SIRT3/SOD2 maintains osteoblast differentiation and bone formation by regulating mitochondrial stress","type":"article-journal","volume":"25"},"uris":["http://www.mendeley.com/documents/?uuid=0a045818-3c9b-4ad3-beb0-5ad5bc213196"]},{"id":"ITEM-4","itemData":{"DOI":"10.1242/dmm.049392","ISSN":"1754-8403","abstract":"Osteoporosis is a systemic metabolic skeletal disease characterized by low bone mass and strength associated with fragility fractures. Oxidative stress, which results from elevated intracellular reactive oxygen species (ROS) and arises in the aging organism, is considered one of the critical factors contributing to osteoporosis. Mitochondrial (mt)ROS, as the superoxide anion (O2−) generated during mitochondrial respiration, are eliminated in the young organism by antioxidant defense mechanisms, including superoxide dismutase 2 (SOD2), the expression and activity of which are decreased in aging mesenchymal progenitor cells, accompanied by increased mtROS production. Using a mouse model of osteoblast lineage cells with Sod2 deficiency, we observed significant bone loss in trabecular and cortical bones accompanied by decreased osteoblast activity, increased adipocyte accumulation in the bone marrow and augmented osteoclast activity, suggestive of altered mesenchymal progenitor cell differentiation and osteoclastogenesis. Furthermore, osteoblast senescence was increased. To date, there are only a few studies suggesting a causal association between mtROS and cellular senescence in tissue in vivo. Targeting SOD2 to improve redox homeostasis could represent a potential therapeutic strategy for maintaining bone health during aging.","author":[{"dropping-particle":"","family":"Schoppa","given":"Astrid M.","non-dropping-particle":"","parse-names":false,"suffix":""},{"dropping-particle":"","family":"Chen","given":"Xiangxu","non-dropping-particle":"","parse-names":false,"suffix":""},{"dropping-particle":"","family":"Ramge","given":"Jan-Moritz","non-dropping-particle":"","parse-names":false,"suffix":""},{"dropping-particle":"","family":"Vikman","given":"Anna","non-dropping-particle":"","parse-names":false,"suffix":""},{"dropping-particle":"","family":"Fischer","given":"Verena","non-dropping-particle":"","parse-names":false,"suffix":""},{"dropping-particle":"","family":"Haffner-Luntzer","given":"Melanie","non-dropping-particle":"","parse-names":false,"suffix":""},{"dropping-particle":"","family":"Riegger","given":"Jana","non-dropping-particle":"","parse-names":false,"suffix":""},{"dropping-particle":"","family":"Tuckermann","given":"Jan","non-dropping-particle":"","parse-names":false,"suffix":""},{"dropping-particle":"","family":"Scharffetter-Kochanek","given":"Karin","non-dropping-particle":"","parse-names":false,"suffix":""},{"dropping-particle":"","family":"Ignatius","given":"Anita","non-dropping-particle":"","parse-names":false,"suffix":""}],"container-title":"Disease Models &amp; Mechanisms","id":"ITEM-4","issue":"5","issued":{"date-parts":[["2022","5","1"]]},"title":"Osteoblast lineage Sod2 deficiency leads to an osteoporosis-like phenotype in mice","type":"article-journal","volume":"15"},"uris":["http://www.mendeley.com/documents/?uuid=bc147e36-7193-47d6-baca-63495498d6ce"]}],"mendeley":{"formattedCitation":"[15–18]","plainTextFormattedCitation":"[15–18]","previouslyFormattedCitation":"[15–18]"},"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lang w:val="en-US"/>
              </w:rPr>
              <w:t>[15–18]</w:t>
            </w:r>
            <w:r w:rsidRPr="00112610">
              <w:rPr>
                <w:rFonts w:ascii="Times New Roman" w:hAnsi="Times New Roman" w:cs="Times New Roman"/>
              </w:rPr>
              <w:fldChar w:fldCharType="end"/>
            </w:r>
          </w:p>
        </w:tc>
      </w:tr>
      <w:tr w:rsidR="00C6689A" w:rsidRPr="00112610" w14:paraId="68D69281" w14:textId="77777777" w:rsidTr="00112610">
        <w:trPr>
          <w:trHeight w:val="1075"/>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5CA169E1" w14:textId="77777777" w:rsidR="00C6689A" w:rsidRPr="00112610" w:rsidRDefault="00C6689A" w:rsidP="007F150D">
            <w:pPr>
              <w:spacing w:line="360" w:lineRule="auto"/>
              <w:jc w:val="center"/>
              <w:rPr>
                <w:rFonts w:ascii="Times New Roman" w:hAnsi="Times New Roman" w:cs="Times New Roman"/>
                <w:i/>
                <w:iCs/>
                <w:lang w:val="en-US"/>
              </w:rPr>
            </w:pPr>
            <w:r w:rsidRPr="00112610">
              <w:rPr>
                <w:rFonts w:ascii="Times New Roman" w:hAnsi="Times New Roman" w:cs="Times New Roman"/>
                <w:i/>
                <w:iCs/>
                <w:lang w:val="en-US"/>
              </w:rPr>
              <w:t>LOX</w:t>
            </w:r>
          </w:p>
        </w:tc>
        <w:tc>
          <w:tcPr>
            <w:tcW w:w="1440" w:type="dxa"/>
            <w:vAlign w:val="center"/>
          </w:tcPr>
          <w:p w14:paraId="3767B1A2"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roofErr w:type="spellStart"/>
            <w:r w:rsidRPr="00112610">
              <w:rPr>
                <w:rFonts w:ascii="Times New Roman" w:hAnsi="Times New Roman" w:cs="Times New Roman"/>
                <w:lang w:val="en-US"/>
              </w:rPr>
              <w:t>Lysyl</w:t>
            </w:r>
            <w:proofErr w:type="spellEnd"/>
            <w:r w:rsidRPr="00112610">
              <w:rPr>
                <w:rFonts w:ascii="Times New Roman" w:hAnsi="Times New Roman" w:cs="Times New Roman"/>
                <w:lang w:val="en-US"/>
              </w:rPr>
              <w:t xml:space="preserve"> Oxidase</w:t>
            </w:r>
          </w:p>
        </w:tc>
        <w:tc>
          <w:tcPr>
            <w:tcW w:w="5040" w:type="dxa"/>
          </w:tcPr>
          <w:p w14:paraId="201665FA"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Catalyzes the cross-linking of collagen and elastin.</w:t>
            </w:r>
          </w:p>
          <w:p w14:paraId="1652DE4C"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 xml:space="preserve">○ </w:t>
            </w:r>
            <w:proofErr w:type="spellStart"/>
            <w:r w:rsidRPr="00112610">
              <w:rPr>
                <w:rFonts w:ascii="Times New Roman" w:hAnsi="Times New Roman" w:cs="Times New Roman"/>
                <w:lang w:val="en-US"/>
              </w:rPr>
              <w:t>Lysyl</w:t>
            </w:r>
            <w:proofErr w:type="spellEnd"/>
            <w:r w:rsidRPr="00112610">
              <w:rPr>
                <w:rFonts w:ascii="Times New Roman" w:hAnsi="Times New Roman" w:cs="Times New Roman"/>
                <w:lang w:val="en-US"/>
              </w:rPr>
              <w:t xml:space="preserve"> oxidase knockdown enhances BMP4-induced osteogenesis through activation of the </w:t>
            </w:r>
            <w:proofErr w:type="spellStart"/>
            <w:r w:rsidRPr="002137E8">
              <w:rPr>
                <w:rFonts w:ascii="Times New Roman" w:hAnsi="Times New Roman" w:cs="Times New Roman"/>
                <w:i/>
                <w:iCs/>
                <w:lang w:val="en-US"/>
              </w:rPr>
              <w:t>Wnt</w:t>
            </w:r>
            <w:proofErr w:type="spellEnd"/>
            <w:r w:rsidRPr="00112610">
              <w:rPr>
                <w:rFonts w:ascii="Times New Roman" w:hAnsi="Times New Roman" w:cs="Times New Roman"/>
                <w:lang w:val="en-US"/>
              </w:rPr>
              <w:t xml:space="preserve"> signaling pathway.</w:t>
            </w:r>
          </w:p>
          <w:p w14:paraId="0426BF1D"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lang w:val="en-US"/>
              </w:rPr>
              <w:t xml:space="preserve">○ LOX inhibition promotes bone formation </w:t>
            </w:r>
            <w:r w:rsidRPr="00112610">
              <w:rPr>
                <w:rFonts w:ascii="Times New Roman" w:hAnsi="Times New Roman" w:cs="Times New Roman"/>
                <w:i/>
                <w:iCs/>
                <w:lang w:val="en-US"/>
              </w:rPr>
              <w:t>in vivo</w:t>
            </w:r>
          </w:p>
        </w:tc>
        <w:tc>
          <w:tcPr>
            <w:tcW w:w="1080" w:type="dxa"/>
            <w:vAlign w:val="center"/>
          </w:tcPr>
          <w:p w14:paraId="5D7E632C"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4472C4" w:themeColor="accent1"/>
                <w:lang w:val="en-US"/>
              </w:rPr>
            </w:pPr>
            <w:r w:rsidRPr="00112610">
              <w:rPr>
                <w:rFonts w:ascii="Times New Roman" w:hAnsi="Times New Roman" w:cs="Times New Roman"/>
                <w:b/>
                <w:bCs/>
                <w:color w:val="4472C4" w:themeColor="accent1"/>
                <w:lang w:val="en-US"/>
              </w:rPr>
              <w:t>-0,25</w:t>
            </w:r>
          </w:p>
        </w:tc>
        <w:tc>
          <w:tcPr>
            <w:tcW w:w="1620" w:type="dxa"/>
            <w:vAlign w:val="center"/>
          </w:tcPr>
          <w:p w14:paraId="54AF6C32" w14:textId="1935B6F6"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fldChar w:fldCharType="begin" w:fldLock="1"/>
            </w:r>
            <w:r w:rsidR="005A5301">
              <w:rPr>
                <w:rFonts w:ascii="Times New Roman" w:hAnsi="Times New Roman" w:cs="Times New Roman"/>
                <w:lang w:val="en-US"/>
              </w:rPr>
              <w:instrText>ADDIN CSL_CITATION {"citationItems":[{"id":"ITEM-1","itemData":{"DOI":"10.1111/jcmm.13798","ISSN":"1582-1838","abstract":"Accelerated marrow adipogenesis has been associated with ageing and osteoporosis and is thought to be because of an imbalance between adipogenic and osteogenic differentiation of mesenchymal stem cell (MSCs). We have previously found that lysyl oxidase (Lox) inhibition disrupts BMP4‐induced adipocytic lineage commitment and differentiation of MSCs. In this study, we found that lox inhibition dramatically up‐regulates BMP4‐induced expression of CCAAT/enhancer binding protein (C/EBP) homologous protein 10 (CHOP‐10), which then promotes BMP4‐induced osteogenesis of MSCs both in vitro and in vivo. Specifically, Lox inhibition or CHOP‐10 up‐regulation activated Wnt/β‐catenin signalling to enhance BMP4‐induced osteogenesis, with pro‐adipogenic p38 MAPK and Smad signalling suppressed. Together, we demonstrate that Lox/CHOP‐10 crosstalk regulates BMP4‐induced osteogenic and adipogenic fate determination of MSCs, presenting a promising therapeutic target for osteoporosis and other bone diseases.","author":[{"dropping-particle":"","family":"Jiang","given":"Wen‐yan","non-dropping-particle":"","parse-names":false,"suffix":""},{"dropping-particle":"","family":"Xing","given":"Chun","non-dropping-particle":"","parse-names":false,"suffix":""},{"dropping-particle":"","family":"Wang","given":"Hong‐wei","non-dropping-particle":"","parse-names":false,"suffix":""},{"dropping-particle":"","family":"Wang","given":"Wei","non-dropping-particle":"","parse-names":false,"suffix":""},{"dropping-particle":"","family":"Chen","given":"Su‐zhen","non-dropping-particle":"","parse-names":false,"suffix":""},{"dropping-particle":"","family":"Ning","given":"Liu‐fang","non-dropping-particle":"","parse-names":false,"suffix":""},{"dropping-particle":"","family":"Xu","given":"Xu","non-dropping-particle":"","parse-names":false,"suffix":""},{"dropping-particle":"","family":"Tang","given":"Qi‐qun","non-dropping-particle":"","parse-names":false,"suffix":""},{"dropping-particle":"","family":"Huang","given":"Hai‐yan","non-dropping-particle":"","parse-names":false,"suffix":""}],"container-title":"Journal of Cellular and Molecular Medicine","id":"ITEM-1","issue":"10","issued":{"date-parts":[["2018","10","25"]]},"page":"5097-5108","title":"A Lox/CHOP‐10 crosstalk governs osteogenic and adipogenic cell fate by MSCs","type":"article-journal","volume":"22"},"uris":["http://www.mendeley.com/documents/?uuid=ff7ca3fb-e5c9-4c77-98b4-cb6a3533e2fc"]}],"mendeley":{"formattedCitation":"[19]","plainTextFormattedCitation":"[19]","previouslyFormattedCitation":"[19]"},"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rPr>
              <w:t>[19]</w:t>
            </w:r>
            <w:r w:rsidRPr="00112610">
              <w:rPr>
                <w:rFonts w:ascii="Times New Roman" w:hAnsi="Times New Roman" w:cs="Times New Roman"/>
              </w:rPr>
              <w:fldChar w:fldCharType="end"/>
            </w:r>
          </w:p>
        </w:tc>
      </w:tr>
      <w:tr w:rsidR="00C6689A" w:rsidRPr="00112610" w14:paraId="12BADDFF" w14:textId="77777777" w:rsidTr="00112610">
        <w:trPr>
          <w:trHeight w:val="1075"/>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0ABF3EA0" w14:textId="77777777" w:rsidR="00C6689A" w:rsidRPr="00112610" w:rsidRDefault="00C6689A" w:rsidP="007F150D">
            <w:pPr>
              <w:spacing w:line="360" w:lineRule="auto"/>
              <w:jc w:val="center"/>
              <w:rPr>
                <w:rFonts w:ascii="Times New Roman" w:hAnsi="Times New Roman" w:cs="Times New Roman"/>
                <w:i/>
                <w:iCs/>
              </w:rPr>
            </w:pPr>
            <w:r w:rsidRPr="00112610">
              <w:rPr>
                <w:rFonts w:ascii="Times New Roman" w:hAnsi="Times New Roman" w:cs="Times New Roman"/>
                <w:i/>
                <w:iCs/>
              </w:rPr>
              <w:t>SPARC</w:t>
            </w:r>
          </w:p>
        </w:tc>
        <w:tc>
          <w:tcPr>
            <w:tcW w:w="1440" w:type="dxa"/>
            <w:vAlign w:val="center"/>
          </w:tcPr>
          <w:p w14:paraId="65D238D8"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112610">
              <w:rPr>
                <w:rFonts w:ascii="Times New Roman" w:hAnsi="Times New Roman" w:cs="Times New Roman"/>
              </w:rPr>
              <w:t>Osteonectin</w:t>
            </w:r>
            <w:proofErr w:type="spellEnd"/>
          </w:p>
          <w:p w14:paraId="4CDBA390"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040" w:type="dxa"/>
          </w:tcPr>
          <w:p w14:paraId="211EB723"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Calcium-binding glycoprotein secreted into the extracellular matrix during bone formation</w:t>
            </w:r>
          </w:p>
          <w:p w14:paraId="32647BCE"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xml:space="preserve">○ </w:t>
            </w:r>
            <w:proofErr w:type="spellStart"/>
            <w:r w:rsidRPr="00112610">
              <w:rPr>
                <w:rFonts w:ascii="Times New Roman" w:hAnsi="Times New Roman" w:cs="Times New Roman"/>
                <w:lang w:val="en-US"/>
              </w:rPr>
              <w:t>Osteonectin</w:t>
            </w:r>
            <w:proofErr w:type="spellEnd"/>
            <w:r w:rsidRPr="00112610">
              <w:rPr>
                <w:rFonts w:ascii="Times New Roman" w:hAnsi="Times New Roman" w:cs="Times New Roman"/>
                <w:lang w:val="en-US"/>
              </w:rPr>
              <w:t xml:space="preserve"> binds strongly to hydroxyapatite crystals and type I collagen.</w:t>
            </w:r>
          </w:p>
          <w:p w14:paraId="53EE4941" w14:textId="252ED58F" w:rsidR="00C6689A" w:rsidRPr="00112610" w:rsidRDefault="00D7749C"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 xml:space="preserve">○ </w:t>
            </w:r>
            <w:proofErr w:type="spellStart"/>
            <w:r w:rsidR="00C6689A" w:rsidRPr="00112610">
              <w:rPr>
                <w:rFonts w:ascii="Times New Roman" w:hAnsi="Times New Roman" w:cs="Times New Roman"/>
                <w:lang w:val="en-US"/>
              </w:rPr>
              <w:t>Osteonectin</w:t>
            </w:r>
            <w:proofErr w:type="spellEnd"/>
            <w:r w:rsidR="00C6689A" w:rsidRPr="00112610">
              <w:rPr>
                <w:rFonts w:ascii="Times New Roman" w:hAnsi="Times New Roman" w:cs="Times New Roman"/>
                <w:lang w:val="en-US"/>
              </w:rPr>
              <w:t xml:space="preserve"> knockout results in reduced accumulation of mature type I collagen. Elevated </w:t>
            </w:r>
            <w:proofErr w:type="spellStart"/>
            <w:r w:rsidR="00C6689A" w:rsidRPr="00112610">
              <w:rPr>
                <w:rFonts w:ascii="Times New Roman" w:hAnsi="Times New Roman" w:cs="Times New Roman"/>
                <w:lang w:val="en-US"/>
              </w:rPr>
              <w:t>osteonectin</w:t>
            </w:r>
            <w:proofErr w:type="spellEnd"/>
            <w:r w:rsidR="00C6689A" w:rsidRPr="00112610">
              <w:rPr>
                <w:rFonts w:ascii="Times New Roman" w:hAnsi="Times New Roman" w:cs="Times New Roman"/>
                <w:lang w:val="en-US"/>
              </w:rPr>
              <w:t xml:space="preserve"> levels are associated with enhanced collagen deposition in the extracellular matrix.</w:t>
            </w:r>
          </w:p>
          <w:p w14:paraId="777D1E06" w14:textId="45D2197B"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xml:space="preserve">○ SPARC knockout impairs osteogenesis in </w:t>
            </w:r>
            <w:proofErr w:type="spellStart"/>
            <w:r w:rsidR="00D7749C">
              <w:rPr>
                <w:rFonts w:ascii="Times New Roman" w:hAnsi="Times New Roman" w:cs="Times New Roman"/>
                <w:lang w:val="en-US"/>
              </w:rPr>
              <w:t>bone</w:t>
            </w:r>
            <w:r w:rsidRPr="00112610">
              <w:rPr>
                <w:rFonts w:ascii="Times New Roman" w:hAnsi="Times New Roman" w:cs="Times New Roman"/>
                <w:lang w:val="en-US"/>
              </w:rPr>
              <w:t>MSCs</w:t>
            </w:r>
            <w:proofErr w:type="spellEnd"/>
            <w:r w:rsidRPr="00112610">
              <w:rPr>
                <w:rFonts w:ascii="Times New Roman" w:hAnsi="Times New Roman" w:cs="Times New Roman"/>
                <w:lang w:val="en-US"/>
              </w:rPr>
              <w:t>.</w:t>
            </w:r>
          </w:p>
        </w:tc>
        <w:tc>
          <w:tcPr>
            <w:tcW w:w="1080" w:type="dxa"/>
            <w:vAlign w:val="center"/>
          </w:tcPr>
          <w:p w14:paraId="15F5BD19"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+0,61</w:t>
            </w:r>
          </w:p>
        </w:tc>
        <w:tc>
          <w:tcPr>
            <w:tcW w:w="1620" w:type="dxa"/>
            <w:vAlign w:val="center"/>
          </w:tcPr>
          <w:p w14:paraId="0F6437BC" w14:textId="04234EA1"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rPr>
              <w:fldChar w:fldCharType="begin" w:fldLock="1"/>
            </w:r>
            <w:r w:rsidR="005A5301">
              <w:rPr>
                <w:rFonts w:ascii="Times New Roman" w:hAnsi="Times New Roman" w:cs="Times New Roman"/>
              </w:rPr>
              <w:instrText>ADDIN CSL_CITATION {"citationItems":[{"id":"ITEM-1","itemData":{"DOI":"10.1016/j.matbio.2016.02.001","ISSN":"0945053X","author":[{"dropping-particle":"","family":"Rosset","given":"Emilie M.","non-dropping-particle":"","parse-names":false,"suffix":""},{"dropping-particle":"","family":"Bradshaw","given":"Amy D.","non-dropping-particle":"","parse-names":false,"suffix":""}],"container-title":"Matrix Biology","id":"ITEM-1","issued":{"date-parts":[["2016","5"]]},"page":"78-87","title":"SPARC/osteonectin in mineralized tissue","type":"article-journal","volume":"52-54"},"uris":["http://www.mendeley.com/documents/?uuid=54e1473b-1d30-489f-90e8-62d8a4e68083"]},{"id":"ITEM-2","itemData":{"DOI":"10.3892/mmr.2023.12937","ISSN":"1791-2997","author":[{"dropping-particle":"","family":"Hatori","given":"Tomoya","non-dropping-particle":"","parse-names":false,"suffix":""},{"dropping-particle":"","family":"Maeda","given":"Toyonobu","non-dropping-particle":"","parse-names":false,"suffix":""},{"dropping-particle":"","family":"Suzuki","given":"Atsuko","non-dropping-particle":"","parse-names":false,"suffix":""},{"dropping-particle":"","family":"Takahashi","given":"Keiso","non-dropping-particle":"","parse-names":false,"suffix":""},{"dropping-particle":"","family":"Kato","given":"Yasumasa","non-dropping-particle":"","parse-names":false,"suffix":""}],"container-title":"Molecular Medicine Reports","id":"ITEM-2","issue":"2","issued":{"date-parts":[["2023","1","10"]]},"page":"50","title":"SPARC is a decoy counterpart for c‑Fos and is associated with osteoblastic differentiation of bone marrow stromal cells by inhibiting adipogenesis","type":"article-journal","volume":"27"},"uris":["http://www.mendeley.com/documents/?uuid=a244184c-8d5a-4520-9eed-ec7a2a874cdc"]},{"id":"ITEM-3","itemData":{"DOI":"10.1002/jcp.29131","ISSN":"0021-9541","abstract":"Osteonectin binds strongly to type I collagen and hydroxyapatite and plays a crucial role in extracellular matrix mineralization. Previous studies have also shown that p38 signaling pathway is an important regulator for osteoblast mineralization. This study focused on the role of osteonectin in regulating extracellular matrix mineralization via the p38 signaling pathway. Osteoblasts were isolated and cultured from parietal bones of neonatal Sprague‐Dawley rats. The gene and protein expressions of noncollagen proteins (BSP, bone sialoprotein; OCN, osteocalcin; OPN, osteopontin), p38 mitogen‐activated protein kinase, and SIBLINGs (Small Integrin‐Binding LIgand N‐linked Glycoproteins) members (DMP1, dentine matrix protein 1, DSPP, dentin sialophosphoprotein, and MEPE, matrix extracellular phosphoglycoprotein) were detected by reverse‐transcription quantitative polymerase chain reaction and western blot analysis. Alizarin red staining, intracellular calcium assay, and transmission electron microscopy were used to detect mineralization. Initially, by adding osteonectin at different concentrations in osteoblasts and detecting the above mineralization indexes, 1 µg/ml was determined to be the optima osteonectin concentration, which significantly increased gene expressions of BSP, OPN, OCN, DMP1, MEPE, DSPP, and p38 in osteoblasts, p38 and p‐p38 protein expressions were also significantly increased, mineralized nodules were significantly enhanced; when added with SB203580 (a specific inhibitor for p38) these effects were inhibited. Furthermore, osteoblasts transfected with Ad‐p38 also significantly upregulated the protein and gene expressions of noncollagens and SIBLINGs members, whereas transfection of p38‐rhRNA showed the opposite effect. Our data suggest that osteonectin regulates the extracellular matrix mineralization of osteoblasts through the P38 signaling pathway.","author":[{"dropping-particle":"","family":"Zhu","given":"Yun‐Sen","non-dropping-particle":"","parse-names":false,"suffix":""},{"dropping-particle":"","family":"Gu","given":"Yong","non-dropping-particle":"","parse-names":false,"suffix":""},{"dropping-particle":"","family":"Jiang","given":"Chang","non-dropping-particle":"","parse-names":false,"suffix":""},{"dropping-particle":"","family":"Chen","given":"Liang","non-dropping-particle":"","parse-names":false,"suffix":""}],"container-title":"Journal of Cellular Physiology","id":"ITEM-3","issue":"3","issued":{"date-parts":[["2020","3","5"]]},"page":"2220-2231","title":"Osteonectin regulates the extracellular matrix mineralization of osteoblasts through P38 signaling pathway","type":"article-journal","volume":"235"},"uris":["http://www.mendeley.com/documents/?uuid=cac4726a-9274-4094-a30a-c22cc191debb"]},{"id":"ITEM-4","itemData":{"DOI":"10.1172/JCI7039","ISSN":"0021-9738","author":[{"dropping-particle":"","family":"Delany","given":"A.M.","non-dropping-particle":"","parse-names":false,"suffix":""},{"dropping-particle":"","family":"Amling","given":"M.","non-dropping-particle":"","parse-names":false,"suffix":""},{"dropping-particle":"","family":"Priemel","given":"M.","non-dropping-particle":"","parse-names":false,"suffix":""},{"dropping-particle":"","family":"Howe","given":"C.","non-dropping-particle":"","parse-names":false,"suffix":""},{"dropping-particle":"","family":"Baron","given":"R.","non-dropping-particle":"","parse-names":false,"suffix":""},{"dropping-particle":"","family":"Canalis","given":"E.","non-dropping-particle":"","parse-names":false,"suffix":""}],"container-title":"Journal of Clinical Investigation","id":"ITEM-4","issue":"7","issued":{"date-parts":[["2000","4","1"]]},"page":"915-923","title":"Osteopenia and decreased bone formation in osteonectin-deficient mice","type":"article-journal","volume":"105"},"uris":["http://www.mendeley.com/documents/?uuid=ba5c6529-fbc4-4475-af0b-6d69386de8cf"]}],"mendeley":{"formattedCitation":"[20–23]","plainTextFormattedCitation":"[20–23]","previouslyFormattedCitation":"[20–23]"},"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lang w:val="en-US"/>
              </w:rPr>
              <w:t>[20–23]</w:t>
            </w:r>
            <w:r w:rsidRPr="00112610">
              <w:rPr>
                <w:rFonts w:ascii="Times New Roman" w:hAnsi="Times New Roman" w:cs="Times New Roman"/>
              </w:rPr>
              <w:fldChar w:fldCharType="end"/>
            </w:r>
          </w:p>
        </w:tc>
      </w:tr>
      <w:tr w:rsidR="00C6689A" w:rsidRPr="00112610" w14:paraId="1AA4CBFA" w14:textId="77777777" w:rsidTr="00112610">
        <w:trPr>
          <w:trHeight w:val="1075"/>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25E34A0B" w14:textId="77777777" w:rsidR="00C6689A" w:rsidRPr="00112610" w:rsidRDefault="00C6689A" w:rsidP="007F150D">
            <w:pPr>
              <w:spacing w:line="360" w:lineRule="auto"/>
              <w:jc w:val="center"/>
              <w:rPr>
                <w:rFonts w:ascii="Times New Roman" w:hAnsi="Times New Roman" w:cs="Times New Roman"/>
                <w:i/>
                <w:iCs/>
                <w:lang w:val="en-US"/>
              </w:rPr>
            </w:pPr>
            <w:r w:rsidRPr="00112610">
              <w:rPr>
                <w:rFonts w:ascii="Times New Roman" w:hAnsi="Times New Roman" w:cs="Times New Roman"/>
                <w:i/>
                <w:iCs/>
                <w:lang w:val="en-US"/>
              </w:rPr>
              <w:lastRenderedPageBreak/>
              <w:t>TGM2</w:t>
            </w:r>
          </w:p>
        </w:tc>
        <w:tc>
          <w:tcPr>
            <w:tcW w:w="1440" w:type="dxa"/>
            <w:vAlign w:val="center"/>
          </w:tcPr>
          <w:p w14:paraId="1B9C49A3"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D7749C">
              <w:rPr>
                <w:rFonts w:ascii="Times New Roman" w:hAnsi="Times New Roman" w:cs="Times New Roman"/>
                <w:sz w:val="20"/>
                <w:szCs w:val="20"/>
                <w:lang w:val="en-US"/>
              </w:rPr>
              <w:t>Transglutaminase 2</w:t>
            </w:r>
          </w:p>
        </w:tc>
        <w:tc>
          <w:tcPr>
            <w:tcW w:w="5040" w:type="dxa"/>
          </w:tcPr>
          <w:p w14:paraId="55C1AA2F"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Secreted enzyme involved in the cross-linking and stabilization of ECM proteins.</w:t>
            </w:r>
          </w:p>
          <w:p w14:paraId="01AAC138" w14:textId="223E3C13"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xml:space="preserve">○ TGM2 knockdown impairs the expression of TNAP, osteocalcin, and RUNX2 in </w:t>
            </w:r>
            <w:r w:rsidR="00D7749C">
              <w:rPr>
                <w:rFonts w:ascii="Times New Roman" w:hAnsi="Times New Roman" w:cs="Times New Roman"/>
                <w:lang w:val="en-US"/>
              </w:rPr>
              <w:t xml:space="preserve">bone marrow derived </w:t>
            </w:r>
            <w:r w:rsidRPr="00112610">
              <w:rPr>
                <w:rFonts w:ascii="Times New Roman" w:hAnsi="Times New Roman" w:cs="Times New Roman"/>
                <w:lang w:val="en-US"/>
              </w:rPr>
              <w:t>MSCs, whereas its overexpression has the opposite effect.</w:t>
            </w:r>
          </w:p>
          <w:p w14:paraId="0EC3234A"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Treatment with forskolin promotes osteogenesis by inducing a conformational change in TGM2, enhancing its activity on target proteins.</w:t>
            </w:r>
          </w:p>
          <w:p w14:paraId="6F2D8C39"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lang w:val="en-US"/>
              </w:rPr>
              <w:t>○ Inhibition of its activity disrupts type I collagen accumulation in the ECM and impairs mineralization.</w:t>
            </w:r>
          </w:p>
        </w:tc>
        <w:tc>
          <w:tcPr>
            <w:tcW w:w="1080" w:type="dxa"/>
            <w:vAlign w:val="center"/>
          </w:tcPr>
          <w:p w14:paraId="41695C58"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lang w:val="en-US"/>
              </w:rPr>
            </w:pPr>
            <w:r w:rsidRPr="00112610">
              <w:rPr>
                <w:rFonts w:ascii="Times New Roman" w:hAnsi="Times New Roman" w:cs="Times New Roman"/>
                <w:b/>
                <w:bCs/>
                <w:color w:val="FF0000"/>
                <w:lang w:val="en-US"/>
              </w:rPr>
              <w:t>+0,52</w:t>
            </w:r>
          </w:p>
        </w:tc>
        <w:tc>
          <w:tcPr>
            <w:tcW w:w="1620" w:type="dxa"/>
            <w:vAlign w:val="center"/>
          </w:tcPr>
          <w:p w14:paraId="02087CB5" w14:textId="51CB73F0"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rPr>
              <w:fldChar w:fldCharType="begin" w:fldLock="1"/>
            </w:r>
            <w:r w:rsidR="005A5301">
              <w:rPr>
                <w:rFonts w:ascii="Times New Roman" w:hAnsi="Times New Roman" w:cs="Times New Roman"/>
                <w:lang w:val="en-US"/>
              </w:rPr>
              <w:instrText>ADDIN CSL_CITATION {"citationItems":[{"id":"ITEM-1","itemData":{"DOI":"10.1186/s13018-023-03656-1","ISSN":"1749-799X","author":[{"dropping-particle":"","family":"Liu","given":"Feng","non-dropping-particle":"","parse-names":false,"suffix":""},{"dropping-particle":"","family":"Wu","given":"Mingzheng","non-dropping-particle":"","parse-names":false,"suffix":""},{"dropping-particle":"","family":"Wu","given":"Xixia","non-dropping-particle":"","parse-names":false,"suffix":""},{"dropping-particle":"","family":"Chen","given":"Dan","non-dropping-particle":"","parse-names":false,"suffix":""},{"dropping-particle":"","family":"Xie","given":"Ming","non-dropping-particle":"","parse-names":false,"suffix":""},{"dropping-particle":"","family":"Pan","given":"Hao","non-dropping-particle":"","parse-names":false,"suffix":""}],"container-title":"Journal of Orthopaedic Surgery and Research","id":"ITEM-1","issue":"1","issued":{"date-parts":[["2023","3","5"]]},"page":"168","title":"TGM2 accelerates migration and differentiation of BMSCs by activating Wnt/β-catenin signaling","type":"article-journal","volume":"18"},"uris":["http://www.mendeley.com/documents/?uuid=2f127701-48c7-425f-bac7-58188c0609a3"]},{"id":"ITEM-2","itemData":{"DOI":"10.1002/advs.202206533","ISSN":"2198-3844","abstract":"Osteoblasts play an important role in the regulation of bone homeostasis throughout life. Thus, the damage of osteoblasts can lead to serious skeletal diseases, highlighting the urgent need for novel pharmacological targets. This study introduces chemical genetics strategy by using small molecule forskolin (FSK) as a probe to explore the druggable targets for osteoporosis. Here, this work reveals that transglutaminase 2 (TGM2) served as a major cellular target of FSK to obviously induce osteoblast differentiation. Then, this work identifies a previously undisclosed allosteric site in the catalytic core of TGM2. In particular, FSK formed multiple hydrogen bonds in a saddle‐like domain to induce an “open” conformation of the β ‐sandwich domain in TGM2, thereby promoting the substrate protein crosslinks by incorporating polyamine. Furthermore, this work finds that TGM2 interacted with several mitochondrial homeostasis‐associated proteins to improve mitochondrial dynamics and ATP production for osteoblast differentiation. Finally, this work observes that FSK effectively ameliorated osteoporosis in the ovariectomy mice model. Taken together, these findings show a previously undescribed pharmacological allosteric site on TGM2 for osteoporosis treatment, and also provide an available chemical tool for interrogating TGM2 biology and developing bone anabolic agent.","author":[{"dropping-particle":"","family":"Yang","given":"Zhuo","non-dropping-particle":"","parse-names":false,"suffix":""},{"dropping-particle":"","family":"Zhang","given":"Xiao‐Wen","non-dropping-particle":"","parse-names":false,"suffix":""},{"dropping-particle":"","family":"Zhuo","given":"Fang‐Fang","non-dropping-particle":"","parse-names":false,"suffix":""},{"dropping-particle":"","family":"Liu","given":"Ting‐Ting","non-dropping-particle":"","parse-names":false,"suffix":""},{"dropping-particle":"","family":"Luo","given":"Qian‐Wei","non-dropping-particle":"","parse-names":false,"suffix":""},{"dropping-particle":"","family":"Zheng","given":"Yong‐Zhe","non-dropping-particle":"","parse-names":false,"suffix":""},{"dropping-particle":"","family":"Li","given":"Ling","non-dropping-particle":"","parse-names":false,"suffix":""},{"dropping-particle":"","family":"Yang","given":"Heng","non-dropping-particle":"","parse-names":false,"suffix":""},{"dropping-particle":"","family":"Zhang","given":"Yi‐Chi","non-dropping-particle":"","parse-names":false,"suffix":""},{"dropping-particle":"","family":"Wang","given":"Yan‐Hang","non-dropping-particle":"","parse-names":false,"suffix":""},{"dropping-particle":"","family":"Liu","given":"Dan","non-dropping-particle":"","parse-names":false,"suffix":""},{"dropping-particle":"","family":"Tu","given":"Peng‐Fei","non-dropping-particle":"","parse-names":false,"suffix":""},{"dropping-particle":"","family":"Zeng","given":"Ke‐Wu","non-dropping-particle":"","parse-names":false,"suffix":""}],"container-title":"Advanced Science","id":"ITEM-2","issue":"18","issued":{"date-parts":[["2023","6","23"]]},"title":"Allosteric Activation of Transglutaminase 2 via Inducing an “Open” Conformation for Osteoblast Differentiation","type":"article-journal","volume":"10"},"uris":["http://www.mendeley.com/documents/?uuid=978fc66d-a545-4f0e-a344-5f31cd352cc5"]},{"id":"ITEM-3","itemData":{"DOI":"10.1016/j.matbio.2005.11.001","ISSN":"0945053X","author":[{"dropping-particle":"","family":"Al-Jallad","given":"Hadil F.","non-dropping-particle":"","parse-names":false,"suffix":""},{"dropping-particle":"","family":"Nakano","given":"Yukiko","non-dropping-particle":"","parse-names":false,"suffix":""},{"dropping-particle":"","family":"Chen","given":"Jeff L.Y.","non-dropping-particle":"","parse-names":false,"suffix":""},{"dropping-particle":"","family":"McMillan","given":"Erin","non-dropping-particle":"","parse-names":false,"suffix":""},{"dropping-particle":"","family":"Lefebvre","given":"Céline","non-dropping-particle":"","parse-names":false,"suffix":""},{"dropping-particle":"","family":"Kaartinen","given":"Mari T.","non-dropping-particle":"","parse-names":false,"suffix":""}],"container-title":"Matrix Biology","id":"ITEM-3","issue":"3","issued":{"date-parts":[["2006","4"]]},"page":"135-148","title":"Transglutaminase activity regulates osteoblast differentiation and matrix mineralization in MC3T3-E1 osteoblast cultures","type":"article-journal","volume":"25"},"uris":["http://www.mendeley.com/documents/?uuid=266e8377-b9a7-4e9f-b814-2ba66ce7d143"]}],"mendeley":{"formattedCitation":"[24–26]","plainTextFormattedCitation":"[24–26]","previouslyFormattedCitation":"[24–26]"},"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lang w:val="en-US"/>
              </w:rPr>
              <w:t>[24–26]</w:t>
            </w:r>
            <w:r w:rsidRPr="00112610">
              <w:rPr>
                <w:rFonts w:ascii="Times New Roman" w:hAnsi="Times New Roman" w:cs="Times New Roman"/>
              </w:rPr>
              <w:fldChar w:fldCharType="end"/>
            </w:r>
          </w:p>
        </w:tc>
      </w:tr>
      <w:tr w:rsidR="00C6689A" w:rsidRPr="00112610" w14:paraId="10327C52" w14:textId="77777777" w:rsidTr="00112610">
        <w:trPr>
          <w:trHeight w:val="1075"/>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3F31ED58" w14:textId="77777777" w:rsidR="00C6689A" w:rsidRPr="00112610" w:rsidRDefault="00C6689A" w:rsidP="007F150D">
            <w:pPr>
              <w:spacing w:line="360" w:lineRule="auto"/>
              <w:jc w:val="center"/>
              <w:rPr>
                <w:rFonts w:ascii="Times New Roman" w:hAnsi="Times New Roman" w:cs="Times New Roman"/>
                <w:i/>
                <w:iCs/>
                <w:lang w:val="en-US"/>
              </w:rPr>
            </w:pPr>
            <w:r w:rsidRPr="00112610">
              <w:rPr>
                <w:rFonts w:ascii="Times New Roman" w:hAnsi="Times New Roman" w:cs="Times New Roman"/>
                <w:i/>
                <w:iCs/>
                <w:lang w:val="en-US"/>
              </w:rPr>
              <w:t>HTRA1</w:t>
            </w:r>
          </w:p>
        </w:tc>
        <w:tc>
          <w:tcPr>
            <w:tcW w:w="1440" w:type="dxa"/>
            <w:vAlign w:val="center"/>
          </w:tcPr>
          <w:p w14:paraId="796B2A4C"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HtrA1</w:t>
            </w:r>
          </w:p>
        </w:tc>
        <w:tc>
          <w:tcPr>
            <w:tcW w:w="5040" w:type="dxa"/>
          </w:tcPr>
          <w:p w14:paraId="1F42A3F1"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xml:space="preserve">Serine protease </w:t>
            </w:r>
          </w:p>
          <w:p w14:paraId="5A98119E"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Produced and secreted by both osteoblasts and osteoclasts.</w:t>
            </w:r>
          </w:p>
          <w:p w14:paraId="16E8B5AA"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xml:space="preserve">○ Specific proteolytic substrates include </w:t>
            </w:r>
            <w:proofErr w:type="spellStart"/>
            <w:r w:rsidRPr="00112610">
              <w:rPr>
                <w:rFonts w:ascii="Times New Roman" w:hAnsi="Times New Roman" w:cs="Times New Roman"/>
                <w:lang w:val="en-US"/>
              </w:rPr>
              <w:t>decorin</w:t>
            </w:r>
            <w:proofErr w:type="spellEnd"/>
            <w:r w:rsidRPr="00112610">
              <w:rPr>
                <w:rFonts w:ascii="Times New Roman" w:hAnsi="Times New Roman" w:cs="Times New Roman"/>
                <w:lang w:val="en-US"/>
              </w:rPr>
              <w:t xml:space="preserve"> and </w:t>
            </w:r>
            <w:proofErr w:type="spellStart"/>
            <w:r w:rsidRPr="00112610">
              <w:rPr>
                <w:rFonts w:ascii="Times New Roman" w:hAnsi="Times New Roman" w:cs="Times New Roman"/>
                <w:lang w:val="en-US"/>
              </w:rPr>
              <w:t>biglycan</w:t>
            </w:r>
            <w:proofErr w:type="spellEnd"/>
            <w:r w:rsidRPr="00112610">
              <w:rPr>
                <w:rFonts w:ascii="Times New Roman" w:hAnsi="Times New Roman" w:cs="Times New Roman"/>
                <w:lang w:val="en-US"/>
              </w:rPr>
              <w:t xml:space="preserve"> (but not type I collagen), highlighting its critical role in ECM homeostasis.</w:t>
            </w:r>
          </w:p>
          <w:p w14:paraId="788DF75F"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HTRA1 expression increases during osteogenic induction of both human and mouse mesenchymal stem cells.</w:t>
            </w:r>
          </w:p>
          <w:p w14:paraId="7957F5B0" w14:textId="730960BD"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xml:space="preserve">○ HTRA1 silencing impairs mineralization and TNAP activity in </w:t>
            </w:r>
            <w:r w:rsidR="00D7749C">
              <w:rPr>
                <w:rFonts w:ascii="Times New Roman" w:hAnsi="Times New Roman" w:cs="Times New Roman"/>
                <w:lang w:val="en-US"/>
              </w:rPr>
              <w:t xml:space="preserve">bone marrow derived </w:t>
            </w:r>
            <w:r w:rsidRPr="00112610">
              <w:rPr>
                <w:rFonts w:ascii="Times New Roman" w:hAnsi="Times New Roman" w:cs="Times New Roman"/>
                <w:lang w:val="en-US"/>
              </w:rPr>
              <w:t xml:space="preserve">MSCs, without affecting RUNX2 or </w:t>
            </w:r>
            <w:proofErr w:type="spellStart"/>
            <w:r w:rsidRPr="00112610">
              <w:rPr>
                <w:rFonts w:ascii="Times New Roman" w:hAnsi="Times New Roman" w:cs="Times New Roman"/>
                <w:lang w:val="en-US"/>
              </w:rPr>
              <w:t>osteopontin</w:t>
            </w:r>
            <w:proofErr w:type="spellEnd"/>
            <w:r w:rsidRPr="00112610">
              <w:rPr>
                <w:rFonts w:ascii="Times New Roman" w:hAnsi="Times New Roman" w:cs="Times New Roman"/>
                <w:lang w:val="en-US"/>
              </w:rPr>
              <w:t xml:space="preserve"> expression, while promoting adipogenesis.</w:t>
            </w:r>
          </w:p>
          <w:p w14:paraId="3E795CA5" w14:textId="75CD85BE"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w:t>
            </w:r>
            <w:r w:rsidR="00D7749C">
              <w:rPr>
                <w:rFonts w:ascii="Times New Roman" w:hAnsi="Times New Roman" w:cs="Times New Roman"/>
                <w:lang w:val="en-US"/>
              </w:rPr>
              <w:t xml:space="preserve"> </w:t>
            </w:r>
            <w:r w:rsidRPr="00112610">
              <w:rPr>
                <w:rFonts w:ascii="Times New Roman" w:hAnsi="Times New Roman" w:cs="Times New Roman"/>
                <w:lang w:val="en-US"/>
              </w:rPr>
              <w:t>Recombinant HTRA1 protein enhances mineralization.</w:t>
            </w:r>
          </w:p>
          <w:p w14:paraId="50E3FB95"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HTRA1 is a direct transcriptional target of RUNX2.</w:t>
            </w:r>
          </w:p>
          <w:p w14:paraId="55377492"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Lentiviral overexpression of HTRA1 promotes osteogenic differentiation of MSCs, while knockdown suppresses it.</w:t>
            </w:r>
          </w:p>
        </w:tc>
        <w:tc>
          <w:tcPr>
            <w:tcW w:w="1080" w:type="dxa"/>
            <w:vAlign w:val="center"/>
          </w:tcPr>
          <w:p w14:paraId="4B7FDF07"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lang w:val="en-US"/>
              </w:rPr>
            </w:pPr>
            <w:r w:rsidRPr="00112610">
              <w:rPr>
                <w:rFonts w:ascii="Times New Roman" w:hAnsi="Times New Roman" w:cs="Times New Roman"/>
                <w:b/>
                <w:bCs/>
                <w:color w:val="FF0000"/>
                <w:lang w:val="en-US"/>
              </w:rPr>
              <w:t>+0,68</w:t>
            </w:r>
          </w:p>
        </w:tc>
        <w:tc>
          <w:tcPr>
            <w:tcW w:w="1620" w:type="dxa"/>
            <w:vAlign w:val="center"/>
          </w:tcPr>
          <w:p w14:paraId="039BEF28" w14:textId="38C84B8D"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rPr>
              <w:fldChar w:fldCharType="begin" w:fldLock="1"/>
            </w:r>
            <w:r w:rsidR="005A5301">
              <w:rPr>
                <w:rFonts w:ascii="Times New Roman" w:hAnsi="Times New Roman" w:cs="Times New Roman"/>
                <w:lang w:val="en-US"/>
              </w:rPr>
              <w:instrText>ADDIN CSL_CITATION {"citationItems":[{"id":"ITEM-1","itemData":{"DOI":"10.1007/s10735-015-9612-9","ISSN":"1567-2379","author":[{"dropping-particle":"","family":"Li","given":"Ran","non-dropping-particle":"","parse-names":false,"suffix":""},{"dropping-particle":"","family":"Zhang","given":"Qi","non-dropping-particle":"","parse-names":false,"suffix":""}],"container-title":"Journal of Molecular Histology","id":"ITEM-1","issue":"2","issued":{"date-parts":[["2015","4","1"]]},"page":"137-144","title":"HtrA1 may regulate the osteogenic differentiation of human periodontal ligament cells by TGF-β1","type":"article-journal","volume":"46"},"uris":["http://www.mendeley.com/documents/?uuid=0eb6e1d9-6e8c-4ed6-aa49-2cf3eaab24f0"]},{"id":"ITEM-2","itemData":{"DOI":"10.1016/j.bone.2022.116350","ISSN":"87563282","author":[{"dropping-particle":"","family":"Tossetta","given":"Giovanni","non-dropping-particle":"","parse-names":false,"suffix":""},{"dropping-particle":"","family":"Fantone","given":"Sonia","non-dropping-particle":"","parse-names":false,"suffix":""},{"dropping-particle":"","family":"Licini","given":"Caterina","non-dropping-particle":"","parse-names":false,"suffix":""},{"dropping-particle":"","family":"Marzioni","given":"Daniela","non-dropping-particle":"","parse-names":false,"suffix":""},{"dropping-particle":"","family":"Mattioli-Belmonte","given":"Monica","non-dropping-particle":"","parse-names":false,"suffix":""}],"container-title":"Bone","id":"ITEM-2","issued":{"date-parts":[["2022","4"]]},"page":"116350","title":"The multifaced role of HtrA1 in the development of joint and skeletal disorders","type":"article-journal","volume":"157"},"uris":["http://www.mendeley.com/documents/?uuid=57597ca7-b8a6-4eb0-addf-0ea951272344"]},{"id":"ITEM-3","itemData":{"DOI":"10.1002/stem.1190","ISSN":"1066-5099","abstract":"Mammalian high-temperature requirement serine protease A1 (HTRA1) is a secreted member of the trypsin family of serine proteases which can degrade a variety of bone matrix proteins and as such has been implicated in musculoskeletal development. In this study, we have investigated the role of HTRA1 in mesenchymal stem cell (MSC) osteogenesis and suggest a potential mechanism through which it controls matrix mineralization by differentiating bone-forming cells. Osteogenic induction resulted in a significant elevation in the expression and secretion of HTRA1 in MSCs isolated from human bone marrow-derived MSCs (hBMSCs), mouse adipose-derived stromal cells (mASCs), and mouse embryonic stem cells. Recombinant HTRA1 enhanced the osteogenesis of hBMSCs as evidenced by significant changes in several osteogenic markers including integrin-binding sialoprotein (IBSP), bone morphogenetic protein 5 (BMP5), and sclerostin, and promoted matrix mineralization in differentiating bone-forming osteoblasts. These stimulatory effects were not observed with proteolytically inactive HTRA1 and were abolished by small interfering RNA against HTRA1. Moreover, loss of HTRA1 function resulted in enhanced adipogenesis of hBMSCs. HTRA1 Immunofluorescence studies showed colocalization of HTRA1 with IBSP protein in osteogenic mASC spheroid cultures and was confirmed as being a newly identified HTRA1 substrate in cell cultures and in proteolytic enzyme assays. A role for HTRA1 in bone regeneration in vivo was also alluded to in bone fracture repair studies where HTRA1 was found localized predominantly to areas of new bone formation in association with IBSP. These data therefore implicate HTRA1 as having a central role in osteogenesis through modification of proteins within the extracellular matrix.","author":[{"dropping-particle":"","family":"Tiaden","given":"André N.","non-dropping-particle":"","parse-names":false,"suffix":""},{"dropping-particle":"","family":"Breiden","given":"Maike","non-dropping-particle":"","parse-names":false,"suffix":""},{"dropping-particle":"","family":"Mirsaidi","given":"Ali","non-dropping-particle":"","parse-names":false,"suffix":""},{"dropping-particle":"","family":"Weber","given":"Fabienne A.","non-dropping-particle":"","parse-names":false,"suffix":""},{"dropping-particle":"","family":"Bahrenberg","given":"Gregor","non-dropping-particle":"","parse-names":false,"suffix":""},{"dropping-particle":"","family":"Glanz","given":"Stephan","non-dropping-particle":"","parse-names":false,"suffix":""},{"dropping-particle":"","family":"Cinelli","given":"Paolo","non-dropping-particle":"","parse-names":false,"suffix":""},{"dropping-particle":"","family":"Ehrmann","given":"Michael","non-dropping-particle":"","parse-names":false,"suffix":""},{"dropping-particle":"","family":"Richards","given":"Peter J.","non-dropping-particle":"","parse-names":false,"suffix":""}],"container-title":"Stem Cells","id":"ITEM-3","issue":"10","issued":{"date-parts":[["2012","10","1"]]},"page":"2271-2282","title":"Human Serine Protease HTRA1 Positively Regulates Osteogenesis of Human Bone Marrow-derived Mesenchymal Stem Cells and Mineralization of Differentiating Bone-forming Cells Through the Modulation of Extracellular Matrix Protein","type":"article-journal","volume":"30"},"uris":["http://www.mendeley.com/documents/?uuid=53491a6e-4336-4dff-b9fb-d77813416b47"]},{"id":"ITEM-4","itemData":{"DOI":"10.1074/jbc.M709299200","ISSN":"00219258","author":[{"dropping-particle":"","family":"Hadfield","given":"Kristen D.","non-dropping-particle":"","parse-names":false,"suffix":""},{"dropping-particle":"","family":"Rock","given":"Claire Farrington","non-dropping-particle":"","parse-names":false,"suffix":""},{"dropping-particle":"","family":"Inkson","given":"Colette A.","non-dropping-particle":"","parse-names":false,"suffix":""},{"dropping-particle":"","family":"Dallas","given":"Sarah L.","non-dropping-particle":"","parse-names":false,"suffix":""},{"dropping-particle":"","family":"Sudre","given":"Laure","non-dropping-particle":"","parse-names":false,"suffix":""},{"dropping-particle":"","family":"Wallis","given":"Gillian A.","non-dropping-particle":"","parse-names":false,"suffix":""},{"dropping-particle":"","family":"Boot-Handford","given":"Raymond P.","non-dropping-particle":"","parse-names":false,"suffix":""},{"dropping-particle":"","family":"Canfield","given":"Ann E.","non-dropping-particle":"","parse-names":false,"suffix":""}],"container-title":"Journal of Biological Chemistry","id":"ITEM-4","issue":"9","issued":{"date-parts":[["2008","2"]]},"page":"5928-5938","title":"HtrA1 Inhibits Mineral Deposition by Osteoblasts","type":"article-journal","volume":"283"},"uris":["http://www.mendeley.com/documents/?uuid=f1481e97-3047-45dd-bdb5-679c2d1ca498"]},{"id":"ITEM-5","itemData":{"DOI":"10.1371/journal.pone.0181600","ISSN":"1932-6203","author":[{"dropping-particle":"","family":"Filliat","given":"Gladys","non-dropping-particle":"","parse-names":false,"suffix":""},{"dropping-particle":"","family":"Mirsaidi","given":"Ali","non-dropping-particle":"","parse-names":false,"suffix":""},{"dropping-particle":"","family":"Tiaden","given":"André N.","non-dropping-particle":"","parse-names":false,"suffix":""},{"dropping-particle":"","family":"Kuhn","given":"Gisela A.","non-dropping-particle":"","parse-names":false,"suffix":""},{"dropping-particle":"","family":"Weber","given":"Franz E.","non-dropping-particle":"","parse-names":false,"suffix":""},{"dropping-particle":"","family":"Oka","given":"Chio","non-dropping-particle":"","parse-names":false,"suffix":""},{"dropping-particle":"","family":"Richards","given":"Peter J.","non-dropping-particle":"","parse-names":false,"suffix":""}],"container-title":"PLOS ONE","editor":[{"dropping-particle":"","family":"Papaccio","given":"Gianpaolo","non-dropping-particle":"","parse-names":false,"suffix":""}],"id":"ITEM-5","issue":"7","issued":{"date-parts":[["2017","7","21"]]},"page":"e0181600","title":"Role of HTRA1 in bone formation and regeneration: In vitro and in vivo evaluation","type":"article-journal","volume":"12"},"uris":["http://www.mendeley.com/documents/?uuid=d3f274ec-d409-4b01-8be1-b39bced428b4"]}],"mendeley":{"formattedCitation":"[27–31]","plainTextFormattedCitation":"[27–31]","previouslyFormattedCitation":"[27–31]"},"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lang w:val="en-US"/>
              </w:rPr>
              <w:t>[27–31]</w:t>
            </w:r>
            <w:r w:rsidRPr="00112610">
              <w:rPr>
                <w:rFonts w:ascii="Times New Roman" w:hAnsi="Times New Roman" w:cs="Times New Roman"/>
              </w:rPr>
              <w:fldChar w:fldCharType="end"/>
            </w:r>
          </w:p>
        </w:tc>
      </w:tr>
      <w:tr w:rsidR="00C6689A" w:rsidRPr="00112610" w14:paraId="665386CD" w14:textId="77777777" w:rsidTr="00112610">
        <w:trPr>
          <w:trHeight w:val="1075"/>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7BD7FE66" w14:textId="77777777" w:rsidR="00C6689A" w:rsidRPr="00112610" w:rsidRDefault="00C6689A" w:rsidP="007F150D">
            <w:pPr>
              <w:spacing w:line="360" w:lineRule="auto"/>
              <w:jc w:val="center"/>
              <w:rPr>
                <w:rFonts w:ascii="Times New Roman" w:hAnsi="Times New Roman" w:cs="Times New Roman"/>
                <w:b w:val="0"/>
                <w:bCs w:val="0"/>
                <w:i/>
                <w:iCs/>
                <w:lang w:val="en-US"/>
              </w:rPr>
            </w:pPr>
            <w:r w:rsidRPr="00112610">
              <w:rPr>
                <w:rFonts w:ascii="Times New Roman" w:hAnsi="Times New Roman" w:cs="Times New Roman"/>
                <w:i/>
                <w:iCs/>
                <w:lang w:val="en-US"/>
              </w:rPr>
              <w:t>OGT</w:t>
            </w:r>
          </w:p>
        </w:tc>
        <w:tc>
          <w:tcPr>
            <w:tcW w:w="1440" w:type="dxa"/>
            <w:vAlign w:val="center"/>
          </w:tcPr>
          <w:p w14:paraId="28477A21"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OGT</w:t>
            </w:r>
          </w:p>
        </w:tc>
        <w:tc>
          <w:tcPr>
            <w:tcW w:w="5040" w:type="dxa"/>
          </w:tcPr>
          <w:p w14:paraId="59250D31"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Glycosyltransferase that catalyzes the addition of a single N-acetylglucosamine in O-glycosidic linkage to serine or threonine residues</w:t>
            </w:r>
          </w:p>
          <w:p w14:paraId="7D77FC65" w14:textId="77777777" w:rsidR="00C6689A" w:rsidRPr="00112610" w:rsidRDefault="00C6689A" w:rsidP="000076B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Increased O-</w:t>
            </w:r>
            <w:proofErr w:type="spellStart"/>
            <w:r w:rsidRPr="00112610">
              <w:rPr>
                <w:rFonts w:ascii="Times New Roman" w:hAnsi="Times New Roman" w:cs="Times New Roman"/>
                <w:lang w:val="en-US"/>
              </w:rPr>
              <w:t>GlcNAc</w:t>
            </w:r>
            <w:proofErr w:type="spellEnd"/>
            <w:r w:rsidRPr="00112610">
              <w:rPr>
                <w:rFonts w:ascii="Times New Roman" w:hAnsi="Times New Roman" w:cs="Times New Roman"/>
                <w:lang w:val="en-US"/>
              </w:rPr>
              <w:t xml:space="preserve"> glycosylation is observed during the early stage of osteogenic differentiation in mouse pre-osteoblasts MC3T3-E1 cells.</w:t>
            </w:r>
          </w:p>
          <w:p w14:paraId="7F1AA899" w14:textId="77777777" w:rsidR="00C6689A" w:rsidRPr="00112610" w:rsidRDefault="00C6689A" w:rsidP="000076B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OGT inhibition by ST060266 reduces the expression levels of osteogenic genes and impairs mineralization.</w:t>
            </w:r>
          </w:p>
        </w:tc>
        <w:tc>
          <w:tcPr>
            <w:tcW w:w="1080" w:type="dxa"/>
            <w:vAlign w:val="center"/>
          </w:tcPr>
          <w:p w14:paraId="3CC2E3CD"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lang w:val="en-US"/>
              </w:rPr>
            </w:pPr>
            <w:r w:rsidRPr="00112610">
              <w:rPr>
                <w:rFonts w:ascii="Times New Roman" w:hAnsi="Times New Roman" w:cs="Times New Roman"/>
                <w:b/>
                <w:bCs/>
                <w:color w:val="FF0000"/>
                <w:lang w:val="en-US"/>
              </w:rPr>
              <w:t>+0,68</w:t>
            </w:r>
          </w:p>
        </w:tc>
        <w:tc>
          <w:tcPr>
            <w:tcW w:w="1620" w:type="dxa"/>
            <w:vAlign w:val="center"/>
          </w:tcPr>
          <w:p w14:paraId="1BAA10CF" w14:textId="0FA67A46"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rPr>
              <w:fldChar w:fldCharType="begin" w:fldLock="1"/>
            </w:r>
            <w:r w:rsidR="005A5301">
              <w:rPr>
                <w:rFonts w:ascii="Times New Roman" w:hAnsi="Times New Roman" w:cs="Times New Roman"/>
                <w:lang w:val="en-US"/>
              </w:rPr>
              <w:instrText>ADDIN CSL_CITATION {"citationItems":[{"id":"ITEM-1","itemData":{"DOI":"10.1016/j.yexcr.2015.08.009","ISSN":"00144827","author":[{"dropping-particle":"","family":"Koyama","given":"Takahiro","non-dropping-particle":"","parse-names":false,"suffix":""},{"dropping-particle":"","family":"Kamemura","given":"Kazuo","non-dropping-particle":"","parse-names":false,"suffix":""}],"container-title":"Experimental Cell Research","id":"ITEM-1","issue":"2","issued":{"date-parts":[["2015","11"]]},"page":"194-202","title":"Global increase in O-linked N-acetylglucosamine modification promotes osteoblast differentiation","type":"article-journal","volume":"338"},"uris":["http://www.mendeley.com/documents/?uuid=edd08909-8eaa-4f5e-8f8d-fd5bb8043f43"]}],"mendeley":{"formattedCitation":"[32]","plainTextFormattedCitation":"[32]","previouslyFormattedCitation":"[32]"},"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lang w:val="en-US"/>
              </w:rPr>
              <w:t>[32]</w:t>
            </w:r>
            <w:r w:rsidRPr="00112610">
              <w:rPr>
                <w:rFonts w:ascii="Times New Roman" w:hAnsi="Times New Roman" w:cs="Times New Roman"/>
              </w:rPr>
              <w:fldChar w:fldCharType="end"/>
            </w:r>
          </w:p>
        </w:tc>
      </w:tr>
      <w:tr w:rsidR="00C6689A" w:rsidRPr="00112610" w14:paraId="609917A6" w14:textId="77777777" w:rsidTr="00112610">
        <w:trPr>
          <w:trHeight w:val="625"/>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2D6749C1" w14:textId="77777777" w:rsidR="00C6689A" w:rsidRPr="00112610" w:rsidRDefault="00C6689A" w:rsidP="007F150D">
            <w:pPr>
              <w:spacing w:line="360" w:lineRule="auto"/>
              <w:jc w:val="center"/>
              <w:rPr>
                <w:rFonts w:ascii="Times New Roman" w:hAnsi="Times New Roman" w:cs="Times New Roman"/>
                <w:i/>
                <w:iCs/>
                <w:lang w:val="en-US"/>
              </w:rPr>
            </w:pPr>
            <w:r w:rsidRPr="00112610">
              <w:rPr>
                <w:rFonts w:ascii="Times New Roman" w:hAnsi="Times New Roman" w:cs="Times New Roman"/>
                <w:i/>
                <w:iCs/>
                <w:lang w:val="en-US"/>
              </w:rPr>
              <w:t>APOD</w:t>
            </w:r>
          </w:p>
        </w:tc>
        <w:tc>
          <w:tcPr>
            <w:tcW w:w="1440" w:type="dxa"/>
            <w:vAlign w:val="center"/>
          </w:tcPr>
          <w:p w14:paraId="6E853E70"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D7749C">
              <w:rPr>
                <w:rFonts w:ascii="Times New Roman" w:hAnsi="Times New Roman" w:cs="Times New Roman"/>
                <w:sz w:val="20"/>
                <w:szCs w:val="20"/>
                <w:lang w:val="en-US"/>
              </w:rPr>
              <w:t>Apolipoprotein D</w:t>
            </w:r>
          </w:p>
        </w:tc>
        <w:tc>
          <w:tcPr>
            <w:tcW w:w="5040" w:type="dxa"/>
          </w:tcPr>
          <w:p w14:paraId="08B939EA"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Glycoprotein with antioxidant function</w:t>
            </w:r>
          </w:p>
          <w:p w14:paraId="44EF76C9"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Osteogenic induction increases Apolipoprotein D expression levels.</w:t>
            </w:r>
          </w:p>
          <w:p w14:paraId="31ACE060" w14:textId="77777777" w:rsidR="00C6689A" w:rsidRPr="00112610" w:rsidRDefault="00C6689A" w:rsidP="007F150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Apolipoprotein D addition to the culture medium enhances osteogenesis.</w:t>
            </w:r>
          </w:p>
        </w:tc>
        <w:tc>
          <w:tcPr>
            <w:tcW w:w="1080" w:type="dxa"/>
            <w:vAlign w:val="center"/>
          </w:tcPr>
          <w:p w14:paraId="5028972B" w14:textId="7777777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+3,8</w:t>
            </w:r>
          </w:p>
        </w:tc>
        <w:tc>
          <w:tcPr>
            <w:tcW w:w="1620" w:type="dxa"/>
            <w:vAlign w:val="center"/>
          </w:tcPr>
          <w:p w14:paraId="403C33B9" w14:textId="462D3A87" w:rsidR="00C6689A" w:rsidRPr="00112610" w:rsidRDefault="00C6689A"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fldChar w:fldCharType="begin" w:fldLock="1"/>
            </w:r>
            <w:r w:rsidR="005A5301">
              <w:rPr>
                <w:rFonts w:ascii="Times New Roman" w:hAnsi="Times New Roman" w:cs="Times New Roman"/>
              </w:rPr>
              <w:instrText>ADDIN CSL_CITATION {"citationItems":[{"id":"ITEM-1","itemData":{"DOI":"10.1186/s13018-020-01824-1","ISSN":"1749-799X","author":[{"dropping-particle":"","family":"Yu","given":"Rong-Hua","non-dropping-particle":"","parse-names":false,"suffix":""},{"dropping-particle":"","family":"Zhang","given":"Xiang-yang","non-dropping-particle":"","parse-names":false,"suffix":""},{"dropping-particle":"","family":"Xu","given":"Wei","non-dropping-particle":"","parse-names":false,"suffix":""},{"dropping-particle":"","family":"Li","given":"Zhi-kun","non-dropping-particle":"","parse-names":false,"suffix":""},{"dropping-particle":"","family":"Zhu","given":"Xiao-dong","non-dropping-particle":"","parse-names":false,"suffix":""}],"container-title":"Journal of Orthopaedic Surgery and Research","id":"ITEM-1","issue":"1","issued":{"date-parts":[["2020","12","8"]]},"page":"307","title":"Apolipoprotein D alleviates glucocorticoid-induced osteogenesis suppression in bone marrow mesenchymal stem cells via the PI3K/Akt pathway","type":"article-journal","volume":"15"},"uris":["http://www.mendeley.com/documents/?uuid=314d28ae-9f5f-41cd-8750-80114f9de349"]},{"id":"ITEM-2","itemData":{"DOI":"10.1016/j.metabol.2016.05.007","ISSN":"00260495","author":[{"dropping-particle":"","family":"Martineau","given":"Corine","non-dropping-particle":"","parse-names":false,"suffix":""},{"dropping-particle":"","family":"Najyb","given":"Ouafa","non-dropping-particle":"","parse-names":false,"suffix":""},{"dropping-particle":"","family":"Signor","given":"Céline","non-dropping-particle":"","parse-names":false,"suffix":""},{"dropping-particle":"","family":"Rassart","given":"Éric","non-dropping-particle":"","parse-names":false,"suffix":""},{"dropping-particle":"","family":"Moreau","given":"Robert","non-dropping-particle":"","parse-names":false,"suffix":""}],"container-title":"Metabolism","id":"ITEM-2","issue":"9","issued":{"date-parts":[["2016","9"]]},"page":"1247-1258","title":"Apolipoprotein D deficiency is associated to high bone turnover, low bone mass and impaired osteoblastic function in aged female mice","type":"article-journal","volume":"65"},"uris":["http://www.mendeley.com/documents/?uuid=fc10d099-7451-434f-aaf4-6ff1a18ca460"]}],"mendeley":{"formattedCitation":"[33, 34]","plainTextFormattedCitation":"[33, 34]","previouslyFormattedCitation":"[33, 34]"},"properties":{"noteIndex":0},"schema":"https://github.com/citation-style-language/schema/raw/master/csl-citation.json"}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rPr>
              <w:t>[33, 34]</w:t>
            </w:r>
            <w:r w:rsidRPr="00112610">
              <w:rPr>
                <w:rFonts w:ascii="Times New Roman" w:hAnsi="Times New Roman" w:cs="Times New Roman"/>
              </w:rPr>
              <w:fldChar w:fldCharType="end"/>
            </w:r>
          </w:p>
        </w:tc>
      </w:tr>
      <w:tr w:rsidR="00D7749C" w:rsidRPr="00112610" w14:paraId="26F66490" w14:textId="77777777" w:rsidTr="00112610">
        <w:trPr>
          <w:trHeight w:val="625"/>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1C9A5659" w14:textId="77777777" w:rsidR="00D7749C" w:rsidRPr="00112610" w:rsidRDefault="00D7749C" w:rsidP="007F150D">
            <w:pPr>
              <w:spacing w:line="360" w:lineRule="auto"/>
              <w:jc w:val="center"/>
              <w:rPr>
                <w:rFonts w:ascii="Times New Roman" w:hAnsi="Times New Roman" w:cs="Times New Roman"/>
                <w:i/>
                <w:iCs/>
                <w:lang w:val="en-US"/>
              </w:rPr>
            </w:pPr>
          </w:p>
        </w:tc>
        <w:tc>
          <w:tcPr>
            <w:tcW w:w="1440" w:type="dxa"/>
            <w:vAlign w:val="center"/>
          </w:tcPr>
          <w:p w14:paraId="67EF4B07" w14:textId="77777777" w:rsidR="00D7749C" w:rsidRPr="00D7749C" w:rsidRDefault="00D7749C"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5040" w:type="dxa"/>
          </w:tcPr>
          <w:p w14:paraId="621E3C4F"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p>
        </w:tc>
        <w:tc>
          <w:tcPr>
            <w:tcW w:w="1080" w:type="dxa"/>
            <w:vAlign w:val="center"/>
          </w:tcPr>
          <w:p w14:paraId="3CFC8AB3" w14:textId="77777777" w:rsidR="00D7749C" w:rsidRPr="00112610" w:rsidRDefault="00D7749C"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tc>
        <w:tc>
          <w:tcPr>
            <w:tcW w:w="1620" w:type="dxa"/>
            <w:vAlign w:val="center"/>
          </w:tcPr>
          <w:p w14:paraId="3F61D35D" w14:textId="77777777" w:rsidR="00D7749C" w:rsidRPr="00112610" w:rsidRDefault="00D7749C" w:rsidP="007F150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D7749C" w:rsidRPr="00112610" w14:paraId="256FB370" w14:textId="77777777" w:rsidTr="00D7749C">
        <w:trPr>
          <w:trHeight w:val="1459"/>
        </w:trPr>
        <w:tc>
          <w:tcPr>
            <w:cnfStyle w:val="001000000000" w:firstRow="0" w:lastRow="0" w:firstColumn="1" w:lastColumn="0" w:oddVBand="0" w:evenVBand="0" w:oddHBand="0" w:evenHBand="0" w:firstRowFirstColumn="0" w:firstRowLastColumn="0" w:lastRowFirstColumn="0" w:lastRowLastColumn="0"/>
            <w:tcW w:w="1080" w:type="dxa"/>
            <w:tcBorders>
              <w:bottom w:val="double" w:sz="4" w:space="0" w:color="A5A5A5" w:themeColor="accent3"/>
            </w:tcBorders>
          </w:tcPr>
          <w:p w14:paraId="6C2D142B" w14:textId="77777777" w:rsidR="00D7749C" w:rsidRPr="00112610" w:rsidRDefault="00D7749C" w:rsidP="007F150D">
            <w:pPr>
              <w:jc w:val="center"/>
              <w:rPr>
                <w:rFonts w:ascii="Times New Roman" w:hAnsi="Times New Roman" w:cs="Times New Roman"/>
                <w:b w:val="0"/>
                <w:bCs w:val="0"/>
                <w:i/>
                <w:iCs/>
                <w:lang w:val="en-US"/>
              </w:rPr>
            </w:pPr>
            <w:r w:rsidRPr="00112610">
              <w:rPr>
                <w:rFonts w:ascii="Times New Roman" w:hAnsi="Times New Roman" w:cs="Times New Roman"/>
                <w:i/>
                <w:iCs/>
                <w:lang w:val="en-US"/>
              </w:rPr>
              <w:lastRenderedPageBreak/>
              <w:br/>
            </w:r>
          </w:p>
          <w:p w14:paraId="186B9FCC" w14:textId="77777777" w:rsidR="00D7749C" w:rsidRPr="00112610" w:rsidRDefault="00D7749C" w:rsidP="007F150D">
            <w:pPr>
              <w:jc w:val="center"/>
              <w:rPr>
                <w:rFonts w:ascii="Times New Roman" w:hAnsi="Times New Roman" w:cs="Times New Roman"/>
                <w:b w:val="0"/>
                <w:bCs w:val="0"/>
                <w:i/>
                <w:iCs/>
                <w:lang w:val="en-US"/>
              </w:rPr>
            </w:pPr>
          </w:p>
          <w:p w14:paraId="73DE176B" w14:textId="77777777" w:rsidR="00D7749C" w:rsidRPr="00112610" w:rsidRDefault="00D7749C" w:rsidP="007F150D">
            <w:pPr>
              <w:jc w:val="center"/>
              <w:rPr>
                <w:rFonts w:ascii="Times New Roman" w:hAnsi="Times New Roman" w:cs="Times New Roman"/>
                <w:b w:val="0"/>
                <w:bCs w:val="0"/>
                <w:i/>
                <w:iCs/>
                <w:lang w:val="en-US"/>
              </w:rPr>
            </w:pPr>
          </w:p>
          <w:p w14:paraId="2A355A8F" w14:textId="7B88DEA2" w:rsidR="00D7749C" w:rsidRPr="00112610" w:rsidRDefault="00D7749C" w:rsidP="007F150D">
            <w:pPr>
              <w:jc w:val="center"/>
              <w:rPr>
                <w:rFonts w:ascii="Times New Roman" w:hAnsi="Times New Roman" w:cs="Times New Roman"/>
                <w:i/>
                <w:iCs/>
                <w:lang w:val="en-US"/>
              </w:rPr>
            </w:pPr>
            <w:r w:rsidRPr="00112610">
              <w:rPr>
                <w:rFonts w:ascii="Times New Roman" w:hAnsi="Times New Roman" w:cs="Times New Roman"/>
                <w:i/>
                <w:iCs/>
                <w:lang w:val="en-US"/>
              </w:rPr>
              <w:t>CRTAP</w:t>
            </w:r>
          </w:p>
          <w:p w14:paraId="713E4873" w14:textId="4AD6DE22" w:rsidR="00D7749C" w:rsidRPr="00112610" w:rsidRDefault="00D7749C" w:rsidP="007F150D">
            <w:pPr>
              <w:jc w:val="center"/>
              <w:rPr>
                <w:rFonts w:ascii="Times New Roman" w:hAnsi="Times New Roman" w:cs="Times New Roman"/>
                <w:i/>
                <w:iCs/>
              </w:rPr>
            </w:pPr>
            <w:r w:rsidRPr="00112610">
              <w:rPr>
                <w:rFonts w:ascii="Times New Roman" w:hAnsi="Times New Roman" w:cs="Times New Roman"/>
                <w:i/>
                <w:iCs/>
                <w:lang w:val="en-US"/>
              </w:rPr>
              <w:t>P3H1</w:t>
            </w:r>
          </w:p>
        </w:tc>
        <w:tc>
          <w:tcPr>
            <w:tcW w:w="1440" w:type="dxa"/>
            <w:tcBorders>
              <w:bottom w:val="double" w:sz="4" w:space="0" w:color="A5A5A5" w:themeColor="accent3"/>
            </w:tcBorders>
          </w:tcPr>
          <w:p w14:paraId="7D6E4DA6"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br/>
            </w:r>
          </w:p>
          <w:p w14:paraId="0BA5CC79"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72A1F879"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4AC634D7" w14:textId="5F4CAD4C"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CRTAP</w:t>
            </w:r>
          </w:p>
          <w:p w14:paraId="5EAD3DD5" w14:textId="5DE133E9"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LEPRE1</w:t>
            </w:r>
          </w:p>
        </w:tc>
        <w:tc>
          <w:tcPr>
            <w:tcW w:w="5040" w:type="dxa"/>
            <w:tcBorders>
              <w:bottom w:val="double" w:sz="4" w:space="0" w:color="A5A5A5" w:themeColor="accent3"/>
            </w:tcBorders>
          </w:tcPr>
          <w:p w14:paraId="372A011A" w14:textId="1AFA19CF" w:rsidR="00D7749C" w:rsidRPr="00112610" w:rsidRDefault="00D7749C" w:rsidP="00315A8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Endoplasmic reticulum proteins involved in the biosynthesis and transport of type I collagen. Mutations in any of these proteins are associated with osteogenesis imperfecta or related disorders.</w:t>
            </w:r>
          </w:p>
          <w:p w14:paraId="78523B4C" w14:textId="00F6AA23" w:rsidR="00D7749C" w:rsidRPr="00112610" w:rsidRDefault="00D7749C" w:rsidP="00315A8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i/>
                <w:iCs/>
                <w:lang w:val="en-US"/>
              </w:rPr>
              <w:t xml:space="preserve">○ </w:t>
            </w:r>
            <w:r w:rsidRPr="00112610">
              <w:rPr>
                <w:rFonts w:ascii="Times New Roman" w:hAnsi="Times New Roman" w:cs="Times New Roman"/>
                <w:lang w:val="en-US"/>
              </w:rPr>
              <w:t>LEPRE1</w:t>
            </w:r>
            <w:r>
              <w:rPr>
                <w:rFonts w:ascii="Times New Roman" w:hAnsi="Times New Roman" w:cs="Times New Roman"/>
                <w:lang w:val="en-US"/>
              </w:rPr>
              <w:t>/</w:t>
            </w:r>
            <w:r w:rsidRPr="00112610">
              <w:rPr>
                <w:rFonts w:ascii="Times New Roman" w:hAnsi="Times New Roman" w:cs="Times New Roman"/>
                <w:lang w:val="en-US"/>
              </w:rPr>
              <w:t>CRTAP</w:t>
            </w:r>
            <w:r>
              <w:rPr>
                <w:rFonts w:ascii="Times New Roman" w:hAnsi="Times New Roman" w:cs="Times New Roman"/>
                <w:lang w:val="en-US"/>
              </w:rPr>
              <w:t>/</w:t>
            </w:r>
            <w:r w:rsidRPr="00112610">
              <w:rPr>
                <w:rFonts w:ascii="Times New Roman" w:hAnsi="Times New Roman" w:cs="Times New Roman"/>
                <w:lang w:val="en-US"/>
              </w:rPr>
              <w:t xml:space="preserve"> cyclophilin B </w:t>
            </w:r>
            <w:r>
              <w:rPr>
                <w:rFonts w:ascii="Times New Roman" w:hAnsi="Times New Roman" w:cs="Times New Roman"/>
                <w:lang w:val="en-US"/>
              </w:rPr>
              <w:t>complex</w:t>
            </w:r>
            <w:r w:rsidRPr="00112610">
              <w:rPr>
                <w:rFonts w:ascii="Times New Roman" w:hAnsi="Times New Roman" w:cs="Times New Roman"/>
                <w:lang w:val="en-US"/>
              </w:rPr>
              <w:t xml:space="preserve"> mediate proline hydroxylation of type I collagen chain</w:t>
            </w:r>
            <w:r>
              <w:rPr>
                <w:rFonts w:ascii="Times New Roman" w:hAnsi="Times New Roman" w:cs="Times New Roman"/>
                <w:lang w:val="en-US"/>
              </w:rPr>
              <w:t>|</w:t>
            </w:r>
          </w:p>
        </w:tc>
        <w:tc>
          <w:tcPr>
            <w:tcW w:w="1080" w:type="dxa"/>
            <w:tcBorders>
              <w:bottom w:val="double" w:sz="4" w:space="0" w:color="A5A5A5" w:themeColor="accent3"/>
            </w:tcBorders>
          </w:tcPr>
          <w:p w14:paraId="05B9C7CD"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lang w:val="en-US"/>
              </w:rPr>
            </w:pPr>
            <w:r w:rsidRPr="00112610">
              <w:rPr>
                <w:rFonts w:ascii="Times New Roman" w:hAnsi="Times New Roman" w:cs="Times New Roman"/>
                <w:b/>
                <w:bCs/>
                <w:color w:val="FF0000"/>
                <w:lang w:val="en-US"/>
              </w:rPr>
              <w:br/>
            </w:r>
          </w:p>
          <w:p w14:paraId="4332BA3F"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lang w:val="en-US"/>
              </w:rPr>
            </w:pPr>
          </w:p>
          <w:p w14:paraId="0C1FD443"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lang w:val="en-US"/>
              </w:rPr>
            </w:pPr>
          </w:p>
          <w:p w14:paraId="3C1ECBDB" w14:textId="7228553F"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+0,58</w:t>
            </w:r>
          </w:p>
          <w:p w14:paraId="752F5F96" w14:textId="42CF6743"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+0,82</w:t>
            </w:r>
          </w:p>
        </w:tc>
        <w:tc>
          <w:tcPr>
            <w:tcW w:w="1620" w:type="dxa"/>
            <w:vMerge w:val="restart"/>
          </w:tcPr>
          <w:p w14:paraId="3572E545"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br/>
            </w:r>
          </w:p>
          <w:p w14:paraId="13D25193"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6902F26"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646D87DD"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590218ED"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40832EAA"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3A1FF30"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78C7763A"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170F8C34"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4A82678E"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7CB8310" w14:textId="255D25BA"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rPr>
              <w:fldChar w:fldCharType="begin" w:fldLock="1"/>
            </w:r>
            <w:r>
              <w:rPr>
                <w:rFonts w:ascii="Times New Roman" w:hAnsi="Times New Roman" w:cs="Times New Roman"/>
              </w:rPr>
              <w:instrText>ADDIN CSL_CITATION {"citationItems":[{"id":"ITEM-1","itemData":{"DOI":"10.1007/s00439-021-02302-2","ISSN":"0340-6717","abstract":"Osteogenesis Imperfecta (OI) comprises a heterogeneous group of patients who share bone fragility and deformities as the main characteristics, albeit with different degrees of severity. Phenotypic variation also exists in other connective tissue aspects of the disease, complicating disease classification and disease course prediction. Although collagen type I defects are long established as the primary cause of the bone pathology, we are still far from comprehending the complete mechanism. In the last years, the advent of next generation sequencing has triggered the discovery of many new genetic causes for OI, helping to draw its molecular landscape. It has become clear that, in addition to collagen type I genes, OI can be caused by multiple proteins connected to different parts of collagen biosynthesis. The production of collagen entails a complex process, starting from the production of the collagen Iα1 and collagen Iα2 chains in the endoplasmic reticulum, during and after which procollagen is subjected to a plethora of posttranslational modifications by chaperones. After reaching the Golgi organelle, procollagen is destined to the extracellular matrix where it forms collagen fibrils. Recently discovered mutations in components of the retrograde transport of chaperones highlight its emerging role as critical contributor of OI development. This review offers an overview of collagen regulation in the context of recent gene discoveries, emphasizing the significance of transport disruptions in the OI mechanism. We aim to motivate exploration of skeletal fragility in OI from the perspective of these pathways to identify regulatory points which can hint to therapeutic targets.","author":[{"dropping-particle":"","family":"Claeys","given":"Lauria","non-dropping-particle":"","parse-names":false,"suffix":""},{"dropping-particle":"","family":"Storoni","given":"Silvia","non-dropping-particle":"","parse-names":false,"suffix":""},{"dropping-particle":"","family":"Eekhoff","given":"Marelise","non-dropping-particle":"","parse-names":false,"suffix":""},{"dropping-particle":"","family":"Elting","given":"Mariet","non-dropping-particle":"","parse-names":false,"suffix":""},{"dropping-particle":"","family":"Wisse","given":"Lisanne","non-dropping-particle":"","parse-names":false,"suffix":""},{"dropping-particle":"","family":"Pals","given":"Gerard","non-dropping-particle":"","parse-names":false,"suffix":""},{"dropping-particle":"","family":"Bravenboer","given":"Nathalie","non-dropping-particle":"","parse-names":false,"suffix":""},{"dropping-particle":"","family":"Maugeri","given":"Alessandra","non-dropping-particle":"","parse-names":false,"suffix":""},{"dropping-particle":"","family":"Micha","given":"Dimitra","non-dropping-particle":"","parse-names":false,"suffix":""}],"container-title":"Human Genetics","id":"ITEM-1","issue":"8","issued":{"date-parts":[["2021","8","24"]]},"page":"1121-1141","title":"Collagen transport and related pathways in Osteogenesis Imperfecta","type":"article-journal","volume":"140"},"uris":["http://www.mendeley.com/documents/?uuid=d20f6c69-9207-41c4-bb8c-c6a63538b232"]},{"id":"ITEM-2","itemData":{"DOI":"10.1146/annurev-cellbio-100913-013002","ISSN":"1081-0706","abstract":"COPII vesicles mediate export of secretory cargo from the endoplasmic reticulum (ER). However, a standard COPII vesicle with a diameter of 60–90 nm is too small to export collagens that are composed of rigid triple helices of up to 400 nm in length. How do cells pack and secrete such bulky molecules? This issue is fundamentally important, as collagens constitute approximately 25% of our dry body weight and are essential for almost all cell-cell interactions. Recently, a potential mechanism for the biogenesis of mega-transport carriers was identified, involving packing collagens and increasing the size of COPII coats. Packing is mediated by TANGO1, which binds procollagen VII in the lumen and interacts with the COPII proteins Sec23/Sec24 on the cytoplasmic side of the ER. Cullin3, an E3 ligase, and its specific adaptor protein, KLHL12, ubiquitinate Sec31, which could increase the size of COPII coats. Recruitment of these proteins and their specific interactors into COPII-mediated vesicle biogenesis may be all that is needed for the export of bulky collagens from the ER. Nonetheless, we present an alternative pathway in which TANGO1 and COPII cooperate to export collagens without generating a mega-transport carrier.","author":[{"dropping-particle":"","family":"Malhotra","given":"Vivek","non-dropping-particle":"","parse-names":false,"suffix":""},{"dropping-particle":"","family":"Erlmann","given":"Patrik","non-dropping-particle":"","parse-names":false,"suffix":""}],"container-title":"Annual Review of Cell and Developmental Biology","id":"ITEM-2","issue":"1","issued":{"date-parts":[["2015","11","13"]]},"page":"109-124","title":"The Pathway of Collagen Secretion","type":"article-journal","volume":"31"},"uris":["http://www.mendeley.com/documents/?uuid=05b4383a-cf9d-4fef-9b6c-6eeb0efecad3"]}],"mendeley":{"formattedCitation":"[35, 36]","plainTextFormattedCitation":"[35, 36]","previouslyFormattedCitation":"[35, 36]"},"properties":{"noteIndex":0},"schema":"https://github.com/citation-style-language/schema/raw/master/csl-citation.json"}</w:instrText>
            </w:r>
            <w:r w:rsidRPr="00112610">
              <w:rPr>
                <w:rFonts w:ascii="Times New Roman" w:hAnsi="Times New Roman" w:cs="Times New Roman"/>
              </w:rPr>
              <w:fldChar w:fldCharType="separate"/>
            </w:r>
            <w:r w:rsidRPr="00112610">
              <w:rPr>
                <w:rFonts w:ascii="Times New Roman" w:hAnsi="Times New Roman" w:cs="Times New Roman"/>
                <w:noProof/>
                <w:lang w:val="en-US"/>
              </w:rPr>
              <w:t>[35, 36]</w:t>
            </w:r>
            <w:r w:rsidRPr="00112610">
              <w:rPr>
                <w:rFonts w:ascii="Times New Roman" w:hAnsi="Times New Roman" w:cs="Times New Roman"/>
              </w:rPr>
              <w:fldChar w:fldCharType="end"/>
            </w:r>
          </w:p>
        </w:tc>
      </w:tr>
      <w:tr w:rsidR="00D7749C" w:rsidRPr="00112610" w14:paraId="0A594ECD" w14:textId="77777777" w:rsidTr="00D7749C">
        <w:trPr>
          <w:trHeight w:val="443"/>
        </w:trPr>
        <w:tc>
          <w:tcPr>
            <w:cnfStyle w:val="001000000000" w:firstRow="0" w:lastRow="0" w:firstColumn="1" w:lastColumn="0" w:oddVBand="0" w:evenVBand="0" w:oddHBand="0" w:evenHBand="0" w:firstRowFirstColumn="0" w:firstRowLastColumn="0" w:lastRowFirstColumn="0" w:lastRowLastColumn="0"/>
            <w:tcW w:w="1080" w:type="dxa"/>
            <w:tcBorders>
              <w:top w:val="double" w:sz="4" w:space="0" w:color="A5A5A5" w:themeColor="accent3"/>
              <w:bottom w:val="double" w:sz="4" w:space="0" w:color="A5A5A5" w:themeColor="accent3"/>
            </w:tcBorders>
          </w:tcPr>
          <w:p w14:paraId="59147CD8" w14:textId="77777777" w:rsidR="00D7749C" w:rsidRPr="00112610" w:rsidRDefault="00D7749C" w:rsidP="00D7749C">
            <w:pPr>
              <w:jc w:val="center"/>
              <w:rPr>
                <w:rFonts w:ascii="Times New Roman" w:hAnsi="Times New Roman" w:cs="Times New Roman"/>
                <w:i/>
                <w:iCs/>
                <w:lang w:val="en-US"/>
              </w:rPr>
            </w:pPr>
            <w:r w:rsidRPr="00112610">
              <w:rPr>
                <w:rFonts w:ascii="Times New Roman" w:hAnsi="Times New Roman" w:cs="Times New Roman"/>
                <w:i/>
                <w:iCs/>
                <w:lang w:val="en-US"/>
              </w:rPr>
              <w:t>PLOD1</w:t>
            </w:r>
          </w:p>
          <w:p w14:paraId="067F013F" w14:textId="2AF1E168" w:rsidR="00D7749C" w:rsidRPr="00112610" w:rsidRDefault="00D7749C" w:rsidP="00D7749C">
            <w:pPr>
              <w:jc w:val="center"/>
              <w:rPr>
                <w:rFonts w:ascii="Times New Roman" w:hAnsi="Times New Roman" w:cs="Times New Roman"/>
                <w:i/>
                <w:iCs/>
                <w:lang w:val="en-US"/>
              </w:rPr>
            </w:pPr>
          </w:p>
        </w:tc>
        <w:tc>
          <w:tcPr>
            <w:tcW w:w="1440" w:type="dxa"/>
            <w:tcBorders>
              <w:top w:val="double" w:sz="4" w:space="0" w:color="A5A5A5" w:themeColor="accent3"/>
              <w:bottom w:val="double" w:sz="4" w:space="0" w:color="A5A5A5" w:themeColor="accent3"/>
            </w:tcBorders>
          </w:tcPr>
          <w:p w14:paraId="73A8A11E"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LH1</w:t>
            </w:r>
          </w:p>
          <w:p w14:paraId="515F8436" w14:textId="4E03EF6E"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tc>
        <w:tc>
          <w:tcPr>
            <w:tcW w:w="5040" w:type="dxa"/>
            <w:tcBorders>
              <w:top w:val="double" w:sz="4" w:space="0" w:color="A5A5A5" w:themeColor="accent3"/>
              <w:bottom w:val="double" w:sz="4" w:space="0" w:color="A5A5A5" w:themeColor="accent3"/>
            </w:tcBorders>
          </w:tcPr>
          <w:p w14:paraId="585FD98B" w14:textId="1908ACF7" w:rsidR="00D7749C" w:rsidRPr="00112610" w:rsidRDefault="00D7749C" w:rsidP="00315A8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 xml:space="preserve">○ </w:t>
            </w:r>
            <w:r w:rsidRPr="00112610">
              <w:rPr>
                <w:rFonts w:ascii="Times New Roman" w:hAnsi="Times New Roman" w:cs="Times New Roman"/>
                <w:lang w:val="en-US"/>
              </w:rPr>
              <w:t>LH1, LH2, and LH3 complex is involved in the lysine hydroxylation of type I collagen chains.</w:t>
            </w:r>
          </w:p>
        </w:tc>
        <w:tc>
          <w:tcPr>
            <w:tcW w:w="1080" w:type="dxa"/>
            <w:tcBorders>
              <w:top w:val="double" w:sz="4" w:space="0" w:color="A5A5A5" w:themeColor="accent3"/>
              <w:bottom w:val="double" w:sz="4" w:space="0" w:color="A5A5A5" w:themeColor="accent3"/>
            </w:tcBorders>
          </w:tcPr>
          <w:p w14:paraId="0992477E"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+0,39</w:t>
            </w:r>
          </w:p>
          <w:p w14:paraId="70297FBC"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lang w:val="en-US"/>
              </w:rPr>
            </w:pPr>
          </w:p>
        </w:tc>
        <w:tc>
          <w:tcPr>
            <w:tcW w:w="1620" w:type="dxa"/>
            <w:vMerge/>
          </w:tcPr>
          <w:p w14:paraId="03165220"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D7749C" w:rsidRPr="00112610" w14:paraId="1BFB1A7E" w14:textId="77777777" w:rsidTr="00D7749C">
        <w:trPr>
          <w:trHeight w:val="941"/>
        </w:trPr>
        <w:tc>
          <w:tcPr>
            <w:cnfStyle w:val="001000000000" w:firstRow="0" w:lastRow="0" w:firstColumn="1" w:lastColumn="0" w:oddVBand="0" w:evenVBand="0" w:oddHBand="0" w:evenHBand="0" w:firstRowFirstColumn="0" w:firstRowLastColumn="0" w:lastRowFirstColumn="0" w:lastRowLastColumn="0"/>
            <w:tcW w:w="1080" w:type="dxa"/>
            <w:tcBorders>
              <w:top w:val="double" w:sz="4" w:space="0" w:color="A5A5A5" w:themeColor="accent3"/>
              <w:bottom w:val="double" w:sz="4" w:space="0" w:color="A5A5A5" w:themeColor="accent3"/>
            </w:tcBorders>
          </w:tcPr>
          <w:p w14:paraId="4C16F0C7" w14:textId="77777777" w:rsidR="00D7749C" w:rsidRPr="00C61773" w:rsidRDefault="00D7749C" w:rsidP="00D7749C">
            <w:pPr>
              <w:jc w:val="center"/>
              <w:rPr>
                <w:rFonts w:ascii="Times New Roman" w:hAnsi="Times New Roman" w:cs="Times New Roman"/>
                <w:i/>
                <w:iCs/>
                <w:lang w:val="en-US"/>
              </w:rPr>
            </w:pPr>
            <w:r w:rsidRPr="00C61773">
              <w:rPr>
                <w:rFonts w:ascii="Times New Roman" w:hAnsi="Times New Roman" w:cs="Times New Roman"/>
                <w:i/>
                <w:iCs/>
                <w:lang w:val="en-US"/>
              </w:rPr>
              <w:t>FKBP10</w:t>
            </w:r>
          </w:p>
          <w:p w14:paraId="271FCECC" w14:textId="77777777" w:rsidR="00D7749C" w:rsidRPr="00C61773" w:rsidRDefault="00D7749C" w:rsidP="00D7749C">
            <w:pPr>
              <w:jc w:val="center"/>
              <w:rPr>
                <w:rFonts w:ascii="Times New Roman" w:hAnsi="Times New Roman" w:cs="Times New Roman"/>
                <w:i/>
                <w:iCs/>
                <w:lang w:val="en-US"/>
              </w:rPr>
            </w:pPr>
          </w:p>
          <w:p w14:paraId="0A4D2D0C" w14:textId="77777777" w:rsidR="00D7749C" w:rsidRPr="00C61773" w:rsidRDefault="00D7749C" w:rsidP="00D7749C">
            <w:pPr>
              <w:jc w:val="center"/>
              <w:rPr>
                <w:rFonts w:ascii="Times New Roman" w:hAnsi="Times New Roman" w:cs="Times New Roman"/>
                <w:i/>
                <w:iCs/>
                <w:lang w:val="en-US"/>
              </w:rPr>
            </w:pPr>
          </w:p>
          <w:p w14:paraId="2F51CCFE" w14:textId="7096A580" w:rsidR="00D7749C" w:rsidRPr="00112610" w:rsidRDefault="00D7749C" w:rsidP="00D7749C">
            <w:pPr>
              <w:jc w:val="center"/>
              <w:rPr>
                <w:rFonts w:ascii="Times New Roman" w:hAnsi="Times New Roman" w:cs="Times New Roman"/>
                <w:i/>
                <w:iCs/>
                <w:lang w:val="en-US"/>
              </w:rPr>
            </w:pPr>
          </w:p>
        </w:tc>
        <w:tc>
          <w:tcPr>
            <w:tcW w:w="1440" w:type="dxa"/>
            <w:tcBorders>
              <w:top w:val="double" w:sz="4" w:space="0" w:color="A5A5A5" w:themeColor="accent3"/>
              <w:bottom w:val="double" w:sz="4" w:space="0" w:color="A5A5A5" w:themeColor="accent3"/>
            </w:tcBorders>
          </w:tcPr>
          <w:p w14:paraId="7923F66C"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FKBP65</w:t>
            </w:r>
          </w:p>
          <w:p w14:paraId="73B191DB"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7E356BE0"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7031E5AA" w14:textId="4FFDA12D"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tc>
        <w:tc>
          <w:tcPr>
            <w:tcW w:w="5040" w:type="dxa"/>
            <w:tcBorders>
              <w:top w:val="double" w:sz="4" w:space="0" w:color="A5A5A5" w:themeColor="accent3"/>
              <w:bottom w:val="double" w:sz="4" w:space="0" w:color="A5A5A5" w:themeColor="accent3"/>
            </w:tcBorders>
          </w:tcPr>
          <w:p w14:paraId="4544B035" w14:textId="7C233043" w:rsidR="00D7749C" w:rsidRPr="00112610" w:rsidRDefault="00D7749C" w:rsidP="00315A8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 xml:space="preserve">○ FKBP65 </w:t>
            </w:r>
            <w:r w:rsidRPr="00112610">
              <w:rPr>
                <w:rFonts w:ascii="Times New Roman" w:hAnsi="Times New Roman" w:cs="Times New Roman"/>
                <w:lang w:val="en-US"/>
              </w:rPr>
              <w:t>catalyzes the cis-trans isomerization of peptide bonds at proline residues, acting as a chaperone for type I procollagen. It can bind to LH2 and enhance its enzymatic activity.</w:t>
            </w:r>
          </w:p>
        </w:tc>
        <w:tc>
          <w:tcPr>
            <w:tcW w:w="1080" w:type="dxa"/>
            <w:tcBorders>
              <w:top w:val="double" w:sz="4" w:space="0" w:color="A5A5A5" w:themeColor="accent3"/>
              <w:bottom w:val="double" w:sz="4" w:space="0" w:color="A5A5A5" w:themeColor="accent3"/>
            </w:tcBorders>
          </w:tcPr>
          <w:p w14:paraId="5E6EA73B"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+0,72</w:t>
            </w:r>
          </w:p>
          <w:p w14:paraId="56126723"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p w14:paraId="1B0B885A"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p w14:paraId="7728A80F"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tc>
        <w:tc>
          <w:tcPr>
            <w:tcW w:w="1620" w:type="dxa"/>
            <w:vMerge/>
          </w:tcPr>
          <w:p w14:paraId="6DC43A3D"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D7749C" w:rsidRPr="00112610" w14:paraId="5628EE0C" w14:textId="77777777" w:rsidTr="00D7749C">
        <w:trPr>
          <w:trHeight w:val="1154"/>
        </w:trPr>
        <w:tc>
          <w:tcPr>
            <w:cnfStyle w:val="001000000000" w:firstRow="0" w:lastRow="0" w:firstColumn="1" w:lastColumn="0" w:oddVBand="0" w:evenVBand="0" w:oddHBand="0" w:evenHBand="0" w:firstRowFirstColumn="0" w:firstRowLastColumn="0" w:lastRowFirstColumn="0" w:lastRowLastColumn="0"/>
            <w:tcW w:w="1080" w:type="dxa"/>
            <w:tcBorders>
              <w:top w:val="double" w:sz="4" w:space="0" w:color="A5A5A5" w:themeColor="accent3"/>
              <w:bottom w:val="double" w:sz="4" w:space="0" w:color="A5A5A5" w:themeColor="accent3"/>
            </w:tcBorders>
          </w:tcPr>
          <w:p w14:paraId="6C7E7232" w14:textId="77777777" w:rsidR="00D7749C" w:rsidRPr="00C61773" w:rsidRDefault="00D7749C" w:rsidP="00315A81">
            <w:pPr>
              <w:jc w:val="center"/>
              <w:rPr>
                <w:rFonts w:ascii="Times New Roman" w:hAnsi="Times New Roman" w:cs="Times New Roman"/>
                <w:b w:val="0"/>
                <w:bCs w:val="0"/>
                <w:i/>
                <w:iCs/>
                <w:lang w:val="en-US"/>
              </w:rPr>
            </w:pPr>
            <w:r w:rsidRPr="00C61773">
              <w:rPr>
                <w:rFonts w:ascii="Times New Roman" w:hAnsi="Times New Roman" w:cs="Times New Roman"/>
                <w:i/>
                <w:iCs/>
                <w:lang w:val="en-US"/>
              </w:rPr>
              <w:t>HSPA5</w:t>
            </w:r>
            <w:r w:rsidRPr="00C61773">
              <w:rPr>
                <w:rFonts w:ascii="Times New Roman" w:hAnsi="Times New Roman" w:cs="Times New Roman"/>
                <w:i/>
                <w:iCs/>
                <w:lang w:val="en-US"/>
              </w:rPr>
              <w:br/>
            </w:r>
          </w:p>
          <w:p w14:paraId="49EFE8AA" w14:textId="77777777" w:rsidR="00D7749C" w:rsidRPr="00C61773" w:rsidRDefault="00D7749C" w:rsidP="00315A81">
            <w:pPr>
              <w:jc w:val="center"/>
              <w:rPr>
                <w:rFonts w:ascii="Times New Roman" w:hAnsi="Times New Roman" w:cs="Times New Roman"/>
                <w:b w:val="0"/>
                <w:bCs w:val="0"/>
                <w:i/>
                <w:iCs/>
                <w:lang w:val="en-US"/>
              </w:rPr>
            </w:pPr>
            <w:r w:rsidRPr="00C61773">
              <w:rPr>
                <w:rFonts w:ascii="Times New Roman" w:hAnsi="Times New Roman" w:cs="Times New Roman"/>
                <w:i/>
                <w:iCs/>
                <w:lang w:val="en-US"/>
              </w:rPr>
              <w:br/>
            </w:r>
          </w:p>
          <w:p w14:paraId="7DBF8058" w14:textId="410C0B25" w:rsidR="00D7749C" w:rsidRPr="00C61773" w:rsidRDefault="00D7749C" w:rsidP="00315A81">
            <w:pPr>
              <w:jc w:val="center"/>
              <w:rPr>
                <w:rFonts w:ascii="Times New Roman" w:hAnsi="Times New Roman" w:cs="Times New Roman"/>
                <w:i/>
                <w:iCs/>
                <w:lang w:val="en-US"/>
              </w:rPr>
            </w:pPr>
          </w:p>
        </w:tc>
        <w:tc>
          <w:tcPr>
            <w:tcW w:w="1440" w:type="dxa"/>
            <w:tcBorders>
              <w:top w:val="double" w:sz="4" w:space="0" w:color="A5A5A5" w:themeColor="accent3"/>
              <w:bottom w:val="double" w:sz="4" w:space="0" w:color="A5A5A5" w:themeColor="accent3"/>
            </w:tcBorders>
          </w:tcPr>
          <w:p w14:paraId="6E92529D" w14:textId="77777777" w:rsidR="00D7749C" w:rsidRPr="00112610" w:rsidRDefault="00D7749C" w:rsidP="00315A8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roofErr w:type="spellStart"/>
            <w:r w:rsidRPr="00112610">
              <w:rPr>
                <w:rFonts w:ascii="Times New Roman" w:hAnsi="Times New Roman" w:cs="Times New Roman"/>
                <w:lang w:val="en-US"/>
              </w:rPr>
              <w:t>BiP</w:t>
            </w:r>
            <w:proofErr w:type="spellEnd"/>
          </w:p>
          <w:p w14:paraId="7E783EA7" w14:textId="77777777" w:rsidR="00D7749C" w:rsidRPr="00112610" w:rsidRDefault="00D7749C" w:rsidP="00315A8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660882FA" w14:textId="77777777" w:rsidR="00D7749C" w:rsidRPr="00112610" w:rsidRDefault="00D7749C" w:rsidP="00315A8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36ABA3E2" w14:textId="3D69AB43" w:rsidR="00D7749C" w:rsidRPr="00112610" w:rsidRDefault="00D7749C" w:rsidP="00315A8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br/>
            </w:r>
          </w:p>
        </w:tc>
        <w:tc>
          <w:tcPr>
            <w:tcW w:w="5040" w:type="dxa"/>
            <w:tcBorders>
              <w:top w:val="double" w:sz="4" w:space="0" w:color="A5A5A5" w:themeColor="accent3"/>
              <w:bottom w:val="double" w:sz="4" w:space="0" w:color="A5A5A5" w:themeColor="accent3"/>
            </w:tcBorders>
          </w:tcPr>
          <w:p w14:paraId="71BAEEF0" w14:textId="12077A29" w:rsidR="00D7749C" w:rsidRPr="00112610" w:rsidRDefault="00D7749C" w:rsidP="00315A8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 xml:space="preserve">○ </w:t>
            </w:r>
            <w:proofErr w:type="spellStart"/>
            <w:r w:rsidRPr="00112610">
              <w:rPr>
                <w:rFonts w:ascii="Times New Roman" w:hAnsi="Times New Roman" w:cs="Times New Roman"/>
                <w:lang w:val="en-US"/>
              </w:rPr>
              <w:t>BiP</w:t>
            </w:r>
            <w:proofErr w:type="spellEnd"/>
            <w:r w:rsidRPr="00112610">
              <w:rPr>
                <w:rFonts w:ascii="Times New Roman" w:hAnsi="Times New Roman" w:cs="Times New Roman"/>
                <w:lang w:val="en-US"/>
              </w:rPr>
              <w:t xml:space="preserve"> acts as an endoplasmic reticulum stress sensor, and its expression increases in response to elevated collagen synthesis. It also contributes to the assembly of the FKBP65–LH2 complex, which is involved in the hydroxylation of the procollagen triple helix.</w:t>
            </w:r>
          </w:p>
        </w:tc>
        <w:tc>
          <w:tcPr>
            <w:tcW w:w="1080" w:type="dxa"/>
            <w:tcBorders>
              <w:top w:val="double" w:sz="4" w:space="0" w:color="A5A5A5" w:themeColor="accent3"/>
              <w:bottom w:val="double" w:sz="4" w:space="0" w:color="A5A5A5" w:themeColor="accent3"/>
            </w:tcBorders>
          </w:tcPr>
          <w:p w14:paraId="42048416"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+0,57</w:t>
            </w:r>
            <w:r w:rsidRPr="00112610">
              <w:rPr>
                <w:rFonts w:ascii="Times New Roman" w:hAnsi="Times New Roman" w:cs="Times New Roman"/>
                <w:b/>
                <w:bCs/>
                <w:color w:val="FF0000"/>
              </w:rPr>
              <w:br/>
            </w:r>
          </w:p>
          <w:p w14:paraId="424C1DA7"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p w14:paraId="7D1A6B74"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p w14:paraId="2B6D6539"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tc>
        <w:tc>
          <w:tcPr>
            <w:tcW w:w="1620" w:type="dxa"/>
            <w:vMerge/>
          </w:tcPr>
          <w:p w14:paraId="1ED11540"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D7749C" w:rsidRPr="00112610" w14:paraId="060CD716" w14:textId="77777777" w:rsidTr="00D7749C">
        <w:trPr>
          <w:trHeight w:val="664"/>
        </w:trPr>
        <w:tc>
          <w:tcPr>
            <w:cnfStyle w:val="001000000000" w:firstRow="0" w:lastRow="0" w:firstColumn="1" w:lastColumn="0" w:oddVBand="0" w:evenVBand="0" w:oddHBand="0" w:evenHBand="0" w:firstRowFirstColumn="0" w:firstRowLastColumn="0" w:lastRowFirstColumn="0" w:lastRowLastColumn="0"/>
            <w:tcW w:w="1080" w:type="dxa"/>
            <w:tcBorders>
              <w:top w:val="double" w:sz="4" w:space="0" w:color="A5A5A5" w:themeColor="accent3"/>
              <w:bottom w:val="double" w:sz="4" w:space="0" w:color="A5A5A5" w:themeColor="accent3"/>
            </w:tcBorders>
          </w:tcPr>
          <w:p w14:paraId="32653A5A" w14:textId="3C358A31" w:rsidR="00D7749C" w:rsidRPr="00C61773" w:rsidRDefault="00D7749C" w:rsidP="00D7749C">
            <w:pPr>
              <w:jc w:val="center"/>
              <w:rPr>
                <w:rFonts w:ascii="Times New Roman" w:hAnsi="Times New Roman" w:cs="Times New Roman"/>
                <w:b w:val="0"/>
                <w:bCs w:val="0"/>
                <w:i/>
                <w:iCs/>
                <w:lang w:val="en-US"/>
              </w:rPr>
            </w:pPr>
            <w:r w:rsidRPr="00C61773">
              <w:rPr>
                <w:rFonts w:ascii="Times New Roman" w:hAnsi="Times New Roman" w:cs="Times New Roman"/>
                <w:i/>
                <w:iCs/>
                <w:lang w:val="en-US"/>
              </w:rPr>
              <w:t>SERPINH1</w:t>
            </w:r>
          </w:p>
          <w:p w14:paraId="4E5B019A" w14:textId="707003B5" w:rsidR="00D7749C" w:rsidRPr="00C61773" w:rsidRDefault="00D7749C" w:rsidP="00D7749C">
            <w:pPr>
              <w:jc w:val="center"/>
              <w:rPr>
                <w:rFonts w:ascii="Times New Roman" w:hAnsi="Times New Roman" w:cs="Times New Roman"/>
                <w:i/>
                <w:iCs/>
                <w:lang w:val="en-US"/>
              </w:rPr>
            </w:pPr>
          </w:p>
        </w:tc>
        <w:tc>
          <w:tcPr>
            <w:tcW w:w="1440" w:type="dxa"/>
            <w:tcBorders>
              <w:top w:val="double" w:sz="4" w:space="0" w:color="A5A5A5" w:themeColor="accent3"/>
              <w:bottom w:val="double" w:sz="4" w:space="0" w:color="A5A5A5" w:themeColor="accent3"/>
            </w:tcBorders>
          </w:tcPr>
          <w:p w14:paraId="1ACB34E8"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HSP47</w:t>
            </w:r>
          </w:p>
          <w:p w14:paraId="00B96A86" w14:textId="15A71F28" w:rsidR="00D7749C"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14595B7F" w14:textId="7369D214"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tc>
        <w:tc>
          <w:tcPr>
            <w:tcW w:w="5040" w:type="dxa"/>
            <w:tcBorders>
              <w:top w:val="double" w:sz="4" w:space="0" w:color="A5A5A5" w:themeColor="accent3"/>
              <w:bottom w:val="double" w:sz="4" w:space="0" w:color="A5A5A5" w:themeColor="accent3"/>
            </w:tcBorders>
          </w:tcPr>
          <w:p w14:paraId="4317D5DA" w14:textId="0DE8AB7A" w:rsidR="00D7749C" w:rsidRPr="00112610" w:rsidRDefault="00D7749C" w:rsidP="00315A8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lang w:val="en-US"/>
              </w:rPr>
              <w:t>○ HSP47 assists in the stabilization of the procollagen triple helix and its transport through the endoplasmic reticulum.</w:t>
            </w:r>
          </w:p>
        </w:tc>
        <w:tc>
          <w:tcPr>
            <w:tcW w:w="1080" w:type="dxa"/>
            <w:tcBorders>
              <w:top w:val="double" w:sz="4" w:space="0" w:color="A5A5A5" w:themeColor="accent3"/>
              <w:bottom w:val="double" w:sz="4" w:space="0" w:color="A5A5A5" w:themeColor="accent3"/>
            </w:tcBorders>
          </w:tcPr>
          <w:p w14:paraId="7A84EB18" w14:textId="15C5C125" w:rsidR="00D7749C"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+0,34</w:t>
            </w:r>
            <w:r w:rsidRPr="00112610">
              <w:rPr>
                <w:rFonts w:ascii="Times New Roman" w:hAnsi="Times New Roman" w:cs="Times New Roman"/>
                <w:b/>
                <w:bCs/>
                <w:color w:val="FF0000"/>
              </w:rPr>
              <w:br/>
            </w:r>
          </w:p>
          <w:p w14:paraId="0473E750"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tc>
        <w:tc>
          <w:tcPr>
            <w:tcW w:w="1620" w:type="dxa"/>
            <w:vMerge/>
          </w:tcPr>
          <w:p w14:paraId="6D7D96BE"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D7749C" w:rsidRPr="00112610" w14:paraId="03C30B6D" w14:textId="77777777" w:rsidTr="00D7749C">
        <w:trPr>
          <w:trHeight w:val="720"/>
        </w:trPr>
        <w:tc>
          <w:tcPr>
            <w:cnfStyle w:val="001000000000" w:firstRow="0" w:lastRow="0" w:firstColumn="1" w:lastColumn="0" w:oddVBand="0" w:evenVBand="0" w:oddHBand="0" w:evenHBand="0" w:firstRowFirstColumn="0" w:firstRowLastColumn="0" w:lastRowFirstColumn="0" w:lastRowLastColumn="0"/>
            <w:tcW w:w="1080" w:type="dxa"/>
            <w:tcBorders>
              <w:top w:val="double" w:sz="4" w:space="0" w:color="A5A5A5" w:themeColor="accent3"/>
              <w:bottom w:val="double" w:sz="4" w:space="0" w:color="A5A5A5" w:themeColor="accent3"/>
            </w:tcBorders>
          </w:tcPr>
          <w:p w14:paraId="1B8BDD7C" w14:textId="77777777" w:rsidR="00D7749C" w:rsidRPr="00C61773" w:rsidRDefault="00D7749C" w:rsidP="00D7749C">
            <w:pPr>
              <w:jc w:val="center"/>
              <w:rPr>
                <w:rFonts w:ascii="Times New Roman" w:hAnsi="Times New Roman" w:cs="Times New Roman"/>
                <w:b w:val="0"/>
                <w:bCs w:val="0"/>
                <w:i/>
                <w:iCs/>
                <w:lang w:val="en-US"/>
              </w:rPr>
            </w:pPr>
            <w:r w:rsidRPr="00C61773">
              <w:rPr>
                <w:rFonts w:ascii="Times New Roman" w:hAnsi="Times New Roman" w:cs="Times New Roman"/>
                <w:i/>
                <w:iCs/>
                <w:lang w:val="en-US"/>
              </w:rPr>
              <w:t>PDIA4</w:t>
            </w:r>
          </w:p>
          <w:p w14:paraId="5FBC9904" w14:textId="71036704" w:rsidR="00D7749C" w:rsidRPr="00C61773" w:rsidRDefault="00D7749C" w:rsidP="00D7749C">
            <w:pPr>
              <w:jc w:val="center"/>
              <w:rPr>
                <w:rFonts w:ascii="Times New Roman" w:hAnsi="Times New Roman" w:cs="Times New Roman"/>
                <w:i/>
                <w:iCs/>
                <w:lang w:val="en-US"/>
              </w:rPr>
            </w:pPr>
          </w:p>
          <w:p w14:paraId="6BF6A9CE" w14:textId="3975ECA2" w:rsidR="00D7749C" w:rsidRPr="00C61773" w:rsidRDefault="00D7749C" w:rsidP="00D7749C">
            <w:pPr>
              <w:jc w:val="center"/>
              <w:rPr>
                <w:rFonts w:ascii="Times New Roman" w:hAnsi="Times New Roman" w:cs="Times New Roman"/>
                <w:i/>
                <w:iCs/>
                <w:lang w:val="en-US"/>
              </w:rPr>
            </w:pPr>
          </w:p>
        </w:tc>
        <w:tc>
          <w:tcPr>
            <w:tcW w:w="1440" w:type="dxa"/>
            <w:tcBorders>
              <w:top w:val="double" w:sz="4" w:space="0" w:color="A5A5A5" w:themeColor="accent3"/>
              <w:bottom w:val="double" w:sz="4" w:space="0" w:color="A5A5A5" w:themeColor="accent3"/>
            </w:tcBorders>
          </w:tcPr>
          <w:p w14:paraId="20BED149"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xml:space="preserve">Erp72 </w:t>
            </w:r>
          </w:p>
          <w:p w14:paraId="536F9B56" w14:textId="450F220F" w:rsidR="00D7749C"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70DD23AB" w14:textId="00611920"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tc>
        <w:tc>
          <w:tcPr>
            <w:tcW w:w="5040" w:type="dxa"/>
            <w:tcBorders>
              <w:top w:val="double" w:sz="4" w:space="0" w:color="A5A5A5" w:themeColor="accent3"/>
              <w:bottom w:val="double" w:sz="4" w:space="0" w:color="A5A5A5" w:themeColor="accent3"/>
            </w:tcBorders>
          </w:tcPr>
          <w:p w14:paraId="6EAE3D3F" w14:textId="5BB7EB14" w:rsidR="00D7749C" w:rsidRPr="00112610" w:rsidRDefault="00D7749C" w:rsidP="00315A8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Erp72 is involved in oxidative protein folding through the formation, breakage, and rearrangement of disulfide bonds.</w:t>
            </w:r>
          </w:p>
        </w:tc>
        <w:tc>
          <w:tcPr>
            <w:tcW w:w="1080" w:type="dxa"/>
            <w:tcBorders>
              <w:top w:val="double" w:sz="4" w:space="0" w:color="A5A5A5" w:themeColor="accent3"/>
              <w:bottom w:val="double" w:sz="4" w:space="0" w:color="A5A5A5" w:themeColor="accent3"/>
            </w:tcBorders>
          </w:tcPr>
          <w:p w14:paraId="500AC6D2"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+0,4</w:t>
            </w:r>
          </w:p>
          <w:p w14:paraId="487A3689" w14:textId="0AEDF982" w:rsidR="00D7749C"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p w14:paraId="2D7089E8"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tc>
        <w:tc>
          <w:tcPr>
            <w:tcW w:w="1620" w:type="dxa"/>
            <w:vMerge/>
          </w:tcPr>
          <w:p w14:paraId="51675209"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D7749C" w:rsidRPr="00112610" w14:paraId="59EA86D8" w14:textId="77777777" w:rsidTr="00D7749C">
        <w:trPr>
          <w:trHeight w:val="1117"/>
        </w:trPr>
        <w:tc>
          <w:tcPr>
            <w:cnfStyle w:val="001000000000" w:firstRow="0" w:lastRow="0" w:firstColumn="1" w:lastColumn="0" w:oddVBand="0" w:evenVBand="0" w:oddHBand="0" w:evenHBand="0" w:firstRowFirstColumn="0" w:firstRowLastColumn="0" w:lastRowFirstColumn="0" w:lastRowLastColumn="0"/>
            <w:tcW w:w="1080" w:type="dxa"/>
            <w:tcBorders>
              <w:top w:val="double" w:sz="4" w:space="0" w:color="A5A5A5" w:themeColor="accent3"/>
              <w:bottom w:val="double" w:sz="4" w:space="0" w:color="A5A5A5" w:themeColor="accent3"/>
            </w:tcBorders>
          </w:tcPr>
          <w:p w14:paraId="3E04C812" w14:textId="77777777" w:rsidR="00D7749C" w:rsidRPr="00C61773" w:rsidRDefault="00D7749C" w:rsidP="00D7749C">
            <w:pPr>
              <w:jc w:val="center"/>
              <w:rPr>
                <w:rFonts w:ascii="Times New Roman" w:hAnsi="Times New Roman" w:cs="Times New Roman"/>
                <w:b w:val="0"/>
                <w:bCs w:val="0"/>
                <w:i/>
                <w:iCs/>
                <w:lang w:val="en-US"/>
              </w:rPr>
            </w:pPr>
            <w:r w:rsidRPr="00C61773">
              <w:rPr>
                <w:rFonts w:ascii="Times New Roman" w:hAnsi="Times New Roman" w:cs="Times New Roman"/>
                <w:i/>
                <w:iCs/>
                <w:lang w:val="en-US"/>
              </w:rPr>
              <w:t>SEC23A</w:t>
            </w:r>
          </w:p>
          <w:p w14:paraId="587C23D1" w14:textId="77777777" w:rsidR="00D7749C" w:rsidRPr="00C61773" w:rsidRDefault="00D7749C" w:rsidP="00D7749C">
            <w:pPr>
              <w:jc w:val="center"/>
              <w:rPr>
                <w:rFonts w:ascii="Times New Roman" w:hAnsi="Times New Roman" w:cs="Times New Roman"/>
                <w:b w:val="0"/>
                <w:bCs w:val="0"/>
                <w:i/>
                <w:iCs/>
                <w:lang w:val="en-US"/>
              </w:rPr>
            </w:pPr>
            <w:r w:rsidRPr="00C61773">
              <w:rPr>
                <w:rFonts w:ascii="Times New Roman" w:hAnsi="Times New Roman" w:cs="Times New Roman"/>
                <w:i/>
                <w:iCs/>
                <w:lang w:val="en-US"/>
              </w:rPr>
              <w:t>SEC24D</w:t>
            </w:r>
          </w:p>
          <w:p w14:paraId="2D76FB7E" w14:textId="77777777" w:rsidR="00D7749C" w:rsidRPr="00C61773" w:rsidRDefault="00D7749C" w:rsidP="00D7749C">
            <w:pPr>
              <w:jc w:val="center"/>
              <w:rPr>
                <w:rFonts w:ascii="Times New Roman" w:hAnsi="Times New Roman" w:cs="Times New Roman"/>
                <w:b w:val="0"/>
                <w:bCs w:val="0"/>
                <w:i/>
                <w:iCs/>
                <w:lang w:val="en-US"/>
              </w:rPr>
            </w:pPr>
            <w:r w:rsidRPr="00C61773">
              <w:rPr>
                <w:rFonts w:ascii="Times New Roman" w:hAnsi="Times New Roman" w:cs="Times New Roman"/>
                <w:i/>
                <w:iCs/>
                <w:lang w:val="en-US"/>
              </w:rPr>
              <w:t>MIA2</w:t>
            </w:r>
          </w:p>
          <w:p w14:paraId="5BDF23B9" w14:textId="608557CA" w:rsidR="00D7749C" w:rsidRPr="00C61773" w:rsidRDefault="00D7749C" w:rsidP="00D7749C">
            <w:pPr>
              <w:rPr>
                <w:rFonts w:ascii="Times New Roman" w:hAnsi="Times New Roman" w:cs="Times New Roman"/>
                <w:i/>
                <w:iCs/>
                <w:lang w:val="en-US"/>
              </w:rPr>
            </w:pPr>
          </w:p>
        </w:tc>
        <w:tc>
          <w:tcPr>
            <w:tcW w:w="1440" w:type="dxa"/>
            <w:tcBorders>
              <w:top w:val="double" w:sz="4" w:space="0" w:color="A5A5A5" w:themeColor="accent3"/>
              <w:bottom w:val="double" w:sz="4" w:space="0" w:color="A5A5A5" w:themeColor="accent3"/>
            </w:tcBorders>
          </w:tcPr>
          <w:p w14:paraId="41BF368E"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SEC23A</w:t>
            </w:r>
          </w:p>
          <w:p w14:paraId="5F9CB9A7"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SEC24D</w:t>
            </w:r>
          </w:p>
          <w:p w14:paraId="1A8B343B"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cTAGE5</w:t>
            </w:r>
          </w:p>
          <w:p w14:paraId="1A6A4720" w14:textId="700C9872" w:rsidR="00D7749C" w:rsidRPr="00112610" w:rsidRDefault="00D7749C" w:rsidP="00D7749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tc>
        <w:tc>
          <w:tcPr>
            <w:tcW w:w="5040" w:type="dxa"/>
            <w:tcBorders>
              <w:top w:val="double" w:sz="4" w:space="0" w:color="A5A5A5" w:themeColor="accent3"/>
              <w:bottom w:val="double" w:sz="4" w:space="0" w:color="A5A5A5" w:themeColor="accent3"/>
            </w:tcBorders>
          </w:tcPr>
          <w:p w14:paraId="7A376512" w14:textId="5215BD02" w:rsidR="00D7749C" w:rsidRPr="00112610" w:rsidRDefault="00D7749C" w:rsidP="00315A8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SEC23A, SEC24D, and cTAGE5 are components of the COPII vesicle protein complex responsible for the anterograde transport of the procollagen triple helix from the endoplasmic reticulum to the Golgi apparatus.</w:t>
            </w:r>
          </w:p>
        </w:tc>
        <w:tc>
          <w:tcPr>
            <w:tcW w:w="1080" w:type="dxa"/>
            <w:tcBorders>
              <w:top w:val="double" w:sz="4" w:space="0" w:color="A5A5A5" w:themeColor="accent3"/>
              <w:bottom w:val="double" w:sz="4" w:space="0" w:color="A5A5A5" w:themeColor="accent3"/>
            </w:tcBorders>
          </w:tcPr>
          <w:p w14:paraId="58634342"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+0,25</w:t>
            </w:r>
            <w:r w:rsidRPr="00112610">
              <w:rPr>
                <w:rFonts w:ascii="Times New Roman" w:hAnsi="Times New Roman" w:cs="Times New Roman"/>
                <w:b/>
                <w:bCs/>
                <w:color w:val="FF0000"/>
              </w:rPr>
              <w:br/>
              <w:t>+0,53</w:t>
            </w:r>
          </w:p>
          <w:p w14:paraId="73182812"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+0,41</w:t>
            </w:r>
          </w:p>
          <w:p w14:paraId="00C6265D" w14:textId="77777777" w:rsidR="00D7749C" w:rsidRPr="00112610" w:rsidRDefault="00D7749C" w:rsidP="00D7749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p w14:paraId="3A2D6A8F"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tc>
        <w:tc>
          <w:tcPr>
            <w:tcW w:w="1620" w:type="dxa"/>
            <w:vMerge/>
          </w:tcPr>
          <w:p w14:paraId="7B5DD613"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D7749C" w:rsidRPr="00112610" w14:paraId="2136A3B1" w14:textId="77777777" w:rsidTr="00D7749C">
        <w:trPr>
          <w:trHeight w:val="1431"/>
        </w:trPr>
        <w:tc>
          <w:tcPr>
            <w:cnfStyle w:val="001000000000" w:firstRow="0" w:lastRow="0" w:firstColumn="1" w:lastColumn="0" w:oddVBand="0" w:evenVBand="0" w:oddHBand="0" w:evenHBand="0" w:firstRowFirstColumn="0" w:firstRowLastColumn="0" w:lastRowFirstColumn="0" w:lastRowLastColumn="0"/>
            <w:tcW w:w="1080" w:type="dxa"/>
            <w:tcBorders>
              <w:top w:val="double" w:sz="4" w:space="0" w:color="A5A5A5" w:themeColor="accent3"/>
            </w:tcBorders>
          </w:tcPr>
          <w:p w14:paraId="65D61235" w14:textId="77777777" w:rsidR="00D7749C" w:rsidRPr="00C61773" w:rsidRDefault="00D7749C" w:rsidP="00D7749C">
            <w:pPr>
              <w:jc w:val="center"/>
              <w:rPr>
                <w:rFonts w:ascii="Times New Roman" w:hAnsi="Times New Roman" w:cs="Times New Roman"/>
                <w:b w:val="0"/>
                <w:bCs w:val="0"/>
                <w:i/>
                <w:iCs/>
                <w:lang w:val="en-US"/>
              </w:rPr>
            </w:pPr>
          </w:p>
          <w:p w14:paraId="4E37DEB2" w14:textId="77777777" w:rsidR="00D7749C" w:rsidRPr="00C61773" w:rsidRDefault="00D7749C" w:rsidP="00D7749C">
            <w:pPr>
              <w:jc w:val="center"/>
              <w:rPr>
                <w:rFonts w:ascii="Times New Roman" w:hAnsi="Times New Roman" w:cs="Times New Roman"/>
                <w:i/>
                <w:iCs/>
                <w:lang w:val="en-US"/>
              </w:rPr>
            </w:pPr>
            <w:r w:rsidRPr="00C61773">
              <w:rPr>
                <w:rFonts w:ascii="Times New Roman" w:hAnsi="Times New Roman" w:cs="Times New Roman"/>
                <w:i/>
                <w:iCs/>
                <w:lang w:val="en-US"/>
              </w:rPr>
              <w:t>ATP2A2</w:t>
            </w:r>
          </w:p>
        </w:tc>
        <w:tc>
          <w:tcPr>
            <w:tcW w:w="1440" w:type="dxa"/>
            <w:tcBorders>
              <w:top w:val="double" w:sz="4" w:space="0" w:color="A5A5A5" w:themeColor="accent3"/>
            </w:tcBorders>
          </w:tcPr>
          <w:p w14:paraId="1CC5EC72"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5067321F"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SERCA2</w:t>
            </w:r>
          </w:p>
        </w:tc>
        <w:tc>
          <w:tcPr>
            <w:tcW w:w="5040" w:type="dxa"/>
            <w:tcBorders>
              <w:top w:val="double" w:sz="4" w:space="0" w:color="A5A5A5" w:themeColor="accent3"/>
            </w:tcBorders>
          </w:tcPr>
          <w:p w14:paraId="21FAB8D6" w14:textId="77777777" w:rsidR="00D7749C" w:rsidRPr="00112610" w:rsidRDefault="00D7749C" w:rsidP="00315A8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Catalyzes the hydrolysis of ATP coupled with the calcium import into the sarcoplasmic reticulum lumen. Calcium is essential for collagen trimerization and proper folding.</w:t>
            </w:r>
          </w:p>
        </w:tc>
        <w:tc>
          <w:tcPr>
            <w:tcW w:w="1080" w:type="dxa"/>
            <w:tcBorders>
              <w:top w:val="double" w:sz="4" w:space="0" w:color="A5A5A5" w:themeColor="accent3"/>
            </w:tcBorders>
          </w:tcPr>
          <w:p w14:paraId="06420233" w14:textId="77777777" w:rsidR="00D7749C" w:rsidRPr="00112610" w:rsidRDefault="00D7749C" w:rsidP="00D7749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p>
          <w:p w14:paraId="2A91C0F6" w14:textId="186F5604" w:rsidR="00D7749C" w:rsidRPr="00112610" w:rsidRDefault="00D7749C" w:rsidP="00315A8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rPr>
            </w:pPr>
            <w:r w:rsidRPr="00112610">
              <w:rPr>
                <w:rFonts w:ascii="Times New Roman" w:hAnsi="Times New Roman" w:cs="Times New Roman"/>
                <w:b/>
                <w:bCs/>
                <w:color w:val="FF0000"/>
              </w:rPr>
              <w:t>+0,39</w:t>
            </w:r>
          </w:p>
        </w:tc>
        <w:tc>
          <w:tcPr>
            <w:tcW w:w="1620" w:type="dxa"/>
            <w:vMerge/>
          </w:tcPr>
          <w:p w14:paraId="34A46154" w14:textId="77777777" w:rsidR="00D7749C" w:rsidRPr="00112610" w:rsidRDefault="00D7749C"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C6689A" w:rsidRPr="00112610" w14:paraId="74FEC678" w14:textId="77777777" w:rsidTr="00112610">
        <w:trPr>
          <w:trHeight w:val="1165"/>
        </w:trPr>
        <w:tc>
          <w:tcPr>
            <w:cnfStyle w:val="001000000000" w:firstRow="0" w:lastRow="0" w:firstColumn="1" w:lastColumn="0" w:oddVBand="0" w:evenVBand="0" w:oddHBand="0" w:evenHBand="0" w:firstRowFirstColumn="0" w:firstRowLastColumn="0" w:lastRowFirstColumn="0" w:lastRowLastColumn="0"/>
            <w:tcW w:w="1080" w:type="dxa"/>
            <w:vAlign w:val="center"/>
          </w:tcPr>
          <w:p w14:paraId="4943931F" w14:textId="77777777" w:rsidR="00C6689A" w:rsidRPr="00112610" w:rsidRDefault="00C6689A" w:rsidP="007F150D">
            <w:pPr>
              <w:jc w:val="center"/>
              <w:rPr>
                <w:rFonts w:ascii="Times New Roman" w:hAnsi="Times New Roman" w:cs="Times New Roman"/>
                <w:i/>
                <w:iCs/>
                <w:lang w:val="en-US"/>
              </w:rPr>
            </w:pPr>
            <w:r w:rsidRPr="00112610">
              <w:rPr>
                <w:rFonts w:ascii="Times New Roman" w:hAnsi="Times New Roman" w:cs="Times New Roman"/>
                <w:i/>
                <w:iCs/>
                <w:lang w:val="en-US"/>
              </w:rPr>
              <w:t>PAPSS2</w:t>
            </w:r>
          </w:p>
        </w:tc>
        <w:tc>
          <w:tcPr>
            <w:tcW w:w="1440" w:type="dxa"/>
            <w:vAlign w:val="center"/>
          </w:tcPr>
          <w:p w14:paraId="406FF862"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3'-Phosphoadenosine 5'-Phosphosulfate Synthase 2</w:t>
            </w:r>
          </w:p>
        </w:tc>
        <w:tc>
          <w:tcPr>
            <w:tcW w:w="5040" w:type="dxa"/>
          </w:tcPr>
          <w:p w14:paraId="2298A590" w14:textId="77777777" w:rsidR="00C6689A" w:rsidRPr="00112610" w:rsidRDefault="00C6689A" w:rsidP="00315A8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n-US"/>
              </w:rPr>
            </w:pPr>
            <w:r w:rsidRPr="00112610">
              <w:rPr>
                <w:rFonts w:ascii="Times New Roman" w:hAnsi="Times New Roman" w:cs="Times New Roman"/>
                <w:i/>
                <w:iCs/>
                <w:lang w:val="en-US"/>
              </w:rPr>
              <w:t>Involved in the sulfation of ECM proteins.</w:t>
            </w:r>
          </w:p>
          <w:p w14:paraId="5514569C" w14:textId="77777777" w:rsidR="00C6689A" w:rsidRPr="00112610" w:rsidRDefault="00C6689A" w:rsidP="00315A8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i/>
                <w:iCs/>
                <w:lang w:val="en-US"/>
              </w:rPr>
              <w:t xml:space="preserve">○ </w:t>
            </w:r>
            <w:r w:rsidRPr="00112610">
              <w:rPr>
                <w:rFonts w:ascii="Times New Roman" w:hAnsi="Times New Roman" w:cs="Times New Roman"/>
                <w:lang w:val="en-US"/>
              </w:rPr>
              <w:t>PAPSS2 expression increases during osteogenesis of mouse pre-osteoblasts MC3T3-E1 cells.</w:t>
            </w:r>
          </w:p>
          <w:p w14:paraId="084B7B96" w14:textId="77777777" w:rsidR="00C6689A" w:rsidRPr="00112610" w:rsidRDefault="00C6689A" w:rsidP="00315A8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112610">
              <w:rPr>
                <w:rFonts w:ascii="Times New Roman" w:hAnsi="Times New Roman" w:cs="Times New Roman"/>
                <w:lang w:val="en-US"/>
              </w:rPr>
              <w:t>○ Reduced PAPSS2 levels attenuate TNAP activity and mineralization.</w:t>
            </w:r>
          </w:p>
        </w:tc>
        <w:tc>
          <w:tcPr>
            <w:tcW w:w="1080" w:type="dxa"/>
            <w:vAlign w:val="center"/>
          </w:tcPr>
          <w:p w14:paraId="52D0E5F5" w14:textId="77777777"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0000"/>
                <w:lang w:val="en-US"/>
              </w:rPr>
            </w:pPr>
            <w:r w:rsidRPr="00112610">
              <w:rPr>
                <w:rFonts w:ascii="Times New Roman" w:hAnsi="Times New Roman" w:cs="Times New Roman"/>
                <w:b/>
                <w:bCs/>
                <w:color w:val="FF0000"/>
                <w:lang w:val="en-US"/>
              </w:rPr>
              <w:t>+0,49</w:t>
            </w:r>
          </w:p>
        </w:tc>
        <w:tc>
          <w:tcPr>
            <w:tcW w:w="1620" w:type="dxa"/>
            <w:vAlign w:val="center"/>
          </w:tcPr>
          <w:p w14:paraId="3312D83F" w14:textId="707E3F49" w:rsidR="00C6689A" w:rsidRPr="00112610" w:rsidRDefault="00C6689A" w:rsidP="007F15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12610">
              <w:rPr>
                <w:rFonts w:ascii="Times New Roman" w:hAnsi="Times New Roman" w:cs="Times New Roman"/>
              </w:rPr>
              <w:fldChar w:fldCharType="begin" w:fldLock="1"/>
            </w:r>
            <w:r w:rsidR="005A5301">
              <w:rPr>
                <w:rFonts w:ascii="Times New Roman" w:hAnsi="Times New Roman" w:cs="Times New Roman"/>
                <w:lang w:val="en-US"/>
              </w:rPr>
              <w:instrText>ADDIN CSL_CITATION {"citationItems":[{"id":"ITEM-1","itemData":{"DOI":"10.1371/journal.pone.0043475","ISSN":"1932-6203","author":[{"dropping-particle":"","family":"Wang","given":"Weizhuo","non-dropping-particle":"","parse-names":false,"suffix":""},{"dropping-particle":"","family":"Li","given":"Fang","non-dropping-particle":"","parse-names":false,"suffix":""},{"dropping-particle":"","family":"Wang","given":"Kunzheng","non-dropping-particle":"","parse-names":false,"suffix":""},{"dropping-particle":"","family":"Cheng","given":"Bin","non-dropping-particle":"","parse-names":false,"suffix":""},{"dropping-particle":"","family":"Guo","given":"Xiong","non-dropping-particle":"","parse-names":false,"suffix":""}],"container-title":"PLoS ONE","editor":[{"dropping-particle":"","family":"Smith","given":"Brenda","non-dropping-particle":"","parse-names":false,"suffix":""}],"id":"ITEM-1","issue":"8","issued":{"date-parts":[["2012","8","16"]]},"page":"e43475","title":"PAPSS2 Promotes Alkaline Phosphates Activity and Mineralization of Osteoblastic MC3T3-E1 Cells by Crosstalk and Smads Signal Pathways","type":"article-journal","volume":"7"},"uris":["http://www.mendeley.com/documents/?uuid=cdd5c547-2a66-48e6-83fc-f2e204d7f1fd"]}],"mendeley":{"formattedCitation":"[37]","plainTextFormattedCitation":"[37]","previouslyFormattedCitation":"[37]"},"properties":{"noteIndex":0},"schema":"https://github.com/citation-style-language/schema/raw/master/csl-citation.json"}</w:instrText>
            </w:r>
            <w:r w:rsidRPr="00112610">
              <w:rPr>
                <w:rFonts w:ascii="Times New Roman" w:hAnsi="Times New Roman" w:cs="Times New Roman"/>
              </w:rPr>
              <w:fldChar w:fldCharType="separate"/>
            </w:r>
            <w:r w:rsidR="00112610" w:rsidRPr="00112610">
              <w:rPr>
                <w:rFonts w:ascii="Times New Roman" w:hAnsi="Times New Roman" w:cs="Times New Roman"/>
                <w:noProof/>
              </w:rPr>
              <w:t>[37]</w:t>
            </w:r>
            <w:r w:rsidRPr="00112610">
              <w:rPr>
                <w:rFonts w:ascii="Times New Roman" w:hAnsi="Times New Roman" w:cs="Times New Roman"/>
              </w:rPr>
              <w:fldChar w:fldCharType="end"/>
            </w:r>
          </w:p>
        </w:tc>
      </w:tr>
      <w:bookmarkEnd w:id="0"/>
    </w:tbl>
    <w:p w14:paraId="1203DA2B" w14:textId="77777777" w:rsidR="005E0216" w:rsidRDefault="005E0216" w:rsidP="005E0216">
      <w:pPr>
        <w:jc w:val="both"/>
        <w:rPr>
          <w:rFonts w:ascii="Times New Roman" w:hAnsi="Times New Roman" w:cs="Times New Roman"/>
          <w:b/>
          <w:bCs/>
          <w:sz w:val="24"/>
          <w:szCs w:val="24"/>
        </w:rPr>
      </w:pPr>
    </w:p>
    <w:p w14:paraId="2B855881" w14:textId="00A1ACB9" w:rsidR="005E0216" w:rsidRDefault="005E0216" w:rsidP="005E0216">
      <w:pPr>
        <w:spacing w:line="240" w:lineRule="auto"/>
        <w:jc w:val="both"/>
        <w:rPr>
          <w:rFonts w:ascii="Times New Roman" w:hAnsi="Times New Roman" w:cs="Times New Roman"/>
          <w:sz w:val="24"/>
          <w:szCs w:val="24"/>
        </w:rPr>
      </w:pPr>
      <w:r w:rsidRPr="005E0216">
        <w:rPr>
          <w:rFonts w:ascii="Times New Roman" w:hAnsi="Times New Roman" w:cs="Times New Roman"/>
          <w:b/>
          <w:bCs/>
          <w:sz w:val="24"/>
          <w:szCs w:val="24"/>
        </w:rPr>
        <w:t>TABLE S1</w:t>
      </w:r>
      <w:r w:rsidRPr="005E0216">
        <w:rPr>
          <w:rFonts w:ascii="Times New Roman" w:hAnsi="Times New Roman" w:cs="Times New Roman"/>
          <w:sz w:val="24"/>
          <w:szCs w:val="24"/>
        </w:rPr>
        <w:t xml:space="preserve">. </w:t>
      </w:r>
      <w:r w:rsidRPr="005E0216">
        <w:rPr>
          <w:rFonts w:ascii="Times New Roman" w:hAnsi="Times New Roman" w:cs="Times New Roman"/>
          <w:b/>
          <w:bCs/>
          <w:sz w:val="24"/>
          <w:szCs w:val="24"/>
        </w:rPr>
        <w:t xml:space="preserve"> List of differentially regulated proteins in 14-3-3γ knockdown hASCs with relevance to osteogenic differentiation.</w:t>
      </w:r>
      <w:r w:rsidRPr="005E0216">
        <w:rPr>
          <w:rFonts w:ascii="Times New Roman" w:hAnsi="Times New Roman" w:cs="Times New Roman"/>
          <w:sz w:val="24"/>
          <w:szCs w:val="24"/>
        </w:rPr>
        <w:t xml:space="preserve"> Proteins were selected based on a threshold of Log₂ fold change larger than 0.2 (upregulated) or smaller than -0.2 (downregulated), and were organized according to their functional relevance to osteogenic differentiation. For each protein, the corresponding gene name, its reported involvement in osteogenesis, the Log₂ fold change (blue, downregulated; red, upregulated proteins), and the supporting bibliographic references are provided.</w:t>
      </w:r>
    </w:p>
    <w:p w14:paraId="556BF4D2" w14:textId="299BFE4C" w:rsidR="005E0216" w:rsidRDefault="005E0216" w:rsidP="005E0216">
      <w:pPr>
        <w:spacing w:line="240" w:lineRule="auto"/>
        <w:jc w:val="both"/>
        <w:rPr>
          <w:rFonts w:ascii="Times New Roman" w:hAnsi="Times New Roman" w:cs="Times New Roman"/>
          <w:sz w:val="24"/>
          <w:szCs w:val="24"/>
        </w:rPr>
      </w:pPr>
    </w:p>
    <w:p w14:paraId="17E0DAB8" w14:textId="5303A741" w:rsidR="005E0216" w:rsidRPr="00C61773" w:rsidRDefault="005E0216" w:rsidP="005E0216">
      <w:pPr>
        <w:spacing w:line="240" w:lineRule="auto"/>
        <w:jc w:val="both"/>
        <w:rPr>
          <w:rFonts w:ascii="Times New Roman" w:hAnsi="Times New Roman" w:cs="Times New Roman"/>
          <w:b/>
          <w:bCs/>
          <w:sz w:val="24"/>
          <w:szCs w:val="24"/>
          <w:lang w:val="es-AR"/>
        </w:rPr>
      </w:pPr>
      <w:r w:rsidRPr="00C61773">
        <w:rPr>
          <w:rFonts w:ascii="Times New Roman" w:hAnsi="Times New Roman" w:cs="Times New Roman"/>
          <w:b/>
          <w:bCs/>
          <w:sz w:val="24"/>
          <w:szCs w:val="24"/>
          <w:lang w:val="es-AR"/>
        </w:rPr>
        <w:lastRenderedPageBreak/>
        <w:t>REFERENCES</w:t>
      </w:r>
    </w:p>
    <w:p w14:paraId="31C6B52B" w14:textId="0C6D2EC5"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Pr>
          <w:rFonts w:ascii="Times New Roman" w:hAnsi="Times New Roman" w:cs="Times New Roman"/>
          <w:b/>
          <w:bCs/>
          <w:sz w:val="24"/>
          <w:szCs w:val="24"/>
        </w:rPr>
        <w:fldChar w:fldCharType="begin" w:fldLock="1"/>
      </w:r>
      <w:r w:rsidRPr="00C61773">
        <w:rPr>
          <w:rFonts w:ascii="Times New Roman" w:hAnsi="Times New Roman" w:cs="Times New Roman"/>
          <w:b/>
          <w:bCs/>
          <w:sz w:val="24"/>
          <w:szCs w:val="24"/>
          <w:lang w:val="es-AR"/>
        </w:rPr>
        <w:instrText xml:space="preserve">ADDIN Mendeley Bibliography CSL_BIBLIOGRAPHY </w:instrText>
      </w:r>
      <w:r>
        <w:rPr>
          <w:rFonts w:ascii="Times New Roman" w:hAnsi="Times New Roman" w:cs="Times New Roman"/>
          <w:b/>
          <w:bCs/>
          <w:sz w:val="24"/>
          <w:szCs w:val="24"/>
        </w:rPr>
        <w:fldChar w:fldCharType="separate"/>
      </w:r>
      <w:r w:rsidRPr="00C61773">
        <w:rPr>
          <w:rFonts w:ascii="Times New Roman" w:hAnsi="Times New Roman" w:cs="Times New Roman"/>
          <w:noProof/>
          <w:sz w:val="24"/>
          <w:szCs w:val="24"/>
          <w:lang w:val="es-AR"/>
        </w:rPr>
        <w:t xml:space="preserve">1. Liu X, Lian X, Liu X, Du Y, Zhu Y, Hu M, et al. </w:t>
      </w:r>
      <w:r w:rsidRPr="005E0216">
        <w:rPr>
          <w:rFonts w:ascii="Times New Roman" w:hAnsi="Times New Roman" w:cs="Times New Roman"/>
          <w:noProof/>
          <w:sz w:val="24"/>
          <w:szCs w:val="24"/>
        </w:rPr>
        <w:t>Aldo-keto reductase family 1 member C1 regulates the osteogenic differentiation of human ASCs by targeting the progesterone receptor. Stem Cell Res Ther. 2021;12:383.</w:t>
      </w:r>
    </w:p>
    <w:p w14:paraId="2F210784"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 Baker N, Zhang G, You Y, Tuan RS. Caveolin‐1 regulates proliferation and osteogenic differentiation of human mesenchymal stem cells. J Cell Biochem. 2012;113:3773–87.</w:t>
      </w:r>
    </w:p>
    <w:p w14:paraId="212A2514"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3. Rubin J, Schwartz Z, Boyan BD, Fan X, Case N, Sen B, et al. Caveolin-1 Knockout Mice Have Increased Bone Size and Stiffness. J Bone Miner Res. 2007;22:1408–18.</w:t>
      </w:r>
    </w:p>
    <w:p w14:paraId="68DD26BD"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4. Baker N, Sohn J, Tuan RS. Promotion of human mesenchymal stem cell osteogenesis by PI3-kinase/Akt signaling, and the influence of caveolin-1/cholesterol homeostasis. Stem Cell Res Ther. 2015;6:238.</w:t>
      </w:r>
    </w:p>
    <w:p w14:paraId="0723FC87"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5. Su N, Chen M, Chen S, Li C, Xie Y, Zhu Y, et al. Overexpression of H1 calponin in osteoblast lineage cells leads to a decrease in bone mass by disrupting osteoblast function and promoting osteoclast formation. J Bone Miner Res. 2013;28:660–71.</w:t>
      </w:r>
    </w:p>
    <w:p w14:paraId="0A9B6EAF"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6. Yoshikawa H, Taniguchi S, Yamamura H, Mori S, Sugimoto M, Miyado K, et al. Mice lacking smooth muscle calponin display increased bone formation that is associated with enhancement of bone morphogenetic protein responses. Genes to Cells. 1998;3:685–95.</w:t>
      </w:r>
    </w:p>
    <w:p w14:paraId="07F1E66D"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7. Parente R, Sobacchi C, Bottazzi B, Mantovani A, Grčevic D, Inforzato A. The Long Pentraxin PTX3 in Bone Homeostasis and Pathology. Front Immunol. 2019;10.</w:t>
      </w:r>
    </w:p>
    <w:p w14:paraId="66219593"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8. Zhang C, Hong F-F, Wang C-C, Li L, Chen J-L, Liu F, et al. TRIB3 inhibits proliferation and promotes osteogenesis in hBMSCs by regulating the ERK1/2 signaling pathway. Sci Rep. 2017;7:10342.</w:t>
      </w:r>
    </w:p>
    <w:p w14:paraId="31740829"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9. Kim J-M, Yang Y-S, Hong J, Chaugule S, Chun H, van der Meulen MC, et al. Biphasic regulation of osteoblast development via the ERK MAPK–mTOR pathway. Elife. 2022;11.</w:t>
      </w:r>
    </w:p>
    <w:p w14:paraId="4B69EBFA" w14:textId="77777777" w:rsidR="005E0216" w:rsidRPr="00C61773" w:rsidRDefault="005E0216" w:rsidP="005E0216">
      <w:pPr>
        <w:widowControl w:val="0"/>
        <w:autoSpaceDE w:val="0"/>
        <w:autoSpaceDN w:val="0"/>
        <w:adjustRightInd w:val="0"/>
        <w:spacing w:line="240" w:lineRule="auto"/>
        <w:jc w:val="both"/>
        <w:rPr>
          <w:rFonts w:ascii="Times New Roman" w:hAnsi="Times New Roman" w:cs="Times New Roman"/>
          <w:noProof/>
          <w:sz w:val="24"/>
          <w:szCs w:val="24"/>
          <w:lang w:val="es-AR"/>
        </w:rPr>
      </w:pPr>
      <w:r w:rsidRPr="005E0216">
        <w:rPr>
          <w:rFonts w:ascii="Times New Roman" w:hAnsi="Times New Roman" w:cs="Times New Roman"/>
          <w:noProof/>
          <w:sz w:val="24"/>
          <w:szCs w:val="24"/>
        </w:rPr>
        <w:t xml:space="preserve">10. Schindeler A, Little DG. Ras-MAPK Signaling in Osteogenic Differentiation: Friend or Foe? </w:t>
      </w:r>
      <w:r w:rsidRPr="00C61773">
        <w:rPr>
          <w:rFonts w:ascii="Times New Roman" w:hAnsi="Times New Roman" w:cs="Times New Roman"/>
          <w:noProof/>
          <w:sz w:val="24"/>
          <w:szCs w:val="24"/>
          <w:lang w:val="es-AR"/>
        </w:rPr>
        <w:t>J Bone Miner Res. 2006;21:1331–8.</w:t>
      </w:r>
    </w:p>
    <w:p w14:paraId="398EC2EB"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C61773">
        <w:rPr>
          <w:rFonts w:ascii="Times New Roman" w:hAnsi="Times New Roman" w:cs="Times New Roman"/>
          <w:noProof/>
          <w:sz w:val="24"/>
          <w:szCs w:val="24"/>
          <w:lang w:val="es-AR"/>
        </w:rPr>
        <w:t xml:space="preserve">11. Arponen M, Jalava N, Widjaja N, Ivaska KK. </w:t>
      </w:r>
      <w:r w:rsidRPr="005E0216">
        <w:rPr>
          <w:rFonts w:ascii="Times New Roman" w:hAnsi="Times New Roman" w:cs="Times New Roman"/>
          <w:noProof/>
          <w:sz w:val="24"/>
          <w:szCs w:val="24"/>
        </w:rPr>
        <w:t>Glucose transporters GLUT1, GLUT3, and GLUT4 have different effects on osteoblast proliferation and metabolism. Front Physiol. 2022;13.</w:t>
      </w:r>
    </w:p>
    <w:p w14:paraId="34D876D5"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12. Liu L, Xie H, Zhao S, Huang X. The GLUT1–mTORC1 axis affects odontogenic differentiation of human dental pulp stem cells. Tissue Cell. 2022;76:101766.</w:t>
      </w:r>
    </w:p>
    <w:p w14:paraId="6F538B77"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13. Wei J, Shimazu J, Makinistoglu MP, Maurizi A, Kajimura D, Zong H, et al. Glucose Uptake and Runx2 Synergize to Orchestrate Osteoblast Differentiation and Bone Formation. Cell. 2015;161:1576–91.</w:t>
      </w:r>
    </w:p>
    <w:p w14:paraId="731A3602"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14. Kuroda M, Ueda K, Kioka N. Vinexin family (SORBS) proteins regulate mechanotransduction in mesenchymal stem cells. Sci Rep. 2018;8:11581.</w:t>
      </w:r>
    </w:p>
    <w:p w14:paraId="4F96EC94"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15. Li J, Wang Z, Huang X, Wang Z, Chen Z, Wang R, et al. Dynamic proteomic profiling of human periodontal ligament stem cells during osteogenic differentiation. Stem Cell Res Ther. 2021;12:1–16.</w:t>
      </w:r>
    </w:p>
    <w:p w14:paraId="6BFEBB5C"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lastRenderedPageBreak/>
        <w:t>16. Qiu W, Sun Q, Li N, Chen Z, Wu H, Chen Z, et al. Superoxide dismutase 2 scavenges ROS to promote osteogenic differentiation of human periodontal ligament stem cells by regulating Smad3 in alveolar bone‐defective rats. J Periodontol. 2023. https://doi.org/10.1002/JPER.23-0469.</w:t>
      </w:r>
    </w:p>
    <w:p w14:paraId="2666B135"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17. Gao J, Feng Z, Wang X, Zeng M, Liu J, Han S, et al. SIRT3/SOD2 maintains osteoblast differentiation and bone formation by regulating mitochondrial stress. Cell Death Differ. 2018;25:229–40.</w:t>
      </w:r>
    </w:p>
    <w:p w14:paraId="4CA9109A"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18. Schoppa AM, Chen X, Ramge J-M, Vikman A, Fischer V, Haffner-Luntzer M, et al. Osteoblast lineage Sod2 deficiency leads to an osteoporosis-like phenotype in mice. Dis Model Mech. 2022;15.</w:t>
      </w:r>
    </w:p>
    <w:p w14:paraId="0CEEAF54"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19. Jiang W, Xing C, Wang H, Wang W, Chen S, Ning L, et al. A Lox/CHOP‐10 crosstalk governs osteogenic and adipogenic cell fate by MSCs. J Cell Mol Med. 2018;22:5097–108.</w:t>
      </w:r>
    </w:p>
    <w:p w14:paraId="3BC8D2A7"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20. Rosset EM, Bradshaw AD. SPARC/osteonectin in mineralized tissue. Matrix Biol. 2016;52–54:78–87.</w:t>
      </w:r>
    </w:p>
    <w:p w14:paraId="22461FCB"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21. Hatori T, Maeda T, Suzuki A, Takahashi K, Kato Y. SPARC is a decoy counterpart for c‑Fos and is associated with osteoblastic differentiation of bone marrow stromal cells by inhibiting adipogenesis. Mol Med Rep. 2023;27:50.</w:t>
      </w:r>
    </w:p>
    <w:p w14:paraId="773E8164"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22. Zhu Y, Gu Y, Jiang C, Chen L. Osteonectin regulates the extracellular matrix mineralization of osteoblasts through P38 signaling pathway. J Cell Physiol. 2020;235:2220–31.</w:t>
      </w:r>
    </w:p>
    <w:p w14:paraId="33F6C095"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23. Delany AM, Amling M, Priemel M, Howe C, Baron R, Canalis E. Osteopenia and decreased bone formation in osteonectin-deficient mice. J Clin Invest. 2000;105:915–23.</w:t>
      </w:r>
    </w:p>
    <w:p w14:paraId="1C46D34C"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24. Liu F, Wu M, Wu X, Chen D, Xie M, Pan H. TGM2 accelerates migration and differentiation of BMSCs by activating Wnt/β-catenin signaling. J Orthop Surg Res. 2023;18:168.</w:t>
      </w:r>
    </w:p>
    <w:p w14:paraId="6424C2CE"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25. Yang Z, Zhang X, Zhuo F, Liu T, Luo Q, Zheng Y, et al. Allosteric Activation of Transglutaminase 2 via Inducing an “Open” Conformation for Osteoblast Differentiation. Adv Sci. 2023;10.</w:t>
      </w:r>
    </w:p>
    <w:p w14:paraId="71523B84"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26. Al-Jallad HF, Nakano Y, Chen JLY, McMillan E, Lefebvre C, Kaartinen MT. Transglutaminase activity regulates osteoblast differentiation and matrix mineralization in MC3T3-E1 osteoblast cultures. Matrix Biol. 2006;25:135–48.</w:t>
      </w:r>
    </w:p>
    <w:p w14:paraId="7AC21941"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27. Li R, Zhang Q. HtrA1 may regulate the osteogenic differentiation of human periodontal ligament cells by TGF-β1. J Mol Histol. 2015;46:137–44.</w:t>
      </w:r>
    </w:p>
    <w:p w14:paraId="034FDECF"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28. Tossetta G, Fantone S, Licini C, Marzioni D, Mattioli-Belmonte M. The multifaced role of HtrA1 in the development of joint and skeletal disorders. Bone. 2022;157:116350.</w:t>
      </w:r>
    </w:p>
    <w:p w14:paraId="2A2358FB"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29. Tiaden AN, Breiden M, Mirsaidi A, Weber FA, Bahrenberg G, Glanz S, et al. Human Serine Protease HTRA1 Positively Regulates Osteogenesis of Human Bone Marrow-derived Mesenchymal Stem Cells and Mineralization of Differentiating Bone-forming Cells Through the Modulation of Extracellular Matrix Protein. Stem Cells. 2012;30:2271–82.</w:t>
      </w:r>
    </w:p>
    <w:p w14:paraId="29196E5A"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30. Hadfield KD, Rock CF, Inkson CA, Dallas SL, Sudre L, Wallis GA, et al. HtrA1 Inhibits Mineral Deposition by Osteoblasts. J Biol Chem. 2008;283:5928–38.</w:t>
      </w:r>
    </w:p>
    <w:p w14:paraId="4FAB4305"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lastRenderedPageBreak/>
        <w:t>31. Filliat G, Mirsaidi A, Tiaden AN, Kuhn GA, Weber FE, Oka C, et al. Role of HTRA1 in bone formation and regeneration: In vitro and in vivo evaluation. PLoS One. 2017;12:e0181600.</w:t>
      </w:r>
    </w:p>
    <w:p w14:paraId="7836E5DD"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32. Koyama T, Kamemura K. Global increase in O-linked N-acetylglucosamine modification promotes osteoblast differentiation. Exp Cell Res. 2015;338:194–202.</w:t>
      </w:r>
    </w:p>
    <w:p w14:paraId="6D1D4153"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33. Yu R-H, Zhang X, Xu W, Li Z, Zhu X. Apolipoprotein D alleviates glucocorticoid-induced osteogenesis suppression in bone marrow mesenchymal stem cells via the PI3K/Akt pathway. J Orthop Surg Res. 2020;15:307.</w:t>
      </w:r>
    </w:p>
    <w:p w14:paraId="165FF8AD"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34. Martineau C, Najyb O, Signor C, Rassart É, Moreau R. Apolipoprotein D deficiency is associated to high bone turnover, low bone mass and impaired osteoblastic function in aged female mice. Metabolism. 2016;65:1247–58.</w:t>
      </w:r>
    </w:p>
    <w:p w14:paraId="7AD3D17F"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35. Claeys L, Storoni S, Eekhoff M, Elting M, Wisse L, Pals G, et al. Collagen transport and related pathways in Osteogenesis Imperfecta. Hum Genet. 2021;140:1121–41.</w:t>
      </w:r>
    </w:p>
    <w:p w14:paraId="2B18EE5F"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szCs w:val="24"/>
        </w:rPr>
      </w:pPr>
      <w:r w:rsidRPr="005E0216">
        <w:rPr>
          <w:rFonts w:ascii="Times New Roman" w:hAnsi="Times New Roman" w:cs="Times New Roman"/>
          <w:noProof/>
          <w:sz w:val="24"/>
          <w:szCs w:val="24"/>
        </w:rPr>
        <w:t>36. Malhotra V, Erlmann P. The Pathway of Collagen Secretion. Annu Rev Cell Dev Biol. 2015;31:109–24.</w:t>
      </w:r>
    </w:p>
    <w:p w14:paraId="767D8874" w14:textId="77777777" w:rsidR="005E0216" w:rsidRPr="005E0216" w:rsidRDefault="005E0216" w:rsidP="005E0216">
      <w:pPr>
        <w:widowControl w:val="0"/>
        <w:autoSpaceDE w:val="0"/>
        <w:autoSpaceDN w:val="0"/>
        <w:adjustRightInd w:val="0"/>
        <w:spacing w:line="240" w:lineRule="auto"/>
        <w:jc w:val="both"/>
        <w:rPr>
          <w:rFonts w:ascii="Times New Roman" w:hAnsi="Times New Roman" w:cs="Times New Roman"/>
          <w:noProof/>
          <w:sz w:val="24"/>
        </w:rPr>
      </w:pPr>
      <w:r w:rsidRPr="005E0216">
        <w:rPr>
          <w:rFonts w:ascii="Times New Roman" w:hAnsi="Times New Roman" w:cs="Times New Roman"/>
          <w:noProof/>
          <w:sz w:val="24"/>
          <w:szCs w:val="24"/>
        </w:rPr>
        <w:t>37. Wang W, Li F, Wang K, Cheng B, Guo X. PAPSS2 Promotes Alkaline Phosphates Activity and Mineralization of Osteoblastic MC3T3-E1 Cells by Crosstalk and Smads Signal Pathways. PLoS One. 2012;7:e43475.</w:t>
      </w:r>
    </w:p>
    <w:p w14:paraId="4E345C87" w14:textId="76FABE8D" w:rsidR="005E0216" w:rsidRPr="005E0216" w:rsidRDefault="005E0216" w:rsidP="005E0216">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fldChar w:fldCharType="end"/>
      </w:r>
    </w:p>
    <w:p w14:paraId="3C6B27C5" w14:textId="77777777" w:rsidR="00660847" w:rsidRPr="00112610" w:rsidRDefault="00660847" w:rsidP="005E0216">
      <w:pPr>
        <w:jc w:val="both"/>
        <w:rPr>
          <w:rFonts w:ascii="Times New Roman" w:hAnsi="Times New Roman" w:cs="Times New Roman"/>
          <w:lang w:val="en-US"/>
        </w:rPr>
      </w:pPr>
    </w:p>
    <w:sectPr w:rsidR="00660847" w:rsidRPr="00112610">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48CBC" w14:textId="77777777" w:rsidR="00A72835" w:rsidRDefault="00A72835" w:rsidP="00660847">
      <w:pPr>
        <w:spacing w:after="0" w:line="240" w:lineRule="auto"/>
      </w:pPr>
      <w:r>
        <w:separator/>
      </w:r>
    </w:p>
  </w:endnote>
  <w:endnote w:type="continuationSeparator" w:id="0">
    <w:p w14:paraId="5E422F80" w14:textId="77777777" w:rsidR="00A72835" w:rsidRDefault="00A72835" w:rsidP="00660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no Pro">
    <w:altName w:val="Cambria"/>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7498992"/>
      <w:docPartObj>
        <w:docPartGallery w:val="Page Numbers (Bottom of Page)"/>
        <w:docPartUnique/>
      </w:docPartObj>
    </w:sdtPr>
    <w:sdtEndPr/>
    <w:sdtContent>
      <w:p w14:paraId="4CAD7365" w14:textId="2CAFD439" w:rsidR="00660847" w:rsidRDefault="00660847">
        <w:pPr>
          <w:pStyle w:val="Piedepgina"/>
          <w:jc w:val="right"/>
        </w:pPr>
        <w:r>
          <w:fldChar w:fldCharType="begin"/>
        </w:r>
        <w:r>
          <w:instrText>PAGE   \* MERGEFORMAT</w:instrText>
        </w:r>
        <w:r>
          <w:fldChar w:fldCharType="separate"/>
        </w:r>
        <w:r>
          <w:rPr>
            <w:lang w:val="es-ES"/>
          </w:rPr>
          <w:t>2</w:t>
        </w:r>
        <w:r>
          <w:fldChar w:fldCharType="end"/>
        </w:r>
      </w:p>
    </w:sdtContent>
  </w:sdt>
  <w:p w14:paraId="3619A4A7" w14:textId="77777777" w:rsidR="00660847" w:rsidRDefault="0066084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740F8D" w14:textId="77777777" w:rsidR="00A72835" w:rsidRDefault="00A72835" w:rsidP="00660847">
      <w:pPr>
        <w:spacing w:after="0" w:line="240" w:lineRule="auto"/>
      </w:pPr>
      <w:r>
        <w:separator/>
      </w:r>
    </w:p>
  </w:footnote>
  <w:footnote w:type="continuationSeparator" w:id="0">
    <w:p w14:paraId="0D41CE05" w14:textId="77777777" w:rsidR="00A72835" w:rsidRDefault="00A72835" w:rsidP="006608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847"/>
    <w:rsid w:val="000076B1"/>
    <w:rsid w:val="00112610"/>
    <w:rsid w:val="002137E8"/>
    <w:rsid w:val="00315A81"/>
    <w:rsid w:val="004A005A"/>
    <w:rsid w:val="005A5301"/>
    <w:rsid w:val="005E0216"/>
    <w:rsid w:val="00660847"/>
    <w:rsid w:val="0073482D"/>
    <w:rsid w:val="0073495A"/>
    <w:rsid w:val="00824C5B"/>
    <w:rsid w:val="00A72835"/>
    <w:rsid w:val="00C61773"/>
    <w:rsid w:val="00C6689A"/>
    <w:rsid w:val="00CC2067"/>
    <w:rsid w:val="00D7749C"/>
    <w:rsid w:val="00DC2B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9820DF"/>
  <w15:chartTrackingRefBased/>
  <w15:docId w15:val="{DAF99667-14CB-4A92-B52A-90CEFE9F5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B89"/>
    <w:rPr>
      <w:lang w:val="en-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AMainText">
    <w:name w:val="TA_Main_Text"/>
    <w:basedOn w:val="Normal"/>
    <w:autoRedefine/>
    <w:rsid w:val="00660847"/>
    <w:pPr>
      <w:spacing w:after="60" w:line="240" w:lineRule="auto"/>
      <w:ind w:firstLine="180"/>
      <w:jc w:val="both"/>
    </w:pPr>
    <w:rPr>
      <w:rFonts w:ascii="Arno Pro" w:eastAsia="Times New Roman" w:hAnsi="Arno Pro" w:cs="Times New Roman"/>
      <w:kern w:val="21"/>
      <w:sz w:val="19"/>
      <w:szCs w:val="20"/>
      <w:lang w:val="en-US"/>
    </w:rPr>
  </w:style>
  <w:style w:type="paragraph" w:styleId="Encabezado">
    <w:name w:val="header"/>
    <w:basedOn w:val="Normal"/>
    <w:link w:val="EncabezadoCar"/>
    <w:uiPriority w:val="99"/>
    <w:unhideWhenUsed/>
    <w:rsid w:val="00660847"/>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60847"/>
    <w:rPr>
      <w:lang w:val="en-IN"/>
    </w:rPr>
  </w:style>
  <w:style w:type="paragraph" w:styleId="Piedepgina">
    <w:name w:val="footer"/>
    <w:basedOn w:val="Normal"/>
    <w:link w:val="PiedepginaCar"/>
    <w:uiPriority w:val="99"/>
    <w:unhideWhenUsed/>
    <w:rsid w:val="00660847"/>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60847"/>
    <w:rPr>
      <w:lang w:val="en-IN"/>
    </w:rPr>
  </w:style>
  <w:style w:type="paragraph" w:styleId="NormalWeb">
    <w:name w:val="Normal (Web)"/>
    <w:basedOn w:val="Normal"/>
    <w:uiPriority w:val="99"/>
    <w:semiHidden/>
    <w:unhideWhenUsed/>
    <w:rsid w:val="00660847"/>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aconcuadrcula1clara-nfasis5">
    <w:name w:val="Grid Table 1 Light Accent 5"/>
    <w:basedOn w:val="Tablanormal"/>
    <w:uiPriority w:val="46"/>
    <w:rsid w:val="00C6689A"/>
    <w:pPr>
      <w:spacing w:after="0" w:line="240" w:lineRule="auto"/>
    </w:pPr>
    <w:rPr>
      <w:kern w:val="2"/>
      <w:lang w:val="es-AR"/>
      <w14:ligatures w14:val="standardContextual"/>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041561">
      <w:bodyDiv w:val="1"/>
      <w:marLeft w:val="0"/>
      <w:marRight w:val="0"/>
      <w:marTop w:val="0"/>
      <w:marBottom w:val="0"/>
      <w:divBdr>
        <w:top w:val="none" w:sz="0" w:space="0" w:color="auto"/>
        <w:left w:val="none" w:sz="0" w:space="0" w:color="auto"/>
        <w:bottom w:val="none" w:sz="0" w:space="0" w:color="auto"/>
        <w:right w:val="none" w:sz="0" w:space="0" w:color="auto"/>
      </w:divBdr>
    </w:div>
    <w:div w:id="204953693">
      <w:bodyDiv w:val="1"/>
      <w:marLeft w:val="0"/>
      <w:marRight w:val="0"/>
      <w:marTop w:val="0"/>
      <w:marBottom w:val="0"/>
      <w:divBdr>
        <w:top w:val="none" w:sz="0" w:space="0" w:color="auto"/>
        <w:left w:val="none" w:sz="0" w:space="0" w:color="auto"/>
        <w:bottom w:val="none" w:sz="0" w:space="0" w:color="auto"/>
        <w:right w:val="none" w:sz="0" w:space="0" w:color="auto"/>
      </w:divBdr>
    </w:div>
    <w:div w:id="319503574">
      <w:bodyDiv w:val="1"/>
      <w:marLeft w:val="0"/>
      <w:marRight w:val="0"/>
      <w:marTop w:val="0"/>
      <w:marBottom w:val="0"/>
      <w:divBdr>
        <w:top w:val="none" w:sz="0" w:space="0" w:color="auto"/>
        <w:left w:val="none" w:sz="0" w:space="0" w:color="auto"/>
        <w:bottom w:val="none" w:sz="0" w:space="0" w:color="auto"/>
        <w:right w:val="none" w:sz="0" w:space="0" w:color="auto"/>
      </w:divBdr>
    </w:div>
    <w:div w:id="937757377">
      <w:bodyDiv w:val="1"/>
      <w:marLeft w:val="0"/>
      <w:marRight w:val="0"/>
      <w:marTop w:val="0"/>
      <w:marBottom w:val="0"/>
      <w:divBdr>
        <w:top w:val="none" w:sz="0" w:space="0" w:color="auto"/>
        <w:left w:val="none" w:sz="0" w:space="0" w:color="auto"/>
        <w:bottom w:val="none" w:sz="0" w:space="0" w:color="auto"/>
        <w:right w:val="none" w:sz="0" w:space="0" w:color="auto"/>
      </w:divBdr>
    </w:div>
    <w:div w:id="1166215216">
      <w:bodyDiv w:val="1"/>
      <w:marLeft w:val="0"/>
      <w:marRight w:val="0"/>
      <w:marTop w:val="0"/>
      <w:marBottom w:val="0"/>
      <w:divBdr>
        <w:top w:val="none" w:sz="0" w:space="0" w:color="auto"/>
        <w:left w:val="none" w:sz="0" w:space="0" w:color="auto"/>
        <w:bottom w:val="none" w:sz="0" w:space="0" w:color="auto"/>
        <w:right w:val="none" w:sz="0" w:space="0" w:color="auto"/>
      </w:divBdr>
    </w:div>
    <w:div w:id="1964918782">
      <w:bodyDiv w:val="1"/>
      <w:marLeft w:val="0"/>
      <w:marRight w:val="0"/>
      <w:marTop w:val="0"/>
      <w:marBottom w:val="0"/>
      <w:divBdr>
        <w:top w:val="none" w:sz="0" w:space="0" w:color="auto"/>
        <w:left w:val="none" w:sz="0" w:space="0" w:color="auto"/>
        <w:bottom w:val="none" w:sz="0" w:space="0" w:color="auto"/>
        <w:right w:val="none" w:sz="0" w:space="0" w:color="auto"/>
      </w:divBdr>
    </w:div>
    <w:div w:id="2000190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8813B9-A5DF-4404-A4EB-EE7590636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11</Pages>
  <Words>14180</Words>
  <Characters>80828</Characters>
  <Application>Microsoft Office Word</Application>
  <DocSecurity>0</DocSecurity>
  <Lines>673</Lines>
  <Paragraphs>189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Lautaro Rivera</dc:creator>
  <cp:keywords/>
  <dc:description/>
  <cp:lastModifiedBy>Lautaro Rivera</cp:lastModifiedBy>
  <cp:revision>9</cp:revision>
  <dcterms:created xsi:type="dcterms:W3CDTF">2025-05-01T23:26:00Z</dcterms:created>
  <dcterms:modified xsi:type="dcterms:W3CDTF">2025-05-02T13:46:00Z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http://www.zotero.org/styles/biomed-central</vt:lpwstr>
  </property>
  <property fmtid="{D5CDD505-2E9C-101B-9397-08002B2CF9AE}" pid="5" name="Mendeley Recent Style Name 1_1">
    <vt:lpwstr>BioMed Central</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12th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http://www.zotero.org/styles/journal-of-biomedical-science</vt:lpwstr>
  </property>
  <property fmtid="{D5CDD505-2E9C-101B-9397-08002B2CF9AE}" pid="13" name="Mendeley Recent Style Name 5_1">
    <vt:lpwstr>Journal of Biomedical Science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4th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64ebc3e2-9547-3deb-ad8a-daeb8787143b</vt:lpwstr>
  </property>
  <property fmtid="{D5CDD505-2E9C-101B-9397-08002B2CF9AE}" pid="24" name="Mendeley Citation Style_1">
    <vt:lpwstr>http://www.zotero.org/styles/biomed-central</vt:lpwstr>
  </property>
</Properties>
</file>